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434975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459740</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ind w:left="2020"/>
        <w:spacing w:after="0"/>
        <w:rPr>
          <w:sz w:val="20"/>
          <w:szCs w:val="20"/>
          <w:color w:val="auto"/>
        </w:rPr>
      </w:pPr>
      <w:r>
        <w:rPr>
          <w:rFonts w:ascii="Times New Roman" w:cs="Times New Roman" w:eastAsia="Times New Roman" w:hAnsi="Times New Roman"/>
          <w:sz w:val="15"/>
          <w:szCs w:val="15"/>
          <w:color w:val="auto"/>
        </w:rPr>
        <w:t>_____________________________________________________________________________________________</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5"/>
          <w:szCs w:val="15"/>
          <w:color w:val="auto"/>
        </w:rPr>
        <w:t>_____________________________________________________________________________________________</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31" w:lineRule="exact"/>
        <w:rPr>
          <w:sz w:val="24"/>
          <w:szCs w:val="24"/>
          <w:color w:val="auto"/>
        </w:rPr>
      </w:pPr>
    </w:p>
    <w:p>
      <w:pPr>
        <w:jc w:val="center"/>
        <w:spacing w:after="0"/>
        <w:rPr>
          <w:sz w:val="20"/>
          <w:szCs w:val="20"/>
          <w:color w:val="auto"/>
        </w:rPr>
      </w:pPr>
      <w:r>
        <w:rPr>
          <w:rFonts w:ascii="Wingdings" w:cs="Wingdings" w:eastAsia="Wingdings" w:hAnsi="Wingdings"/>
          <w:sz w:val="15"/>
          <w:szCs w:val="15"/>
          <w:b w:val="1"/>
          <w:bCs w:val="1"/>
          <w:color w:val="auto"/>
          <w:highlight w:val="black"/>
        </w:rPr>
        <w:t xml:space="preserve">x </w:t>
      </w: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2026</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88" w:lineRule="exact"/>
        <w:rPr>
          <w:sz w:val="24"/>
          <w:szCs w:val="24"/>
          <w:color w:val="auto"/>
        </w:rPr>
      </w:pPr>
    </w:p>
    <w:p>
      <w:pPr>
        <w:jc w:val="center"/>
        <w:spacing w:after="0"/>
        <w:rPr>
          <w:sz w:val="20"/>
          <w:szCs w:val="20"/>
          <w:color w:val="auto"/>
        </w:rPr>
      </w:pPr>
      <w:r>
        <w:rPr>
          <w:rFonts w:ascii="Wingdings" w:cs="Wingdings" w:eastAsia="Wingdings" w:hAnsi="Wingdings"/>
          <w:sz w:val="15"/>
          <w:szCs w:val="15"/>
          <w:b w:val="1"/>
          <w:bCs w:val="1"/>
          <w:color w:val="auto"/>
          <w:highlight w:val="black"/>
        </w:rPr>
        <w:t xml:space="preserve">o </w:t>
      </w: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76" w:lineRule="exact"/>
        <w:rPr>
          <w:sz w:val="24"/>
          <w:szCs w:val="24"/>
          <w:color w:val="auto"/>
        </w:rPr>
      </w:pPr>
    </w:p>
    <w:p>
      <w:pPr>
        <w:ind w:left="4120"/>
        <w:spacing w:after="0"/>
        <w:tabs>
          <w:tab w:leader="none" w:pos="652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88"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5"/>
          <w:szCs w:val="15"/>
          <w:b w:val="1"/>
          <w:bCs w:val="1"/>
          <w:color w:val="auto"/>
        </w:rPr>
        <w:t>Commission File Number 001-34899</w:t>
      </w:r>
    </w:p>
    <w:p>
      <w:pPr>
        <w:spacing w:after="0" w:line="3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5"/>
          <w:szCs w:val="15"/>
          <w:color w:val="auto"/>
        </w:rPr>
        <w:t>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2506980</wp:posOffset>
            </wp:positionH>
            <wp:positionV relativeFrom="paragraph">
              <wp:posOffset>41275</wp:posOffset>
            </wp:positionV>
            <wp:extent cx="2128520" cy="491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8520" cy="491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Pacific Biosciences of California, Inc.</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5"/>
          <w:szCs w:val="15"/>
          <w:color w:val="auto"/>
        </w:rPr>
        <w:t>_____________________________________________________________________________________________</w:t>
      </w:r>
    </w:p>
    <w:p>
      <w:pPr>
        <w:spacing w:after="0" w:line="147" w:lineRule="exact"/>
        <w:rPr>
          <w:sz w:val="24"/>
          <w:szCs w:val="24"/>
          <w:color w:val="auto"/>
        </w:rPr>
      </w:pPr>
    </w:p>
    <w:tbl>
      <w:tblPr>
        <w:tblLayout w:type="fixed"/>
        <w:tblInd w:w="1680" w:type="dxa"/>
        <w:tblCellMar>
          <w:top w:w="0" w:type="dxa"/>
          <w:left w:w="0" w:type="dxa"/>
          <w:bottom w:w="0" w:type="dxa"/>
          <w:right w:w="0" w:type="dxa"/>
        </w:tblCellMar>
      </w:tblPr>
      <w:tr>
        <w:trPr>
          <w:trHeight w:val="182"/>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9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16-1590339</w:t>
            </w:r>
          </w:p>
        </w:tc>
      </w:tr>
      <w:tr>
        <w:trPr>
          <w:trHeight w:val="191"/>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4960" w:type="dxa"/>
            <w:vAlign w:val="bottom"/>
          </w:tcPr>
          <w:p>
            <w:pPr>
              <w:jc w:val="center"/>
              <w:ind w:left="3811"/>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2"/>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4960" w:type="dxa"/>
            <w:vAlign w:val="bottom"/>
          </w:tcPr>
          <w:p>
            <w:pPr>
              <w:jc w:val="center"/>
              <w:ind w:left="3811"/>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59"/>
        </w:trPr>
        <w:tc>
          <w:tcPr>
            <w:tcW w:w="234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7"/>
              </w:rPr>
              <w:t>1305 O’Brien Drive</w:t>
            </w:r>
          </w:p>
        </w:tc>
        <w:tc>
          <w:tcPr>
            <w:tcW w:w="4960" w:type="dxa"/>
            <w:vAlign w:val="bottom"/>
          </w:tcPr>
          <w:p>
            <w:pPr>
              <w:spacing w:after="0"/>
              <w:rPr>
                <w:sz w:val="24"/>
                <w:szCs w:val="24"/>
                <w:color w:val="auto"/>
              </w:rPr>
            </w:pPr>
          </w:p>
        </w:tc>
      </w:tr>
      <w:tr>
        <w:trPr>
          <w:trHeight w:val="195"/>
        </w:trPr>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Menlo Park, CA</w:t>
            </w:r>
          </w:p>
        </w:tc>
        <w:tc>
          <w:tcPr>
            <w:tcW w:w="49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94025</w:t>
            </w:r>
          </w:p>
        </w:tc>
      </w:tr>
      <w:tr>
        <w:trPr>
          <w:trHeight w:val="219"/>
        </w:trPr>
        <w:tc>
          <w:tcPr>
            <w:tcW w:w="234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7"/>
              </w:rPr>
              <w:t>(Address of principal executive offices)</w:t>
            </w:r>
          </w:p>
        </w:tc>
        <w:tc>
          <w:tcPr>
            <w:tcW w:w="4960" w:type="dxa"/>
            <w:vAlign w:val="bottom"/>
          </w:tcPr>
          <w:p>
            <w:pPr>
              <w:jc w:val="center"/>
              <w:ind w:left="3811"/>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423"/>
        </w:trPr>
        <w:tc>
          <w:tcPr>
            <w:tcW w:w="2340" w:type="dxa"/>
            <w:vAlign w:val="bottom"/>
          </w:tcPr>
          <w:p>
            <w:pPr>
              <w:spacing w:after="0"/>
              <w:rPr>
                <w:sz w:val="24"/>
                <w:szCs w:val="24"/>
                <w:color w:val="auto"/>
              </w:rPr>
            </w:pPr>
          </w:p>
        </w:tc>
        <w:tc>
          <w:tcPr>
            <w:tcW w:w="4960" w:type="dxa"/>
            <w:vAlign w:val="bottom"/>
          </w:tcPr>
          <w:p>
            <w:pPr>
              <w:jc w:val="right"/>
              <w:ind w:right="2851"/>
              <w:spacing w:after="0"/>
              <w:rPr>
                <w:sz w:val="20"/>
                <w:szCs w:val="20"/>
                <w:color w:val="auto"/>
              </w:rPr>
            </w:pPr>
            <w:r>
              <w:rPr>
                <w:rFonts w:ascii="Times New Roman" w:cs="Times New Roman" w:eastAsia="Times New Roman" w:hAnsi="Times New Roman"/>
                <w:sz w:val="14"/>
                <w:szCs w:val="14"/>
                <w:b w:val="1"/>
                <w:bCs w:val="1"/>
                <w:color w:val="auto"/>
              </w:rPr>
              <w:t>(650) 521-8000</w:t>
            </w:r>
          </w:p>
        </w:tc>
      </w:tr>
      <w:tr>
        <w:trPr>
          <w:trHeight w:val="182"/>
        </w:trPr>
        <w:tc>
          <w:tcPr>
            <w:tcW w:w="2340" w:type="dxa"/>
            <w:vAlign w:val="bottom"/>
          </w:tcPr>
          <w:p>
            <w:pPr>
              <w:spacing w:after="0"/>
              <w:rPr>
                <w:sz w:val="15"/>
                <w:szCs w:val="15"/>
                <w:color w:val="auto"/>
              </w:rPr>
            </w:pPr>
          </w:p>
        </w:tc>
        <w:tc>
          <w:tcPr>
            <w:tcW w:w="4960" w:type="dxa"/>
            <w:vAlign w:val="bottom"/>
          </w:tcPr>
          <w:p>
            <w:pPr>
              <w:jc w:val="center"/>
              <w:ind w:right="1671"/>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r>
    </w:tbl>
    <w:p>
      <w:pPr>
        <w:ind w:left="2020"/>
        <w:spacing w:after="0"/>
        <w:rPr>
          <w:sz w:val="20"/>
          <w:szCs w:val="20"/>
          <w:color w:val="auto"/>
        </w:rPr>
      </w:pPr>
      <w:r>
        <w:rPr>
          <w:rFonts w:ascii="Times New Roman" w:cs="Times New Roman" w:eastAsia="Times New Roman" w:hAnsi="Times New Roman"/>
          <w:sz w:val="15"/>
          <w:szCs w:val="15"/>
          <w:color w:val="auto"/>
        </w:rPr>
        <w:t>_____________________________________________________________________________________________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197"/>
        </w:trPr>
        <w:tc>
          <w:tcPr>
            <w:tcW w:w="43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Trading Symbol(s)</w:t>
            </w:r>
          </w:p>
        </w:tc>
        <w:tc>
          <w:tcPr>
            <w:tcW w:w="4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Name of each exchange on which registered</w:t>
            </w:r>
          </w:p>
        </w:tc>
      </w:tr>
      <w:tr>
        <w:trPr>
          <w:trHeight w:val="35"/>
        </w:trPr>
        <w:tc>
          <w:tcPr>
            <w:tcW w:w="432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r>
      <w:tr>
        <w:trPr>
          <w:trHeight w:val="177"/>
        </w:trPr>
        <w:tc>
          <w:tcPr>
            <w:tcW w:w="4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Common Stock, par value $0.001 per share</w:t>
            </w:r>
          </w:p>
        </w:tc>
        <w:tc>
          <w:tcPr>
            <w:tcW w:w="2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2"/>
              </w:rPr>
              <w:t>PACB</w:t>
            </w:r>
          </w:p>
        </w:tc>
        <w:tc>
          <w:tcPr>
            <w:tcW w:w="4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The NASDAQ Stock Market LLC</w:t>
            </w:r>
          </w:p>
        </w:tc>
      </w:tr>
      <w:tr>
        <w:trPr>
          <w:trHeight w:val="35"/>
        </w:trPr>
        <w:tc>
          <w:tcPr>
            <w:tcW w:w="4320" w:type="dxa"/>
            <w:vAlign w:val="bottom"/>
            <w:tcBorders>
              <w:left w:val="single" w:sz="8" w:color="auto"/>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r>
    </w:tbl>
    <w:p>
      <w:pPr>
        <w:spacing w:after="0" w:line="121" w:lineRule="exact"/>
        <w:rPr>
          <w:sz w:val="24"/>
          <w:szCs w:val="24"/>
          <w:color w:val="auto"/>
        </w:rPr>
      </w:pPr>
    </w:p>
    <w:p>
      <w:pPr>
        <w:ind w:right="260" w:firstLine="464"/>
        <w:spacing w:after="0" w:line="29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20" w:lineRule="exact"/>
        <w:rPr>
          <w:sz w:val="24"/>
          <w:szCs w:val="24"/>
          <w:color w:val="auto"/>
        </w:rPr>
      </w:pPr>
    </w:p>
    <w:p>
      <w:pPr>
        <w:ind w:right="140" w:firstLine="464"/>
        <w:spacing w:after="0" w:line="29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20" w:lineRule="exact"/>
        <w:rPr>
          <w:sz w:val="24"/>
          <w:szCs w:val="24"/>
          <w:color w:val="auto"/>
        </w:rPr>
      </w:pPr>
    </w:p>
    <w:p>
      <w:pPr>
        <w:ind w:right="480" w:firstLine="464"/>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 w:type="dxa"/>
        <w:tblCellMar>
          <w:top w:w="0" w:type="dxa"/>
          <w:left w:w="0" w:type="dxa"/>
          <w:bottom w:w="0" w:type="dxa"/>
          <w:right w:w="0" w:type="dxa"/>
        </w:tblCellMar>
      </w:tblPr>
      <w:tr>
        <w:trPr>
          <w:trHeight w:val="178"/>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60" w:type="dxa"/>
            <w:vAlign w:val="bottom"/>
          </w:tcPr>
          <w:p>
            <w:pPr>
              <w:ind w:left="1040"/>
              <w:spacing w:after="0"/>
              <w:rPr>
                <w:sz w:val="20"/>
                <w:szCs w:val="20"/>
                <w:color w:val="auto"/>
              </w:rPr>
            </w:pPr>
            <w:r>
              <w:rPr>
                <w:rFonts w:ascii="Wingdings" w:cs="Wingdings" w:eastAsia="Wingdings" w:hAnsi="Wingdings"/>
                <w:sz w:val="14"/>
                <w:szCs w:val="14"/>
                <w:b w:val="1"/>
                <w:bCs w:val="1"/>
                <w:color w:val="auto"/>
              </w:rPr>
              <w:t>o</w:t>
            </w:r>
          </w:p>
        </w:tc>
        <w:tc>
          <w:tcPr>
            <w:tcW w:w="384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Accelerated filer</w:t>
            </w:r>
          </w:p>
        </w:tc>
        <w:tc>
          <w:tcPr>
            <w:tcW w:w="1180" w:type="dxa"/>
            <w:vAlign w:val="bottom"/>
          </w:tcPr>
          <w:p>
            <w:pPr>
              <w:ind w:left="1040"/>
              <w:spacing w:after="0"/>
              <w:rPr>
                <w:sz w:val="20"/>
                <w:szCs w:val="20"/>
                <w:color w:val="auto"/>
              </w:rPr>
            </w:pPr>
            <w:r>
              <w:rPr>
                <w:rFonts w:ascii="Wingdings" w:cs="Wingdings" w:eastAsia="Wingdings" w:hAnsi="Wingdings"/>
                <w:sz w:val="14"/>
                <w:szCs w:val="14"/>
                <w:b w:val="1"/>
                <w:bCs w:val="1"/>
                <w:color w:val="auto"/>
                <w:w w:val="80"/>
              </w:rPr>
              <w:t>x</w:t>
            </w:r>
          </w:p>
        </w:tc>
      </w:tr>
      <w:tr>
        <w:trPr>
          <w:trHeight w:val="219"/>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60" w:type="dxa"/>
            <w:vAlign w:val="bottom"/>
          </w:tcPr>
          <w:p>
            <w:pPr>
              <w:ind w:left="1040"/>
              <w:spacing w:after="0"/>
              <w:rPr>
                <w:sz w:val="20"/>
                <w:szCs w:val="20"/>
                <w:color w:val="auto"/>
              </w:rPr>
            </w:pPr>
            <w:r>
              <w:rPr>
                <w:rFonts w:ascii="Wingdings" w:cs="Wingdings" w:eastAsia="Wingdings" w:hAnsi="Wingdings"/>
                <w:sz w:val="14"/>
                <w:szCs w:val="14"/>
                <w:b w:val="1"/>
                <w:bCs w:val="1"/>
                <w:color w:val="auto"/>
              </w:rPr>
              <w:t>o</w:t>
            </w:r>
          </w:p>
        </w:tc>
        <w:tc>
          <w:tcPr>
            <w:tcW w:w="384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80" w:type="dxa"/>
            <w:vAlign w:val="bottom"/>
          </w:tcPr>
          <w:p>
            <w:pPr>
              <w:ind w:left="1040"/>
              <w:spacing w:after="0"/>
              <w:rPr>
                <w:sz w:val="20"/>
                <w:szCs w:val="20"/>
                <w:color w:val="auto"/>
              </w:rPr>
            </w:pPr>
            <w:r>
              <w:rPr>
                <w:rFonts w:ascii="Wingdings" w:cs="Wingdings" w:eastAsia="Wingdings" w:hAnsi="Wingdings"/>
                <w:sz w:val="14"/>
                <w:szCs w:val="14"/>
                <w:b w:val="1"/>
                <w:bCs w:val="1"/>
                <w:color w:val="auto"/>
                <w:w w:val="95"/>
              </w:rPr>
              <w:t>o</w:t>
            </w:r>
          </w:p>
        </w:tc>
      </w:tr>
      <w:tr>
        <w:trPr>
          <w:trHeight w:val="219"/>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460" w:type="dxa"/>
            <w:vAlign w:val="bottom"/>
          </w:tcPr>
          <w:p>
            <w:pPr>
              <w:ind w:left="1040"/>
              <w:spacing w:after="0"/>
              <w:rPr>
                <w:sz w:val="20"/>
                <w:szCs w:val="20"/>
                <w:color w:val="auto"/>
              </w:rPr>
            </w:pPr>
            <w:r>
              <w:rPr>
                <w:rFonts w:ascii="Wingdings" w:cs="Wingdings" w:eastAsia="Wingdings" w:hAnsi="Wingdings"/>
                <w:sz w:val="14"/>
                <w:szCs w:val="14"/>
                <w:b w:val="1"/>
                <w:bCs w:val="1"/>
                <w:color w:val="auto"/>
              </w:rPr>
              <w:t>o</w:t>
            </w:r>
          </w:p>
        </w:tc>
        <w:tc>
          <w:tcPr>
            <w:tcW w:w="384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273" w:lineRule="exact"/>
        <w:rPr>
          <w:sz w:val="24"/>
          <w:szCs w:val="24"/>
          <w:color w:val="auto"/>
        </w:rPr>
      </w:pPr>
    </w:p>
    <w:p>
      <w:pPr>
        <w:ind w:right="40" w:firstLine="464"/>
        <w:spacing w:after="0" w:line="295"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3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7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Number of shares outstanding of the issuer’s common stock as of April 30, 2026: 310,601,688.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839470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197485</wp:posOffset>
            </wp:positionV>
            <wp:extent cx="6920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086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221615</wp:posOffset>
            </wp:positionV>
            <wp:extent cx="6920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0865"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w w:val="93"/>
              </w:rPr>
              <w:t>Page</w:t>
            </w:r>
          </w:p>
        </w:tc>
      </w:tr>
      <w:tr>
        <w:trPr>
          <w:trHeight w:val="44"/>
        </w:trPr>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r>
      <w:tr>
        <w:trPr>
          <w:trHeight w:val="258"/>
        </w:trPr>
        <w:tc>
          <w:tcPr>
            <w:tcW w:w="20" w:type="dxa"/>
            <w:vAlign w:val="bottom"/>
            <w:shd w:val="clear" w:color="auto" w:fill="DF1995"/>
          </w:tcPr>
          <w:p>
            <w:pPr>
              <w:spacing w:after="0"/>
              <w:rPr>
                <w:sz w:val="22"/>
                <w:szCs w:val="22"/>
                <w:color w:val="auto"/>
              </w:rPr>
            </w:pPr>
          </w:p>
        </w:tc>
        <w:tc>
          <w:tcPr>
            <w:tcW w:w="10340" w:type="dxa"/>
            <w:vAlign w:val="bottom"/>
            <w:gridSpan w:val="20"/>
            <w:shd w:val="clear" w:color="auto" w:fill="DF1995"/>
          </w:tcPr>
          <w:p>
            <w:pPr>
              <w:spacing w:after="0"/>
              <w:rPr>
                <w:sz w:val="20"/>
                <w:szCs w:val="20"/>
                <w:color w:val="auto"/>
              </w:rPr>
            </w:pPr>
            <w:r>
              <w:rPr>
                <w:rFonts w:ascii="Arial" w:cs="Arial" w:eastAsia="Arial" w:hAnsi="Arial"/>
                <w:sz w:val="17"/>
                <w:szCs w:val="17"/>
                <w:b w:val="1"/>
                <w:bCs w:val="1"/>
                <w:color w:val="FFFFFF"/>
              </w:rPr>
              <w:t>PART I. FINANCIAL INFORMATION</w:t>
            </w:r>
          </w:p>
        </w:tc>
        <w:tc>
          <w:tcPr>
            <w:tcW w:w="400" w:type="dxa"/>
            <w:vAlign w:val="bottom"/>
            <w:shd w:val="clear" w:color="auto" w:fill="DF1995"/>
          </w:tcPr>
          <w:p>
            <w:pPr>
              <w:spacing w:after="0"/>
              <w:rPr>
                <w:sz w:val="22"/>
                <w:szCs w:val="22"/>
                <w:color w:val="auto"/>
              </w:rPr>
            </w:pPr>
          </w:p>
        </w:tc>
        <w:tc>
          <w:tcPr>
            <w:tcW w:w="480" w:type="dxa"/>
            <w:vAlign w:val="bottom"/>
            <w:shd w:val="clear" w:color="auto" w:fill="DF1995"/>
          </w:tcPr>
          <w:p>
            <w:pPr>
              <w:spacing w:after="0"/>
              <w:rPr>
                <w:sz w:val="22"/>
                <w:szCs w:val="22"/>
                <w:color w:val="auto"/>
              </w:rPr>
            </w:pPr>
          </w:p>
        </w:tc>
      </w:tr>
      <w:tr>
        <w:trPr>
          <w:trHeight w:val="451"/>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Arial" w:cs="Arial" w:eastAsia="Arial" w:hAnsi="Arial"/>
                <w:sz w:val="17"/>
                <w:szCs w:val="17"/>
                <w:color w:val="0000FF"/>
              </w:rPr>
              <w:t>Item 1. Financial Statements (unaudited):</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40" w:type="dxa"/>
            <w:vAlign w:val="bottom"/>
            <w:gridSpan w:val="19"/>
          </w:tcPr>
          <w:p>
            <w:pPr>
              <w:spacing w:after="0"/>
              <w:rPr>
                <w:sz w:val="20"/>
                <w:szCs w:val="20"/>
                <w:color w:val="auto"/>
              </w:rPr>
            </w:pPr>
            <w:r>
              <w:rPr>
                <w:rFonts w:ascii="Arial" w:cs="Arial" w:eastAsia="Arial" w:hAnsi="Arial"/>
                <w:sz w:val="17"/>
                <w:szCs w:val="17"/>
                <w:color w:val="0000FF"/>
              </w:rPr>
              <w:t>Condensed Consolidated Balance Sheets as of March 31, 2026 and December 31, 2025</w:t>
            </w:r>
          </w:p>
        </w:tc>
        <w:tc>
          <w:tcPr>
            <w:tcW w:w="40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4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60" w:type="dxa"/>
            <w:vAlign w:val="bottom"/>
            <w:tcBorders>
              <w:bottom w:val="single" w:sz="8" w:color="0000FF"/>
            </w:tcBorders>
            <w:gridSpan w:val="18"/>
          </w:tcPr>
          <w:p>
            <w:pPr>
              <w:spacing w:after="0"/>
              <w:rPr>
                <w:sz w:val="20"/>
                <w:szCs w:val="20"/>
                <w:color w:val="auto"/>
              </w:rPr>
            </w:pPr>
            <w:r>
              <w:rPr>
                <w:rFonts w:ascii="Arial" w:cs="Arial" w:eastAsia="Arial" w:hAnsi="Arial"/>
                <w:sz w:val="17"/>
                <w:szCs w:val="17"/>
                <w:color w:val="0000FF"/>
              </w:rPr>
              <w:t>Condensed Consolidated Statements of Operations and Comprehensive Loss for the Three Months Ended March 31, 2026</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40" w:type="dxa"/>
            <w:vAlign w:val="bottom"/>
            <w:gridSpan w:val="19"/>
          </w:tcPr>
          <w:p>
            <w:pPr>
              <w:spacing w:after="0" w:line="186" w:lineRule="exact"/>
              <w:rPr>
                <w:sz w:val="20"/>
                <w:szCs w:val="20"/>
                <w:color w:val="auto"/>
              </w:rPr>
            </w:pPr>
            <w:r>
              <w:rPr>
                <w:rFonts w:ascii="Arial" w:cs="Arial" w:eastAsia="Arial" w:hAnsi="Arial"/>
                <w:sz w:val="17"/>
                <w:szCs w:val="17"/>
                <w:color w:val="0000FF"/>
              </w:rPr>
              <w:t>and 2025</w:t>
            </w:r>
          </w:p>
        </w:tc>
        <w:tc>
          <w:tcPr>
            <w:tcW w:w="400" w:type="dxa"/>
            <w:vAlign w:val="bottom"/>
          </w:tcPr>
          <w:p>
            <w:pPr>
              <w:jc w:val="center"/>
              <w:spacing w:after="0" w:line="186" w:lineRule="exact"/>
              <w:rPr>
                <w:sz w:val="20"/>
                <w:szCs w:val="20"/>
                <w:color w:val="auto"/>
              </w:rPr>
            </w:pPr>
            <w:r>
              <w:rPr>
                <w:rFonts w:ascii="Arial" w:cs="Arial" w:eastAsia="Arial" w:hAnsi="Arial"/>
                <w:sz w:val="17"/>
                <w:szCs w:val="17"/>
                <w:color w:val="auto"/>
                <w:w w:val="84"/>
              </w:rPr>
              <w:t>4</w:t>
            </w:r>
          </w:p>
        </w:tc>
        <w:tc>
          <w:tcPr>
            <w:tcW w:w="4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40" w:type="dxa"/>
            <w:vAlign w:val="bottom"/>
            <w:gridSpan w:val="19"/>
          </w:tcPr>
          <w:p>
            <w:pPr>
              <w:spacing w:after="0"/>
              <w:rPr>
                <w:sz w:val="20"/>
                <w:szCs w:val="20"/>
                <w:color w:val="auto"/>
              </w:rPr>
            </w:pPr>
            <w:r>
              <w:rPr>
                <w:rFonts w:ascii="Arial" w:cs="Arial" w:eastAsia="Arial" w:hAnsi="Arial"/>
                <w:sz w:val="17"/>
                <w:szCs w:val="17"/>
                <w:color w:val="0000FF"/>
              </w:rPr>
              <w:t>Condensed Consolidated Statements of Stockholders’ Equity for the Three Months Ended March 31, 2026 and 2025</w:t>
            </w:r>
          </w:p>
        </w:tc>
        <w:tc>
          <w:tcPr>
            <w:tcW w:w="40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480" w:type="dxa"/>
            <w:vAlign w:val="bottom"/>
          </w:tcPr>
          <w:p>
            <w:pPr>
              <w:spacing w:after="0"/>
              <w:rPr>
                <w:sz w:val="24"/>
                <w:szCs w:val="24"/>
                <w:color w:val="auto"/>
              </w:rPr>
            </w:pPr>
          </w:p>
        </w:tc>
      </w:tr>
      <w:tr>
        <w:trPr>
          <w:trHeight w:val="44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40" w:type="dxa"/>
            <w:vAlign w:val="bottom"/>
            <w:tcBorders>
              <w:top w:val="single" w:sz="8" w:color="0000FF"/>
            </w:tcBorders>
            <w:gridSpan w:val="17"/>
          </w:tcPr>
          <w:p>
            <w:pPr>
              <w:spacing w:after="0"/>
              <w:rPr>
                <w:sz w:val="20"/>
                <w:szCs w:val="20"/>
                <w:color w:val="auto"/>
              </w:rPr>
            </w:pPr>
            <w:r>
              <w:rPr>
                <w:rFonts w:ascii="Arial" w:cs="Arial" w:eastAsia="Arial" w:hAnsi="Arial"/>
                <w:sz w:val="17"/>
                <w:szCs w:val="17"/>
                <w:color w:val="0000FF"/>
              </w:rPr>
              <w:t>Condensed Consolidated Statements of Cash Flows for the Three Months Ended March 31, 2026 and 2025</w:t>
            </w:r>
          </w:p>
        </w:tc>
        <w:tc>
          <w:tcPr>
            <w:tcW w:w="1200" w:type="dxa"/>
            <w:vAlign w:val="bottom"/>
            <w:gridSpan w:val="2"/>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480" w:type="dxa"/>
            <w:vAlign w:val="bottom"/>
          </w:tcPr>
          <w:p>
            <w:pPr>
              <w:spacing w:after="0"/>
              <w:rPr>
                <w:sz w:val="24"/>
                <w:szCs w:val="24"/>
                <w:color w:val="auto"/>
              </w:rPr>
            </w:pPr>
          </w:p>
        </w:tc>
      </w:tr>
      <w:tr>
        <w:trPr>
          <w:trHeight w:val="44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3900" w:type="dxa"/>
            <w:vAlign w:val="bottom"/>
            <w:tcBorders>
              <w:top w:val="single" w:sz="8" w:color="0000FF"/>
            </w:tcBorders>
            <w:gridSpan w:val="5"/>
          </w:tcPr>
          <w:p>
            <w:pPr>
              <w:spacing w:after="0"/>
              <w:rPr>
                <w:sz w:val="24"/>
                <w:szCs w:val="24"/>
                <w:color w:val="auto"/>
              </w:rPr>
            </w:pPr>
          </w:p>
        </w:tc>
        <w:tc>
          <w:tcPr>
            <w:tcW w:w="1860" w:type="dxa"/>
            <w:vAlign w:val="bottom"/>
            <w:gridSpan w:val="3"/>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480" w:type="dxa"/>
            <w:vAlign w:val="bottom"/>
          </w:tcPr>
          <w:p>
            <w:pPr>
              <w:spacing w:after="0"/>
              <w:rPr>
                <w:sz w:val="24"/>
                <w:szCs w:val="24"/>
                <w:color w:val="auto"/>
              </w:rPr>
            </w:pPr>
          </w:p>
        </w:tc>
      </w:tr>
      <w:tr>
        <w:trPr>
          <w:trHeight w:val="444"/>
        </w:trPr>
        <w:tc>
          <w:tcPr>
            <w:tcW w:w="20" w:type="dxa"/>
            <w:vAlign w:val="bottom"/>
          </w:tcPr>
          <w:p>
            <w:pPr>
              <w:spacing w:after="0"/>
              <w:rPr>
                <w:sz w:val="24"/>
                <w:szCs w:val="24"/>
                <w:color w:val="auto"/>
              </w:rPr>
            </w:pPr>
          </w:p>
        </w:tc>
        <w:tc>
          <w:tcPr>
            <w:tcW w:w="734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rPr>
              <w:t>Item 2. Management’s Discussion and Analysis of Financial Condition and Results of Operations</w:t>
            </w:r>
          </w:p>
        </w:tc>
        <w:tc>
          <w:tcPr>
            <w:tcW w:w="3000" w:type="dxa"/>
            <w:vAlign w:val="bottom"/>
            <w:gridSpan w:val="4"/>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rPr>
              <w:t>26</w:t>
            </w:r>
          </w:p>
        </w:tc>
        <w:tc>
          <w:tcPr>
            <w:tcW w:w="480" w:type="dxa"/>
            <w:vAlign w:val="bottom"/>
          </w:tcPr>
          <w:p>
            <w:pPr>
              <w:spacing w:after="0"/>
              <w:rPr>
                <w:sz w:val="24"/>
                <w:szCs w:val="24"/>
                <w:color w:val="auto"/>
              </w:rPr>
            </w:pPr>
          </w:p>
        </w:tc>
      </w:tr>
      <w:tr>
        <w:trPr>
          <w:trHeight w:val="444"/>
        </w:trPr>
        <w:tc>
          <w:tcPr>
            <w:tcW w:w="20" w:type="dxa"/>
            <w:vAlign w:val="bottom"/>
          </w:tcPr>
          <w:p>
            <w:pPr>
              <w:spacing w:after="0"/>
              <w:rPr>
                <w:sz w:val="24"/>
                <w:szCs w:val="24"/>
                <w:color w:val="auto"/>
              </w:rPr>
            </w:pPr>
          </w:p>
        </w:tc>
        <w:tc>
          <w:tcPr>
            <w:tcW w:w="508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rPr>
              <w:t>Item 3. Quantitative and Qualitative Disclosures About Market Risk</w:t>
            </w:r>
          </w:p>
        </w:tc>
        <w:tc>
          <w:tcPr>
            <w:tcW w:w="5260" w:type="dxa"/>
            <w:vAlign w:val="bottom"/>
            <w:gridSpan w:val="7"/>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rPr>
              <w:t>36</w:t>
            </w:r>
          </w:p>
        </w:tc>
        <w:tc>
          <w:tcPr>
            <w:tcW w:w="480" w:type="dxa"/>
            <w:vAlign w:val="bottom"/>
          </w:tcPr>
          <w:p>
            <w:pPr>
              <w:spacing w:after="0"/>
              <w:rPr>
                <w:sz w:val="24"/>
                <w:szCs w:val="24"/>
                <w:color w:val="auto"/>
              </w:rPr>
            </w:pPr>
          </w:p>
        </w:tc>
      </w:tr>
      <w:tr>
        <w:trPr>
          <w:trHeight w:val="444"/>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Arial" w:cs="Arial" w:eastAsia="Arial" w:hAnsi="Arial"/>
                <w:sz w:val="17"/>
                <w:szCs w:val="17"/>
                <w:color w:val="0000FF"/>
              </w:rPr>
              <w:t>Item 4. Controls and Procedures</w:t>
            </w:r>
          </w:p>
        </w:tc>
        <w:tc>
          <w:tcPr>
            <w:tcW w:w="400" w:type="dxa"/>
            <w:vAlign w:val="bottom"/>
          </w:tcPr>
          <w:p>
            <w:pPr>
              <w:jc w:val="center"/>
              <w:spacing w:after="0"/>
              <w:rPr>
                <w:sz w:val="20"/>
                <w:szCs w:val="20"/>
                <w:color w:val="auto"/>
              </w:rPr>
            </w:pPr>
            <w:r>
              <w:rPr>
                <w:rFonts w:ascii="Arial" w:cs="Arial" w:eastAsia="Arial" w:hAnsi="Arial"/>
                <w:sz w:val="17"/>
                <w:szCs w:val="17"/>
                <w:color w:val="auto"/>
              </w:rPr>
              <w:t>36</w:t>
            </w:r>
          </w:p>
        </w:tc>
        <w:tc>
          <w:tcPr>
            <w:tcW w:w="480" w:type="dxa"/>
            <w:vAlign w:val="bottom"/>
          </w:tcPr>
          <w:p>
            <w:pPr>
              <w:spacing w:after="0"/>
              <w:rPr>
                <w:sz w:val="24"/>
                <w:szCs w:val="24"/>
                <w:color w:val="auto"/>
              </w:rPr>
            </w:pPr>
          </w:p>
        </w:tc>
      </w:tr>
      <w:tr>
        <w:trPr>
          <w:trHeight w:val="251"/>
        </w:trPr>
        <w:tc>
          <w:tcPr>
            <w:tcW w:w="20" w:type="dxa"/>
            <w:vAlign w:val="bottom"/>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8"/>
        </w:trPr>
        <w:tc>
          <w:tcPr>
            <w:tcW w:w="20" w:type="dxa"/>
            <w:vAlign w:val="bottom"/>
            <w:shd w:val="clear" w:color="auto" w:fill="DF1995"/>
          </w:tcPr>
          <w:p>
            <w:pPr>
              <w:spacing w:after="0"/>
              <w:rPr>
                <w:sz w:val="22"/>
                <w:szCs w:val="22"/>
                <w:color w:val="auto"/>
              </w:rPr>
            </w:pPr>
          </w:p>
        </w:tc>
        <w:tc>
          <w:tcPr>
            <w:tcW w:w="10340" w:type="dxa"/>
            <w:vAlign w:val="bottom"/>
            <w:gridSpan w:val="20"/>
            <w:shd w:val="clear" w:color="auto" w:fill="DF1995"/>
          </w:tcPr>
          <w:p>
            <w:pPr>
              <w:spacing w:after="0"/>
              <w:rPr>
                <w:sz w:val="20"/>
                <w:szCs w:val="20"/>
                <w:color w:val="auto"/>
              </w:rPr>
            </w:pPr>
            <w:r>
              <w:rPr>
                <w:rFonts w:ascii="Arial" w:cs="Arial" w:eastAsia="Arial" w:hAnsi="Arial"/>
                <w:sz w:val="17"/>
                <w:szCs w:val="17"/>
                <w:b w:val="1"/>
                <w:bCs w:val="1"/>
                <w:color w:val="FFFFFF"/>
              </w:rPr>
              <w:t>PART II. OTHER INFORMATION</w:t>
            </w:r>
          </w:p>
        </w:tc>
        <w:tc>
          <w:tcPr>
            <w:tcW w:w="400" w:type="dxa"/>
            <w:vAlign w:val="bottom"/>
            <w:shd w:val="clear" w:color="auto" w:fill="DF1995"/>
          </w:tcPr>
          <w:p>
            <w:pPr>
              <w:spacing w:after="0"/>
              <w:rPr>
                <w:sz w:val="22"/>
                <w:szCs w:val="22"/>
                <w:color w:val="auto"/>
              </w:rPr>
            </w:pPr>
          </w:p>
        </w:tc>
        <w:tc>
          <w:tcPr>
            <w:tcW w:w="480" w:type="dxa"/>
            <w:vAlign w:val="bottom"/>
            <w:shd w:val="clear" w:color="auto" w:fill="DF1995"/>
          </w:tcPr>
          <w:p>
            <w:pPr>
              <w:spacing w:after="0"/>
              <w:rPr>
                <w:sz w:val="22"/>
                <w:szCs w:val="22"/>
                <w:color w:val="auto"/>
              </w:rPr>
            </w:pPr>
          </w:p>
        </w:tc>
      </w:tr>
      <w:tr>
        <w:trPr>
          <w:trHeight w:val="400"/>
        </w:trPr>
        <w:tc>
          <w:tcPr>
            <w:tcW w:w="20" w:type="dxa"/>
            <w:vAlign w:val="bottom"/>
          </w:tcPr>
          <w:p>
            <w:pPr>
              <w:spacing w:after="0"/>
              <w:rPr>
                <w:sz w:val="24"/>
                <w:szCs w:val="24"/>
                <w:color w:val="auto"/>
              </w:rPr>
            </w:pPr>
          </w:p>
        </w:tc>
        <w:tc>
          <w:tcPr>
            <w:tcW w:w="200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rPr>
              <w:t>Item 1. Legal Proceedings</w:t>
            </w:r>
          </w:p>
        </w:tc>
        <w:tc>
          <w:tcPr>
            <w:tcW w:w="8340" w:type="dxa"/>
            <w:vAlign w:val="bottom"/>
            <w:gridSpan w:val="13"/>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rPr>
              <w:t>37</w:t>
            </w:r>
          </w:p>
        </w:tc>
        <w:tc>
          <w:tcPr>
            <w:tcW w:w="480" w:type="dxa"/>
            <w:vAlign w:val="bottom"/>
          </w:tcPr>
          <w:p>
            <w:pPr>
              <w:spacing w:after="0"/>
              <w:rPr>
                <w:sz w:val="24"/>
                <w:szCs w:val="24"/>
                <w:color w:val="auto"/>
              </w:rPr>
            </w:pPr>
          </w:p>
        </w:tc>
      </w:tr>
      <w:tr>
        <w:trPr>
          <w:trHeight w:val="444"/>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Arial" w:cs="Arial" w:eastAsia="Arial" w:hAnsi="Arial"/>
                <w:sz w:val="17"/>
                <w:szCs w:val="17"/>
                <w:color w:val="0000FF"/>
              </w:rPr>
              <w:t>Item 1A. Risk Factors</w:t>
            </w:r>
          </w:p>
        </w:tc>
        <w:tc>
          <w:tcPr>
            <w:tcW w:w="400" w:type="dxa"/>
            <w:vAlign w:val="bottom"/>
          </w:tcPr>
          <w:p>
            <w:pPr>
              <w:jc w:val="center"/>
              <w:spacing w:after="0"/>
              <w:rPr>
                <w:sz w:val="20"/>
                <w:szCs w:val="20"/>
                <w:color w:val="auto"/>
              </w:rPr>
            </w:pPr>
            <w:r>
              <w:rPr>
                <w:rFonts w:ascii="Arial" w:cs="Arial" w:eastAsia="Arial" w:hAnsi="Arial"/>
                <w:sz w:val="17"/>
                <w:szCs w:val="17"/>
                <w:color w:val="auto"/>
              </w:rPr>
              <w:t>39</w:t>
            </w:r>
          </w:p>
        </w:tc>
        <w:tc>
          <w:tcPr>
            <w:tcW w:w="4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Arial" w:cs="Arial" w:eastAsia="Arial" w:hAnsi="Arial"/>
                <w:sz w:val="17"/>
                <w:szCs w:val="17"/>
                <w:color w:val="0000FF"/>
              </w:rPr>
              <w:t>Item 2. Unregistered Sales of Equity Securities and Use of Proceeds</w:t>
            </w:r>
          </w:p>
        </w:tc>
        <w:tc>
          <w:tcPr>
            <w:tcW w:w="400" w:type="dxa"/>
            <w:vAlign w:val="bottom"/>
          </w:tcPr>
          <w:p>
            <w:pPr>
              <w:jc w:val="center"/>
              <w:spacing w:after="0"/>
              <w:rPr>
                <w:sz w:val="20"/>
                <w:szCs w:val="20"/>
                <w:color w:val="auto"/>
              </w:rPr>
            </w:pPr>
            <w:r>
              <w:rPr>
                <w:rFonts w:ascii="Arial" w:cs="Arial" w:eastAsia="Arial" w:hAnsi="Arial"/>
                <w:sz w:val="17"/>
                <w:szCs w:val="17"/>
                <w:color w:val="auto"/>
              </w:rPr>
              <w:t>80</w:t>
            </w:r>
          </w:p>
        </w:tc>
        <w:tc>
          <w:tcPr>
            <w:tcW w:w="480" w:type="dxa"/>
            <w:vAlign w:val="bottom"/>
          </w:tcPr>
          <w:p>
            <w:pPr>
              <w:spacing w:after="0"/>
              <w:rPr>
                <w:sz w:val="24"/>
                <w:szCs w:val="24"/>
                <w:color w:val="auto"/>
              </w:rPr>
            </w:pPr>
          </w:p>
        </w:tc>
      </w:tr>
      <w:tr>
        <w:trPr>
          <w:trHeight w:val="444"/>
        </w:trPr>
        <w:tc>
          <w:tcPr>
            <w:tcW w:w="20" w:type="dxa"/>
            <w:vAlign w:val="bottom"/>
          </w:tcPr>
          <w:p>
            <w:pPr>
              <w:spacing w:after="0"/>
              <w:rPr>
                <w:sz w:val="24"/>
                <w:szCs w:val="24"/>
                <w:color w:val="auto"/>
              </w:rPr>
            </w:pPr>
          </w:p>
        </w:tc>
        <w:tc>
          <w:tcPr>
            <w:tcW w:w="5200" w:type="dxa"/>
            <w:vAlign w:val="bottom"/>
            <w:tcBorders>
              <w:top w:val="single" w:sz="8" w:color="0000FF"/>
            </w:tcBorders>
            <w:gridSpan w:val="14"/>
          </w:tcPr>
          <w:p>
            <w:pPr>
              <w:spacing w:after="0"/>
              <w:rPr>
                <w:sz w:val="20"/>
                <w:szCs w:val="20"/>
                <w:color w:val="auto"/>
              </w:rPr>
            </w:pPr>
            <w:r>
              <w:rPr>
                <w:rFonts w:ascii="Arial" w:cs="Arial" w:eastAsia="Arial" w:hAnsi="Arial"/>
                <w:sz w:val="17"/>
                <w:szCs w:val="17"/>
                <w:color w:val="0000FF"/>
              </w:rPr>
              <w:t>Item 3. Defaults Upon Senior Securities</w:t>
            </w:r>
          </w:p>
        </w:tc>
        <w:tc>
          <w:tcPr>
            <w:tcW w:w="5140" w:type="dxa"/>
            <w:vAlign w:val="bottom"/>
            <w:gridSpan w:val="6"/>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rPr>
              <w:t>80</w:t>
            </w:r>
          </w:p>
        </w:tc>
        <w:tc>
          <w:tcPr>
            <w:tcW w:w="480" w:type="dxa"/>
            <w:vAlign w:val="bottom"/>
          </w:tcPr>
          <w:p>
            <w:pPr>
              <w:spacing w:after="0"/>
              <w:rPr>
                <w:sz w:val="24"/>
                <w:szCs w:val="24"/>
                <w:color w:val="auto"/>
              </w:rPr>
            </w:pPr>
          </w:p>
        </w:tc>
      </w:tr>
      <w:tr>
        <w:trPr>
          <w:trHeight w:val="444"/>
        </w:trPr>
        <w:tc>
          <w:tcPr>
            <w:tcW w:w="20" w:type="dxa"/>
            <w:vAlign w:val="bottom"/>
          </w:tcPr>
          <w:p>
            <w:pPr>
              <w:spacing w:after="0"/>
              <w:rPr>
                <w:sz w:val="24"/>
                <w:szCs w:val="24"/>
                <w:color w:val="auto"/>
              </w:rPr>
            </w:pPr>
          </w:p>
        </w:tc>
        <w:tc>
          <w:tcPr>
            <w:tcW w:w="24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7"/>
                <w:szCs w:val="17"/>
                <w:color w:val="0000FF"/>
              </w:rPr>
              <w:t>Item 4. Mine Safety Disclosures</w:t>
            </w:r>
          </w:p>
        </w:tc>
        <w:tc>
          <w:tcPr>
            <w:tcW w:w="580" w:type="dxa"/>
            <w:vAlign w:val="bottom"/>
            <w:tcBorders>
              <w:top w:val="single" w:sz="8" w:color="0000FF"/>
            </w:tcBorders>
            <w:gridSpan w:val="2"/>
          </w:tcPr>
          <w:p>
            <w:pPr>
              <w:spacing w:after="0"/>
              <w:rPr>
                <w:sz w:val="24"/>
                <w:szCs w:val="24"/>
                <w:color w:val="auto"/>
              </w:rPr>
            </w:pPr>
          </w:p>
        </w:tc>
        <w:tc>
          <w:tcPr>
            <w:tcW w:w="7340" w:type="dxa"/>
            <w:vAlign w:val="bottom"/>
            <w:gridSpan w:val="10"/>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rPr>
              <w:t>80</w:t>
            </w:r>
          </w:p>
        </w:tc>
        <w:tc>
          <w:tcPr>
            <w:tcW w:w="480" w:type="dxa"/>
            <w:vAlign w:val="bottom"/>
          </w:tcPr>
          <w:p>
            <w:pPr>
              <w:spacing w:after="0"/>
              <w:rPr>
                <w:sz w:val="24"/>
                <w:szCs w:val="24"/>
                <w:color w:val="auto"/>
              </w:rPr>
            </w:pPr>
          </w:p>
        </w:tc>
      </w:tr>
      <w:tr>
        <w:trPr>
          <w:trHeight w:val="444"/>
        </w:trPr>
        <w:tc>
          <w:tcPr>
            <w:tcW w:w="20" w:type="dxa"/>
            <w:vAlign w:val="bottom"/>
          </w:tcPr>
          <w:p>
            <w:pPr>
              <w:spacing w:after="0"/>
              <w:rPr>
                <w:sz w:val="24"/>
                <w:szCs w:val="24"/>
                <w:color w:val="auto"/>
              </w:rPr>
            </w:pPr>
          </w:p>
        </w:tc>
        <w:tc>
          <w:tcPr>
            <w:tcW w:w="192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Item 5. Other Information</w:t>
            </w:r>
          </w:p>
        </w:tc>
        <w:tc>
          <w:tcPr>
            <w:tcW w:w="8420" w:type="dxa"/>
            <w:vAlign w:val="bottom"/>
            <w:gridSpan w:val="14"/>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rPr>
              <w:t>81</w:t>
            </w:r>
          </w:p>
        </w:tc>
        <w:tc>
          <w:tcPr>
            <w:tcW w:w="480" w:type="dxa"/>
            <w:vAlign w:val="bottom"/>
          </w:tcPr>
          <w:p>
            <w:pPr>
              <w:spacing w:after="0"/>
              <w:rPr>
                <w:sz w:val="24"/>
                <w:szCs w:val="24"/>
                <w:color w:val="auto"/>
              </w:rPr>
            </w:pPr>
          </w:p>
        </w:tc>
      </w:tr>
      <w:tr>
        <w:trPr>
          <w:trHeight w:val="444"/>
        </w:trPr>
        <w:tc>
          <w:tcPr>
            <w:tcW w:w="20" w:type="dxa"/>
            <w:vAlign w:val="bottom"/>
          </w:tcPr>
          <w:p>
            <w:pPr>
              <w:spacing w:after="0"/>
              <w:rPr>
                <w:sz w:val="24"/>
                <w:szCs w:val="24"/>
                <w:color w:val="auto"/>
              </w:rPr>
            </w:pPr>
          </w:p>
        </w:tc>
        <w:tc>
          <w:tcPr>
            <w:tcW w:w="118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9"/>
              </w:rPr>
              <w:t>Item 6. Exhibits</w:t>
            </w:r>
          </w:p>
        </w:tc>
        <w:tc>
          <w:tcPr>
            <w:tcW w:w="9160" w:type="dxa"/>
            <w:vAlign w:val="bottom"/>
            <w:gridSpan w:val="16"/>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7"/>
                <w:szCs w:val="17"/>
                <w:color w:val="auto"/>
              </w:rPr>
              <w:t>82</w:t>
            </w:r>
          </w:p>
        </w:tc>
        <w:tc>
          <w:tcPr>
            <w:tcW w:w="480" w:type="dxa"/>
            <w:vAlign w:val="bottom"/>
          </w:tcPr>
          <w:p>
            <w:pPr>
              <w:spacing w:after="0"/>
              <w:rPr>
                <w:sz w:val="24"/>
                <w:szCs w:val="24"/>
                <w:color w:val="auto"/>
              </w:rPr>
            </w:pPr>
          </w:p>
        </w:tc>
      </w:tr>
      <w:tr>
        <w:trPr>
          <w:trHeight w:val="496"/>
        </w:trPr>
        <w:tc>
          <w:tcPr>
            <w:tcW w:w="20" w:type="dxa"/>
            <w:vAlign w:val="bottom"/>
          </w:tcPr>
          <w:p>
            <w:pPr>
              <w:spacing w:after="0"/>
              <w:rPr>
                <w:sz w:val="24"/>
                <w:szCs w:val="24"/>
                <w:color w:val="auto"/>
              </w:rPr>
            </w:pPr>
          </w:p>
        </w:tc>
        <w:tc>
          <w:tcPr>
            <w:tcW w:w="10340" w:type="dxa"/>
            <w:vAlign w:val="bottom"/>
            <w:gridSpan w:val="20"/>
          </w:tcPr>
          <w:p>
            <w:pPr>
              <w:spacing w:after="0"/>
              <w:rPr>
                <w:sz w:val="20"/>
                <w:szCs w:val="20"/>
                <w:color w:val="auto"/>
              </w:rPr>
            </w:pPr>
            <w:r>
              <w:rPr>
                <w:rFonts w:ascii="Arial" w:cs="Arial" w:eastAsia="Arial" w:hAnsi="Arial"/>
                <w:sz w:val="17"/>
                <w:szCs w:val="17"/>
                <w:color w:val="0000FF"/>
              </w:rPr>
              <w:t>Signatures</w:t>
            </w:r>
          </w:p>
        </w:tc>
        <w:tc>
          <w:tcPr>
            <w:tcW w:w="400" w:type="dxa"/>
            <w:vAlign w:val="bottom"/>
          </w:tcPr>
          <w:p>
            <w:pPr>
              <w:jc w:val="center"/>
              <w:spacing w:after="0"/>
              <w:rPr>
                <w:sz w:val="20"/>
                <w:szCs w:val="20"/>
                <w:color w:val="auto"/>
              </w:rPr>
            </w:pPr>
            <w:r>
              <w:rPr>
                <w:rFonts w:ascii="Arial" w:cs="Arial" w:eastAsia="Arial" w:hAnsi="Arial"/>
                <w:sz w:val="17"/>
                <w:szCs w:val="17"/>
                <w:color w:val="auto"/>
              </w:rPr>
              <w:t>83</w:t>
            </w:r>
          </w:p>
        </w:tc>
        <w:tc>
          <w:tcPr>
            <w:tcW w:w="480" w:type="dxa"/>
            <w:vAlign w:val="bottom"/>
          </w:tcPr>
          <w:p>
            <w:pPr>
              <w:spacing w:after="0"/>
              <w:rPr>
                <w:sz w:val="24"/>
                <w:szCs w:val="24"/>
                <w:color w:val="auto"/>
              </w:rPr>
            </w:pPr>
          </w:p>
        </w:tc>
      </w:tr>
      <w:tr>
        <w:trPr>
          <w:trHeight w:val="444"/>
        </w:trPr>
        <w:tc>
          <w:tcPr>
            <w:tcW w:w="20" w:type="dxa"/>
            <w:vAlign w:val="bottom"/>
            <w:tcBorders>
              <w:bottom w:val="single" w:sz="8" w:color="DF1995"/>
            </w:tcBorders>
          </w:tcPr>
          <w:p>
            <w:pPr>
              <w:spacing w:after="0"/>
              <w:rPr>
                <w:sz w:val="24"/>
                <w:szCs w:val="24"/>
                <w:color w:val="auto"/>
              </w:rPr>
            </w:pPr>
          </w:p>
        </w:tc>
        <w:tc>
          <w:tcPr>
            <w:tcW w:w="300" w:type="dxa"/>
            <w:vAlign w:val="bottom"/>
            <w:tcBorders>
              <w:top w:val="single" w:sz="8" w:color="0000FF"/>
              <w:bottom w:val="single" w:sz="8" w:color="DF1995"/>
            </w:tcBorders>
          </w:tcPr>
          <w:p>
            <w:pPr>
              <w:spacing w:after="0"/>
              <w:rPr>
                <w:sz w:val="24"/>
                <w:szCs w:val="24"/>
                <w:color w:val="auto"/>
              </w:rPr>
            </w:pPr>
          </w:p>
        </w:tc>
        <w:tc>
          <w:tcPr>
            <w:tcW w:w="520" w:type="dxa"/>
            <w:vAlign w:val="bottom"/>
            <w:tcBorders>
              <w:top w:val="single" w:sz="8" w:color="0000FF"/>
              <w:bottom w:val="single" w:sz="8" w:color="DF1995"/>
            </w:tcBorders>
          </w:tcPr>
          <w:p>
            <w:pPr>
              <w:spacing w:after="0"/>
              <w:rPr>
                <w:sz w:val="24"/>
                <w:szCs w:val="24"/>
                <w:color w:val="auto"/>
              </w:rPr>
            </w:pPr>
          </w:p>
        </w:tc>
        <w:tc>
          <w:tcPr>
            <w:tcW w:w="200" w:type="dxa"/>
            <w:vAlign w:val="bottom"/>
            <w:tcBorders>
              <w:bottom w:val="single" w:sz="8" w:color="DF1995"/>
            </w:tcBorders>
          </w:tcPr>
          <w:p>
            <w:pPr>
              <w:spacing w:after="0"/>
              <w:rPr>
                <w:sz w:val="24"/>
                <w:szCs w:val="24"/>
                <w:color w:val="auto"/>
              </w:rPr>
            </w:pPr>
          </w:p>
        </w:tc>
        <w:tc>
          <w:tcPr>
            <w:tcW w:w="9320" w:type="dxa"/>
            <w:vAlign w:val="bottom"/>
            <w:tcBorders>
              <w:bottom w:val="single" w:sz="8" w:color="DF1995"/>
            </w:tcBorders>
            <w:gridSpan w:val="17"/>
          </w:tcPr>
          <w:p>
            <w:pPr>
              <w:spacing w:after="0"/>
              <w:rPr>
                <w:sz w:val="24"/>
                <w:szCs w:val="24"/>
                <w:color w:val="auto"/>
              </w:rPr>
            </w:pPr>
          </w:p>
        </w:tc>
        <w:tc>
          <w:tcPr>
            <w:tcW w:w="880" w:type="dxa"/>
            <w:vAlign w:val="bottom"/>
            <w:tcBorders>
              <w:bottom w:val="single" w:sz="8" w:color="DF1995"/>
            </w:tcBorders>
            <w:gridSpan w:val="2"/>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20" w:type="dxa"/>
            <w:vAlign w:val="bottom"/>
            <w:gridSpan w:val="17"/>
          </w:tcPr>
          <w:p>
            <w:pPr>
              <w:ind w:left="40"/>
              <w:spacing w:after="0"/>
              <w:rPr>
                <w:sz w:val="20"/>
                <w:szCs w:val="20"/>
                <w:color w:val="auto"/>
              </w:rPr>
            </w:pPr>
            <w:r>
              <w:rPr>
                <w:rFonts w:ascii="Arial" w:cs="Arial" w:eastAsia="Arial" w:hAnsi="Arial"/>
                <w:sz w:val="17"/>
                <w:szCs w:val="17"/>
                <w:color w:val="DF1995"/>
              </w:rPr>
              <w:t>Q1 Fiscal 2026 Form 10-Q</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DF1995"/>
              </w:rPr>
              <w:t>2</w:t>
            </w:r>
          </w:p>
        </w:tc>
      </w:tr>
      <w:tr>
        <w:trPr>
          <w:trHeight w:val="223"/>
        </w:trPr>
        <w:tc>
          <w:tcPr>
            <w:tcW w:w="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44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8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DF1995"/>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7138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138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240030</wp:posOffset>
            </wp:positionV>
            <wp:extent cx="7138670" cy="466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466725"/>
                    </a:xfrm>
                    <a:prstGeom prst="rect">
                      <a:avLst/>
                    </a:prstGeom>
                    <a:noFill/>
                  </pic:spPr>
                </pic:pic>
              </a:graphicData>
            </a:graphic>
          </wp:anchor>
        </w:drawing>
      </w:r>
    </w:p>
    <w:p>
      <w:pPr>
        <w:spacing w:after="0" w:line="3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PACIFIC BIOSCIENCES OF CALIFORNIA,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9"/>
          <w:szCs w:val="19"/>
          <w:color w:val="FFFFFF"/>
        </w:rPr>
        <w:t>CONDENSED CONSOLIDATED BALANCE SHEETS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9"/>
          <w:szCs w:val="19"/>
          <w:color w:val="FFFFFF"/>
        </w:rPr>
        <w:t>(Unaudited)</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300" w:type="dxa"/>
            <w:vAlign w:val="bottom"/>
            <w:shd w:val="clear" w:color="auto" w:fill="E7F2F9"/>
          </w:tcPr>
          <w:p>
            <w:pPr>
              <w:spacing w:after="0"/>
              <w:rPr>
                <w:sz w:val="14"/>
                <w:szCs w:val="14"/>
                <w:color w:val="auto"/>
              </w:rPr>
            </w:pPr>
          </w:p>
        </w:tc>
        <w:tc>
          <w:tcPr>
            <w:tcW w:w="1340" w:type="dxa"/>
            <w:vAlign w:val="bottom"/>
            <w:shd w:val="clear" w:color="auto" w:fill="E7F2F9"/>
          </w:tcPr>
          <w:p>
            <w:pPr>
              <w:jc w:val="right"/>
              <w:ind w:right="423"/>
              <w:spacing w:after="0"/>
              <w:rPr>
                <w:sz w:val="20"/>
                <w:szCs w:val="20"/>
                <w:color w:val="auto"/>
              </w:rPr>
            </w:pPr>
            <w:r>
              <w:rPr>
                <w:rFonts w:ascii="Arial" w:cs="Arial" w:eastAsia="Arial" w:hAnsi="Arial"/>
                <w:sz w:val="14"/>
                <w:szCs w:val="14"/>
                <w:b w:val="1"/>
                <w:bCs w:val="1"/>
                <w:color w:val="1383C6"/>
              </w:rPr>
              <w:t>March 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03"/>
              <w:spacing w:after="0"/>
              <w:rPr>
                <w:sz w:val="20"/>
                <w:szCs w:val="20"/>
                <w:color w:val="auto"/>
              </w:rPr>
            </w:pPr>
            <w:r>
              <w:rPr>
                <w:rFonts w:ascii="Arial" w:cs="Arial" w:eastAsia="Arial" w:hAnsi="Arial"/>
                <w:sz w:val="14"/>
                <w:szCs w:val="14"/>
                <w:b w:val="1"/>
                <w:bCs w:val="1"/>
                <w:color w:val="auto"/>
              </w:rPr>
              <w:t>December 31,</w:t>
            </w:r>
          </w:p>
        </w:tc>
      </w:tr>
      <w:tr>
        <w:trPr>
          <w:trHeight w:val="216"/>
        </w:trPr>
        <w:tc>
          <w:tcPr>
            <w:tcW w:w="7840" w:type="dxa"/>
            <w:vAlign w:val="bottom"/>
          </w:tcPr>
          <w:p>
            <w:pPr>
              <w:spacing w:after="0"/>
              <w:rPr>
                <w:sz w:val="20"/>
                <w:szCs w:val="20"/>
                <w:color w:val="auto"/>
              </w:rPr>
            </w:pPr>
            <w:r>
              <w:rPr>
                <w:rFonts w:ascii="Arial" w:cs="Arial" w:eastAsia="Arial" w:hAnsi="Arial"/>
                <w:sz w:val="14"/>
                <w:szCs w:val="14"/>
                <w:i w:val="1"/>
                <w:iCs w:val="1"/>
                <w:color w:val="auto"/>
              </w:rPr>
              <w:t>(In thousands, except par value)</w:t>
            </w:r>
          </w:p>
        </w:tc>
        <w:tc>
          <w:tcPr>
            <w:tcW w:w="300" w:type="dxa"/>
            <w:vAlign w:val="bottom"/>
            <w:tcBorders>
              <w:bottom w:val="single" w:sz="8" w:color="E7F2F9"/>
            </w:tcBorders>
            <w:shd w:val="clear" w:color="auto" w:fill="E7F2F9"/>
          </w:tcPr>
          <w:p>
            <w:pPr>
              <w:spacing w:after="0"/>
              <w:rPr>
                <w:sz w:val="18"/>
                <w:szCs w:val="18"/>
                <w:color w:val="auto"/>
              </w:rPr>
            </w:pPr>
          </w:p>
        </w:tc>
        <w:tc>
          <w:tcPr>
            <w:tcW w:w="1340" w:type="dxa"/>
            <w:vAlign w:val="bottom"/>
            <w:tcBorders>
              <w:bottom w:val="single" w:sz="8" w:color="E7F2F9"/>
            </w:tcBorders>
            <w:shd w:val="clear" w:color="auto" w:fill="E7F2F9"/>
          </w:tcPr>
          <w:p>
            <w:pPr>
              <w:jc w:val="right"/>
              <w:ind w:right="583"/>
              <w:spacing w:after="0"/>
              <w:rPr>
                <w:sz w:val="20"/>
                <w:szCs w:val="20"/>
                <w:color w:val="auto"/>
              </w:rPr>
            </w:pPr>
            <w:r>
              <w:rPr>
                <w:rFonts w:ascii="Arial" w:cs="Arial" w:eastAsia="Arial" w:hAnsi="Arial"/>
                <w:sz w:val="14"/>
                <w:szCs w:val="14"/>
                <w:b w:val="1"/>
                <w:bCs w:val="1"/>
                <w:color w:val="1383C6"/>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583"/>
              <w:spacing w:after="0"/>
              <w:rPr>
                <w:sz w:val="20"/>
                <w:szCs w:val="20"/>
                <w:color w:val="auto"/>
              </w:rPr>
            </w:pPr>
            <w:r>
              <w:rPr>
                <w:rFonts w:ascii="Arial" w:cs="Arial" w:eastAsia="Arial" w:hAnsi="Arial"/>
                <w:sz w:val="14"/>
                <w:szCs w:val="14"/>
                <w:b w:val="1"/>
                <w:bCs w:val="1"/>
                <w:color w:val="auto"/>
              </w:rPr>
              <w:t>2025</w:t>
            </w:r>
          </w:p>
        </w:tc>
      </w:tr>
      <w:tr>
        <w:trPr>
          <w:trHeight w:val="206"/>
        </w:trPr>
        <w:tc>
          <w:tcPr>
            <w:tcW w:w="784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300" w:type="dxa"/>
            <w:vAlign w:val="bottom"/>
            <w:tcBorders>
              <w:top w:val="single" w:sz="8" w:color="auto"/>
            </w:tcBorders>
            <w:shd w:val="clear" w:color="auto" w:fill="E7F2F9"/>
          </w:tcPr>
          <w:p>
            <w:pPr>
              <w:spacing w:after="0"/>
              <w:rPr>
                <w:sz w:val="17"/>
                <w:szCs w:val="17"/>
                <w:color w:val="auto"/>
              </w:rPr>
            </w:pPr>
          </w:p>
        </w:tc>
        <w:tc>
          <w:tcPr>
            <w:tcW w:w="1340" w:type="dxa"/>
            <w:vAlign w:val="bottom"/>
            <w:tcBorders>
              <w:top w:val="single" w:sz="8" w:color="auto"/>
            </w:tcBorders>
            <w:shd w:val="clear" w:color="auto" w:fill="E7F2F9"/>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24"/>
        </w:trPr>
        <w:tc>
          <w:tcPr>
            <w:tcW w:w="7840" w:type="dxa"/>
            <w:vAlign w:val="bottom"/>
          </w:tcPr>
          <w:p>
            <w:pPr>
              <w:spacing w:after="0"/>
              <w:rPr>
                <w:sz w:val="20"/>
                <w:szCs w:val="20"/>
                <w:color w:val="auto"/>
              </w:rPr>
            </w:pPr>
            <w:r>
              <w:rPr>
                <w:rFonts w:ascii="Arial" w:cs="Arial" w:eastAsia="Arial" w:hAnsi="Arial"/>
                <w:sz w:val="15"/>
                <w:szCs w:val="15"/>
                <w:color w:val="auto"/>
              </w:rPr>
              <w:t>Current assets</w:t>
            </w:r>
          </w:p>
        </w:tc>
        <w:tc>
          <w:tcPr>
            <w:tcW w:w="300" w:type="dxa"/>
            <w:vAlign w:val="bottom"/>
            <w:shd w:val="clear" w:color="auto" w:fill="E7F2F9"/>
          </w:tcPr>
          <w:p>
            <w:pPr>
              <w:spacing w:after="0"/>
              <w:rPr>
                <w:sz w:val="19"/>
                <w:szCs w:val="19"/>
                <w:color w:val="auto"/>
              </w:rPr>
            </w:pPr>
          </w:p>
        </w:tc>
        <w:tc>
          <w:tcPr>
            <w:tcW w:w="1340" w:type="dxa"/>
            <w:vAlign w:val="bottom"/>
            <w:shd w:val="clear" w:color="auto" w:fill="E7F2F9"/>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2"/>
        </w:trPr>
        <w:tc>
          <w:tcPr>
            <w:tcW w:w="7840" w:type="dxa"/>
            <w:vAlign w:val="bottom"/>
          </w:tcPr>
          <w:p>
            <w:pPr>
              <w:ind w:left="80"/>
              <w:spacing w:after="0"/>
              <w:rPr>
                <w:sz w:val="20"/>
                <w:szCs w:val="20"/>
                <w:color w:val="auto"/>
              </w:rPr>
            </w:pPr>
            <w:r>
              <w:rPr>
                <w:rFonts w:ascii="Arial" w:cs="Arial" w:eastAsia="Arial" w:hAnsi="Arial"/>
                <w:sz w:val="15"/>
                <w:szCs w:val="15"/>
                <w:color w:val="auto"/>
              </w:rPr>
              <w:t>Cash and cash equivalents</w:t>
            </w:r>
          </w:p>
        </w:tc>
        <w:tc>
          <w:tcPr>
            <w:tcW w:w="300" w:type="dxa"/>
            <w:vAlign w:val="bottom"/>
            <w:shd w:val="clear" w:color="auto" w:fill="E7F2F9"/>
          </w:tcPr>
          <w:p>
            <w:pPr>
              <w:jc w:val="right"/>
              <w:ind w:right="123"/>
              <w:spacing w:after="0"/>
              <w:rPr>
                <w:sz w:val="20"/>
                <w:szCs w:val="20"/>
                <w:color w:val="auto"/>
              </w:rPr>
            </w:pPr>
            <w:r>
              <w:rPr>
                <w:rFonts w:ascii="Arial" w:cs="Arial" w:eastAsia="Arial" w:hAnsi="Arial"/>
                <w:sz w:val="15"/>
                <w:szCs w:val="15"/>
                <w:color w:val="1383C6"/>
                <w:w w:val="95"/>
              </w:rPr>
              <w:t>$</w:t>
            </w: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56,274</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63,707</w:t>
            </w:r>
          </w:p>
        </w:tc>
      </w:tr>
      <w:tr>
        <w:trPr>
          <w:trHeight w:val="232"/>
        </w:trPr>
        <w:tc>
          <w:tcPr>
            <w:tcW w:w="7840" w:type="dxa"/>
            <w:vAlign w:val="bottom"/>
          </w:tcPr>
          <w:p>
            <w:pPr>
              <w:ind w:left="80"/>
              <w:spacing w:after="0"/>
              <w:rPr>
                <w:sz w:val="20"/>
                <w:szCs w:val="20"/>
                <w:color w:val="auto"/>
              </w:rPr>
            </w:pPr>
            <w:r>
              <w:rPr>
                <w:rFonts w:ascii="Arial" w:cs="Arial" w:eastAsia="Arial" w:hAnsi="Arial"/>
                <w:sz w:val="15"/>
                <w:szCs w:val="15"/>
                <w:color w:val="auto"/>
              </w:rPr>
              <w:t>Investments</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219,688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215,799</w:t>
            </w:r>
          </w:p>
        </w:tc>
      </w:tr>
      <w:tr>
        <w:trPr>
          <w:trHeight w:val="232"/>
        </w:trPr>
        <w:tc>
          <w:tcPr>
            <w:tcW w:w="7840" w:type="dxa"/>
            <w:vAlign w:val="bottom"/>
          </w:tcPr>
          <w:p>
            <w:pPr>
              <w:ind w:left="80"/>
              <w:spacing w:after="0"/>
              <w:rPr>
                <w:sz w:val="20"/>
                <w:szCs w:val="20"/>
                <w:color w:val="auto"/>
              </w:rPr>
            </w:pPr>
            <w:r>
              <w:rPr>
                <w:rFonts w:ascii="Arial" w:cs="Arial" w:eastAsia="Arial" w:hAnsi="Arial"/>
                <w:sz w:val="15"/>
                <w:szCs w:val="15"/>
                <w:color w:val="auto"/>
              </w:rPr>
              <w:t>Accounts receivable, net</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29,350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35,448</w:t>
            </w:r>
          </w:p>
        </w:tc>
      </w:tr>
      <w:tr>
        <w:trPr>
          <w:trHeight w:val="232"/>
        </w:trPr>
        <w:tc>
          <w:tcPr>
            <w:tcW w:w="7840" w:type="dxa"/>
            <w:vAlign w:val="bottom"/>
          </w:tcPr>
          <w:p>
            <w:pPr>
              <w:ind w:left="80"/>
              <w:spacing w:after="0"/>
              <w:rPr>
                <w:sz w:val="20"/>
                <w:szCs w:val="20"/>
                <w:color w:val="auto"/>
              </w:rPr>
            </w:pPr>
            <w:r>
              <w:rPr>
                <w:rFonts w:ascii="Arial" w:cs="Arial" w:eastAsia="Arial" w:hAnsi="Arial"/>
                <w:sz w:val="15"/>
                <w:szCs w:val="15"/>
                <w:color w:val="auto"/>
              </w:rPr>
              <w:t>Inventory, net</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51,022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49,285</w:t>
            </w:r>
          </w:p>
        </w:tc>
      </w:tr>
      <w:tr>
        <w:trPr>
          <w:trHeight w:val="232"/>
        </w:trPr>
        <w:tc>
          <w:tcPr>
            <w:tcW w:w="7840" w:type="dxa"/>
            <w:vAlign w:val="bottom"/>
          </w:tcPr>
          <w:p>
            <w:pPr>
              <w:ind w:left="8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13,164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10,793</w:t>
            </w:r>
          </w:p>
        </w:tc>
      </w:tr>
      <w:tr>
        <w:trPr>
          <w:trHeight w:val="239"/>
        </w:trPr>
        <w:tc>
          <w:tcPr>
            <w:tcW w:w="7840" w:type="dxa"/>
            <w:vAlign w:val="bottom"/>
          </w:tcPr>
          <w:p>
            <w:pPr>
              <w:ind w:left="80"/>
              <w:spacing w:after="0"/>
              <w:rPr>
                <w:sz w:val="20"/>
                <w:szCs w:val="20"/>
                <w:color w:val="auto"/>
              </w:rPr>
            </w:pPr>
            <w:r>
              <w:rPr>
                <w:rFonts w:ascii="Arial" w:cs="Arial" w:eastAsia="Arial" w:hAnsi="Arial"/>
                <w:sz w:val="15"/>
                <w:szCs w:val="15"/>
                <w:color w:val="auto"/>
              </w:rPr>
              <w:t>Short-term restricted cash</w:t>
            </w:r>
          </w:p>
        </w:tc>
        <w:tc>
          <w:tcPr>
            <w:tcW w:w="300" w:type="dxa"/>
            <w:vAlign w:val="bottom"/>
            <w:tcBorders>
              <w:bottom w:val="single" w:sz="8" w:color="auto"/>
            </w:tcBorders>
            <w:shd w:val="clear" w:color="auto" w:fill="E7F2F9"/>
          </w:tcPr>
          <w:p>
            <w:pPr>
              <w:spacing w:after="0"/>
              <w:rPr>
                <w:sz w:val="20"/>
                <w:szCs w:val="20"/>
                <w:color w:val="auto"/>
              </w:rPr>
            </w:pPr>
          </w:p>
        </w:tc>
        <w:tc>
          <w:tcPr>
            <w:tcW w:w="13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19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r>
      <w:tr>
        <w:trPr>
          <w:trHeight w:val="218"/>
        </w:trPr>
        <w:tc>
          <w:tcPr>
            <w:tcW w:w="7840" w:type="dxa"/>
            <w:vAlign w:val="bottom"/>
          </w:tcPr>
          <w:p>
            <w:pPr>
              <w:ind w:left="380"/>
              <w:spacing w:after="0"/>
              <w:rPr>
                <w:sz w:val="20"/>
                <w:szCs w:val="20"/>
                <w:color w:val="auto"/>
              </w:rPr>
            </w:pPr>
            <w:r>
              <w:rPr>
                <w:rFonts w:ascii="Arial" w:cs="Arial" w:eastAsia="Arial" w:hAnsi="Arial"/>
                <w:sz w:val="15"/>
                <w:szCs w:val="15"/>
                <w:color w:val="auto"/>
              </w:rPr>
              <w:t>Total current assets</w:t>
            </w:r>
          </w:p>
        </w:tc>
        <w:tc>
          <w:tcPr>
            <w:tcW w:w="300" w:type="dxa"/>
            <w:vAlign w:val="bottom"/>
            <w:shd w:val="clear" w:color="auto" w:fill="E7F2F9"/>
          </w:tcPr>
          <w:p>
            <w:pPr>
              <w:spacing w:after="0"/>
              <w:rPr>
                <w:sz w:val="18"/>
                <w:szCs w:val="18"/>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369,517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375,052</w:t>
            </w:r>
          </w:p>
        </w:tc>
      </w:tr>
      <w:tr>
        <w:trPr>
          <w:trHeight w:val="232"/>
        </w:trPr>
        <w:tc>
          <w:tcPr>
            <w:tcW w:w="784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24,376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24,146</w:t>
            </w:r>
          </w:p>
        </w:tc>
      </w:tr>
      <w:tr>
        <w:trPr>
          <w:trHeight w:val="232"/>
        </w:trPr>
        <w:tc>
          <w:tcPr>
            <w:tcW w:w="7840" w:type="dxa"/>
            <w:vAlign w:val="bottom"/>
          </w:tcPr>
          <w:p>
            <w:pPr>
              <w:spacing w:after="0"/>
              <w:rPr>
                <w:sz w:val="20"/>
                <w:szCs w:val="20"/>
                <w:color w:val="auto"/>
              </w:rPr>
            </w:pPr>
            <w:r>
              <w:rPr>
                <w:rFonts w:ascii="Arial" w:cs="Arial" w:eastAsia="Arial" w:hAnsi="Arial"/>
                <w:sz w:val="15"/>
                <w:szCs w:val="15"/>
                <w:color w:val="auto"/>
              </w:rPr>
              <w:t>Operating lease right-of-use assets, net</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40,846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41,695</w:t>
            </w:r>
          </w:p>
        </w:tc>
      </w:tr>
      <w:tr>
        <w:trPr>
          <w:trHeight w:val="232"/>
        </w:trPr>
        <w:tc>
          <w:tcPr>
            <w:tcW w:w="7840" w:type="dxa"/>
            <w:vAlign w:val="bottom"/>
          </w:tcPr>
          <w:p>
            <w:pPr>
              <w:spacing w:after="0"/>
              <w:rPr>
                <w:sz w:val="20"/>
                <w:szCs w:val="20"/>
                <w:color w:val="auto"/>
              </w:rPr>
            </w:pPr>
            <w:r>
              <w:rPr>
                <w:rFonts w:ascii="Arial" w:cs="Arial" w:eastAsia="Arial" w:hAnsi="Arial"/>
                <w:sz w:val="15"/>
                <w:szCs w:val="15"/>
                <w:color w:val="auto"/>
              </w:rPr>
              <w:t>Long-term restricted cash</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1,571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1,532</w:t>
            </w:r>
          </w:p>
        </w:tc>
      </w:tr>
      <w:tr>
        <w:trPr>
          <w:trHeight w:val="232"/>
        </w:trPr>
        <w:tc>
          <w:tcPr>
            <w:tcW w:w="7840" w:type="dxa"/>
            <w:vAlign w:val="bottom"/>
          </w:tcPr>
          <w:p>
            <w:pPr>
              <w:spacing w:after="0"/>
              <w:rPr>
                <w:sz w:val="20"/>
                <w:szCs w:val="20"/>
                <w:color w:val="auto"/>
              </w:rPr>
            </w:pPr>
            <w:r>
              <w:rPr>
                <w:rFonts w:ascii="Arial" w:cs="Arial" w:eastAsia="Arial" w:hAnsi="Arial"/>
                <w:sz w:val="15"/>
                <w:szCs w:val="15"/>
                <w:color w:val="auto"/>
              </w:rPr>
              <w:t>Intangible assets, net</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14,104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15,124</w:t>
            </w:r>
          </w:p>
        </w:tc>
      </w:tr>
      <w:tr>
        <w:trPr>
          <w:trHeight w:val="232"/>
        </w:trPr>
        <w:tc>
          <w:tcPr>
            <w:tcW w:w="7840" w:type="dxa"/>
            <w:vAlign w:val="bottom"/>
          </w:tcPr>
          <w:p>
            <w:pPr>
              <w:spacing w:after="0"/>
              <w:rPr>
                <w:sz w:val="20"/>
                <w:szCs w:val="20"/>
                <w:color w:val="auto"/>
              </w:rPr>
            </w:pPr>
            <w:r>
              <w:rPr>
                <w:rFonts w:ascii="Arial" w:cs="Arial" w:eastAsia="Arial" w:hAnsi="Arial"/>
                <w:sz w:val="15"/>
                <w:szCs w:val="15"/>
                <w:color w:val="auto"/>
              </w:rPr>
              <w:t>Goodwill</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317,761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317,761</w:t>
            </w:r>
          </w:p>
        </w:tc>
      </w:tr>
      <w:tr>
        <w:trPr>
          <w:trHeight w:val="239"/>
        </w:trPr>
        <w:tc>
          <w:tcPr>
            <w:tcW w:w="7840" w:type="dxa"/>
            <w:vAlign w:val="bottom"/>
          </w:tcPr>
          <w:p>
            <w:pPr>
              <w:spacing w:after="0"/>
              <w:rPr>
                <w:sz w:val="20"/>
                <w:szCs w:val="20"/>
                <w:color w:val="auto"/>
              </w:rPr>
            </w:pPr>
            <w:r>
              <w:rPr>
                <w:rFonts w:ascii="Arial" w:cs="Arial" w:eastAsia="Arial" w:hAnsi="Arial"/>
                <w:sz w:val="15"/>
                <w:szCs w:val="15"/>
                <w:color w:val="auto"/>
              </w:rPr>
              <w:t>Other long-term assets</w:t>
            </w:r>
          </w:p>
        </w:tc>
        <w:tc>
          <w:tcPr>
            <w:tcW w:w="300" w:type="dxa"/>
            <w:vAlign w:val="bottom"/>
            <w:tcBorders>
              <w:bottom w:val="single" w:sz="8" w:color="auto"/>
            </w:tcBorders>
            <w:shd w:val="clear" w:color="auto" w:fill="E7F2F9"/>
          </w:tcPr>
          <w:p>
            <w:pPr>
              <w:spacing w:after="0"/>
              <w:rPr>
                <w:sz w:val="20"/>
                <w:szCs w:val="20"/>
                <w:color w:val="auto"/>
              </w:rPr>
            </w:pPr>
          </w:p>
        </w:tc>
        <w:tc>
          <w:tcPr>
            <w:tcW w:w="13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14,190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8,773</w:t>
            </w:r>
          </w:p>
        </w:tc>
      </w:tr>
      <w:tr>
        <w:trPr>
          <w:trHeight w:val="271"/>
        </w:trPr>
        <w:tc>
          <w:tcPr>
            <w:tcW w:w="7840" w:type="dxa"/>
            <w:vAlign w:val="bottom"/>
          </w:tcPr>
          <w:p>
            <w:pPr>
              <w:ind w:left="380"/>
              <w:spacing w:after="0"/>
              <w:rPr>
                <w:sz w:val="20"/>
                <w:szCs w:val="20"/>
                <w:color w:val="auto"/>
              </w:rPr>
            </w:pPr>
            <w:r>
              <w:rPr>
                <w:rFonts w:ascii="Arial" w:cs="Arial" w:eastAsia="Arial" w:hAnsi="Arial"/>
                <w:sz w:val="15"/>
                <w:szCs w:val="15"/>
                <w:color w:val="auto"/>
              </w:rPr>
              <w:t>Total assets</w:t>
            </w:r>
          </w:p>
        </w:tc>
        <w:tc>
          <w:tcPr>
            <w:tcW w:w="300" w:type="dxa"/>
            <w:vAlign w:val="bottom"/>
            <w:shd w:val="clear" w:color="auto" w:fill="E7F2F9"/>
          </w:tcPr>
          <w:p>
            <w:pPr>
              <w:jc w:val="right"/>
              <w:ind w:right="123"/>
              <w:spacing w:after="0"/>
              <w:rPr>
                <w:sz w:val="20"/>
                <w:szCs w:val="20"/>
                <w:color w:val="auto"/>
              </w:rPr>
            </w:pPr>
            <w:r>
              <w:rPr>
                <w:rFonts w:ascii="Arial" w:cs="Arial" w:eastAsia="Arial" w:hAnsi="Arial"/>
                <w:sz w:val="15"/>
                <w:szCs w:val="15"/>
                <w:color w:val="1383C6"/>
                <w:w w:val="95"/>
              </w:rPr>
              <w:t>$</w:t>
            </w: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782,365</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784,083</w:t>
            </w:r>
          </w:p>
        </w:tc>
      </w:tr>
      <w:tr>
        <w:trPr>
          <w:trHeight w:val="193"/>
        </w:trPr>
        <w:tc>
          <w:tcPr>
            <w:tcW w:w="7840" w:type="dxa"/>
            <w:vAlign w:val="bottom"/>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tcBorders>
              <w:top w:val="single" w:sz="8" w:color="auto"/>
            </w:tcBorders>
            <w:shd w:val="clear" w:color="auto" w:fill="E7F2F9"/>
          </w:tcPr>
          <w:p>
            <w:pPr>
              <w:spacing w:after="0"/>
              <w:rPr>
                <w:sz w:val="16"/>
                <w:szCs w:val="16"/>
                <w:color w:val="auto"/>
              </w:rPr>
            </w:pPr>
          </w:p>
        </w:tc>
        <w:tc>
          <w:tcPr>
            <w:tcW w:w="1340" w:type="dxa"/>
            <w:vAlign w:val="bottom"/>
            <w:tcBorders>
              <w:top w:val="single" w:sz="8" w:color="auto"/>
            </w:tcBorders>
            <w:shd w:val="clear" w:color="auto" w:fill="E7F2F9"/>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r>
      <w:tr>
        <w:trPr>
          <w:trHeight w:val="224"/>
        </w:trPr>
        <w:tc>
          <w:tcPr>
            <w:tcW w:w="7840" w:type="dxa"/>
            <w:vAlign w:val="bottom"/>
          </w:tcPr>
          <w:p>
            <w:pPr>
              <w:spacing w:after="0"/>
              <w:rPr>
                <w:sz w:val="20"/>
                <w:szCs w:val="20"/>
                <w:color w:val="auto"/>
              </w:rPr>
            </w:pPr>
            <w:r>
              <w:rPr>
                <w:rFonts w:ascii="Arial" w:cs="Arial" w:eastAsia="Arial" w:hAnsi="Arial"/>
                <w:sz w:val="15"/>
                <w:szCs w:val="15"/>
                <w:color w:val="auto"/>
              </w:rPr>
              <w:t>Current liabilities</w:t>
            </w:r>
          </w:p>
        </w:tc>
        <w:tc>
          <w:tcPr>
            <w:tcW w:w="300" w:type="dxa"/>
            <w:vAlign w:val="bottom"/>
            <w:shd w:val="clear" w:color="auto" w:fill="E7F2F9"/>
          </w:tcPr>
          <w:p>
            <w:pPr>
              <w:spacing w:after="0"/>
              <w:rPr>
                <w:sz w:val="19"/>
                <w:szCs w:val="19"/>
                <w:color w:val="auto"/>
              </w:rPr>
            </w:pPr>
          </w:p>
        </w:tc>
        <w:tc>
          <w:tcPr>
            <w:tcW w:w="1340" w:type="dxa"/>
            <w:vAlign w:val="bottom"/>
            <w:shd w:val="clear" w:color="auto" w:fill="E7F2F9"/>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2"/>
        </w:trPr>
        <w:tc>
          <w:tcPr>
            <w:tcW w:w="7840" w:type="dxa"/>
            <w:vAlign w:val="bottom"/>
          </w:tcPr>
          <w:p>
            <w:pPr>
              <w:ind w:left="80"/>
              <w:spacing w:after="0"/>
              <w:rPr>
                <w:sz w:val="20"/>
                <w:szCs w:val="20"/>
                <w:color w:val="auto"/>
              </w:rPr>
            </w:pPr>
            <w:r>
              <w:rPr>
                <w:rFonts w:ascii="Arial" w:cs="Arial" w:eastAsia="Arial" w:hAnsi="Arial"/>
                <w:sz w:val="15"/>
                <w:szCs w:val="15"/>
                <w:color w:val="auto"/>
              </w:rPr>
              <w:t>Accounts payable</w:t>
            </w:r>
          </w:p>
        </w:tc>
        <w:tc>
          <w:tcPr>
            <w:tcW w:w="300" w:type="dxa"/>
            <w:vAlign w:val="bottom"/>
            <w:shd w:val="clear" w:color="auto" w:fill="E7F2F9"/>
          </w:tcPr>
          <w:p>
            <w:pPr>
              <w:jc w:val="right"/>
              <w:ind w:right="123"/>
              <w:spacing w:after="0"/>
              <w:rPr>
                <w:sz w:val="20"/>
                <w:szCs w:val="20"/>
                <w:color w:val="auto"/>
              </w:rPr>
            </w:pPr>
            <w:r>
              <w:rPr>
                <w:rFonts w:ascii="Arial" w:cs="Arial" w:eastAsia="Arial" w:hAnsi="Arial"/>
                <w:sz w:val="15"/>
                <w:szCs w:val="15"/>
                <w:color w:val="1383C6"/>
                <w:w w:val="95"/>
              </w:rPr>
              <w:t>$</w:t>
            </w: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13,609</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20,770</w:t>
            </w:r>
          </w:p>
        </w:tc>
      </w:tr>
      <w:tr>
        <w:trPr>
          <w:trHeight w:val="232"/>
        </w:trPr>
        <w:tc>
          <w:tcPr>
            <w:tcW w:w="7840" w:type="dxa"/>
            <w:vAlign w:val="bottom"/>
          </w:tcPr>
          <w:p>
            <w:pPr>
              <w:ind w:left="80"/>
              <w:spacing w:after="0"/>
              <w:rPr>
                <w:sz w:val="20"/>
                <w:szCs w:val="20"/>
                <w:color w:val="auto"/>
              </w:rPr>
            </w:pPr>
            <w:r>
              <w:rPr>
                <w:rFonts w:ascii="Arial" w:cs="Arial" w:eastAsia="Arial" w:hAnsi="Arial"/>
                <w:sz w:val="15"/>
                <w:szCs w:val="15"/>
                <w:color w:val="auto"/>
              </w:rPr>
              <w:t>Accrued expenses</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33,904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33,646</w:t>
            </w:r>
          </w:p>
        </w:tc>
      </w:tr>
      <w:tr>
        <w:trPr>
          <w:trHeight w:val="232"/>
        </w:trPr>
        <w:tc>
          <w:tcPr>
            <w:tcW w:w="7840" w:type="dxa"/>
            <w:vAlign w:val="bottom"/>
          </w:tcPr>
          <w:p>
            <w:pPr>
              <w:ind w:left="80"/>
              <w:spacing w:after="0"/>
              <w:rPr>
                <w:sz w:val="20"/>
                <w:szCs w:val="20"/>
                <w:color w:val="auto"/>
              </w:rPr>
            </w:pPr>
            <w:r>
              <w:rPr>
                <w:rFonts w:ascii="Arial" w:cs="Arial" w:eastAsia="Arial" w:hAnsi="Arial"/>
                <w:sz w:val="15"/>
                <w:szCs w:val="15"/>
                <w:color w:val="auto"/>
              </w:rPr>
              <w:t>Deferred revenue, current</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16,330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15,936</w:t>
            </w:r>
          </w:p>
        </w:tc>
      </w:tr>
      <w:tr>
        <w:trPr>
          <w:trHeight w:val="232"/>
        </w:trPr>
        <w:tc>
          <w:tcPr>
            <w:tcW w:w="7840" w:type="dxa"/>
            <w:vAlign w:val="bottom"/>
          </w:tcPr>
          <w:p>
            <w:pPr>
              <w:ind w:left="80"/>
              <w:spacing w:after="0"/>
              <w:rPr>
                <w:sz w:val="20"/>
                <w:szCs w:val="20"/>
                <w:color w:val="auto"/>
              </w:rPr>
            </w:pPr>
            <w:r>
              <w:rPr>
                <w:rFonts w:ascii="Arial" w:cs="Arial" w:eastAsia="Arial" w:hAnsi="Arial"/>
                <w:sz w:val="15"/>
                <w:szCs w:val="15"/>
                <w:color w:val="auto"/>
              </w:rPr>
              <w:t>Operating lease liabilities, current</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448</w:t>
            </w:r>
          </w:p>
        </w:tc>
      </w:tr>
      <w:tr>
        <w:trPr>
          <w:trHeight w:val="239"/>
        </w:trPr>
        <w:tc>
          <w:tcPr>
            <w:tcW w:w="7840" w:type="dxa"/>
            <w:vAlign w:val="bottom"/>
          </w:tcPr>
          <w:p>
            <w:pPr>
              <w:ind w:left="80"/>
              <w:spacing w:after="0"/>
              <w:rPr>
                <w:sz w:val="20"/>
                <w:szCs w:val="20"/>
                <w:color w:val="auto"/>
              </w:rPr>
            </w:pPr>
            <w:r>
              <w:rPr>
                <w:rFonts w:ascii="Arial" w:cs="Arial" w:eastAsia="Arial" w:hAnsi="Arial"/>
                <w:sz w:val="15"/>
                <w:szCs w:val="15"/>
                <w:color w:val="auto"/>
              </w:rPr>
              <w:t>Other liabilities, current</w:t>
            </w:r>
          </w:p>
        </w:tc>
        <w:tc>
          <w:tcPr>
            <w:tcW w:w="300" w:type="dxa"/>
            <w:vAlign w:val="bottom"/>
            <w:tcBorders>
              <w:bottom w:val="single" w:sz="8" w:color="auto"/>
            </w:tcBorders>
            <w:shd w:val="clear" w:color="auto" w:fill="E7F2F9"/>
          </w:tcPr>
          <w:p>
            <w:pPr>
              <w:spacing w:after="0"/>
              <w:rPr>
                <w:sz w:val="20"/>
                <w:szCs w:val="20"/>
                <w:color w:val="auto"/>
              </w:rPr>
            </w:pPr>
          </w:p>
        </w:tc>
        <w:tc>
          <w:tcPr>
            <w:tcW w:w="13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1,235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2,031</w:t>
            </w:r>
          </w:p>
        </w:tc>
      </w:tr>
      <w:tr>
        <w:trPr>
          <w:trHeight w:val="218"/>
        </w:trPr>
        <w:tc>
          <w:tcPr>
            <w:tcW w:w="7840" w:type="dxa"/>
            <w:vAlign w:val="bottom"/>
          </w:tcPr>
          <w:p>
            <w:pPr>
              <w:ind w:left="780"/>
              <w:spacing w:after="0"/>
              <w:rPr>
                <w:sz w:val="20"/>
                <w:szCs w:val="20"/>
                <w:color w:val="auto"/>
              </w:rPr>
            </w:pPr>
            <w:r>
              <w:rPr>
                <w:rFonts w:ascii="Arial" w:cs="Arial" w:eastAsia="Arial" w:hAnsi="Arial"/>
                <w:sz w:val="15"/>
                <w:szCs w:val="15"/>
                <w:color w:val="auto"/>
              </w:rPr>
              <w:t>Total current liabilities</w:t>
            </w:r>
          </w:p>
        </w:tc>
        <w:tc>
          <w:tcPr>
            <w:tcW w:w="300" w:type="dxa"/>
            <w:vAlign w:val="bottom"/>
            <w:shd w:val="clear" w:color="auto" w:fill="E7F2F9"/>
          </w:tcPr>
          <w:p>
            <w:pPr>
              <w:spacing w:after="0"/>
              <w:rPr>
                <w:sz w:val="18"/>
                <w:szCs w:val="18"/>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65,355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72,831</w:t>
            </w:r>
          </w:p>
        </w:tc>
      </w:tr>
      <w:tr>
        <w:trPr>
          <w:trHeight w:val="232"/>
        </w:trPr>
        <w:tc>
          <w:tcPr>
            <w:tcW w:w="7840" w:type="dxa"/>
            <w:vAlign w:val="bottom"/>
          </w:tcPr>
          <w:p>
            <w:pPr>
              <w:spacing w:after="0"/>
              <w:rPr>
                <w:sz w:val="20"/>
                <w:szCs w:val="20"/>
                <w:color w:val="auto"/>
              </w:rPr>
            </w:pPr>
            <w:r>
              <w:rPr>
                <w:rFonts w:ascii="Arial" w:cs="Arial" w:eastAsia="Arial" w:hAnsi="Arial"/>
                <w:sz w:val="15"/>
                <w:szCs w:val="15"/>
                <w:color w:val="auto"/>
              </w:rPr>
              <w:t>Deferred revenue, non-current</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3,554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3,929</w:t>
            </w:r>
          </w:p>
        </w:tc>
      </w:tr>
      <w:tr>
        <w:trPr>
          <w:trHeight w:val="232"/>
        </w:trPr>
        <w:tc>
          <w:tcPr>
            <w:tcW w:w="7840" w:type="dxa"/>
            <w:vAlign w:val="bottom"/>
          </w:tcPr>
          <w:p>
            <w:pPr>
              <w:spacing w:after="0"/>
              <w:rPr>
                <w:sz w:val="20"/>
                <w:szCs w:val="20"/>
                <w:color w:val="auto"/>
              </w:rPr>
            </w:pPr>
            <w:r>
              <w:rPr>
                <w:rFonts w:ascii="Arial" w:cs="Arial" w:eastAsia="Arial" w:hAnsi="Arial"/>
                <w:sz w:val="15"/>
                <w:szCs w:val="15"/>
                <w:color w:val="auto"/>
              </w:rPr>
              <w:t>Operating lease liabilities, non-current</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59,004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56,592</w:t>
            </w:r>
          </w:p>
        </w:tc>
      </w:tr>
      <w:tr>
        <w:trPr>
          <w:trHeight w:val="232"/>
        </w:trPr>
        <w:tc>
          <w:tcPr>
            <w:tcW w:w="7840" w:type="dxa"/>
            <w:vAlign w:val="bottom"/>
          </w:tcPr>
          <w:p>
            <w:pPr>
              <w:spacing w:after="0"/>
              <w:rPr>
                <w:sz w:val="20"/>
                <w:szCs w:val="20"/>
                <w:color w:val="auto"/>
              </w:rPr>
            </w:pPr>
            <w:r>
              <w:rPr>
                <w:rFonts w:ascii="Arial" w:cs="Arial" w:eastAsia="Arial" w:hAnsi="Arial"/>
                <w:sz w:val="15"/>
                <w:szCs w:val="15"/>
                <w:color w:val="auto"/>
              </w:rPr>
              <w:t>Convertible senior notes, net, non-current</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644,107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645,382</w:t>
            </w:r>
          </w:p>
        </w:tc>
      </w:tr>
      <w:tr>
        <w:trPr>
          <w:trHeight w:val="239"/>
        </w:trPr>
        <w:tc>
          <w:tcPr>
            <w:tcW w:w="7840" w:type="dxa"/>
            <w:vAlign w:val="bottom"/>
          </w:tcPr>
          <w:p>
            <w:pPr>
              <w:spacing w:after="0"/>
              <w:rPr>
                <w:sz w:val="20"/>
                <w:szCs w:val="20"/>
                <w:color w:val="auto"/>
              </w:rPr>
            </w:pPr>
            <w:r>
              <w:rPr>
                <w:rFonts w:ascii="Arial" w:cs="Arial" w:eastAsia="Arial" w:hAnsi="Arial"/>
                <w:sz w:val="15"/>
                <w:szCs w:val="15"/>
                <w:color w:val="auto"/>
              </w:rPr>
              <w:t>Other liabilities, non-current</w:t>
            </w:r>
          </w:p>
        </w:tc>
        <w:tc>
          <w:tcPr>
            <w:tcW w:w="300" w:type="dxa"/>
            <w:vAlign w:val="bottom"/>
            <w:tcBorders>
              <w:bottom w:val="single" w:sz="8" w:color="auto"/>
            </w:tcBorders>
            <w:shd w:val="clear" w:color="auto" w:fill="E7F2F9"/>
          </w:tcPr>
          <w:p>
            <w:pPr>
              <w:spacing w:after="0"/>
              <w:rPr>
                <w:sz w:val="20"/>
                <w:szCs w:val="20"/>
                <w:color w:val="auto"/>
              </w:rPr>
            </w:pPr>
          </w:p>
        </w:tc>
        <w:tc>
          <w:tcPr>
            <w:tcW w:w="13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7,979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7840" w:type="dxa"/>
            <w:vAlign w:val="bottom"/>
          </w:tcPr>
          <w:p>
            <w:pPr>
              <w:ind w:left="380"/>
              <w:spacing w:after="0"/>
              <w:rPr>
                <w:sz w:val="20"/>
                <w:szCs w:val="20"/>
                <w:color w:val="auto"/>
              </w:rPr>
            </w:pPr>
            <w:r>
              <w:rPr>
                <w:rFonts w:ascii="Arial" w:cs="Arial" w:eastAsia="Arial" w:hAnsi="Arial"/>
                <w:sz w:val="15"/>
                <w:szCs w:val="15"/>
                <w:color w:val="auto"/>
              </w:rPr>
              <w:t>Total liabilities</w:t>
            </w:r>
          </w:p>
        </w:tc>
        <w:tc>
          <w:tcPr>
            <w:tcW w:w="300" w:type="dxa"/>
            <w:vAlign w:val="bottom"/>
            <w:tcBorders>
              <w:bottom w:val="single" w:sz="8" w:color="auto"/>
            </w:tcBorders>
            <w:shd w:val="clear" w:color="auto" w:fill="E7F2F9"/>
          </w:tcPr>
          <w:p>
            <w:pPr>
              <w:spacing w:after="0"/>
              <w:rPr>
                <w:sz w:val="19"/>
                <w:szCs w:val="19"/>
                <w:color w:val="auto"/>
              </w:rPr>
            </w:pPr>
          </w:p>
        </w:tc>
        <w:tc>
          <w:tcPr>
            <w:tcW w:w="13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779,999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778,734</w:t>
            </w:r>
          </w:p>
        </w:tc>
      </w:tr>
      <w:tr>
        <w:trPr>
          <w:trHeight w:val="256"/>
        </w:trPr>
        <w:tc>
          <w:tcPr>
            <w:tcW w:w="7840" w:type="dxa"/>
            <w:vAlign w:val="bottom"/>
          </w:tcPr>
          <w:p>
            <w:pPr>
              <w:spacing w:after="0"/>
              <w:rPr>
                <w:sz w:val="20"/>
                <w:szCs w:val="20"/>
                <w:color w:val="auto"/>
              </w:rPr>
            </w:pPr>
            <w:r>
              <w:rPr>
                <w:rFonts w:ascii="Arial" w:cs="Arial" w:eastAsia="Arial" w:hAnsi="Arial"/>
                <w:sz w:val="15"/>
                <w:szCs w:val="15"/>
                <w:color w:val="auto"/>
              </w:rPr>
              <w:t>Commitments and contingencies</w:t>
            </w:r>
          </w:p>
        </w:tc>
        <w:tc>
          <w:tcPr>
            <w:tcW w:w="300" w:type="dxa"/>
            <w:vAlign w:val="bottom"/>
            <w:shd w:val="clear" w:color="auto" w:fill="E7F2F9"/>
          </w:tcPr>
          <w:p>
            <w:pPr>
              <w:spacing w:after="0"/>
              <w:rPr>
                <w:sz w:val="22"/>
                <w:szCs w:val="22"/>
                <w:color w:val="auto"/>
              </w:rPr>
            </w:pPr>
          </w:p>
        </w:tc>
        <w:tc>
          <w:tcPr>
            <w:tcW w:w="1340" w:type="dxa"/>
            <w:vAlign w:val="bottom"/>
            <w:shd w:val="clear" w:color="auto" w:fill="E7F2F9"/>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4"/>
        </w:trPr>
        <w:tc>
          <w:tcPr>
            <w:tcW w:w="7840" w:type="dxa"/>
            <w:vAlign w:val="bottom"/>
          </w:tcPr>
          <w:p>
            <w:pPr>
              <w:spacing w:after="0"/>
              <w:rPr>
                <w:sz w:val="20"/>
                <w:szCs w:val="20"/>
                <w:color w:val="auto"/>
              </w:rPr>
            </w:pPr>
            <w:r>
              <w:rPr>
                <w:rFonts w:ascii="Arial" w:cs="Arial" w:eastAsia="Arial" w:hAnsi="Arial"/>
                <w:sz w:val="15"/>
                <w:szCs w:val="15"/>
                <w:color w:val="auto"/>
              </w:rPr>
              <w:t>Stockholders’ equity</w:t>
            </w:r>
          </w:p>
        </w:tc>
        <w:tc>
          <w:tcPr>
            <w:tcW w:w="300" w:type="dxa"/>
            <w:vAlign w:val="bottom"/>
            <w:shd w:val="clear" w:color="auto" w:fill="E7F2F9"/>
          </w:tcPr>
          <w:p>
            <w:pPr>
              <w:spacing w:after="0"/>
              <w:rPr>
                <w:sz w:val="24"/>
                <w:szCs w:val="24"/>
                <w:color w:val="auto"/>
              </w:rPr>
            </w:pPr>
          </w:p>
        </w:tc>
        <w:tc>
          <w:tcPr>
            <w:tcW w:w="1340" w:type="dxa"/>
            <w:vAlign w:val="bottom"/>
            <w:shd w:val="clear" w:color="auto" w:fill="E7F2F9"/>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2"/>
        </w:trPr>
        <w:tc>
          <w:tcPr>
            <w:tcW w:w="7840" w:type="dxa"/>
            <w:vAlign w:val="bottom"/>
          </w:tcPr>
          <w:p>
            <w:pPr>
              <w:ind w:left="80"/>
              <w:spacing w:after="0"/>
              <w:rPr>
                <w:sz w:val="20"/>
                <w:szCs w:val="20"/>
                <w:color w:val="auto"/>
              </w:rPr>
            </w:pPr>
            <w:r>
              <w:rPr>
                <w:rFonts w:ascii="Arial" w:cs="Arial" w:eastAsia="Arial" w:hAnsi="Arial"/>
                <w:sz w:val="15"/>
                <w:szCs w:val="15"/>
                <w:color w:val="auto"/>
              </w:rPr>
              <w:t>Preferred stock, $0.001 par value:</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2"/>
        </w:trPr>
        <w:tc>
          <w:tcPr>
            <w:tcW w:w="7840" w:type="dxa"/>
            <w:vAlign w:val="bottom"/>
          </w:tcPr>
          <w:p>
            <w:pPr>
              <w:ind w:left="80"/>
              <w:spacing w:after="0"/>
              <w:rPr>
                <w:sz w:val="20"/>
                <w:szCs w:val="20"/>
                <w:color w:val="auto"/>
              </w:rPr>
            </w:pPr>
            <w:r>
              <w:rPr>
                <w:rFonts w:ascii="Arial" w:cs="Arial" w:eastAsia="Arial" w:hAnsi="Arial"/>
                <w:sz w:val="15"/>
                <w:szCs w:val="15"/>
                <w:color w:val="auto"/>
              </w:rPr>
              <w:t>Authorized 50,000 shares; No shares issued or outstanding</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7840" w:type="dxa"/>
            <w:vAlign w:val="bottom"/>
          </w:tcPr>
          <w:p>
            <w:pPr>
              <w:ind w:left="80"/>
              <w:spacing w:after="0"/>
              <w:rPr>
                <w:sz w:val="20"/>
                <w:szCs w:val="20"/>
                <w:color w:val="auto"/>
              </w:rPr>
            </w:pPr>
            <w:r>
              <w:rPr>
                <w:rFonts w:ascii="Arial" w:cs="Arial" w:eastAsia="Arial" w:hAnsi="Arial"/>
                <w:sz w:val="15"/>
                <w:szCs w:val="15"/>
                <w:color w:val="auto"/>
              </w:rPr>
              <w:t>Common stock, $0.001 par value:</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9"/>
        </w:trPr>
        <w:tc>
          <w:tcPr>
            <w:tcW w:w="7840" w:type="dxa"/>
            <w:vAlign w:val="bottom"/>
          </w:tcPr>
          <w:p>
            <w:pPr>
              <w:ind w:left="80"/>
              <w:spacing w:after="0"/>
              <w:rPr>
                <w:sz w:val="20"/>
                <w:szCs w:val="20"/>
                <w:color w:val="auto"/>
              </w:rPr>
            </w:pPr>
            <w:r>
              <w:rPr>
                <w:rFonts w:ascii="Arial" w:cs="Arial" w:eastAsia="Arial" w:hAnsi="Arial"/>
                <w:sz w:val="15"/>
                <w:szCs w:val="15"/>
                <w:color w:val="auto"/>
              </w:rPr>
              <w:t>Authorized 1,000,000 shares; issued and outstanding 310,487 and 301,956 shares at March 31, 2026 and</w:t>
            </w:r>
          </w:p>
        </w:tc>
        <w:tc>
          <w:tcPr>
            <w:tcW w:w="300" w:type="dxa"/>
            <w:vAlign w:val="bottom"/>
            <w:shd w:val="clear" w:color="auto" w:fill="E7F2F9"/>
          </w:tcPr>
          <w:p>
            <w:pPr>
              <w:spacing w:after="0"/>
              <w:rPr>
                <w:sz w:val="18"/>
                <w:szCs w:val="18"/>
                <w:color w:val="auto"/>
              </w:rPr>
            </w:pPr>
          </w:p>
        </w:tc>
        <w:tc>
          <w:tcPr>
            <w:tcW w:w="1340" w:type="dxa"/>
            <w:vAlign w:val="bottom"/>
            <w:shd w:val="clear" w:color="auto" w:fill="E7F2F9"/>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7840" w:type="dxa"/>
            <w:vAlign w:val="bottom"/>
          </w:tcPr>
          <w:p>
            <w:pPr>
              <w:ind w:left="80"/>
              <w:spacing w:after="0"/>
              <w:rPr>
                <w:sz w:val="20"/>
                <w:szCs w:val="20"/>
                <w:color w:val="auto"/>
              </w:rPr>
            </w:pPr>
            <w:r>
              <w:rPr>
                <w:rFonts w:ascii="Arial" w:cs="Arial" w:eastAsia="Arial" w:hAnsi="Arial"/>
                <w:sz w:val="15"/>
                <w:szCs w:val="15"/>
                <w:color w:val="auto"/>
              </w:rPr>
              <w:t>December 31, 2025, respectively</w:t>
            </w:r>
          </w:p>
        </w:tc>
        <w:tc>
          <w:tcPr>
            <w:tcW w:w="300" w:type="dxa"/>
            <w:vAlign w:val="bottom"/>
            <w:shd w:val="clear" w:color="auto" w:fill="E7F2F9"/>
          </w:tcPr>
          <w:p>
            <w:pPr>
              <w:spacing w:after="0"/>
              <w:rPr>
                <w:sz w:val="18"/>
                <w:szCs w:val="18"/>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302</w:t>
            </w:r>
          </w:p>
        </w:tc>
      </w:tr>
      <w:tr>
        <w:trPr>
          <w:trHeight w:val="232"/>
        </w:trPr>
        <w:tc>
          <w:tcPr>
            <w:tcW w:w="7840" w:type="dxa"/>
            <w:vAlign w:val="bottom"/>
          </w:tcPr>
          <w:p>
            <w:pPr>
              <w:ind w:left="80"/>
              <w:spacing w:after="0"/>
              <w:rPr>
                <w:sz w:val="20"/>
                <w:szCs w:val="20"/>
                <w:color w:val="auto"/>
              </w:rPr>
            </w:pPr>
            <w:r>
              <w:rPr>
                <w:rFonts w:ascii="Arial" w:cs="Arial" w:eastAsia="Arial" w:hAnsi="Arial"/>
                <w:sz w:val="15"/>
                <w:szCs w:val="15"/>
                <w:color w:val="auto"/>
              </w:rPr>
              <w:t>Additional paid-in capital</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2,705,779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2,699,892</w:t>
            </w:r>
          </w:p>
        </w:tc>
      </w:tr>
      <w:tr>
        <w:trPr>
          <w:trHeight w:val="232"/>
        </w:trPr>
        <w:tc>
          <w:tcPr>
            <w:tcW w:w="7840" w:type="dxa"/>
            <w:vAlign w:val="bottom"/>
          </w:tcPr>
          <w:p>
            <w:pPr>
              <w:ind w:left="80"/>
              <w:spacing w:after="0"/>
              <w:rPr>
                <w:sz w:val="20"/>
                <w:szCs w:val="20"/>
                <w:color w:val="auto"/>
              </w:rPr>
            </w:pPr>
            <w:r>
              <w:rPr>
                <w:rFonts w:ascii="Arial" w:cs="Arial" w:eastAsia="Arial" w:hAnsi="Arial"/>
                <w:sz w:val="15"/>
                <w:szCs w:val="15"/>
                <w:color w:val="auto"/>
              </w:rPr>
              <w:t>Accumulated other comprehensive (loss) income</w:t>
            </w:r>
          </w:p>
        </w:tc>
        <w:tc>
          <w:tcPr>
            <w:tcW w:w="30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457</w:t>
            </w:r>
          </w:p>
        </w:tc>
      </w:tr>
      <w:tr>
        <w:trPr>
          <w:trHeight w:val="239"/>
        </w:trPr>
        <w:tc>
          <w:tcPr>
            <w:tcW w:w="7840" w:type="dxa"/>
            <w:vAlign w:val="bottom"/>
          </w:tcPr>
          <w:p>
            <w:pPr>
              <w:ind w:left="80"/>
              <w:spacing w:after="0"/>
              <w:rPr>
                <w:sz w:val="20"/>
                <w:szCs w:val="20"/>
                <w:color w:val="auto"/>
              </w:rPr>
            </w:pPr>
            <w:r>
              <w:rPr>
                <w:rFonts w:ascii="Arial" w:cs="Arial" w:eastAsia="Arial" w:hAnsi="Arial"/>
                <w:sz w:val="15"/>
                <w:szCs w:val="15"/>
                <w:color w:val="auto"/>
              </w:rPr>
              <w:t>Accumulated deficit</w:t>
            </w:r>
          </w:p>
        </w:tc>
        <w:tc>
          <w:tcPr>
            <w:tcW w:w="300" w:type="dxa"/>
            <w:vAlign w:val="bottom"/>
            <w:tcBorders>
              <w:bottom w:val="single" w:sz="8" w:color="auto"/>
            </w:tcBorders>
            <w:shd w:val="clear" w:color="auto" w:fill="E7F2F9"/>
          </w:tcPr>
          <w:p>
            <w:pPr>
              <w:spacing w:after="0"/>
              <w:rPr>
                <w:sz w:val="20"/>
                <w:szCs w:val="20"/>
                <w:color w:val="auto"/>
              </w:rPr>
            </w:pPr>
          </w:p>
        </w:tc>
        <w:tc>
          <w:tcPr>
            <w:tcW w:w="13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(2,703,577)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(2,695,302)</w:t>
            </w:r>
          </w:p>
        </w:tc>
      </w:tr>
      <w:tr>
        <w:trPr>
          <w:trHeight w:val="225"/>
        </w:trPr>
        <w:tc>
          <w:tcPr>
            <w:tcW w:w="7840" w:type="dxa"/>
            <w:vAlign w:val="bottom"/>
          </w:tcPr>
          <w:p>
            <w:pPr>
              <w:ind w:left="380"/>
              <w:spacing w:after="0"/>
              <w:rPr>
                <w:sz w:val="20"/>
                <w:szCs w:val="20"/>
                <w:color w:val="auto"/>
              </w:rPr>
            </w:pPr>
            <w:r>
              <w:rPr>
                <w:rFonts w:ascii="Arial" w:cs="Arial" w:eastAsia="Arial" w:hAnsi="Arial"/>
                <w:sz w:val="15"/>
                <w:szCs w:val="15"/>
                <w:color w:val="auto"/>
              </w:rPr>
              <w:t>Total stockholders’ equity</w:t>
            </w:r>
          </w:p>
        </w:tc>
        <w:tc>
          <w:tcPr>
            <w:tcW w:w="300" w:type="dxa"/>
            <w:vAlign w:val="bottom"/>
            <w:tcBorders>
              <w:bottom w:val="single" w:sz="8" w:color="auto"/>
            </w:tcBorders>
            <w:shd w:val="clear" w:color="auto" w:fill="E7F2F9"/>
          </w:tcPr>
          <w:p>
            <w:pPr>
              <w:spacing w:after="0"/>
              <w:rPr>
                <w:sz w:val="19"/>
                <w:szCs w:val="19"/>
                <w:color w:val="auto"/>
              </w:rPr>
            </w:pPr>
          </w:p>
        </w:tc>
        <w:tc>
          <w:tcPr>
            <w:tcW w:w="13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2,366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5,349</w:t>
            </w:r>
          </w:p>
        </w:tc>
      </w:tr>
      <w:tr>
        <w:trPr>
          <w:trHeight w:val="245"/>
        </w:trPr>
        <w:tc>
          <w:tcPr>
            <w:tcW w:w="7840" w:type="dxa"/>
            <w:vAlign w:val="bottom"/>
          </w:tcPr>
          <w:p>
            <w:pPr>
              <w:ind w:left="380"/>
              <w:spacing w:after="0"/>
              <w:rPr>
                <w:sz w:val="20"/>
                <w:szCs w:val="20"/>
                <w:color w:val="auto"/>
              </w:rPr>
            </w:pPr>
            <w:r>
              <w:rPr>
                <w:rFonts w:ascii="Arial" w:cs="Arial" w:eastAsia="Arial" w:hAnsi="Arial"/>
                <w:sz w:val="15"/>
                <w:szCs w:val="15"/>
                <w:color w:val="auto"/>
              </w:rPr>
              <w:t>Total liabilities and stockholders’ equity</w:t>
            </w:r>
          </w:p>
        </w:tc>
        <w:tc>
          <w:tcPr>
            <w:tcW w:w="300" w:type="dxa"/>
            <w:vAlign w:val="bottom"/>
            <w:shd w:val="clear" w:color="auto" w:fill="E7F2F9"/>
          </w:tcPr>
          <w:p>
            <w:pPr>
              <w:jc w:val="right"/>
              <w:ind w:right="123"/>
              <w:spacing w:after="0"/>
              <w:rPr>
                <w:sz w:val="20"/>
                <w:szCs w:val="20"/>
                <w:color w:val="auto"/>
              </w:rPr>
            </w:pPr>
            <w:r>
              <w:rPr>
                <w:rFonts w:ascii="Arial" w:cs="Arial" w:eastAsia="Arial" w:hAnsi="Arial"/>
                <w:sz w:val="15"/>
                <w:szCs w:val="15"/>
                <w:color w:val="1383C6"/>
                <w:w w:val="95"/>
              </w:rPr>
              <w:t>$</w:t>
            </w: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782,365</w:t>
            </w:r>
          </w:p>
        </w:tc>
        <w:tc>
          <w:tcPr>
            <w:tcW w:w="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784,083</w:t>
            </w:r>
          </w:p>
        </w:tc>
      </w:tr>
      <w:tr>
        <w:trPr>
          <w:trHeight w:val="20"/>
        </w:trPr>
        <w:tc>
          <w:tcPr>
            <w:tcW w:w="7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213995</wp:posOffset>
            </wp:positionV>
            <wp:extent cx="7138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1080"/>
        <w:spacing w:after="0"/>
        <w:tabs>
          <w:tab w:leader="none" w:pos="11120" w:val="left"/>
        </w:tabs>
        <w:rPr>
          <w:sz w:val="20"/>
          <w:szCs w:val="20"/>
          <w:color w:val="auto"/>
        </w:rPr>
      </w:pPr>
      <w:r>
        <w:rPr>
          <w:rFonts w:ascii="Arial" w:cs="Arial" w:eastAsia="Arial" w:hAnsi="Arial"/>
          <w:sz w:val="17"/>
          <w:szCs w:val="17"/>
          <w:color w:val="DF1995"/>
        </w:rPr>
        <w:t>Q1 Fiscal 2026 Form 10-Q</w:t>
      </w:r>
      <w:r>
        <w:rPr>
          <w:sz w:val="20"/>
          <w:szCs w:val="20"/>
          <w:color w:val="auto"/>
        </w:rPr>
        <w:tab/>
      </w:r>
      <w:r>
        <w:rPr>
          <w:rFonts w:ascii="Arial" w:cs="Arial" w:eastAsia="Arial" w:hAnsi="Arial"/>
          <w:sz w:val="14"/>
          <w:szCs w:val="14"/>
          <w:color w:val="DF1995"/>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-104775</wp:posOffset>
            </wp:positionV>
            <wp:extent cx="393065" cy="81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591185</wp:posOffset>
            </wp:positionV>
            <wp:extent cx="7138670" cy="466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46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PACIFIC BIOSCIENCES OF CALIFORNIA, INC.</w:t>
      </w:r>
    </w:p>
    <w:p>
      <w:pPr>
        <w:spacing w:after="0" w:line="32" w:lineRule="exact"/>
        <w:rPr>
          <w:sz w:val="20"/>
          <w:szCs w:val="20"/>
          <w:color w:val="auto"/>
        </w:rPr>
      </w:pPr>
    </w:p>
    <w:p>
      <w:pPr>
        <w:ind w:left="20" w:right="2880"/>
        <w:spacing w:after="0" w:line="254" w:lineRule="auto"/>
        <w:rPr>
          <w:sz w:val="20"/>
          <w:szCs w:val="20"/>
          <w:color w:val="auto"/>
        </w:rPr>
      </w:pPr>
      <w:r>
        <w:rPr>
          <w:rFonts w:ascii="Arial" w:cs="Arial" w:eastAsia="Arial" w:hAnsi="Arial"/>
          <w:sz w:val="19"/>
          <w:szCs w:val="19"/>
          <w:color w:val="FFFFFF"/>
        </w:rPr>
        <w:t>CONDENSED CONSOLIDATED STATEMENTS OF OPERATIONS AND COMPREHENSIVE LOSS (Unaudited)</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4"/>
                <w:szCs w:val="14"/>
                <w:b w:val="1"/>
                <w:bCs w:val="1"/>
                <w:color w:val="auto"/>
              </w:rPr>
              <w:t>Three Months Ended March 31,</w:t>
            </w:r>
          </w:p>
        </w:tc>
      </w:tr>
      <w:tr>
        <w:trPr>
          <w:trHeight w:val="212"/>
        </w:trPr>
        <w:tc>
          <w:tcPr>
            <w:tcW w:w="8120" w:type="dxa"/>
            <w:vAlign w:val="bottom"/>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Borders>
              <w:bottom w:val="single" w:sz="8" w:color="auto"/>
            </w:tcBorders>
            <w:shd w:val="clear" w:color="auto" w:fill="E7F2F9"/>
          </w:tcPr>
          <w:p>
            <w:pPr>
              <w:spacing w:after="0"/>
              <w:rPr>
                <w:sz w:val="18"/>
                <w:szCs w:val="18"/>
                <w:color w:val="auto"/>
              </w:rPr>
            </w:pPr>
          </w:p>
        </w:tc>
        <w:tc>
          <w:tcPr>
            <w:tcW w:w="1380" w:type="dxa"/>
            <w:vAlign w:val="bottom"/>
            <w:tcBorders>
              <w:bottom w:val="single" w:sz="8" w:color="auto"/>
            </w:tcBorders>
            <w:shd w:val="clear" w:color="auto" w:fill="E7F2F9"/>
          </w:tcPr>
          <w:p>
            <w:pPr>
              <w:jc w:val="right"/>
              <w:ind w:right="523"/>
              <w:spacing w:after="0"/>
              <w:rPr>
                <w:sz w:val="20"/>
                <w:szCs w:val="20"/>
                <w:color w:val="auto"/>
              </w:rPr>
            </w:pPr>
            <w:r>
              <w:rPr>
                <w:rFonts w:ascii="Arial" w:cs="Arial" w:eastAsia="Arial" w:hAnsi="Arial"/>
                <w:sz w:val="14"/>
                <w:szCs w:val="14"/>
                <w:b w:val="1"/>
                <w:bCs w:val="1"/>
                <w:color w:val="1383C6"/>
              </w:rPr>
              <w:t>2026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2025</w:t>
            </w:r>
          </w:p>
        </w:tc>
      </w:tr>
      <w:tr>
        <w:trPr>
          <w:trHeight w:val="205"/>
        </w:trPr>
        <w:tc>
          <w:tcPr>
            <w:tcW w:w="8120" w:type="dxa"/>
            <w:vAlign w:val="bottom"/>
          </w:tcPr>
          <w:p>
            <w:pPr>
              <w:spacing w:after="0"/>
              <w:rPr>
                <w:sz w:val="20"/>
                <w:szCs w:val="20"/>
                <w:color w:val="auto"/>
              </w:rPr>
            </w:pPr>
            <w:r>
              <w:rPr>
                <w:rFonts w:ascii="Arial" w:cs="Arial" w:eastAsia="Arial" w:hAnsi="Arial"/>
                <w:sz w:val="15"/>
                <w:szCs w:val="15"/>
                <w:color w:val="auto"/>
              </w:rPr>
              <w:t>Revenue:</w:t>
            </w:r>
          </w:p>
        </w:tc>
        <w:tc>
          <w:tcPr>
            <w:tcW w:w="120" w:type="dxa"/>
            <w:vAlign w:val="bottom"/>
            <w:shd w:val="clear" w:color="auto" w:fill="E7F2F9"/>
          </w:tcPr>
          <w:p>
            <w:pPr>
              <w:spacing w:after="0"/>
              <w:rPr>
                <w:sz w:val="17"/>
                <w:szCs w:val="17"/>
                <w:color w:val="auto"/>
              </w:rPr>
            </w:pPr>
          </w:p>
        </w:tc>
        <w:tc>
          <w:tcPr>
            <w:tcW w:w="1380" w:type="dxa"/>
            <w:vAlign w:val="bottom"/>
            <w:shd w:val="clear" w:color="auto" w:fill="E7F2F9"/>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2"/>
        </w:trPr>
        <w:tc>
          <w:tcPr>
            <w:tcW w:w="8120" w:type="dxa"/>
            <w:vAlign w:val="bottom"/>
          </w:tcPr>
          <w:p>
            <w:pPr>
              <w:ind w:left="460"/>
              <w:spacing w:after="0"/>
              <w:rPr>
                <w:sz w:val="20"/>
                <w:szCs w:val="20"/>
                <w:color w:val="auto"/>
              </w:rPr>
            </w:pPr>
            <w:r>
              <w:rPr>
                <w:rFonts w:ascii="Arial" w:cs="Arial" w:eastAsia="Arial" w:hAnsi="Arial"/>
                <w:sz w:val="15"/>
                <w:szCs w:val="15"/>
                <w:color w:val="auto"/>
              </w:rPr>
              <w:t>Product revenue</w:t>
            </w:r>
          </w:p>
        </w:tc>
        <w:tc>
          <w:tcPr>
            <w:tcW w:w="120" w:type="dxa"/>
            <w:vAlign w:val="bottom"/>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31,534</w:t>
            </w:r>
          </w:p>
        </w:tc>
        <w:tc>
          <w:tcPr>
            <w:tcW w:w="440" w:type="dxa"/>
            <w:vAlign w:val="bottom"/>
            <w:gridSpan w:val="2"/>
          </w:tcPr>
          <w:p>
            <w:pPr>
              <w:jc w:val="right"/>
              <w:ind w:right="16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31,113</w:t>
            </w:r>
          </w:p>
        </w:tc>
      </w:tr>
      <w:tr>
        <w:trPr>
          <w:trHeight w:val="239"/>
        </w:trPr>
        <w:tc>
          <w:tcPr>
            <w:tcW w:w="8120" w:type="dxa"/>
            <w:vAlign w:val="bottom"/>
          </w:tcPr>
          <w:p>
            <w:pPr>
              <w:ind w:left="460"/>
              <w:spacing w:after="0"/>
              <w:rPr>
                <w:sz w:val="20"/>
                <w:szCs w:val="20"/>
                <w:color w:val="auto"/>
              </w:rPr>
            </w:pPr>
            <w:r>
              <w:rPr>
                <w:rFonts w:ascii="Arial" w:cs="Arial" w:eastAsia="Arial" w:hAnsi="Arial"/>
                <w:sz w:val="15"/>
                <w:szCs w:val="15"/>
                <w:color w:val="auto"/>
              </w:rPr>
              <w:t>Service and other revenue</w:t>
            </w:r>
          </w:p>
        </w:tc>
        <w:tc>
          <w:tcPr>
            <w:tcW w:w="120" w:type="dxa"/>
            <w:vAlign w:val="bottom"/>
            <w:tcBorders>
              <w:bottom w:val="single" w:sz="8" w:color="auto"/>
            </w:tcBorders>
            <w:shd w:val="clear" w:color="auto" w:fill="E7F2F9"/>
          </w:tcPr>
          <w:p>
            <w:pPr>
              <w:spacing w:after="0"/>
              <w:rPr>
                <w:sz w:val="20"/>
                <w:szCs w:val="20"/>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5,644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6,040</w:t>
            </w:r>
          </w:p>
        </w:tc>
      </w:tr>
      <w:tr>
        <w:trPr>
          <w:trHeight w:val="218"/>
        </w:trPr>
        <w:tc>
          <w:tcPr>
            <w:tcW w:w="8120" w:type="dxa"/>
            <w:vAlign w:val="bottom"/>
          </w:tcPr>
          <w:p>
            <w:pPr>
              <w:ind w:left="780"/>
              <w:spacing w:after="0"/>
              <w:rPr>
                <w:sz w:val="20"/>
                <w:szCs w:val="20"/>
                <w:color w:val="auto"/>
              </w:rPr>
            </w:pPr>
            <w:r>
              <w:rPr>
                <w:rFonts w:ascii="Arial" w:cs="Arial" w:eastAsia="Arial" w:hAnsi="Arial"/>
                <w:sz w:val="15"/>
                <w:szCs w:val="15"/>
                <w:color w:val="auto"/>
              </w:rPr>
              <w:t>Total revenue</w:t>
            </w:r>
          </w:p>
        </w:tc>
        <w:tc>
          <w:tcPr>
            <w:tcW w:w="120" w:type="dxa"/>
            <w:vAlign w:val="bottom"/>
            <w:shd w:val="clear" w:color="auto" w:fill="E7F2F9"/>
          </w:tcPr>
          <w:p>
            <w:pPr>
              <w:spacing w:after="0"/>
              <w:rPr>
                <w:sz w:val="18"/>
                <w:szCs w:val="18"/>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37,178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37,153</w:t>
            </w:r>
          </w:p>
        </w:tc>
      </w:tr>
      <w:tr>
        <w:trPr>
          <w:trHeight w:val="232"/>
        </w:trPr>
        <w:tc>
          <w:tcPr>
            <w:tcW w:w="8120" w:type="dxa"/>
            <w:vAlign w:val="bottom"/>
          </w:tcPr>
          <w:p>
            <w:pPr>
              <w:spacing w:after="0"/>
              <w:rPr>
                <w:sz w:val="20"/>
                <w:szCs w:val="20"/>
                <w:color w:val="auto"/>
              </w:rPr>
            </w:pPr>
            <w:r>
              <w:rPr>
                <w:rFonts w:ascii="Arial" w:cs="Arial" w:eastAsia="Arial" w:hAnsi="Arial"/>
                <w:sz w:val="15"/>
                <w:szCs w:val="15"/>
                <w:color w:val="auto"/>
              </w:rPr>
              <w:t>Cost of Revenue:</w:t>
            </w: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2"/>
        </w:trPr>
        <w:tc>
          <w:tcPr>
            <w:tcW w:w="8120" w:type="dxa"/>
            <w:vAlign w:val="bottom"/>
          </w:tcPr>
          <w:p>
            <w:pPr>
              <w:ind w:left="460"/>
              <w:spacing w:after="0"/>
              <w:rPr>
                <w:sz w:val="20"/>
                <w:szCs w:val="20"/>
                <w:color w:val="auto"/>
              </w:rPr>
            </w:pPr>
            <w:r>
              <w:rPr>
                <w:rFonts w:ascii="Arial" w:cs="Arial" w:eastAsia="Arial" w:hAnsi="Arial"/>
                <w:sz w:val="15"/>
                <w:szCs w:val="15"/>
                <w:color w:val="auto"/>
              </w:rPr>
              <w:t>Cost of product revenue</w:t>
            </w: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19,972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26,333</w:t>
            </w:r>
          </w:p>
        </w:tc>
      </w:tr>
      <w:tr>
        <w:trPr>
          <w:trHeight w:val="232"/>
        </w:trPr>
        <w:tc>
          <w:tcPr>
            <w:tcW w:w="8120" w:type="dxa"/>
            <w:vAlign w:val="bottom"/>
          </w:tcPr>
          <w:p>
            <w:pPr>
              <w:ind w:left="460"/>
              <w:spacing w:after="0"/>
              <w:rPr>
                <w:sz w:val="20"/>
                <w:szCs w:val="20"/>
                <w:color w:val="auto"/>
              </w:rPr>
            </w:pPr>
            <w:r>
              <w:rPr>
                <w:rFonts w:ascii="Arial" w:cs="Arial" w:eastAsia="Arial" w:hAnsi="Arial"/>
                <w:sz w:val="15"/>
                <w:szCs w:val="15"/>
                <w:color w:val="auto"/>
              </w:rPr>
              <w:t>Cost of service and other revenue</w:t>
            </w: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4,182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3,778</w:t>
            </w:r>
          </w:p>
        </w:tc>
      </w:tr>
      <w:tr>
        <w:trPr>
          <w:trHeight w:val="232"/>
        </w:trPr>
        <w:tc>
          <w:tcPr>
            <w:tcW w:w="8120" w:type="dxa"/>
            <w:vAlign w:val="bottom"/>
          </w:tcPr>
          <w:p>
            <w:pPr>
              <w:ind w:left="460"/>
              <w:spacing w:after="0"/>
              <w:rPr>
                <w:sz w:val="20"/>
                <w:szCs w:val="20"/>
                <w:color w:val="auto"/>
              </w:rPr>
            </w:pPr>
            <w:r>
              <w:rPr>
                <w:rFonts w:ascii="Arial" w:cs="Arial" w:eastAsia="Arial" w:hAnsi="Arial"/>
                <w:sz w:val="15"/>
                <w:szCs w:val="15"/>
                <w:color w:val="auto"/>
              </w:rPr>
              <w:t>Amortization of acquired intangible assets</w:t>
            </w: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4,345</w:t>
            </w:r>
          </w:p>
        </w:tc>
      </w:tr>
      <w:tr>
        <w:trPr>
          <w:trHeight w:val="232"/>
        </w:trPr>
        <w:tc>
          <w:tcPr>
            <w:tcW w:w="8120" w:type="dxa"/>
            <w:vAlign w:val="bottom"/>
          </w:tcPr>
          <w:p>
            <w:pPr>
              <w:ind w:left="460"/>
              <w:spacing w:after="0"/>
              <w:rPr>
                <w:sz w:val="20"/>
                <w:szCs w:val="20"/>
                <w:color w:val="auto"/>
              </w:rPr>
            </w:pPr>
            <w:r>
              <w:rPr>
                <w:rFonts w:ascii="Arial" w:cs="Arial" w:eastAsia="Arial" w:hAnsi="Arial"/>
                <w:sz w:val="15"/>
                <w:szCs w:val="15"/>
                <w:color w:val="auto"/>
              </w:rPr>
              <w:t>Loss on purchase commitment</w:t>
            </w: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4,068</w:t>
            </w:r>
          </w:p>
        </w:tc>
      </w:tr>
      <w:tr>
        <w:trPr>
          <w:trHeight w:val="239"/>
        </w:trPr>
        <w:tc>
          <w:tcPr>
            <w:tcW w:w="8120" w:type="dxa"/>
            <w:vAlign w:val="bottom"/>
          </w:tcPr>
          <w:p>
            <w:pPr>
              <w:ind w:left="780"/>
              <w:spacing w:after="0"/>
              <w:rPr>
                <w:sz w:val="20"/>
                <w:szCs w:val="20"/>
                <w:color w:val="auto"/>
              </w:rPr>
            </w:pPr>
            <w:r>
              <w:rPr>
                <w:rFonts w:ascii="Arial" w:cs="Arial" w:eastAsia="Arial" w:hAnsi="Arial"/>
                <w:sz w:val="15"/>
                <w:szCs w:val="15"/>
                <w:color w:val="auto"/>
              </w:rPr>
              <w:t>Total cost of revenue</w:t>
            </w:r>
          </w:p>
        </w:tc>
        <w:tc>
          <w:tcPr>
            <w:tcW w:w="120" w:type="dxa"/>
            <w:vAlign w:val="bottom"/>
            <w:tcBorders>
              <w:bottom w:val="single" w:sz="8" w:color="auto"/>
            </w:tcBorders>
            <w:shd w:val="clear" w:color="auto" w:fill="E7F2F9"/>
          </w:tcPr>
          <w:p>
            <w:pPr>
              <w:spacing w:after="0"/>
              <w:rPr>
                <w:sz w:val="20"/>
                <w:szCs w:val="20"/>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24,337</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38,524</w:t>
            </w:r>
          </w:p>
        </w:tc>
      </w:tr>
      <w:tr>
        <w:trPr>
          <w:trHeight w:val="218"/>
        </w:trPr>
        <w:tc>
          <w:tcPr>
            <w:tcW w:w="8120" w:type="dxa"/>
            <w:vAlign w:val="bottom"/>
          </w:tcPr>
          <w:p>
            <w:pPr>
              <w:ind w:left="1240"/>
              <w:spacing w:after="0"/>
              <w:rPr>
                <w:sz w:val="20"/>
                <w:szCs w:val="20"/>
                <w:color w:val="auto"/>
              </w:rPr>
            </w:pPr>
            <w:r>
              <w:rPr>
                <w:rFonts w:ascii="Arial" w:cs="Arial" w:eastAsia="Arial" w:hAnsi="Arial"/>
                <w:sz w:val="15"/>
                <w:szCs w:val="15"/>
                <w:color w:val="auto"/>
              </w:rPr>
              <w:t>Gross profit (loss)</w:t>
            </w:r>
          </w:p>
        </w:tc>
        <w:tc>
          <w:tcPr>
            <w:tcW w:w="120" w:type="dxa"/>
            <w:vAlign w:val="bottom"/>
            <w:shd w:val="clear" w:color="auto" w:fill="E7F2F9"/>
          </w:tcPr>
          <w:p>
            <w:pPr>
              <w:spacing w:after="0"/>
              <w:rPr>
                <w:sz w:val="18"/>
                <w:szCs w:val="18"/>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12,841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(1,371)</w:t>
            </w:r>
          </w:p>
        </w:tc>
      </w:tr>
      <w:tr>
        <w:trPr>
          <w:trHeight w:val="232"/>
        </w:trPr>
        <w:tc>
          <w:tcPr>
            <w:tcW w:w="8120" w:type="dxa"/>
            <w:vAlign w:val="bottom"/>
          </w:tcPr>
          <w:p>
            <w:pPr>
              <w:spacing w:after="0"/>
              <w:rPr>
                <w:sz w:val="20"/>
                <w:szCs w:val="20"/>
                <w:color w:val="auto"/>
              </w:rPr>
            </w:pPr>
            <w:r>
              <w:rPr>
                <w:rFonts w:ascii="Arial" w:cs="Arial" w:eastAsia="Arial" w:hAnsi="Arial"/>
                <w:sz w:val="15"/>
                <w:szCs w:val="15"/>
                <w:color w:val="auto"/>
              </w:rPr>
              <w:t>Operating Expense:</w:t>
            </w: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2"/>
        </w:trPr>
        <w:tc>
          <w:tcPr>
            <w:tcW w:w="8120" w:type="dxa"/>
            <w:vAlign w:val="bottom"/>
          </w:tcPr>
          <w:p>
            <w:pPr>
              <w:ind w:left="460"/>
              <w:spacing w:after="0"/>
              <w:rPr>
                <w:sz w:val="20"/>
                <w:szCs w:val="20"/>
                <w:color w:val="auto"/>
              </w:rPr>
            </w:pPr>
            <w:r>
              <w:rPr>
                <w:rFonts w:ascii="Arial" w:cs="Arial" w:eastAsia="Arial" w:hAnsi="Arial"/>
                <w:sz w:val="15"/>
                <w:szCs w:val="15"/>
                <w:color w:val="auto"/>
              </w:rPr>
              <w:t>Research and development</w:t>
            </w: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19,608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29,053</w:t>
            </w:r>
          </w:p>
        </w:tc>
      </w:tr>
      <w:tr>
        <w:trPr>
          <w:trHeight w:val="232"/>
        </w:trPr>
        <w:tc>
          <w:tcPr>
            <w:tcW w:w="8120" w:type="dxa"/>
            <w:vAlign w:val="bottom"/>
          </w:tcPr>
          <w:p>
            <w:pPr>
              <w:ind w:left="460"/>
              <w:spacing w:after="0"/>
              <w:rPr>
                <w:sz w:val="20"/>
                <w:szCs w:val="20"/>
                <w:color w:val="auto"/>
              </w:rPr>
            </w:pPr>
            <w:r>
              <w:rPr>
                <w:rFonts w:ascii="Arial" w:cs="Arial" w:eastAsia="Arial" w:hAnsi="Arial"/>
                <w:sz w:val="15"/>
                <w:szCs w:val="15"/>
                <w:color w:val="auto"/>
              </w:rPr>
              <w:t>Sales, general and administrative</w:t>
            </w: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31,153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40,168</w:t>
            </w:r>
          </w:p>
        </w:tc>
      </w:tr>
      <w:tr>
        <w:trPr>
          <w:trHeight w:val="232"/>
        </w:trPr>
        <w:tc>
          <w:tcPr>
            <w:tcW w:w="8120" w:type="dxa"/>
            <w:vAlign w:val="bottom"/>
          </w:tcPr>
          <w:p>
            <w:pPr>
              <w:ind w:left="460"/>
              <w:spacing w:after="0"/>
              <w:rPr>
                <w:sz w:val="20"/>
                <w:szCs w:val="20"/>
                <w:color w:val="auto"/>
              </w:rPr>
            </w:pPr>
            <w:r>
              <w:rPr>
                <w:rFonts w:ascii="Arial" w:cs="Arial" w:eastAsia="Arial" w:hAnsi="Arial"/>
                <w:sz w:val="15"/>
                <w:szCs w:val="15"/>
                <w:color w:val="auto"/>
              </w:rPr>
              <w:t>Impairment charges</w:t>
            </w: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15,000</w:t>
            </w:r>
          </w:p>
        </w:tc>
      </w:tr>
      <w:tr>
        <w:trPr>
          <w:trHeight w:val="232"/>
        </w:trPr>
        <w:tc>
          <w:tcPr>
            <w:tcW w:w="8120" w:type="dxa"/>
            <w:vAlign w:val="bottom"/>
          </w:tcPr>
          <w:p>
            <w:pPr>
              <w:ind w:left="460"/>
              <w:spacing w:after="0"/>
              <w:rPr>
                <w:sz w:val="20"/>
                <w:szCs w:val="20"/>
                <w:color w:val="auto"/>
              </w:rPr>
            </w:pPr>
            <w:r>
              <w:rPr>
                <w:rFonts w:ascii="Arial" w:cs="Arial" w:eastAsia="Arial" w:hAnsi="Arial"/>
                <w:sz w:val="15"/>
                <w:szCs w:val="15"/>
                <w:color w:val="auto"/>
              </w:rPr>
              <w:t>Settlement charges</w:t>
            </w: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15,400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8120" w:type="dxa"/>
            <w:vAlign w:val="bottom"/>
          </w:tcPr>
          <w:p>
            <w:pPr>
              <w:ind w:left="460"/>
              <w:spacing w:after="0"/>
              <w:rPr>
                <w:sz w:val="20"/>
                <w:szCs w:val="20"/>
                <w:color w:val="auto"/>
              </w:rPr>
            </w:pPr>
            <w:r>
              <w:rPr>
                <w:rFonts w:ascii="Arial" w:cs="Arial" w:eastAsia="Arial" w:hAnsi="Arial"/>
                <w:sz w:val="15"/>
                <w:szCs w:val="15"/>
                <w:color w:val="auto"/>
              </w:rPr>
              <w:t>Gain on disposal of assets</w:t>
            </w: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(45,796)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8120" w:type="dxa"/>
            <w:vAlign w:val="bottom"/>
          </w:tcPr>
          <w:p>
            <w:pPr>
              <w:ind w:left="460"/>
              <w:spacing w:after="0"/>
              <w:rPr>
                <w:sz w:val="20"/>
                <w:szCs w:val="20"/>
                <w:color w:val="auto"/>
              </w:rPr>
            </w:pPr>
            <w:r>
              <w:rPr>
                <w:rFonts w:ascii="Arial" w:cs="Arial" w:eastAsia="Arial" w:hAnsi="Arial"/>
                <w:sz w:val="15"/>
                <w:szCs w:val="15"/>
                <w:color w:val="auto"/>
              </w:rPr>
              <w:t>Amortization of acquired intangible assets</w:t>
            </w: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833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362,042</w:t>
            </w:r>
          </w:p>
        </w:tc>
      </w:tr>
      <w:tr>
        <w:trPr>
          <w:trHeight w:val="239"/>
        </w:trPr>
        <w:tc>
          <w:tcPr>
            <w:tcW w:w="8120" w:type="dxa"/>
            <w:vAlign w:val="bottom"/>
          </w:tcPr>
          <w:p>
            <w:pPr>
              <w:ind w:left="460"/>
              <w:spacing w:after="0"/>
              <w:rPr>
                <w:sz w:val="20"/>
                <w:szCs w:val="20"/>
                <w:color w:val="auto"/>
              </w:rPr>
            </w:pPr>
            <w:r>
              <w:rPr>
                <w:rFonts w:ascii="Arial" w:cs="Arial" w:eastAsia="Arial" w:hAnsi="Arial"/>
                <w:sz w:val="15"/>
                <w:szCs w:val="15"/>
                <w:color w:val="auto"/>
              </w:rPr>
              <w:t>Change in fair value of contingent consideration</w:t>
            </w:r>
          </w:p>
        </w:tc>
        <w:tc>
          <w:tcPr>
            <w:tcW w:w="120" w:type="dxa"/>
            <w:vAlign w:val="bottom"/>
            <w:tcBorders>
              <w:bottom w:val="single" w:sz="8" w:color="auto"/>
            </w:tcBorders>
            <w:shd w:val="clear" w:color="auto" w:fill="E7F2F9"/>
          </w:tcPr>
          <w:p>
            <w:pPr>
              <w:spacing w:after="0"/>
              <w:rPr>
                <w:sz w:val="20"/>
                <w:szCs w:val="20"/>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(18,700)</w:t>
            </w:r>
          </w:p>
        </w:tc>
      </w:tr>
      <w:tr>
        <w:trPr>
          <w:trHeight w:val="218"/>
        </w:trPr>
        <w:tc>
          <w:tcPr>
            <w:tcW w:w="8120" w:type="dxa"/>
            <w:vAlign w:val="bottom"/>
          </w:tcPr>
          <w:p>
            <w:pPr>
              <w:ind w:left="780"/>
              <w:spacing w:after="0"/>
              <w:rPr>
                <w:sz w:val="20"/>
                <w:szCs w:val="20"/>
                <w:color w:val="auto"/>
              </w:rPr>
            </w:pPr>
            <w:r>
              <w:rPr>
                <w:rFonts w:ascii="Arial" w:cs="Arial" w:eastAsia="Arial" w:hAnsi="Arial"/>
                <w:sz w:val="15"/>
                <w:szCs w:val="15"/>
                <w:color w:val="auto"/>
              </w:rPr>
              <w:t>Total operating expense</w:t>
            </w:r>
          </w:p>
        </w:tc>
        <w:tc>
          <w:tcPr>
            <w:tcW w:w="120" w:type="dxa"/>
            <w:vAlign w:val="bottom"/>
            <w:shd w:val="clear" w:color="auto" w:fill="E7F2F9"/>
          </w:tcPr>
          <w:p>
            <w:pPr>
              <w:spacing w:after="0"/>
              <w:rPr>
                <w:sz w:val="18"/>
                <w:szCs w:val="18"/>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21,198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427,563</w:t>
            </w:r>
          </w:p>
        </w:tc>
      </w:tr>
      <w:tr>
        <w:trPr>
          <w:trHeight w:val="232"/>
        </w:trPr>
        <w:tc>
          <w:tcPr>
            <w:tcW w:w="8120" w:type="dxa"/>
            <w:vAlign w:val="bottom"/>
          </w:tcPr>
          <w:p>
            <w:pPr>
              <w:spacing w:after="0"/>
              <w:rPr>
                <w:sz w:val="20"/>
                <w:szCs w:val="20"/>
                <w:color w:val="auto"/>
              </w:rPr>
            </w:pPr>
            <w:r>
              <w:rPr>
                <w:rFonts w:ascii="Arial" w:cs="Arial" w:eastAsia="Arial" w:hAnsi="Arial"/>
                <w:sz w:val="15"/>
                <w:szCs w:val="15"/>
                <w:color w:val="auto"/>
              </w:rPr>
              <w:t>Operating loss</w:t>
            </w: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(8,357)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(428,934)</w:t>
            </w:r>
          </w:p>
        </w:tc>
      </w:tr>
      <w:tr>
        <w:trPr>
          <w:trHeight w:val="232"/>
        </w:trPr>
        <w:tc>
          <w:tcPr>
            <w:tcW w:w="8120" w:type="dxa"/>
            <w:vAlign w:val="bottom"/>
          </w:tcPr>
          <w:p>
            <w:pPr>
              <w:ind w:left="460"/>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(1,740)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(1,737)</w:t>
            </w:r>
          </w:p>
        </w:tc>
      </w:tr>
      <w:tr>
        <w:trPr>
          <w:trHeight w:val="239"/>
        </w:trPr>
        <w:tc>
          <w:tcPr>
            <w:tcW w:w="8120" w:type="dxa"/>
            <w:vAlign w:val="bottom"/>
          </w:tcPr>
          <w:p>
            <w:pPr>
              <w:ind w:left="460"/>
              <w:spacing w:after="0"/>
              <w:rPr>
                <w:sz w:val="20"/>
                <w:szCs w:val="20"/>
                <w:color w:val="auto"/>
              </w:rPr>
            </w:pPr>
            <w:r>
              <w:rPr>
                <w:rFonts w:ascii="Arial" w:cs="Arial" w:eastAsia="Arial" w:hAnsi="Arial"/>
                <w:sz w:val="15"/>
                <w:szCs w:val="15"/>
                <w:color w:val="auto"/>
              </w:rPr>
              <w:t>Other income, net</w:t>
            </w:r>
          </w:p>
        </w:tc>
        <w:tc>
          <w:tcPr>
            <w:tcW w:w="120" w:type="dxa"/>
            <w:vAlign w:val="bottom"/>
            <w:tcBorders>
              <w:bottom w:val="single" w:sz="8" w:color="auto"/>
            </w:tcBorders>
            <w:shd w:val="clear" w:color="auto" w:fill="E7F2F9"/>
          </w:tcPr>
          <w:p>
            <w:pPr>
              <w:spacing w:after="0"/>
              <w:rPr>
                <w:sz w:val="20"/>
                <w:szCs w:val="20"/>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2,006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4,294</w:t>
            </w:r>
          </w:p>
        </w:tc>
      </w:tr>
      <w:tr>
        <w:trPr>
          <w:trHeight w:val="218"/>
        </w:trPr>
        <w:tc>
          <w:tcPr>
            <w:tcW w:w="8120" w:type="dxa"/>
            <w:vAlign w:val="bottom"/>
          </w:tcPr>
          <w:p>
            <w:pPr>
              <w:spacing w:after="0"/>
              <w:rPr>
                <w:sz w:val="20"/>
                <w:szCs w:val="20"/>
                <w:color w:val="auto"/>
              </w:rPr>
            </w:pPr>
            <w:r>
              <w:rPr>
                <w:rFonts w:ascii="Arial" w:cs="Arial" w:eastAsia="Arial" w:hAnsi="Arial"/>
                <w:sz w:val="15"/>
                <w:szCs w:val="15"/>
                <w:color w:val="auto"/>
              </w:rPr>
              <w:t>Loss before income taxes</w:t>
            </w:r>
          </w:p>
        </w:tc>
        <w:tc>
          <w:tcPr>
            <w:tcW w:w="120" w:type="dxa"/>
            <w:vAlign w:val="bottom"/>
            <w:shd w:val="clear" w:color="auto" w:fill="E7F2F9"/>
          </w:tcPr>
          <w:p>
            <w:pPr>
              <w:spacing w:after="0"/>
              <w:rPr>
                <w:sz w:val="18"/>
                <w:szCs w:val="18"/>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(8,091)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(426,377)</w:t>
            </w:r>
          </w:p>
        </w:tc>
      </w:tr>
      <w:tr>
        <w:trPr>
          <w:trHeight w:val="239"/>
        </w:trPr>
        <w:tc>
          <w:tcPr>
            <w:tcW w:w="8120" w:type="dxa"/>
            <w:vAlign w:val="bottom"/>
          </w:tcPr>
          <w:p>
            <w:pPr>
              <w:spacing w:after="0"/>
              <w:rPr>
                <w:sz w:val="20"/>
                <w:szCs w:val="20"/>
                <w:color w:val="auto"/>
              </w:rPr>
            </w:pPr>
            <w:r>
              <w:rPr>
                <w:rFonts w:ascii="Arial" w:cs="Arial" w:eastAsia="Arial" w:hAnsi="Arial"/>
                <w:sz w:val="15"/>
                <w:szCs w:val="15"/>
                <w:color w:val="auto"/>
              </w:rPr>
              <w:t>Income tax provision (benefit)</w:t>
            </w:r>
          </w:p>
        </w:tc>
        <w:tc>
          <w:tcPr>
            <w:tcW w:w="120" w:type="dxa"/>
            <w:vAlign w:val="bottom"/>
            <w:tcBorders>
              <w:bottom w:val="single" w:sz="8" w:color="auto"/>
            </w:tcBorders>
            <w:shd w:val="clear" w:color="auto" w:fill="E7F2F9"/>
          </w:tcPr>
          <w:p>
            <w:pPr>
              <w:spacing w:after="0"/>
              <w:rPr>
                <w:sz w:val="20"/>
                <w:szCs w:val="20"/>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184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w:t>
            </w:r>
          </w:p>
        </w:tc>
      </w:tr>
      <w:tr>
        <w:trPr>
          <w:trHeight w:val="218"/>
        </w:trPr>
        <w:tc>
          <w:tcPr>
            <w:tcW w:w="8120" w:type="dxa"/>
            <w:vAlign w:val="bottom"/>
          </w:tcPr>
          <w:p>
            <w:pPr>
              <w:spacing w:after="0"/>
              <w:rPr>
                <w:sz w:val="20"/>
                <w:szCs w:val="20"/>
                <w:color w:val="auto"/>
              </w:rPr>
            </w:pPr>
            <w:r>
              <w:rPr>
                <w:rFonts w:ascii="Arial" w:cs="Arial" w:eastAsia="Arial" w:hAnsi="Arial"/>
                <w:sz w:val="15"/>
                <w:szCs w:val="15"/>
                <w:color w:val="auto"/>
              </w:rPr>
              <w:t>Net loss</w:t>
            </w:r>
          </w:p>
        </w:tc>
        <w:tc>
          <w:tcPr>
            <w:tcW w:w="120" w:type="dxa"/>
            <w:vAlign w:val="bottom"/>
            <w:shd w:val="clear" w:color="auto" w:fill="E7F2F9"/>
          </w:tcPr>
          <w:p>
            <w:pPr>
              <w:spacing w:after="0"/>
              <w:rPr>
                <w:sz w:val="18"/>
                <w:szCs w:val="18"/>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(8,275)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(426,075)</w:t>
            </w:r>
          </w:p>
        </w:tc>
      </w:tr>
      <w:tr>
        <w:trPr>
          <w:trHeight w:val="232"/>
        </w:trPr>
        <w:tc>
          <w:tcPr>
            <w:tcW w:w="812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9"/>
        </w:trPr>
        <w:tc>
          <w:tcPr>
            <w:tcW w:w="8120" w:type="dxa"/>
            <w:vAlign w:val="bottom"/>
          </w:tcPr>
          <w:p>
            <w:pPr>
              <w:ind w:left="460"/>
              <w:spacing w:after="0"/>
              <w:rPr>
                <w:sz w:val="20"/>
                <w:szCs w:val="20"/>
                <w:color w:val="auto"/>
              </w:rPr>
            </w:pPr>
            <w:r>
              <w:rPr>
                <w:rFonts w:ascii="Arial" w:cs="Arial" w:eastAsia="Arial" w:hAnsi="Arial"/>
                <w:sz w:val="15"/>
                <w:szCs w:val="15"/>
                <w:color w:val="auto"/>
              </w:rPr>
              <w:t>Unrealized loss on investments</w:t>
            </w:r>
          </w:p>
        </w:tc>
        <w:tc>
          <w:tcPr>
            <w:tcW w:w="120" w:type="dxa"/>
            <w:vAlign w:val="bottom"/>
            <w:tcBorders>
              <w:bottom w:val="single" w:sz="8" w:color="auto"/>
            </w:tcBorders>
            <w:shd w:val="clear" w:color="auto" w:fill="E7F2F9"/>
          </w:tcPr>
          <w:p>
            <w:pPr>
              <w:spacing w:after="0"/>
              <w:rPr>
                <w:sz w:val="20"/>
                <w:szCs w:val="20"/>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(604)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r>
      <w:tr>
        <w:trPr>
          <w:trHeight w:val="271"/>
        </w:trPr>
        <w:tc>
          <w:tcPr>
            <w:tcW w:w="8120" w:type="dxa"/>
            <w:vAlign w:val="bottom"/>
          </w:tcPr>
          <w:p>
            <w:pPr>
              <w:spacing w:after="0"/>
              <w:rPr>
                <w:sz w:val="20"/>
                <w:szCs w:val="20"/>
                <w:color w:val="auto"/>
              </w:rPr>
            </w:pPr>
            <w:r>
              <w:rPr>
                <w:rFonts w:ascii="Arial" w:cs="Arial" w:eastAsia="Arial" w:hAnsi="Arial"/>
                <w:sz w:val="15"/>
                <w:szCs w:val="15"/>
                <w:color w:val="auto"/>
              </w:rPr>
              <w:t>Comprehensive loss</w:t>
            </w:r>
          </w:p>
        </w:tc>
        <w:tc>
          <w:tcPr>
            <w:tcW w:w="120" w:type="dxa"/>
            <w:vAlign w:val="bottom"/>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(8,879)</w:t>
            </w:r>
          </w:p>
        </w:tc>
        <w:tc>
          <w:tcPr>
            <w:tcW w:w="440" w:type="dxa"/>
            <w:vAlign w:val="bottom"/>
            <w:gridSpan w:val="2"/>
          </w:tcPr>
          <w:p>
            <w:pPr>
              <w:jc w:val="right"/>
              <w:ind w:right="16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(426,116)</w:t>
            </w:r>
          </w:p>
        </w:tc>
      </w:tr>
      <w:tr>
        <w:trPr>
          <w:trHeight w:val="185"/>
        </w:trPr>
        <w:tc>
          <w:tcPr>
            <w:tcW w:w="8120" w:type="dxa"/>
            <w:vAlign w:val="bottom"/>
          </w:tcPr>
          <w:p>
            <w:pPr>
              <w:ind w:left="80"/>
              <w:spacing w:after="0"/>
              <w:rPr>
                <w:sz w:val="20"/>
                <w:szCs w:val="20"/>
                <w:color w:val="auto"/>
              </w:rPr>
            </w:pPr>
            <w:r>
              <w:rPr>
                <w:rFonts w:ascii="Arial" w:cs="Arial" w:eastAsia="Arial" w:hAnsi="Arial"/>
                <w:sz w:val="15"/>
                <w:szCs w:val="15"/>
                <w:color w:val="auto"/>
              </w:rPr>
              <w:t>Net loss per share:</w:t>
            </w:r>
          </w:p>
        </w:tc>
        <w:tc>
          <w:tcPr>
            <w:tcW w:w="120" w:type="dxa"/>
            <w:vAlign w:val="bottom"/>
            <w:tcBorders>
              <w:top w:val="single" w:sz="8" w:color="auto"/>
            </w:tcBorders>
            <w:shd w:val="clear" w:color="auto" w:fill="E7F2F9"/>
          </w:tcPr>
          <w:p>
            <w:pPr>
              <w:spacing w:after="0"/>
              <w:rPr>
                <w:sz w:val="16"/>
                <w:szCs w:val="16"/>
                <w:color w:val="auto"/>
              </w:rPr>
            </w:pPr>
          </w:p>
        </w:tc>
        <w:tc>
          <w:tcPr>
            <w:tcW w:w="1380" w:type="dxa"/>
            <w:vAlign w:val="bottom"/>
            <w:tcBorders>
              <w:top w:val="single" w:sz="8" w:color="auto"/>
            </w:tcBorders>
            <w:shd w:val="clear" w:color="auto" w:fill="E7F2F9"/>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285"/>
        </w:trPr>
        <w:tc>
          <w:tcPr>
            <w:tcW w:w="8120" w:type="dxa"/>
            <w:vAlign w:val="bottom"/>
          </w:tcPr>
          <w:p>
            <w:pPr>
              <w:ind w:left="460"/>
              <w:spacing w:after="0"/>
              <w:rPr>
                <w:sz w:val="20"/>
                <w:szCs w:val="20"/>
                <w:color w:val="auto"/>
              </w:rPr>
            </w:pPr>
            <w:r>
              <w:rPr>
                <w:rFonts w:ascii="Arial" w:cs="Arial" w:eastAsia="Arial" w:hAnsi="Arial"/>
                <w:sz w:val="15"/>
                <w:szCs w:val="15"/>
                <w:color w:val="auto"/>
              </w:rPr>
              <w:t>Basic</w:t>
            </w:r>
          </w:p>
        </w:tc>
        <w:tc>
          <w:tcPr>
            <w:tcW w:w="1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(0.03)</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w:t>
            </w:r>
          </w:p>
        </w:tc>
      </w:tr>
      <w:tr>
        <w:trPr>
          <w:trHeight w:val="264"/>
        </w:trPr>
        <w:tc>
          <w:tcPr>
            <w:tcW w:w="8120" w:type="dxa"/>
            <w:vAlign w:val="bottom"/>
          </w:tcPr>
          <w:p>
            <w:pPr>
              <w:ind w:left="460"/>
              <w:spacing w:after="0"/>
              <w:rPr>
                <w:sz w:val="20"/>
                <w:szCs w:val="20"/>
                <w:color w:val="auto"/>
              </w:rPr>
            </w:pPr>
            <w:r>
              <w:rPr>
                <w:rFonts w:ascii="Arial" w:cs="Arial" w:eastAsia="Arial" w:hAnsi="Arial"/>
                <w:sz w:val="15"/>
                <w:szCs w:val="15"/>
                <w:color w:val="auto"/>
              </w:rPr>
              <w:t>Diluted</w:t>
            </w:r>
          </w:p>
        </w:tc>
        <w:tc>
          <w:tcPr>
            <w:tcW w:w="120" w:type="dxa"/>
            <w:vAlign w:val="bottom"/>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(0.03)</w:t>
            </w:r>
          </w:p>
        </w:tc>
        <w:tc>
          <w:tcPr>
            <w:tcW w:w="440" w:type="dxa"/>
            <w:vAlign w:val="bottom"/>
            <w:gridSpan w:val="2"/>
          </w:tcPr>
          <w:p>
            <w:pPr>
              <w:jc w:val="right"/>
              <w:ind w:right="163"/>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(1.44)</w:t>
            </w:r>
          </w:p>
        </w:tc>
      </w:tr>
      <w:tr>
        <w:trPr>
          <w:trHeight w:val="185"/>
        </w:trPr>
        <w:tc>
          <w:tcPr>
            <w:tcW w:w="8120" w:type="dxa"/>
            <w:vAlign w:val="bottom"/>
          </w:tcPr>
          <w:p>
            <w:pPr>
              <w:ind w:left="80"/>
              <w:spacing w:after="0"/>
              <w:rPr>
                <w:sz w:val="20"/>
                <w:szCs w:val="20"/>
                <w:color w:val="auto"/>
              </w:rPr>
            </w:pPr>
            <w:r>
              <w:rPr>
                <w:rFonts w:ascii="Arial" w:cs="Arial" w:eastAsia="Arial" w:hAnsi="Arial"/>
                <w:sz w:val="15"/>
                <w:szCs w:val="15"/>
                <w:color w:val="auto"/>
              </w:rPr>
              <w:t>Weighted average shares outstanding used in calculating net loss per share:</w:t>
            </w:r>
          </w:p>
        </w:tc>
        <w:tc>
          <w:tcPr>
            <w:tcW w:w="120" w:type="dxa"/>
            <w:vAlign w:val="bottom"/>
            <w:tcBorders>
              <w:top w:val="single" w:sz="8" w:color="auto"/>
            </w:tcBorders>
            <w:shd w:val="clear" w:color="auto" w:fill="E7F2F9"/>
          </w:tcPr>
          <w:p>
            <w:pPr>
              <w:spacing w:after="0"/>
              <w:rPr>
                <w:sz w:val="16"/>
                <w:szCs w:val="16"/>
                <w:color w:val="auto"/>
              </w:rPr>
            </w:pPr>
          </w:p>
        </w:tc>
        <w:tc>
          <w:tcPr>
            <w:tcW w:w="1380" w:type="dxa"/>
            <w:vAlign w:val="bottom"/>
            <w:tcBorders>
              <w:top w:val="single" w:sz="8" w:color="auto"/>
            </w:tcBorders>
            <w:shd w:val="clear" w:color="auto" w:fill="E7F2F9"/>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285"/>
        </w:trPr>
        <w:tc>
          <w:tcPr>
            <w:tcW w:w="8120" w:type="dxa"/>
            <w:vAlign w:val="bottom"/>
          </w:tcPr>
          <w:p>
            <w:pPr>
              <w:ind w:left="460"/>
              <w:spacing w:after="0"/>
              <w:rPr>
                <w:sz w:val="20"/>
                <w:szCs w:val="20"/>
                <w:color w:val="auto"/>
              </w:rPr>
            </w:pPr>
            <w:r>
              <w:rPr>
                <w:rFonts w:ascii="Arial" w:cs="Arial" w:eastAsia="Arial" w:hAnsi="Arial"/>
                <w:sz w:val="15"/>
                <w:szCs w:val="15"/>
                <w:color w:val="auto"/>
              </w:rPr>
              <w:t>Basic</w:t>
            </w:r>
          </w:p>
        </w:tc>
        <w:tc>
          <w:tcPr>
            <w:tcW w:w="120" w:type="dxa"/>
            <w:vAlign w:val="bottom"/>
            <w:tcBorders>
              <w:bottom w:val="single" w:sz="8" w:color="auto"/>
            </w:tcBorders>
            <w:shd w:val="clear" w:color="auto" w:fill="E7F2F9"/>
          </w:tcPr>
          <w:p>
            <w:pPr>
              <w:spacing w:after="0"/>
              <w:rPr>
                <w:sz w:val="24"/>
                <w:szCs w:val="24"/>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305,819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296,858</w:t>
            </w:r>
          </w:p>
        </w:tc>
      </w:tr>
      <w:tr>
        <w:trPr>
          <w:trHeight w:val="238"/>
        </w:trPr>
        <w:tc>
          <w:tcPr>
            <w:tcW w:w="8120" w:type="dxa"/>
            <w:vAlign w:val="bottom"/>
          </w:tcPr>
          <w:p>
            <w:pPr>
              <w:ind w:left="460"/>
              <w:spacing w:after="0"/>
              <w:rPr>
                <w:sz w:val="20"/>
                <w:szCs w:val="20"/>
                <w:color w:val="auto"/>
              </w:rPr>
            </w:pPr>
            <w:r>
              <w:rPr>
                <w:rFonts w:ascii="Arial" w:cs="Arial" w:eastAsia="Arial" w:hAnsi="Arial"/>
                <w:sz w:val="15"/>
                <w:szCs w:val="15"/>
                <w:color w:val="auto"/>
              </w:rPr>
              <w:t>Diluted</w:t>
            </w:r>
          </w:p>
        </w:tc>
        <w:tc>
          <w:tcPr>
            <w:tcW w:w="120" w:type="dxa"/>
            <w:vAlign w:val="bottom"/>
            <w:tcBorders>
              <w:bottom w:val="single" w:sz="8" w:color="auto"/>
            </w:tcBorders>
            <w:shd w:val="clear" w:color="auto" w:fill="E7F2F9"/>
          </w:tcPr>
          <w:p>
            <w:pPr>
              <w:spacing w:after="0"/>
              <w:rPr>
                <w:sz w:val="20"/>
                <w:szCs w:val="20"/>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305,819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296,858</w:t>
            </w:r>
          </w:p>
        </w:tc>
      </w:tr>
      <w:tr>
        <w:trPr>
          <w:trHeight w:val="20"/>
        </w:trPr>
        <w:tc>
          <w:tcPr>
            <w:tcW w:w="8120" w:type="dxa"/>
            <w:vAlign w:val="bottom"/>
          </w:tcPr>
          <w:p>
            <w:pPr>
              <w:spacing w:after="0" w:line="20" w:lineRule="exact"/>
              <w:rPr>
                <w:sz w:val="1"/>
                <w:szCs w:val="1"/>
                <w:color w:val="auto"/>
              </w:rPr>
            </w:pPr>
          </w:p>
        </w:tc>
        <w:tc>
          <w:tcPr>
            <w:tcW w:w="120" w:type="dxa"/>
            <w:vAlign w:val="bottom"/>
            <w:tcBorders>
              <w:top w:val="single" w:sz="8" w:color="E7F2F9"/>
              <w:bottom w:val="single" w:sz="8" w:color="auto"/>
            </w:tcBorders>
          </w:tcPr>
          <w:p>
            <w:pPr>
              <w:spacing w:after="0" w:line="20" w:lineRule="exact"/>
              <w:rPr>
                <w:sz w:val="1"/>
                <w:szCs w:val="1"/>
                <w:color w:val="auto"/>
              </w:rPr>
            </w:pPr>
          </w:p>
        </w:tc>
        <w:tc>
          <w:tcPr>
            <w:tcW w:w="1380" w:type="dxa"/>
            <w:vAlign w:val="bottom"/>
            <w:tcBorders>
              <w:top w:val="single" w:sz="8" w:color="E7F2F9"/>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3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2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20" w:type="dxa"/>
            <w:vAlign w:val="bottom"/>
          </w:tcPr>
          <w:p>
            <w:pPr>
              <w:jc w:val="right"/>
              <w:spacing w:after="0"/>
              <w:rPr>
                <w:sz w:val="20"/>
                <w:szCs w:val="20"/>
                <w:color w:val="auto"/>
              </w:rPr>
            </w:pPr>
            <w:r>
              <w:rPr>
                <w:rFonts w:ascii="Arial" w:cs="Arial" w:eastAsia="Arial" w:hAnsi="Arial"/>
                <w:sz w:val="17"/>
                <w:szCs w:val="17"/>
                <w:color w:val="DF1995"/>
              </w:rPr>
              <w:t>4</w:t>
            </w:r>
          </w:p>
        </w:tc>
      </w:tr>
      <w:tr>
        <w:trPr>
          <w:trHeight w:val="223"/>
        </w:trPr>
        <w:tc>
          <w:tcPr>
            <w:tcW w:w="7120" w:type="dxa"/>
            <w:vAlign w:val="bottom"/>
            <w:tcBorders>
              <w:bottom w:val="single" w:sz="8" w:color="9A9A9A"/>
            </w:tcBorders>
          </w:tcPr>
          <w:p>
            <w:pPr>
              <w:spacing w:after="0"/>
              <w:rPr>
                <w:sz w:val="19"/>
                <w:szCs w:val="19"/>
                <w:color w:val="auto"/>
              </w:rPr>
            </w:pPr>
          </w:p>
        </w:tc>
        <w:tc>
          <w:tcPr>
            <w:tcW w:w="41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591185</wp:posOffset>
            </wp:positionV>
            <wp:extent cx="7138670" cy="466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46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PACIFIC BIOSCIENCES OF CALIFORNIA, INC.</w:t>
      </w:r>
    </w:p>
    <w:p>
      <w:pPr>
        <w:spacing w:after="0" w:line="32" w:lineRule="exact"/>
        <w:rPr>
          <w:sz w:val="20"/>
          <w:szCs w:val="20"/>
          <w:color w:val="auto"/>
        </w:rPr>
      </w:pPr>
    </w:p>
    <w:p>
      <w:pPr>
        <w:ind w:left="20" w:right="4460"/>
        <w:spacing w:after="0" w:line="254" w:lineRule="auto"/>
        <w:rPr>
          <w:sz w:val="20"/>
          <w:szCs w:val="20"/>
          <w:color w:val="auto"/>
        </w:rPr>
      </w:pPr>
      <w:r>
        <w:rPr>
          <w:rFonts w:ascii="Arial" w:cs="Arial" w:eastAsia="Arial" w:hAnsi="Arial"/>
          <w:sz w:val="19"/>
          <w:szCs w:val="19"/>
          <w:color w:val="FFFFFF"/>
        </w:rPr>
        <w:t>CONDENSED CONSOLIDATED STATEMENTS OF STOCKHOLDERS' EQUITY (Unaudited)</w:t>
      </w: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165"/>
        </w:trPr>
        <w:tc>
          <w:tcPr>
            <w:tcW w:w="2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ind w:left="100"/>
              <w:spacing w:after="0"/>
              <w:rPr>
                <w:sz w:val="20"/>
                <w:szCs w:val="20"/>
                <w:color w:val="auto"/>
              </w:rPr>
            </w:pPr>
            <w:r>
              <w:rPr>
                <w:rFonts w:ascii="Arial" w:cs="Arial" w:eastAsia="Arial" w:hAnsi="Arial"/>
                <w:sz w:val="12"/>
                <w:szCs w:val="12"/>
                <w:b w:val="1"/>
                <w:bCs w:val="1"/>
                <w:color w:val="auto"/>
              </w:rPr>
              <w:t>Three Months Ended March 31, 2026</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2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2200" w:type="dxa"/>
            <w:vAlign w:val="bottom"/>
            <w:gridSpan w:val="3"/>
            <w:vMerge w:val="restart"/>
          </w:tcPr>
          <w:p>
            <w:pPr>
              <w:jc w:val="right"/>
              <w:ind w:right="436"/>
              <w:spacing w:after="0"/>
              <w:rPr>
                <w:sz w:val="20"/>
                <w:szCs w:val="20"/>
                <w:color w:val="auto"/>
              </w:rPr>
            </w:pPr>
            <w:r>
              <w:rPr>
                <w:rFonts w:ascii="Arial" w:cs="Arial" w:eastAsia="Arial" w:hAnsi="Arial"/>
                <w:sz w:val="12"/>
                <w:szCs w:val="12"/>
                <w:b w:val="1"/>
                <w:bCs w:val="1"/>
                <w:color w:val="auto"/>
              </w:rPr>
              <w:t>Common Stock</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Other</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94"/>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00"/>
        </w:trPr>
        <w:tc>
          <w:tcPr>
            <w:tcW w:w="2880" w:type="dxa"/>
            <w:vAlign w:val="bottom"/>
          </w:tcPr>
          <w:p>
            <w:pPr>
              <w:spacing w:after="0"/>
              <w:rPr>
                <w:sz w:val="8"/>
                <w:szCs w:val="8"/>
                <w:color w:val="auto"/>
              </w:rPr>
            </w:pPr>
          </w:p>
        </w:tc>
        <w:tc>
          <w:tcPr>
            <w:tcW w:w="220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jc w:val="center"/>
              <w:ind w:right="240"/>
              <w:spacing w:after="0" w:line="114"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8"/>
                <w:szCs w:val="8"/>
                <w:color w:val="auto"/>
              </w:rPr>
            </w:pPr>
          </w:p>
        </w:tc>
        <w:tc>
          <w:tcPr>
            <w:tcW w:w="1200" w:type="dxa"/>
            <w:vAlign w:val="bottom"/>
            <w:gridSpan w:val="2"/>
            <w:vMerge w:val="restart"/>
          </w:tcPr>
          <w:p>
            <w:pPr>
              <w:jc w:val="center"/>
              <w:ind w:right="220"/>
              <w:spacing w:after="0" w:line="114" w:lineRule="exact"/>
              <w:rPr>
                <w:sz w:val="20"/>
                <w:szCs w:val="20"/>
                <w:color w:val="auto"/>
              </w:rPr>
            </w:pPr>
            <w:r>
              <w:rPr>
                <w:rFonts w:ascii="Arial" w:cs="Arial" w:eastAsia="Arial" w:hAnsi="Arial"/>
                <w:sz w:val="12"/>
                <w:szCs w:val="12"/>
                <w:b w:val="1"/>
                <w:bCs w:val="1"/>
                <w:color w:val="auto"/>
                <w:w w:val="99"/>
              </w:rPr>
              <w:t>Comprehensive</w:t>
            </w:r>
          </w:p>
        </w:tc>
        <w:tc>
          <w:tcPr>
            <w:tcW w:w="160" w:type="dxa"/>
            <w:vAlign w:val="bottom"/>
          </w:tcPr>
          <w:p>
            <w:pPr>
              <w:spacing w:after="0"/>
              <w:rPr>
                <w:sz w:val="8"/>
                <w:szCs w:val="8"/>
                <w:color w:val="auto"/>
              </w:rPr>
            </w:pPr>
          </w:p>
        </w:tc>
        <w:tc>
          <w:tcPr>
            <w:tcW w:w="1160" w:type="dxa"/>
            <w:vAlign w:val="bottom"/>
            <w:gridSpan w:val="2"/>
            <w:vMerge w:val="restart"/>
          </w:tcPr>
          <w:p>
            <w:pPr>
              <w:jc w:val="center"/>
              <w:ind w:right="280"/>
              <w:spacing w:after="0" w:line="114"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8"/>
                <w:szCs w:val="8"/>
                <w:color w:val="auto"/>
              </w:rPr>
            </w:pPr>
          </w:p>
        </w:tc>
        <w:tc>
          <w:tcPr>
            <w:tcW w:w="1120" w:type="dxa"/>
            <w:vAlign w:val="bottom"/>
            <w:vMerge w:val="restart"/>
          </w:tcPr>
          <w:p>
            <w:pPr>
              <w:jc w:val="center"/>
              <w:ind w:right="114"/>
              <w:spacing w:after="0" w:line="114" w:lineRule="exact"/>
              <w:rPr>
                <w:sz w:val="20"/>
                <w:szCs w:val="20"/>
                <w:color w:val="auto"/>
              </w:rPr>
            </w:pPr>
            <w:r>
              <w:rPr>
                <w:rFonts w:ascii="Arial" w:cs="Arial" w:eastAsia="Arial" w:hAnsi="Arial"/>
                <w:sz w:val="12"/>
                <w:szCs w:val="12"/>
                <w:b w:val="1"/>
                <w:bCs w:val="1"/>
                <w:color w:val="auto"/>
                <w:w w:val="98"/>
              </w:rPr>
              <w:t>Stockholders'</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20"/>
              <w:spacing w:after="0"/>
              <w:rPr>
                <w:sz w:val="20"/>
                <w:szCs w:val="20"/>
                <w:color w:val="auto"/>
              </w:rPr>
            </w:pPr>
            <w:r>
              <w:rPr>
                <w:rFonts w:ascii="Arial" w:cs="Arial" w:eastAsia="Arial" w:hAnsi="Arial"/>
                <w:sz w:val="12"/>
                <w:szCs w:val="12"/>
                <w:i w:val="1"/>
                <w:iCs w:val="1"/>
                <w:color w:val="auto"/>
              </w:rPr>
              <w:t>(In thousands)</w:t>
            </w: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880" w:type="dxa"/>
            <w:vAlign w:val="bottom"/>
            <w:vMerge w:val="continue"/>
          </w:tcPr>
          <w:p>
            <w:pPr>
              <w:spacing w:after="0"/>
              <w:rPr>
                <w:sz w:val="15"/>
                <w:szCs w:val="15"/>
                <w:color w:val="auto"/>
              </w:rPr>
            </w:pPr>
          </w:p>
        </w:tc>
        <w:tc>
          <w:tcPr>
            <w:tcW w:w="1240" w:type="dxa"/>
            <w:vAlign w:val="bottom"/>
          </w:tcPr>
          <w:p>
            <w:pPr>
              <w:jc w:val="right"/>
              <w:ind w:right="373"/>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Income (Loss)</w:t>
            </w:r>
          </w:p>
        </w:tc>
        <w:tc>
          <w:tcPr>
            <w:tcW w:w="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160" w:type="dxa"/>
            <w:vAlign w:val="bottom"/>
          </w:tcPr>
          <w:p>
            <w:pPr>
              <w:spacing w:after="0"/>
              <w:rPr>
                <w:sz w:val="15"/>
                <w:szCs w:val="15"/>
                <w:color w:val="auto"/>
              </w:rPr>
            </w:pPr>
          </w:p>
        </w:tc>
        <w:tc>
          <w:tcPr>
            <w:tcW w:w="1120" w:type="dxa"/>
            <w:vAlign w:val="bottom"/>
          </w:tcPr>
          <w:p>
            <w:pPr>
              <w:jc w:val="center"/>
              <w:ind w:right="94"/>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0"/>
        </w:trPr>
        <w:tc>
          <w:tcPr>
            <w:tcW w:w="2880" w:type="dxa"/>
            <w:vAlign w:val="bottom"/>
            <w:tcBorders>
              <w:bottom w:val="single" w:sz="8" w:color="E7F2F9"/>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F2F9"/>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F2F9"/>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F2F9"/>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7F2F9"/>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7F2F9"/>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880" w:type="dxa"/>
            <w:vAlign w:val="bottom"/>
            <w:shd w:val="clear" w:color="auto" w:fill="E7F2F9"/>
          </w:tcPr>
          <w:p>
            <w:pPr>
              <w:ind w:left="20"/>
              <w:spacing w:after="0"/>
              <w:rPr>
                <w:sz w:val="20"/>
                <w:szCs w:val="20"/>
                <w:color w:val="auto"/>
              </w:rPr>
            </w:pPr>
            <w:r>
              <w:rPr>
                <w:rFonts w:ascii="Arial" w:cs="Arial" w:eastAsia="Arial" w:hAnsi="Arial"/>
                <w:sz w:val="14"/>
                <w:szCs w:val="14"/>
                <w:b w:val="1"/>
                <w:bCs w:val="1"/>
                <w:color w:val="1383C6"/>
              </w:rPr>
              <w:t>Balance at December 31, 2025</w:t>
            </w:r>
          </w:p>
        </w:tc>
        <w:tc>
          <w:tcPr>
            <w:tcW w:w="12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301,956</w:t>
            </w:r>
          </w:p>
        </w:tc>
        <w:tc>
          <w:tcPr>
            <w:tcW w:w="960" w:type="dxa"/>
            <w:vAlign w:val="bottom"/>
            <w:gridSpan w:val="2"/>
            <w:shd w:val="clear" w:color="auto" w:fill="E7F2F9"/>
          </w:tcPr>
          <w:p>
            <w:pPr>
              <w:jc w:val="right"/>
              <w:ind w:right="736"/>
              <w:spacing w:after="0"/>
              <w:rPr>
                <w:sz w:val="20"/>
                <w:szCs w:val="20"/>
                <w:color w:val="auto"/>
              </w:rPr>
            </w:pPr>
            <w:r>
              <w:rPr>
                <w:rFonts w:ascii="Arial" w:cs="Arial" w:eastAsia="Arial" w:hAnsi="Arial"/>
                <w:sz w:val="14"/>
                <w:szCs w:val="14"/>
                <w:color w:val="1383C6"/>
              </w:rPr>
              <w:t>$</w:t>
            </w:r>
          </w:p>
        </w:tc>
        <w:tc>
          <w:tcPr>
            <w:tcW w:w="3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302</w:t>
            </w:r>
          </w:p>
        </w:tc>
        <w:tc>
          <w:tcPr>
            <w:tcW w:w="280" w:type="dxa"/>
            <w:vAlign w:val="bottom"/>
            <w:gridSpan w:val="3"/>
            <w:shd w:val="clear" w:color="auto" w:fill="E7F2F9"/>
          </w:tcPr>
          <w:p>
            <w:pPr>
              <w:jc w:val="right"/>
              <w:ind w:right="11"/>
              <w:spacing w:after="0"/>
              <w:rPr>
                <w:sz w:val="20"/>
                <w:szCs w:val="20"/>
                <w:color w:val="auto"/>
              </w:rPr>
            </w:pPr>
            <w:r>
              <w:rPr>
                <w:rFonts w:ascii="Arial" w:cs="Arial" w:eastAsia="Arial" w:hAnsi="Arial"/>
                <w:sz w:val="14"/>
                <w:szCs w:val="14"/>
                <w:color w:val="1383C6"/>
              </w:rPr>
              <w:t>$</w:t>
            </w:r>
          </w:p>
        </w:tc>
        <w:tc>
          <w:tcPr>
            <w:tcW w:w="108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2,699,892</w:t>
            </w:r>
          </w:p>
        </w:tc>
        <w:tc>
          <w:tcPr>
            <w:tcW w:w="80" w:type="dxa"/>
            <w:vAlign w:val="bottom"/>
            <w:shd w:val="clear" w:color="auto" w:fill="E7F2F9"/>
          </w:tcPr>
          <w:p>
            <w:pPr>
              <w:spacing w:after="0"/>
              <w:rPr>
                <w:sz w:val="16"/>
                <w:szCs w:val="16"/>
                <w:color w:val="auto"/>
              </w:rPr>
            </w:pPr>
          </w:p>
        </w:tc>
        <w:tc>
          <w:tcPr>
            <w:tcW w:w="140" w:type="dxa"/>
            <w:vAlign w:val="bottom"/>
            <w:shd w:val="clear" w:color="auto" w:fill="E7F2F9"/>
          </w:tcPr>
          <w:p>
            <w:pPr>
              <w:jc w:val="right"/>
              <w:spacing w:after="0"/>
              <w:rPr>
                <w:sz w:val="20"/>
                <w:szCs w:val="20"/>
                <w:color w:val="auto"/>
              </w:rPr>
            </w:pPr>
            <w:r>
              <w:rPr>
                <w:rFonts w:ascii="Arial" w:cs="Arial" w:eastAsia="Arial" w:hAnsi="Arial"/>
                <w:sz w:val="14"/>
                <w:szCs w:val="14"/>
                <w:color w:val="1383C6"/>
                <w:w w:val="76"/>
              </w:rPr>
              <w:t>$</w:t>
            </w:r>
          </w:p>
        </w:tc>
        <w:tc>
          <w:tcPr>
            <w:tcW w:w="11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457</w:t>
            </w:r>
          </w:p>
        </w:tc>
        <w:tc>
          <w:tcPr>
            <w:tcW w:w="80" w:type="dxa"/>
            <w:vAlign w:val="bottom"/>
            <w:shd w:val="clear" w:color="auto" w:fill="E7F2F9"/>
          </w:tcPr>
          <w:p>
            <w:pPr>
              <w:spacing w:after="0"/>
              <w:rPr>
                <w:sz w:val="16"/>
                <w:szCs w:val="16"/>
                <w:color w:val="auto"/>
              </w:rPr>
            </w:pPr>
          </w:p>
        </w:tc>
        <w:tc>
          <w:tcPr>
            <w:tcW w:w="160" w:type="dxa"/>
            <w:vAlign w:val="bottom"/>
            <w:shd w:val="clear" w:color="auto" w:fill="E7F2F9"/>
          </w:tcPr>
          <w:p>
            <w:pPr>
              <w:jc w:val="right"/>
              <w:ind w:right="11"/>
              <w:spacing w:after="0"/>
              <w:rPr>
                <w:sz w:val="20"/>
                <w:szCs w:val="20"/>
                <w:color w:val="auto"/>
              </w:rPr>
            </w:pPr>
            <w:r>
              <w:rPr>
                <w:rFonts w:ascii="Arial" w:cs="Arial" w:eastAsia="Arial" w:hAnsi="Arial"/>
                <w:sz w:val="14"/>
                <w:szCs w:val="14"/>
                <w:color w:val="1383C6"/>
                <w:w w:val="76"/>
              </w:rPr>
              <w:t>$</w:t>
            </w:r>
          </w:p>
        </w:tc>
        <w:tc>
          <w:tcPr>
            <w:tcW w:w="11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(2,695,302)</w:t>
            </w:r>
          </w:p>
        </w:tc>
        <w:tc>
          <w:tcPr>
            <w:tcW w:w="60" w:type="dxa"/>
            <w:vAlign w:val="bottom"/>
            <w:shd w:val="clear" w:color="auto" w:fill="E7F2F9"/>
          </w:tcPr>
          <w:p>
            <w:pPr>
              <w:spacing w:after="0"/>
              <w:rPr>
                <w:sz w:val="16"/>
                <w:szCs w:val="16"/>
                <w:color w:val="auto"/>
              </w:rPr>
            </w:pPr>
          </w:p>
        </w:tc>
        <w:tc>
          <w:tcPr>
            <w:tcW w:w="16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1120" w:type="dxa"/>
            <w:vAlign w:val="bottom"/>
            <w:shd w:val="clear" w:color="auto" w:fill="E7F2F9"/>
          </w:tcPr>
          <w:p>
            <w:pPr>
              <w:jc w:val="right"/>
              <w:ind w:right="14"/>
              <w:spacing w:after="0"/>
              <w:rPr>
                <w:sz w:val="20"/>
                <w:szCs w:val="20"/>
                <w:color w:val="auto"/>
              </w:rPr>
            </w:pPr>
            <w:r>
              <w:rPr>
                <w:rFonts w:ascii="Arial" w:cs="Arial" w:eastAsia="Arial" w:hAnsi="Arial"/>
                <w:sz w:val="14"/>
                <w:szCs w:val="14"/>
                <w:color w:val="1383C6"/>
              </w:rPr>
              <w:t>5,349</w:t>
            </w:r>
          </w:p>
        </w:tc>
        <w:tc>
          <w:tcPr>
            <w:tcW w:w="0" w:type="dxa"/>
            <w:vAlign w:val="bottom"/>
          </w:tcPr>
          <w:p>
            <w:pPr>
              <w:spacing w:after="0"/>
              <w:rPr>
                <w:sz w:val="1"/>
                <w:szCs w:val="1"/>
                <w:color w:val="auto"/>
              </w:rPr>
            </w:pPr>
          </w:p>
        </w:tc>
      </w:tr>
      <w:tr>
        <w:trPr>
          <w:trHeight w:val="219"/>
        </w:trPr>
        <w:tc>
          <w:tcPr>
            <w:tcW w:w="2880" w:type="dxa"/>
            <w:vAlign w:val="bottom"/>
            <w:shd w:val="clear" w:color="auto" w:fill="E7F2F9"/>
          </w:tcPr>
          <w:p>
            <w:pPr>
              <w:ind w:left="20"/>
              <w:spacing w:after="0"/>
              <w:rPr>
                <w:sz w:val="20"/>
                <w:szCs w:val="20"/>
                <w:color w:val="auto"/>
              </w:rPr>
            </w:pPr>
            <w:r>
              <w:rPr>
                <w:rFonts w:ascii="Arial" w:cs="Arial" w:eastAsia="Arial" w:hAnsi="Arial"/>
                <w:sz w:val="14"/>
                <w:szCs w:val="14"/>
                <w:color w:val="1383C6"/>
              </w:rPr>
              <w:t>Net loss</w:t>
            </w:r>
          </w:p>
        </w:tc>
        <w:tc>
          <w:tcPr>
            <w:tcW w:w="12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 w:type="dxa"/>
            <w:vAlign w:val="bottom"/>
            <w:shd w:val="clear" w:color="auto" w:fill="E7F2F9"/>
          </w:tcPr>
          <w:p>
            <w:pPr>
              <w:spacing w:after="0"/>
              <w:rPr>
                <w:sz w:val="19"/>
                <w:szCs w:val="19"/>
                <w:color w:val="auto"/>
              </w:rPr>
            </w:pPr>
          </w:p>
        </w:tc>
        <w:tc>
          <w:tcPr>
            <w:tcW w:w="880" w:type="dxa"/>
            <w:vAlign w:val="bottom"/>
            <w:shd w:val="clear" w:color="auto" w:fill="E7F2F9"/>
          </w:tcPr>
          <w:p>
            <w:pPr>
              <w:spacing w:after="0"/>
              <w:rPr>
                <w:sz w:val="19"/>
                <w:szCs w:val="19"/>
                <w:color w:val="auto"/>
              </w:rPr>
            </w:pPr>
          </w:p>
        </w:tc>
        <w:tc>
          <w:tcPr>
            <w:tcW w:w="3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40" w:type="dxa"/>
            <w:vAlign w:val="bottom"/>
            <w:shd w:val="clear" w:color="auto" w:fill="E7F2F9"/>
          </w:tcPr>
          <w:p>
            <w:pPr>
              <w:spacing w:after="0"/>
              <w:rPr>
                <w:sz w:val="19"/>
                <w:szCs w:val="19"/>
                <w:color w:val="auto"/>
              </w:rPr>
            </w:pPr>
          </w:p>
        </w:tc>
        <w:tc>
          <w:tcPr>
            <w:tcW w:w="80" w:type="dxa"/>
            <w:vAlign w:val="bottom"/>
            <w:shd w:val="clear" w:color="auto" w:fill="E7F2F9"/>
          </w:tcPr>
          <w:p>
            <w:pPr>
              <w:spacing w:after="0"/>
              <w:rPr>
                <w:sz w:val="19"/>
                <w:szCs w:val="19"/>
                <w:color w:val="auto"/>
              </w:rPr>
            </w:pPr>
          </w:p>
        </w:tc>
        <w:tc>
          <w:tcPr>
            <w:tcW w:w="160" w:type="dxa"/>
            <w:vAlign w:val="bottom"/>
            <w:shd w:val="clear" w:color="auto" w:fill="E7F2F9"/>
          </w:tcPr>
          <w:p>
            <w:pPr>
              <w:spacing w:after="0"/>
              <w:rPr>
                <w:sz w:val="19"/>
                <w:szCs w:val="19"/>
                <w:color w:val="auto"/>
              </w:rPr>
            </w:pPr>
          </w:p>
        </w:tc>
        <w:tc>
          <w:tcPr>
            <w:tcW w:w="1160" w:type="dxa"/>
            <w:vAlign w:val="bottom"/>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40" w:type="dxa"/>
            <w:vAlign w:val="bottom"/>
            <w:shd w:val="clear" w:color="auto" w:fill="E7F2F9"/>
          </w:tcPr>
          <w:p>
            <w:pPr>
              <w:spacing w:after="0"/>
              <w:rPr>
                <w:sz w:val="19"/>
                <w:szCs w:val="19"/>
                <w:color w:val="auto"/>
              </w:rPr>
            </w:pPr>
          </w:p>
        </w:tc>
        <w:tc>
          <w:tcPr>
            <w:tcW w:w="1200" w:type="dxa"/>
            <w:vAlign w:val="bottom"/>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60" w:type="dxa"/>
            <w:vAlign w:val="bottom"/>
            <w:shd w:val="clear" w:color="auto" w:fill="E7F2F9"/>
          </w:tcPr>
          <w:p>
            <w:pPr>
              <w:spacing w:after="0"/>
              <w:rPr>
                <w:sz w:val="19"/>
                <w:szCs w:val="19"/>
                <w:color w:val="auto"/>
              </w:rPr>
            </w:pPr>
          </w:p>
        </w:tc>
        <w:tc>
          <w:tcPr>
            <w:tcW w:w="11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(8,275)</w:t>
            </w:r>
          </w:p>
        </w:tc>
        <w:tc>
          <w:tcPr>
            <w:tcW w:w="60" w:type="dxa"/>
            <w:vAlign w:val="bottom"/>
            <w:shd w:val="clear" w:color="auto" w:fill="E7F2F9"/>
          </w:tcPr>
          <w:p>
            <w:pPr>
              <w:spacing w:after="0"/>
              <w:rPr>
                <w:sz w:val="19"/>
                <w:szCs w:val="19"/>
                <w:color w:val="auto"/>
              </w:rPr>
            </w:pPr>
          </w:p>
        </w:tc>
        <w:tc>
          <w:tcPr>
            <w:tcW w:w="160" w:type="dxa"/>
            <w:vAlign w:val="bottom"/>
            <w:shd w:val="clear" w:color="auto" w:fill="E7F2F9"/>
          </w:tcPr>
          <w:p>
            <w:pPr>
              <w:spacing w:after="0"/>
              <w:rPr>
                <w:sz w:val="19"/>
                <w:szCs w:val="19"/>
                <w:color w:val="auto"/>
              </w:rPr>
            </w:pPr>
          </w:p>
        </w:tc>
        <w:tc>
          <w:tcPr>
            <w:tcW w:w="11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(8,275)</w:t>
            </w:r>
          </w:p>
        </w:tc>
        <w:tc>
          <w:tcPr>
            <w:tcW w:w="0" w:type="dxa"/>
            <w:vAlign w:val="bottom"/>
          </w:tcPr>
          <w:p>
            <w:pPr>
              <w:spacing w:after="0"/>
              <w:rPr>
                <w:sz w:val="1"/>
                <w:szCs w:val="1"/>
                <w:color w:val="auto"/>
              </w:rPr>
            </w:pPr>
          </w:p>
        </w:tc>
      </w:tr>
      <w:tr>
        <w:trPr>
          <w:trHeight w:val="219"/>
        </w:trPr>
        <w:tc>
          <w:tcPr>
            <w:tcW w:w="2880" w:type="dxa"/>
            <w:vAlign w:val="bottom"/>
            <w:shd w:val="clear" w:color="auto" w:fill="E7F2F9"/>
          </w:tcPr>
          <w:p>
            <w:pPr>
              <w:ind w:left="20"/>
              <w:spacing w:after="0"/>
              <w:rPr>
                <w:sz w:val="20"/>
                <w:szCs w:val="20"/>
                <w:color w:val="auto"/>
              </w:rPr>
            </w:pPr>
            <w:r>
              <w:rPr>
                <w:rFonts w:ascii="Arial" w:cs="Arial" w:eastAsia="Arial" w:hAnsi="Arial"/>
                <w:sz w:val="14"/>
                <w:szCs w:val="14"/>
                <w:color w:val="1383C6"/>
              </w:rPr>
              <w:t>Other comprehensive loss</w:t>
            </w:r>
          </w:p>
        </w:tc>
        <w:tc>
          <w:tcPr>
            <w:tcW w:w="12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 w:type="dxa"/>
            <w:vAlign w:val="bottom"/>
            <w:shd w:val="clear" w:color="auto" w:fill="E7F2F9"/>
          </w:tcPr>
          <w:p>
            <w:pPr>
              <w:spacing w:after="0"/>
              <w:rPr>
                <w:sz w:val="19"/>
                <w:szCs w:val="19"/>
                <w:color w:val="auto"/>
              </w:rPr>
            </w:pPr>
          </w:p>
        </w:tc>
        <w:tc>
          <w:tcPr>
            <w:tcW w:w="880" w:type="dxa"/>
            <w:vAlign w:val="bottom"/>
            <w:shd w:val="clear" w:color="auto" w:fill="E7F2F9"/>
          </w:tcPr>
          <w:p>
            <w:pPr>
              <w:spacing w:after="0"/>
              <w:rPr>
                <w:sz w:val="19"/>
                <w:szCs w:val="19"/>
                <w:color w:val="auto"/>
              </w:rPr>
            </w:pPr>
          </w:p>
        </w:tc>
        <w:tc>
          <w:tcPr>
            <w:tcW w:w="3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40" w:type="dxa"/>
            <w:vAlign w:val="bottom"/>
            <w:shd w:val="clear" w:color="auto" w:fill="E7F2F9"/>
          </w:tcPr>
          <w:p>
            <w:pPr>
              <w:spacing w:after="0"/>
              <w:rPr>
                <w:sz w:val="19"/>
                <w:szCs w:val="19"/>
                <w:color w:val="auto"/>
              </w:rPr>
            </w:pPr>
          </w:p>
        </w:tc>
        <w:tc>
          <w:tcPr>
            <w:tcW w:w="80" w:type="dxa"/>
            <w:vAlign w:val="bottom"/>
            <w:shd w:val="clear" w:color="auto" w:fill="E7F2F9"/>
          </w:tcPr>
          <w:p>
            <w:pPr>
              <w:spacing w:after="0"/>
              <w:rPr>
                <w:sz w:val="19"/>
                <w:szCs w:val="19"/>
                <w:color w:val="auto"/>
              </w:rPr>
            </w:pPr>
          </w:p>
        </w:tc>
        <w:tc>
          <w:tcPr>
            <w:tcW w:w="160" w:type="dxa"/>
            <w:vAlign w:val="bottom"/>
            <w:shd w:val="clear" w:color="auto" w:fill="E7F2F9"/>
          </w:tcPr>
          <w:p>
            <w:pPr>
              <w:spacing w:after="0"/>
              <w:rPr>
                <w:sz w:val="19"/>
                <w:szCs w:val="19"/>
                <w:color w:val="auto"/>
              </w:rPr>
            </w:pPr>
          </w:p>
        </w:tc>
        <w:tc>
          <w:tcPr>
            <w:tcW w:w="1160" w:type="dxa"/>
            <w:vAlign w:val="bottom"/>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40" w:type="dxa"/>
            <w:vAlign w:val="bottom"/>
            <w:shd w:val="clear" w:color="auto" w:fill="E7F2F9"/>
          </w:tcPr>
          <w:p>
            <w:pPr>
              <w:spacing w:after="0"/>
              <w:rPr>
                <w:sz w:val="19"/>
                <w:szCs w:val="19"/>
                <w:color w:val="auto"/>
              </w:rPr>
            </w:pPr>
          </w:p>
        </w:tc>
        <w:tc>
          <w:tcPr>
            <w:tcW w:w="11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(604)</w:t>
            </w:r>
          </w:p>
        </w:tc>
        <w:tc>
          <w:tcPr>
            <w:tcW w:w="80" w:type="dxa"/>
            <w:vAlign w:val="bottom"/>
            <w:shd w:val="clear" w:color="auto" w:fill="E7F2F9"/>
          </w:tcPr>
          <w:p>
            <w:pPr>
              <w:spacing w:after="0"/>
              <w:rPr>
                <w:sz w:val="19"/>
                <w:szCs w:val="19"/>
                <w:color w:val="auto"/>
              </w:rPr>
            </w:pPr>
          </w:p>
        </w:tc>
        <w:tc>
          <w:tcPr>
            <w:tcW w:w="160" w:type="dxa"/>
            <w:vAlign w:val="bottom"/>
            <w:shd w:val="clear" w:color="auto" w:fill="E7F2F9"/>
          </w:tcPr>
          <w:p>
            <w:pPr>
              <w:spacing w:after="0"/>
              <w:rPr>
                <w:sz w:val="19"/>
                <w:szCs w:val="19"/>
                <w:color w:val="auto"/>
              </w:rPr>
            </w:pPr>
          </w:p>
        </w:tc>
        <w:tc>
          <w:tcPr>
            <w:tcW w:w="1160" w:type="dxa"/>
            <w:vAlign w:val="bottom"/>
            <w:gridSpan w:val="2"/>
            <w:shd w:val="clear" w:color="auto" w:fill="E7F2F9"/>
          </w:tcPr>
          <w:p>
            <w:pPr>
              <w:ind w:left="880"/>
              <w:spacing w:after="0"/>
              <w:rPr>
                <w:sz w:val="20"/>
                <w:szCs w:val="20"/>
                <w:color w:val="auto"/>
              </w:rPr>
            </w:pPr>
            <w:r>
              <w:rPr>
                <w:rFonts w:ascii="Arial" w:cs="Arial" w:eastAsia="Arial" w:hAnsi="Arial"/>
                <w:sz w:val="14"/>
                <w:szCs w:val="14"/>
                <w:color w:val="1383C6"/>
              </w:rPr>
              <w:t>—</w:t>
            </w:r>
          </w:p>
        </w:tc>
        <w:tc>
          <w:tcPr>
            <w:tcW w:w="160" w:type="dxa"/>
            <w:vAlign w:val="bottom"/>
            <w:shd w:val="clear" w:color="auto" w:fill="E7F2F9"/>
          </w:tcPr>
          <w:p>
            <w:pPr>
              <w:spacing w:after="0"/>
              <w:rPr>
                <w:sz w:val="19"/>
                <w:szCs w:val="19"/>
                <w:color w:val="auto"/>
              </w:rPr>
            </w:pPr>
          </w:p>
        </w:tc>
        <w:tc>
          <w:tcPr>
            <w:tcW w:w="11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(604)</w:t>
            </w:r>
          </w:p>
        </w:tc>
        <w:tc>
          <w:tcPr>
            <w:tcW w:w="0" w:type="dxa"/>
            <w:vAlign w:val="bottom"/>
          </w:tcPr>
          <w:p>
            <w:pPr>
              <w:spacing w:after="0"/>
              <w:rPr>
                <w:sz w:val="1"/>
                <w:szCs w:val="1"/>
                <w:color w:val="auto"/>
              </w:rPr>
            </w:pPr>
          </w:p>
        </w:tc>
      </w:tr>
      <w:tr>
        <w:trPr>
          <w:trHeight w:val="193"/>
        </w:trPr>
        <w:tc>
          <w:tcPr>
            <w:tcW w:w="2880" w:type="dxa"/>
            <w:vAlign w:val="bottom"/>
            <w:shd w:val="clear" w:color="auto" w:fill="E7F2F9"/>
          </w:tcPr>
          <w:p>
            <w:pPr>
              <w:ind w:left="20"/>
              <w:spacing w:after="0"/>
              <w:rPr>
                <w:sz w:val="20"/>
                <w:szCs w:val="20"/>
                <w:color w:val="auto"/>
              </w:rPr>
            </w:pPr>
            <w:r>
              <w:rPr>
                <w:rFonts w:ascii="Arial" w:cs="Arial" w:eastAsia="Arial" w:hAnsi="Arial"/>
                <w:sz w:val="14"/>
                <w:szCs w:val="14"/>
                <w:color w:val="1383C6"/>
                <w:w w:val="99"/>
              </w:rPr>
              <w:t>Issuance of common stock in conjunction with</w:t>
            </w:r>
          </w:p>
        </w:tc>
        <w:tc>
          <w:tcPr>
            <w:tcW w:w="1240" w:type="dxa"/>
            <w:vAlign w:val="bottom"/>
            <w:shd w:val="clear" w:color="auto" w:fill="E7F2F9"/>
          </w:tcPr>
          <w:p>
            <w:pPr>
              <w:spacing w:after="0"/>
              <w:rPr>
                <w:sz w:val="16"/>
                <w:szCs w:val="16"/>
                <w:color w:val="auto"/>
              </w:rPr>
            </w:pPr>
          </w:p>
        </w:tc>
        <w:tc>
          <w:tcPr>
            <w:tcW w:w="80" w:type="dxa"/>
            <w:vAlign w:val="bottom"/>
            <w:shd w:val="clear" w:color="auto" w:fill="E7F2F9"/>
          </w:tcPr>
          <w:p>
            <w:pPr>
              <w:spacing w:after="0"/>
              <w:rPr>
                <w:sz w:val="16"/>
                <w:szCs w:val="16"/>
                <w:color w:val="auto"/>
              </w:rPr>
            </w:pPr>
          </w:p>
        </w:tc>
        <w:tc>
          <w:tcPr>
            <w:tcW w:w="880" w:type="dxa"/>
            <w:vAlign w:val="bottom"/>
            <w:shd w:val="clear" w:color="auto" w:fill="E7F2F9"/>
          </w:tcPr>
          <w:p>
            <w:pPr>
              <w:spacing w:after="0"/>
              <w:rPr>
                <w:sz w:val="16"/>
                <w:szCs w:val="16"/>
                <w:color w:val="auto"/>
              </w:rPr>
            </w:pPr>
          </w:p>
        </w:tc>
        <w:tc>
          <w:tcPr>
            <w:tcW w:w="320" w:type="dxa"/>
            <w:vAlign w:val="bottom"/>
            <w:shd w:val="clear" w:color="auto" w:fill="E7F2F9"/>
          </w:tcPr>
          <w:p>
            <w:pPr>
              <w:spacing w:after="0"/>
              <w:rPr>
                <w:sz w:val="16"/>
                <w:szCs w:val="16"/>
                <w:color w:val="auto"/>
              </w:rPr>
            </w:pPr>
          </w:p>
        </w:tc>
        <w:tc>
          <w:tcPr>
            <w:tcW w:w="40" w:type="dxa"/>
            <w:vAlign w:val="bottom"/>
            <w:shd w:val="clear" w:color="auto" w:fill="E7F2F9"/>
          </w:tcPr>
          <w:p>
            <w:pPr>
              <w:spacing w:after="0"/>
              <w:rPr>
                <w:sz w:val="16"/>
                <w:szCs w:val="16"/>
                <w:color w:val="auto"/>
              </w:rPr>
            </w:pPr>
          </w:p>
        </w:tc>
        <w:tc>
          <w:tcPr>
            <w:tcW w:w="80" w:type="dxa"/>
            <w:vAlign w:val="bottom"/>
            <w:shd w:val="clear" w:color="auto" w:fill="E7F2F9"/>
          </w:tcPr>
          <w:p>
            <w:pPr>
              <w:spacing w:after="0"/>
              <w:rPr>
                <w:sz w:val="16"/>
                <w:szCs w:val="16"/>
                <w:color w:val="auto"/>
              </w:rPr>
            </w:pPr>
          </w:p>
        </w:tc>
        <w:tc>
          <w:tcPr>
            <w:tcW w:w="160" w:type="dxa"/>
            <w:vAlign w:val="bottom"/>
            <w:shd w:val="clear" w:color="auto" w:fill="E7F2F9"/>
          </w:tcPr>
          <w:p>
            <w:pPr>
              <w:spacing w:after="0"/>
              <w:rPr>
                <w:sz w:val="16"/>
                <w:szCs w:val="16"/>
                <w:color w:val="auto"/>
              </w:rPr>
            </w:pPr>
          </w:p>
        </w:tc>
        <w:tc>
          <w:tcPr>
            <w:tcW w:w="1080" w:type="dxa"/>
            <w:vAlign w:val="bottom"/>
            <w:shd w:val="clear" w:color="auto" w:fill="E7F2F9"/>
          </w:tcPr>
          <w:p>
            <w:pPr>
              <w:spacing w:after="0"/>
              <w:rPr>
                <w:sz w:val="16"/>
                <w:szCs w:val="16"/>
                <w:color w:val="auto"/>
              </w:rPr>
            </w:pPr>
          </w:p>
        </w:tc>
        <w:tc>
          <w:tcPr>
            <w:tcW w:w="80" w:type="dxa"/>
            <w:vAlign w:val="bottom"/>
            <w:shd w:val="clear" w:color="auto" w:fill="E7F2F9"/>
          </w:tcPr>
          <w:p>
            <w:pPr>
              <w:spacing w:after="0"/>
              <w:rPr>
                <w:sz w:val="16"/>
                <w:szCs w:val="16"/>
                <w:color w:val="auto"/>
              </w:rPr>
            </w:pPr>
          </w:p>
        </w:tc>
        <w:tc>
          <w:tcPr>
            <w:tcW w:w="140" w:type="dxa"/>
            <w:vAlign w:val="bottom"/>
            <w:shd w:val="clear" w:color="auto" w:fill="E7F2F9"/>
          </w:tcPr>
          <w:p>
            <w:pPr>
              <w:spacing w:after="0"/>
              <w:rPr>
                <w:sz w:val="16"/>
                <w:szCs w:val="16"/>
                <w:color w:val="auto"/>
              </w:rPr>
            </w:pPr>
          </w:p>
        </w:tc>
        <w:tc>
          <w:tcPr>
            <w:tcW w:w="1120" w:type="dxa"/>
            <w:vAlign w:val="bottom"/>
            <w:shd w:val="clear" w:color="auto" w:fill="E7F2F9"/>
          </w:tcPr>
          <w:p>
            <w:pPr>
              <w:spacing w:after="0"/>
              <w:rPr>
                <w:sz w:val="16"/>
                <w:szCs w:val="16"/>
                <w:color w:val="auto"/>
              </w:rPr>
            </w:pPr>
          </w:p>
        </w:tc>
        <w:tc>
          <w:tcPr>
            <w:tcW w:w="80" w:type="dxa"/>
            <w:vAlign w:val="bottom"/>
            <w:shd w:val="clear" w:color="auto" w:fill="E7F2F9"/>
          </w:tcPr>
          <w:p>
            <w:pPr>
              <w:spacing w:after="0"/>
              <w:rPr>
                <w:sz w:val="16"/>
                <w:szCs w:val="16"/>
                <w:color w:val="auto"/>
              </w:rPr>
            </w:pPr>
          </w:p>
        </w:tc>
        <w:tc>
          <w:tcPr>
            <w:tcW w:w="160" w:type="dxa"/>
            <w:vAlign w:val="bottom"/>
            <w:shd w:val="clear" w:color="auto" w:fill="E7F2F9"/>
          </w:tcPr>
          <w:p>
            <w:pPr>
              <w:spacing w:after="0"/>
              <w:rPr>
                <w:sz w:val="16"/>
                <w:szCs w:val="16"/>
                <w:color w:val="auto"/>
              </w:rPr>
            </w:pPr>
          </w:p>
        </w:tc>
        <w:tc>
          <w:tcPr>
            <w:tcW w:w="1100" w:type="dxa"/>
            <w:vAlign w:val="bottom"/>
            <w:shd w:val="clear" w:color="auto" w:fill="E7F2F9"/>
          </w:tcPr>
          <w:p>
            <w:pPr>
              <w:spacing w:after="0"/>
              <w:rPr>
                <w:sz w:val="16"/>
                <w:szCs w:val="16"/>
                <w:color w:val="auto"/>
              </w:rPr>
            </w:pPr>
          </w:p>
        </w:tc>
        <w:tc>
          <w:tcPr>
            <w:tcW w:w="60" w:type="dxa"/>
            <w:vAlign w:val="bottom"/>
            <w:shd w:val="clear" w:color="auto" w:fill="E7F2F9"/>
          </w:tcPr>
          <w:p>
            <w:pPr>
              <w:spacing w:after="0"/>
              <w:rPr>
                <w:sz w:val="16"/>
                <w:szCs w:val="16"/>
                <w:color w:val="auto"/>
              </w:rPr>
            </w:pPr>
          </w:p>
        </w:tc>
        <w:tc>
          <w:tcPr>
            <w:tcW w:w="160" w:type="dxa"/>
            <w:vAlign w:val="bottom"/>
            <w:shd w:val="clear" w:color="auto" w:fill="E7F2F9"/>
          </w:tcPr>
          <w:p>
            <w:pPr>
              <w:spacing w:after="0"/>
              <w:rPr>
                <w:sz w:val="16"/>
                <w:szCs w:val="16"/>
                <w:color w:val="auto"/>
              </w:rPr>
            </w:pPr>
          </w:p>
        </w:tc>
        <w:tc>
          <w:tcPr>
            <w:tcW w:w="1120" w:type="dxa"/>
            <w:vAlign w:val="bottom"/>
            <w:shd w:val="clear" w:color="auto" w:fill="E7F2F9"/>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80" w:type="dxa"/>
            <w:vAlign w:val="bottom"/>
            <w:shd w:val="clear" w:color="auto" w:fill="E7F2F9"/>
          </w:tcPr>
          <w:p>
            <w:pPr>
              <w:ind w:left="20"/>
              <w:spacing w:after="0"/>
              <w:rPr>
                <w:sz w:val="20"/>
                <w:szCs w:val="20"/>
                <w:color w:val="auto"/>
              </w:rPr>
            </w:pPr>
            <w:r>
              <w:rPr>
                <w:rFonts w:ascii="Arial" w:cs="Arial" w:eastAsia="Arial" w:hAnsi="Arial"/>
                <w:sz w:val="14"/>
                <w:szCs w:val="14"/>
                <w:color w:val="1383C6"/>
              </w:rPr>
              <w:t>equity plans</w:t>
            </w:r>
          </w:p>
        </w:tc>
        <w:tc>
          <w:tcPr>
            <w:tcW w:w="12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8,531</w:t>
            </w:r>
          </w:p>
        </w:tc>
        <w:tc>
          <w:tcPr>
            <w:tcW w:w="80" w:type="dxa"/>
            <w:vAlign w:val="bottom"/>
            <w:shd w:val="clear" w:color="auto" w:fill="E7F2F9"/>
          </w:tcPr>
          <w:p>
            <w:pPr>
              <w:spacing w:after="0"/>
              <w:rPr>
                <w:sz w:val="16"/>
                <w:szCs w:val="16"/>
                <w:color w:val="auto"/>
              </w:rPr>
            </w:pPr>
          </w:p>
        </w:tc>
        <w:tc>
          <w:tcPr>
            <w:tcW w:w="880" w:type="dxa"/>
            <w:vAlign w:val="bottom"/>
            <w:shd w:val="clear" w:color="auto" w:fill="E7F2F9"/>
          </w:tcPr>
          <w:p>
            <w:pPr>
              <w:spacing w:after="0"/>
              <w:rPr>
                <w:sz w:val="16"/>
                <w:szCs w:val="16"/>
                <w:color w:val="auto"/>
              </w:rPr>
            </w:pPr>
          </w:p>
        </w:tc>
        <w:tc>
          <w:tcPr>
            <w:tcW w:w="32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9</w:t>
            </w:r>
          </w:p>
        </w:tc>
        <w:tc>
          <w:tcPr>
            <w:tcW w:w="40" w:type="dxa"/>
            <w:vAlign w:val="bottom"/>
            <w:shd w:val="clear" w:color="auto" w:fill="E7F2F9"/>
          </w:tcPr>
          <w:p>
            <w:pPr>
              <w:spacing w:after="0"/>
              <w:rPr>
                <w:sz w:val="16"/>
                <w:szCs w:val="16"/>
                <w:color w:val="auto"/>
              </w:rPr>
            </w:pPr>
          </w:p>
        </w:tc>
        <w:tc>
          <w:tcPr>
            <w:tcW w:w="80" w:type="dxa"/>
            <w:vAlign w:val="bottom"/>
            <w:shd w:val="clear" w:color="auto" w:fill="E7F2F9"/>
          </w:tcPr>
          <w:p>
            <w:pPr>
              <w:spacing w:after="0"/>
              <w:rPr>
                <w:sz w:val="16"/>
                <w:szCs w:val="16"/>
                <w:color w:val="auto"/>
              </w:rPr>
            </w:pPr>
          </w:p>
        </w:tc>
        <w:tc>
          <w:tcPr>
            <w:tcW w:w="160" w:type="dxa"/>
            <w:vAlign w:val="bottom"/>
            <w:shd w:val="clear" w:color="auto" w:fill="E7F2F9"/>
          </w:tcPr>
          <w:p>
            <w:pPr>
              <w:spacing w:after="0"/>
              <w:rPr>
                <w:sz w:val="16"/>
                <w:szCs w:val="16"/>
                <w:color w:val="auto"/>
              </w:rPr>
            </w:pPr>
          </w:p>
        </w:tc>
        <w:tc>
          <w:tcPr>
            <w:tcW w:w="108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1,428</w:t>
            </w:r>
          </w:p>
        </w:tc>
        <w:tc>
          <w:tcPr>
            <w:tcW w:w="80" w:type="dxa"/>
            <w:vAlign w:val="bottom"/>
            <w:shd w:val="clear" w:color="auto" w:fill="E7F2F9"/>
          </w:tcPr>
          <w:p>
            <w:pPr>
              <w:spacing w:after="0"/>
              <w:rPr>
                <w:sz w:val="16"/>
                <w:szCs w:val="16"/>
                <w:color w:val="auto"/>
              </w:rPr>
            </w:pPr>
          </w:p>
        </w:tc>
        <w:tc>
          <w:tcPr>
            <w:tcW w:w="140" w:type="dxa"/>
            <w:vAlign w:val="bottom"/>
            <w:shd w:val="clear" w:color="auto" w:fill="E7F2F9"/>
          </w:tcPr>
          <w:p>
            <w:pPr>
              <w:spacing w:after="0"/>
              <w:rPr>
                <w:sz w:val="16"/>
                <w:szCs w:val="16"/>
                <w:color w:val="auto"/>
              </w:rPr>
            </w:pPr>
          </w:p>
        </w:tc>
        <w:tc>
          <w:tcPr>
            <w:tcW w:w="1200" w:type="dxa"/>
            <w:vAlign w:val="bottom"/>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60" w:type="dxa"/>
            <w:vAlign w:val="bottom"/>
            <w:shd w:val="clear" w:color="auto" w:fill="E7F2F9"/>
          </w:tcPr>
          <w:p>
            <w:pPr>
              <w:spacing w:after="0"/>
              <w:rPr>
                <w:sz w:val="16"/>
                <w:szCs w:val="16"/>
                <w:color w:val="auto"/>
              </w:rPr>
            </w:pPr>
          </w:p>
        </w:tc>
        <w:tc>
          <w:tcPr>
            <w:tcW w:w="1160" w:type="dxa"/>
            <w:vAlign w:val="bottom"/>
            <w:gridSpan w:val="2"/>
            <w:shd w:val="clear" w:color="auto" w:fill="E7F2F9"/>
          </w:tcPr>
          <w:p>
            <w:pPr>
              <w:ind w:left="880"/>
              <w:spacing w:after="0"/>
              <w:rPr>
                <w:sz w:val="20"/>
                <w:szCs w:val="20"/>
                <w:color w:val="auto"/>
              </w:rPr>
            </w:pPr>
            <w:r>
              <w:rPr>
                <w:rFonts w:ascii="Arial" w:cs="Arial" w:eastAsia="Arial" w:hAnsi="Arial"/>
                <w:sz w:val="14"/>
                <w:szCs w:val="14"/>
                <w:color w:val="1383C6"/>
              </w:rPr>
              <w:t>—</w:t>
            </w:r>
          </w:p>
        </w:tc>
        <w:tc>
          <w:tcPr>
            <w:tcW w:w="160" w:type="dxa"/>
            <w:vAlign w:val="bottom"/>
            <w:shd w:val="clear" w:color="auto" w:fill="E7F2F9"/>
          </w:tcPr>
          <w:p>
            <w:pPr>
              <w:spacing w:after="0"/>
              <w:rPr>
                <w:sz w:val="16"/>
                <w:szCs w:val="16"/>
                <w:color w:val="auto"/>
              </w:rPr>
            </w:pPr>
          </w:p>
        </w:tc>
        <w:tc>
          <w:tcPr>
            <w:tcW w:w="1120" w:type="dxa"/>
            <w:vAlign w:val="bottom"/>
            <w:shd w:val="clear" w:color="auto" w:fill="E7F2F9"/>
          </w:tcPr>
          <w:p>
            <w:pPr>
              <w:jc w:val="right"/>
              <w:ind w:right="14"/>
              <w:spacing w:after="0"/>
              <w:rPr>
                <w:sz w:val="20"/>
                <w:szCs w:val="20"/>
                <w:color w:val="auto"/>
              </w:rPr>
            </w:pPr>
            <w:r>
              <w:rPr>
                <w:rFonts w:ascii="Arial" w:cs="Arial" w:eastAsia="Arial" w:hAnsi="Arial"/>
                <w:sz w:val="14"/>
                <w:szCs w:val="14"/>
                <w:color w:val="1383C6"/>
              </w:rPr>
              <w:t>1,437</w:t>
            </w:r>
          </w:p>
        </w:tc>
        <w:tc>
          <w:tcPr>
            <w:tcW w:w="0" w:type="dxa"/>
            <w:vAlign w:val="bottom"/>
          </w:tcPr>
          <w:p>
            <w:pPr>
              <w:spacing w:after="0"/>
              <w:rPr>
                <w:sz w:val="1"/>
                <w:szCs w:val="1"/>
                <w:color w:val="auto"/>
              </w:rPr>
            </w:pPr>
          </w:p>
        </w:tc>
      </w:tr>
      <w:tr>
        <w:trPr>
          <w:trHeight w:val="245"/>
        </w:trPr>
        <w:tc>
          <w:tcPr>
            <w:tcW w:w="288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4"/>
                <w:szCs w:val="14"/>
                <w:color w:val="1383C6"/>
              </w:rPr>
              <w:t>Share-based compensation expense</w:t>
            </w:r>
          </w:p>
        </w:tc>
        <w:tc>
          <w:tcPr>
            <w:tcW w:w="12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80" w:type="dxa"/>
            <w:vAlign w:val="bottom"/>
            <w:tcBorders>
              <w:bottom w:val="single" w:sz="8" w:color="E7F2F9"/>
            </w:tcBorders>
            <w:shd w:val="clear" w:color="auto" w:fill="E7F2F9"/>
          </w:tcPr>
          <w:p>
            <w:pPr>
              <w:spacing w:after="0"/>
              <w:rPr>
                <w:sz w:val="20"/>
                <w:szCs w:val="20"/>
                <w:color w:val="auto"/>
              </w:rPr>
            </w:pPr>
          </w:p>
        </w:tc>
        <w:tc>
          <w:tcPr>
            <w:tcW w:w="880" w:type="dxa"/>
            <w:vAlign w:val="bottom"/>
            <w:tcBorders>
              <w:bottom w:val="single" w:sz="8" w:color="E7F2F9"/>
            </w:tcBorders>
            <w:shd w:val="clear" w:color="auto" w:fill="E7F2F9"/>
          </w:tcPr>
          <w:p>
            <w:pPr>
              <w:spacing w:after="0"/>
              <w:rPr>
                <w:sz w:val="20"/>
                <w:szCs w:val="20"/>
                <w:color w:val="auto"/>
              </w:rPr>
            </w:pPr>
          </w:p>
        </w:tc>
        <w:tc>
          <w:tcPr>
            <w:tcW w:w="32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40" w:type="dxa"/>
            <w:vAlign w:val="bottom"/>
            <w:tcBorders>
              <w:bottom w:val="single" w:sz="8" w:color="E7F2F9"/>
            </w:tcBorders>
            <w:shd w:val="clear" w:color="auto" w:fill="E7F2F9"/>
          </w:tcPr>
          <w:p>
            <w:pPr>
              <w:spacing w:after="0"/>
              <w:rPr>
                <w:sz w:val="20"/>
                <w:szCs w:val="20"/>
                <w:color w:val="auto"/>
              </w:rPr>
            </w:pPr>
          </w:p>
        </w:tc>
        <w:tc>
          <w:tcPr>
            <w:tcW w:w="80" w:type="dxa"/>
            <w:vAlign w:val="bottom"/>
            <w:tcBorders>
              <w:bottom w:val="single" w:sz="8" w:color="E7F2F9"/>
            </w:tcBorders>
            <w:shd w:val="clear" w:color="auto" w:fill="E7F2F9"/>
          </w:tcPr>
          <w:p>
            <w:pPr>
              <w:spacing w:after="0"/>
              <w:rPr>
                <w:sz w:val="20"/>
                <w:szCs w:val="20"/>
                <w:color w:val="auto"/>
              </w:rPr>
            </w:pPr>
          </w:p>
        </w:tc>
        <w:tc>
          <w:tcPr>
            <w:tcW w:w="160" w:type="dxa"/>
            <w:vAlign w:val="bottom"/>
            <w:tcBorders>
              <w:bottom w:val="single" w:sz="8" w:color="E7F2F9"/>
            </w:tcBorders>
            <w:shd w:val="clear" w:color="auto" w:fill="E7F2F9"/>
          </w:tcPr>
          <w:p>
            <w:pPr>
              <w:spacing w:after="0"/>
              <w:rPr>
                <w:sz w:val="20"/>
                <w:szCs w:val="20"/>
                <w:color w:val="auto"/>
              </w:rPr>
            </w:pPr>
          </w:p>
        </w:tc>
        <w:tc>
          <w:tcPr>
            <w:tcW w:w="108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4,459</w:t>
            </w:r>
          </w:p>
        </w:tc>
        <w:tc>
          <w:tcPr>
            <w:tcW w:w="80" w:type="dxa"/>
            <w:vAlign w:val="bottom"/>
            <w:tcBorders>
              <w:bottom w:val="single" w:sz="8" w:color="E7F2F9"/>
            </w:tcBorders>
            <w:shd w:val="clear" w:color="auto" w:fill="E7F2F9"/>
          </w:tcPr>
          <w:p>
            <w:pPr>
              <w:spacing w:after="0"/>
              <w:rPr>
                <w:sz w:val="20"/>
                <w:szCs w:val="20"/>
                <w:color w:val="auto"/>
              </w:rPr>
            </w:pPr>
          </w:p>
        </w:tc>
        <w:tc>
          <w:tcPr>
            <w:tcW w:w="140" w:type="dxa"/>
            <w:vAlign w:val="bottom"/>
            <w:tcBorders>
              <w:bottom w:val="single" w:sz="8" w:color="E7F2F9"/>
            </w:tcBorders>
            <w:shd w:val="clear" w:color="auto" w:fill="E7F2F9"/>
          </w:tcPr>
          <w:p>
            <w:pPr>
              <w:spacing w:after="0"/>
              <w:rPr>
                <w:sz w:val="20"/>
                <w:szCs w:val="20"/>
                <w:color w:val="auto"/>
              </w:rPr>
            </w:pPr>
          </w:p>
        </w:tc>
        <w:tc>
          <w:tcPr>
            <w:tcW w:w="1200" w:type="dxa"/>
            <w:vAlign w:val="bottom"/>
            <w:tcBorders>
              <w:bottom w:val="single" w:sz="8" w:color="E7F2F9"/>
            </w:tcBorders>
            <w:gridSpan w:val="2"/>
            <w:shd w:val="clear" w:color="auto" w:fill="E7F2F9"/>
          </w:tcPr>
          <w:p>
            <w:pPr>
              <w:jc w:val="right"/>
              <w:ind w:right="140"/>
              <w:spacing w:after="0"/>
              <w:rPr>
                <w:sz w:val="20"/>
                <w:szCs w:val="20"/>
                <w:color w:val="auto"/>
              </w:rPr>
            </w:pPr>
            <w:r>
              <w:rPr>
                <w:rFonts w:ascii="Arial" w:cs="Arial" w:eastAsia="Arial" w:hAnsi="Arial"/>
                <w:sz w:val="14"/>
                <w:szCs w:val="14"/>
                <w:color w:val="1383C6"/>
              </w:rPr>
              <w:t>—</w:t>
            </w:r>
          </w:p>
        </w:tc>
        <w:tc>
          <w:tcPr>
            <w:tcW w:w="160" w:type="dxa"/>
            <w:vAlign w:val="bottom"/>
            <w:tcBorders>
              <w:bottom w:val="single" w:sz="8" w:color="E7F2F9"/>
            </w:tcBorders>
            <w:shd w:val="clear" w:color="auto" w:fill="E7F2F9"/>
          </w:tcPr>
          <w:p>
            <w:pPr>
              <w:spacing w:after="0"/>
              <w:rPr>
                <w:sz w:val="20"/>
                <w:szCs w:val="20"/>
                <w:color w:val="auto"/>
              </w:rPr>
            </w:pPr>
          </w:p>
        </w:tc>
        <w:tc>
          <w:tcPr>
            <w:tcW w:w="1160" w:type="dxa"/>
            <w:vAlign w:val="bottom"/>
            <w:tcBorders>
              <w:bottom w:val="single" w:sz="8" w:color="E7F2F9"/>
            </w:tcBorders>
            <w:gridSpan w:val="2"/>
            <w:shd w:val="clear" w:color="auto" w:fill="E7F2F9"/>
          </w:tcPr>
          <w:p>
            <w:pPr>
              <w:ind w:left="880"/>
              <w:spacing w:after="0"/>
              <w:rPr>
                <w:sz w:val="20"/>
                <w:szCs w:val="20"/>
                <w:color w:val="auto"/>
              </w:rPr>
            </w:pPr>
            <w:r>
              <w:rPr>
                <w:rFonts w:ascii="Arial" w:cs="Arial" w:eastAsia="Arial" w:hAnsi="Arial"/>
                <w:sz w:val="14"/>
                <w:szCs w:val="14"/>
                <w:color w:val="1383C6"/>
              </w:rPr>
              <w:t>—</w:t>
            </w:r>
          </w:p>
        </w:tc>
        <w:tc>
          <w:tcPr>
            <w:tcW w:w="160" w:type="dxa"/>
            <w:vAlign w:val="bottom"/>
            <w:tcBorders>
              <w:bottom w:val="single" w:sz="8" w:color="E7F2F9"/>
            </w:tcBorders>
            <w:shd w:val="clear" w:color="auto" w:fill="E7F2F9"/>
          </w:tcPr>
          <w:p>
            <w:pPr>
              <w:spacing w:after="0"/>
              <w:rPr>
                <w:sz w:val="20"/>
                <w:szCs w:val="20"/>
                <w:color w:val="auto"/>
              </w:rPr>
            </w:pPr>
          </w:p>
        </w:tc>
        <w:tc>
          <w:tcPr>
            <w:tcW w:w="1120" w:type="dxa"/>
            <w:vAlign w:val="bottom"/>
            <w:tcBorders>
              <w:bottom w:val="single" w:sz="8" w:color="E7F2F9"/>
            </w:tcBorders>
            <w:shd w:val="clear" w:color="auto" w:fill="E7F2F9"/>
          </w:tcPr>
          <w:p>
            <w:pPr>
              <w:jc w:val="right"/>
              <w:ind w:right="14"/>
              <w:spacing w:after="0"/>
              <w:rPr>
                <w:sz w:val="20"/>
                <w:szCs w:val="20"/>
                <w:color w:val="auto"/>
              </w:rPr>
            </w:pPr>
            <w:r>
              <w:rPr>
                <w:rFonts w:ascii="Arial" w:cs="Arial" w:eastAsia="Arial" w:hAnsi="Arial"/>
                <w:sz w:val="14"/>
                <w:szCs w:val="14"/>
                <w:color w:val="1383C6"/>
              </w:rPr>
              <w:t>4,459</w:t>
            </w:r>
          </w:p>
        </w:tc>
        <w:tc>
          <w:tcPr>
            <w:tcW w:w="0" w:type="dxa"/>
            <w:vAlign w:val="bottom"/>
          </w:tcPr>
          <w:p>
            <w:pPr>
              <w:spacing w:after="0"/>
              <w:rPr>
                <w:sz w:val="1"/>
                <w:szCs w:val="1"/>
                <w:color w:val="auto"/>
              </w:rPr>
            </w:pPr>
          </w:p>
        </w:tc>
      </w:tr>
      <w:tr>
        <w:trPr>
          <w:trHeight w:val="237"/>
        </w:trPr>
        <w:tc>
          <w:tcPr>
            <w:tcW w:w="2880" w:type="dxa"/>
            <w:vAlign w:val="bottom"/>
            <w:tcBorders>
              <w:top w:val="single" w:sz="8" w:color="E7F2F9"/>
              <w:bottom w:val="single" w:sz="8" w:color="E7F2F9"/>
            </w:tcBorders>
            <w:shd w:val="clear" w:color="auto" w:fill="E7F2F9"/>
          </w:tcPr>
          <w:p>
            <w:pPr>
              <w:ind w:left="20"/>
              <w:spacing w:after="0"/>
              <w:rPr>
                <w:sz w:val="20"/>
                <w:szCs w:val="20"/>
                <w:color w:val="auto"/>
              </w:rPr>
            </w:pPr>
            <w:r>
              <w:rPr>
                <w:rFonts w:ascii="Arial" w:cs="Arial" w:eastAsia="Arial" w:hAnsi="Arial"/>
                <w:sz w:val="14"/>
                <w:szCs w:val="14"/>
                <w:b w:val="1"/>
                <w:bCs w:val="1"/>
                <w:color w:val="1383C6"/>
              </w:rPr>
              <w:t>Balance at March 31, 2026</w:t>
            </w:r>
          </w:p>
        </w:tc>
        <w:tc>
          <w:tcPr>
            <w:tcW w:w="12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310,487</w:t>
            </w: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880" w:type="dxa"/>
            <w:vAlign w:val="bottom"/>
            <w:tcBorders>
              <w:top w:val="single" w:sz="8" w:color="auto"/>
              <w:bottom w:val="single" w:sz="8" w:color="E7F2F9"/>
            </w:tcBorders>
            <w:shd w:val="clear" w:color="auto" w:fill="E7F2F9"/>
          </w:tcPr>
          <w:p>
            <w:pPr>
              <w:jc w:val="right"/>
              <w:ind w:right="736"/>
              <w:spacing w:after="0"/>
              <w:rPr>
                <w:sz w:val="20"/>
                <w:szCs w:val="20"/>
                <w:color w:val="auto"/>
              </w:rPr>
            </w:pPr>
            <w:r>
              <w:rPr>
                <w:rFonts w:ascii="Arial" w:cs="Arial" w:eastAsia="Arial" w:hAnsi="Arial"/>
                <w:sz w:val="14"/>
                <w:szCs w:val="14"/>
                <w:color w:val="1383C6"/>
                <w:w w:val="76"/>
              </w:rPr>
              <w:t>$</w:t>
            </w:r>
          </w:p>
        </w:tc>
        <w:tc>
          <w:tcPr>
            <w:tcW w:w="32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311</w:t>
            </w:r>
          </w:p>
        </w:tc>
        <w:tc>
          <w:tcPr>
            <w:tcW w:w="40" w:type="dxa"/>
            <w:vAlign w:val="bottom"/>
            <w:tcBorders>
              <w:top w:val="single" w:sz="8" w:color="auto"/>
              <w:bottom w:val="single" w:sz="8" w:color="E7F2F9"/>
            </w:tcBorders>
            <w:shd w:val="clear" w:color="auto" w:fill="E7F2F9"/>
          </w:tcPr>
          <w:p>
            <w:pPr>
              <w:spacing w:after="0"/>
              <w:rPr>
                <w:sz w:val="20"/>
                <w:szCs w:val="20"/>
                <w:color w:val="auto"/>
              </w:rPr>
            </w:pP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160" w:type="dxa"/>
            <w:vAlign w:val="bottom"/>
            <w:tcBorders>
              <w:top w:val="single" w:sz="8" w:color="auto"/>
              <w:bottom w:val="single" w:sz="8" w:color="E7F2F9"/>
            </w:tcBorders>
            <w:shd w:val="clear" w:color="auto" w:fill="E7F2F9"/>
          </w:tcPr>
          <w:p>
            <w:pPr>
              <w:jc w:val="right"/>
              <w:ind w:right="11"/>
              <w:spacing w:after="0"/>
              <w:rPr>
                <w:sz w:val="20"/>
                <w:szCs w:val="20"/>
                <w:color w:val="auto"/>
              </w:rPr>
            </w:pPr>
            <w:r>
              <w:rPr>
                <w:rFonts w:ascii="Arial" w:cs="Arial" w:eastAsia="Arial" w:hAnsi="Arial"/>
                <w:sz w:val="14"/>
                <w:szCs w:val="14"/>
                <w:color w:val="1383C6"/>
                <w:w w:val="76"/>
              </w:rPr>
              <w:t>$</w:t>
            </w:r>
          </w:p>
        </w:tc>
        <w:tc>
          <w:tcPr>
            <w:tcW w:w="108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2,705,779</w:t>
            </w: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1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w w:val="76"/>
              </w:rPr>
              <w:t>$</w:t>
            </w:r>
          </w:p>
        </w:tc>
        <w:tc>
          <w:tcPr>
            <w:tcW w:w="112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(147)</w:t>
            </w: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160" w:type="dxa"/>
            <w:vAlign w:val="bottom"/>
            <w:tcBorders>
              <w:top w:val="single" w:sz="8" w:color="auto"/>
              <w:bottom w:val="single" w:sz="8" w:color="E7F2F9"/>
            </w:tcBorders>
            <w:shd w:val="clear" w:color="auto" w:fill="E7F2F9"/>
          </w:tcPr>
          <w:p>
            <w:pPr>
              <w:jc w:val="right"/>
              <w:ind w:right="11"/>
              <w:spacing w:after="0"/>
              <w:rPr>
                <w:sz w:val="20"/>
                <w:szCs w:val="20"/>
                <w:color w:val="auto"/>
              </w:rPr>
            </w:pPr>
            <w:r>
              <w:rPr>
                <w:rFonts w:ascii="Arial" w:cs="Arial" w:eastAsia="Arial" w:hAnsi="Arial"/>
                <w:sz w:val="14"/>
                <w:szCs w:val="14"/>
                <w:color w:val="1383C6"/>
                <w:w w:val="76"/>
              </w:rPr>
              <w:t>$</w:t>
            </w:r>
          </w:p>
        </w:tc>
        <w:tc>
          <w:tcPr>
            <w:tcW w:w="110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(2,703,577)</w:t>
            </w:r>
          </w:p>
        </w:tc>
        <w:tc>
          <w:tcPr>
            <w:tcW w:w="60" w:type="dxa"/>
            <w:vAlign w:val="bottom"/>
            <w:tcBorders>
              <w:top w:val="single" w:sz="8" w:color="E7F2F9"/>
              <w:bottom w:val="single" w:sz="8" w:color="E7F2F9"/>
            </w:tcBorders>
            <w:shd w:val="clear" w:color="auto" w:fill="E7F2F9"/>
          </w:tcPr>
          <w:p>
            <w:pPr>
              <w:spacing w:after="0"/>
              <w:rPr>
                <w:sz w:val="20"/>
                <w:szCs w:val="20"/>
                <w:color w:val="auto"/>
              </w:rPr>
            </w:pPr>
          </w:p>
        </w:tc>
        <w:tc>
          <w:tcPr>
            <w:tcW w:w="16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1120" w:type="dxa"/>
            <w:vAlign w:val="bottom"/>
            <w:tcBorders>
              <w:top w:val="single" w:sz="8" w:color="auto"/>
              <w:bottom w:val="single" w:sz="8" w:color="E7F2F9"/>
            </w:tcBorders>
            <w:shd w:val="clear" w:color="auto" w:fill="E7F2F9"/>
          </w:tcPr>
          <w:p>
            <w:pPr>
              <w:jc w:val="right"/>
              <w:ind w:right="14"/>
              <w:spacing w:after="0"/>
              <w:rPr>
                <w:sz w:val="20"/>
                <w:szCs w:val="20"/>
                <w:color w:val="auto"/>
              </w:rPr>
            </w:pPr>
            <w:r>
              <w:rPr>
                <w:rFonts w:ascii="Arial" w:cs="Arial" w:eastAsia="Arial" w:hAnsi="Arial"/>
                <w:sz w:val="14"/>
                <w:szCs w:val="14"/>
                <w:color w:val="1383C6"/>
              </w:rPr>
              <w:t>2,366</w:t>
            </w:r>
          </w:p>
        </w:tc>
        <w:tc>
          <w:tcPr>
            <w:tcW w:w="0" w:type="dxa"/>
            <w:vAlign w:val="bottom"/>
          </w:tcPr>
          <w:p>
            <w:pPr>
              <w:spacing w:after="0"/>
              <w:rPr>
                <w:sz w:val="1"/>
                <w:szCs w:val="1"/>
                <w:color w:val="auto"/>
              </w:rPr>
            </w:pPr>
          </w:p>
        </w:tc>
      </w:tr>
      <w:tr>
        <w:trPr>
          <w:trHeight w:val="20"/>
        </w:trPr>
        <w:tc>
          <w:tcPr>
            <w:tcW w:w="2880" w:type="dxa"/>
            <w:vAlign w:val="bottom"/>
            <w:tcBorders>
              <w:top w:val="single" w:sz="8" w:color="E7F2F9"/>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E7F2F9"/>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 thousands)</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Balance at December 31, 2024</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Net loss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comprehensive loss</w:t>
      </w:r>
    </w:p>
    <w:p>
      <w:pPr>
        <w:spacing w:after="0" w:line="58" w:lineRule="exact"/>
        <w:rPr>
          <w:sz w:val="20"/>
          <w:szCs w:val="20"/>
          <w:color w:val="auto"/>
        </w:rPr>
      </w:pPr>
    </w:p>
    <w:p>
      <w:pPr>
        <w:ind w:left="260"/>
        <w:spacing w:after="0" w:line="278" w:lineRule="auto"/>
        <w:rPr>
          <w:sz w:val="20"/>
          <w:szCs w:val="20"/>
          <w:color w:val="auto"/>
        </w:rPr>
      </w:pPr>
      <w:r>
        <w:rPr>
          <w:rFonts w:ascii="Arial" w:cs="Arial" w:eastAsia="Arial" w:hAnsi="Arial"/>
          <w:sz w:val="14"/>
          <w:szCs w:val="14"/>
          <w:color w:val="auto"/>
        </w:rPr>
        <w:t>Issuance of common stock in conjunction with equity plans</w:t>
      </w:r>
    </w:p>
    <w:p>
      <w:pPr>
        <w:spacing w:after="0" w:line="14" w:lineRule="exact"/>
        <w:rPr>
          <w:sz w:val="20"/>
          <w:szCs w:val="20"/>
          <w:color w:val="auto"/>
        </w:rPr>
      </w:pPr>
    </w:p>
    <w:p>
      <w:pPr>
        <w:ind w:left="260" w:right="540"/>
        <w:spacing w:after="0" w:line="411" w:lineRule="auto"/>
        <w:rPr>
          <w:sz w:val="20"/>
          <w:szCs w:val="20"/>
          <w:color w:val="auto"/>
        </w:rPr>
      </w:pPr>
      <w:r>
        <w:rPr>
          <w:rFonts w:ascii="Arial" w:cs="Arial" w:eastAsia="Arial" w:hAnsi="Arial"/>
          <w:sz w:val="13"/>
          <w:szCs w:val="13"/>
          <w:color w:val="auto"/>
        </w:rPr>
        <w:t xml:space="preserve">Share-based compensation expense </w:t>
      </w:r>
      <w:r>
        <w:rPr>
          <w:rFonts w:ascii="Arial" w:cs="Arial" w:eastAsia="Arial" w:hAnsi="Arial"/>
          <w:sz w:val="13"/>
          <w:szCs w:val="13"/>
          <w:b w:val="1"/>
          <w:bCs w:val="1"/>
          <w:color w:val="auto"/>
        </w:rPr>
        <w:t>Balance at March 31, 2025</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wp:posOffset>
            </wp:positionV>
            <wp:extent cx="50184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1840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center"/>
              <w:ind w:right="95"/>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2"/>
        </w:trPr>
        <w:tc>
          <w:tcPr>
            <w:tcW w:w="2200" w:type="dxa"/>
            <w:vAlign w:val="bottom"/>
            <w:gridSpan w:val="3"/>
            <w:vMerge w:val="restart"/>
          </w:tcPr>
          <w:p>
            <w:pPr>
              <w:jc w:val="right"/>
              <w:ind w:right="434"/>
              <w:spacing w:after="0"/>
              <w:rPr>
                <w:sz w:val="20"/>
                <w:szCs w:val="20"/>
                <w:color w:val="auto"/>
              </w:rPr>
            </w:pPr>
            <w:r>
              <w:rPr>
                <w:rFonts w:ascii="Arial" w:cs="Arial" w:eastAsia="Arial" w:hAnsi="Arial"/>
                <w:sz w:val="12"/>
                <w:szCs w:val="12"/>
                <w:b w:val="1"/>
                <w:bCs w:val="1"/>
                <w:color w:val="auto"/>
              </w:rPr>
              <w:t>Common Stock</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Other</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gridSpan w:val="2"/>
            <w:vMerge w:val="restart"/>
          </w:tcPr>
          <w:p>
            <w:pPr>
              <w:jc w:val="center"/>
              <w:ind w:right="280"/>
              <w:spacing w:after="0" w:line="101"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7"/>
                <w:szCs w:val="7"/>
                <w:color w:val="auto"/>
              </w:rPr>
            </w:pPr>
          </w:p>
        </w:tc>
        <w:tc>
          <w:tcPr>
            <w:tcW w:w="1200" w:type="dxa"/>
            <w:vAlign w:val="bottom"/>
            <w:gridSpan w:val="2"/>
            <w:vMerge w:val="restart"/>
          </w:tcPr>
          <w:p>
            <w:pPr>
              <w:jc w:val="center"/>
              <w:ind w:right="220"/>
              <w:spacing w:after="0" w:line="101"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7"/>
                <w:szCs w:val="7"/>
                <w:color w:val="auto"/>
              </w:rPr>
            </w:pPr>
          </w:p>
        </w:tc>
        <w:tc>
          <w:tcPr>
            <w:tcW w:w="1160" w:type="dxa"/>
            <w:vAlign w:val="bottom"/>
            <w:gridSpan w:val="2"/>
            <w:vMerge w:val="restart"/>
          </w:tcPr>
          <w:p>
            <w:pPr>
              <w:jc w:val="center"/>
              <w:ind w:right="280"/>
              <w:spacing w:after="0" w:line="101" w:lineRule="exact"/>
              <w:rPr>
                <w:sz w:val="20"/>
                <w:szCs w:val="20"/>
                <w:color w:val="auto"/>
              </w:rPr>
            </w:pPr>
            <w:r>
              <w:rPr>
                <w:rFonts w:ascii="Arial" w:cs="Arial" w:eastAsia="Arial" w:hAnsi="Arial"/>
                <w:sz w:val="11"/>
                <w:szCs w:val="11"/>
                <w:b w:val="1"/>
                <w:bCs w:val="1"/>
                <w:color w:val="auto"/>
              </w:rPr>
              <w:t>Accumulated</w:t>
            </w:r>
          </w:p>
        </w:tc>
        <w:tc>
          <w:tcPr>
            <w:tcW w:w="160" w:type="dxa"/>
            <w:vAlign w:val="bottom"/>
          </w:tcPr>
          <w:p>
            <w:pPr>
              <w:spacing w:after="0"/>
              <w:rPr>
                <w:sz w:val="7"/>
                <w:szCs w:val="7"/>
                <w:color w:val="auto"/>
              </w:rPr>
            </w:pPr>
          </w:p>
        </w:tc>
        <w:tc>
          <w:tcPr>
            <w:tcW w:w="1120" w:type="dxa"/>
            <w:vAlign w:val="bottom"/>
            <w:vMerge w:val="restart"/>
          </w:tcPr>
          <w:p>
            <w:pPr>
              <w:jc w:val="center"/>
              <w:ind w:right="115"/>
              <w:spacing w:after="0" w:line="101"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320" w:type="dxa"/>
            <w:vAlign w:val="bottom"/>
            <w:gridSpan w:val="2"/>
          </w:tcPr>
          <w:p>
            <w:pPr>
              <w:ind w:left="400"/>
              <w:spacing w:after="0"/>
              <w:rPr>
                <w:sz w:val="20"/>
                <w:szCs w:val="20"/>
                <w:color w:val="auto"/>
              </w:rPr>
            </w:pPr>
            <w:r>
              <w:rPr>
                <w:rFonts w:ascii="Arial" w:cs="Arial" w:eastAsia="Arial" w:hAnsi="Arial"/>
                <w:sz w:val="12"/>
                <w:szCs w:val="12"/>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Income</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160" w:type="dxa"/>
            <w:vAlign w:val="bottom"/>
          </w:tcPr>
          <w:p>
            <w:pPr>
              <w:spacing w:after="0"/>
              <w:rPr>
                <w:sz w:val="16"/>
                <w:szCs w:val="16"/>
                <w:color w:val="auto"/>
              </w:rPr>
            </w:pPr>
          </w:p>
        </w:tc>
        <w:tc>
          <w:tcPr>
            <w:tcW w:w="1120" w:type="dxa"/>
            <w:vAlign w:val="bottom"/>
          </w:tcPr>
          <w:p>
            <w:pPr>
              <w:jc w:val="center"/>
              <w:ind w:right="95"/>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95"/>
        </w:trPr>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294,418</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294</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2,654,804</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(2,148,926)</w:t>
            </w:r>
          </w:p>
        </w:tc>
        <w:tc>
          <w:tcPr>
            <w:tcW w:w="6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4"/>
                <w:szCs w:val="14"/>
                <w:color w:val="auto"/>
              </w:rPr>
              <w:t>506,594</w:t>
            </w:r>
          </w:p>
        </w:tc>
        <w:tc>
          <w:tcPr>
            <w:tcW w:w="0" w:type="dxa"/>
            <w:vAlign w:val="bottom"/>
          </w:tcPr>
          <w:p>
            <w:pPr>
              <w:spacing w:after="0"/>
              <w:rPr>
                <w:sz w:val="1"/>
                <w:szCs w:val="1"/>
                <w:color w:val="auto"/>
              </w:rPr>
            </w:pPr>
          </w:p>
        </w:tc>
      </w:tr>
      <w:tr>
        <w:trPr>
          <w:trHeight w:val="219"/>
        </w:trPr>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(426,075)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(426,075)</w:t>
            </w:r>
          </w:p>
        </w:tc>
        <w:tc>
          <w:tcPr>
            <w:tcW w:w="0" w:type="dxa"/>
            <w:vAlign w:val="bottom"/>
          </w:tcPr>
          <w:p>
            <w:pPr>
              <w:spacing w:after="0"/>
              <w:rPr>
                <w:sz w:val="1"/>
                <w:szCs w:val="1"/>
                <w:color w:val="auto"/>
              </w:rPr>
            </w:pPr>
          </w:p>
        </w:tc>
      </w:tr>
      <w:tr>
        <w:trPr>
          <w:trHeight w:val="219"/>
        </w:trPr>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387"/>
        </w:trPr>
        <w:tc>
          <w:tcPr>
            <w:tcW w:w="1240" w:type="dxa"/>
            <w:vAlign w:val="bottom"/>
          </w:tcPr>
          <w:p>
            <w:pPr>
              <w:jc w:val="right"/>
              <w:spacing w:after="0"/>
              <w:rPr>
                <w:sz w:val="20"/>
                <w:szCs w:val="20"/>
                <w:color w:val="auto"/>
              </w:rPr>
            </w:pPr>
            <w:r>
              <w:rPr>
                <w:rFonts w:ascii="Arial" w:cs="Arial" w:eastAsia="Arial" w:hAnsi="Arial"/>
                <w:sz w:val="14"/>
                <w:szCs w:val="14"/>
                <w:color w:val="auto"/>
              </w:rPr>
              <w:t>5,623</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jc w:val="right"/>
              <w:ind w:right="11"/>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tcPr>
          <w:p>
            <w:pPr>
              <w:jc w:val="right"/>
              <w:ind w:right="15"/>
              <w:spacing w:after="0"/>
              <w:rPr>
                <w:sz w:val="20"/>
                <w:szCs w:val="20"/>
                <w:color w:val="auto"/>
              </w:rPr>
            </w:pPr>
            <w:r>
              <w:rPr>
                <w:rFonts w:ascii="Arial" w:cs="Arial" w:eastAsia="Arial" w:hAnsi="Arial"/>
                <w:sz w:val="14"/>
                <w:szCs w:val="14"/>
                <w:color w:val="auto"/>
              </w:rPr>
              <w:t>1,959</w:t>
            </w:r>
          </w:p>
        </w:tc>
        <w:tc>
          <w:tcPr>
            <w:tcW w:w="0" w:type="dxa"/>
            <w:vAlign w:val="bottom"/>
          </w:tcPr>
          <w:p>
            <w:pPr>
              <w:spacing w:after="0"/>
              <w:rPr>
                <w:sz w:val="1"/>
                <w:szCs w:val="1"/>
                <w:color w:val="auto"/>
              </w:rPr>
            </w:pPr>
          </w:p>
        </w:tc>
      </w:tr>
      <w:tr>
        <w:trPr>
          <w:trHeight w:val="219"/>
        </w:trPr>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1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4"/>
                <w:szCs w:val="14"/>
                <w:color w:val="auto"/>
              </w:rPr>
              <w:t>9,201</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1240" w:type="dxa"/>
            <w:vAlign w:val="bottom"/>
          </w:tcPr>
          <w:p>
            <w:pPr>
              <w:jc w:val="right"/>
              <w:spacing w:after="0"/>
              <w:rPr>
                <w:sz w:val="20"/>
                <w:szCs w:val="20"/>
                <w:color w:val="auto"/>
              </w:rPr>
            </w:pPr>
            <w:r>
              <w:rPr>
                <w:rFonts w:ascii="Arial" w:cs="Arial" w:eastAsia="Arial" w:hAnsi="Arial"/>
                <w:sz w:val="14"/>
                <w:szCs w:val="14"/>
                <w:color w:val="auto"/>
              </w:rPr>
              <w:t>300,041</w:t>
            </w:r>
          </w:p>
        </w:tc>
        <w:tc>
          <w:tcPr>
            <w:tcW w:w="80" w:type="dxa"/>
            <w:vAlign w:val="bottom"/>
          </w:tcPr>
          <w:p>
            <w:pPr>
              <w:spacing w:after="0"/>
              <w:rPr>
                <w:sz w:val="16"/>
                <w:szCs w:val="16"/>
                <w:color w:val="auto"/>
              </w:rPr>
            </w:pPr>
          </w:p>
        </w:tc>
        <w:tc>
          <w:tcPr>
            <w:tcW w:w="880" w:type="dxa"/>
            <w:vAlign w:val="bottom"/>
          </w:tcPr>
          <w:p>
            <w:pPr>
              <w:jc w:val="right"/>
              <w:ind w:right="734"/>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ind w:right="11"/>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2,665,958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381</w:t>
            </w:r>
          </w:p>
        </w:tc>
        <w:tc>
          <w:tcPr>
            <w:tcW w:w="8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(2,575,001)</w:t>
            </w: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5"/>
              <w:spacing w:after="0"/>
              <w:rPr>
                <w:sz w:val="20"/>
                <w:szCs w:val="20"/>
                <w:color w:val="auto"/>
              </w:rPr>
            </w:pPr>
            <w:r>
              <w:rPr>
                <w:rFonts w:ascii="Arial" w:cs="Arial" w:eastAsia="Arial" w:hAnsi="Arial"/>
                <w:sz w:val="14"/>
                <w:szCs w:val="14"/>
                <w:color w:val="auto"/>
              </w:rPr>
              <w:t>91,638</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ectPr>
          <w:pgSz w:w="11900" w:h="16838" w:orient="portrait"/>
          <w:cols w:equalWidth="0" w:num="2">
            <w:col w:w="3040" w:space="80"/>
            <w:col w:w="8120"/>
          </w:cols>
          <w:pgMar w:left="320" w:top="122" w:right="33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See accompanying </w:t>
      </w:r>
      <w:r>
        <w:rPr>
          <w:rFonts w:ascii="Arial" w:cs="Arial" w:eastAsia="Arial" w:hAnsi="Arial"/>
          <w:sz w:val="17"/>
          <w:szCs w:val="17"/>
          <w:u w:val="single" w:color="auto"/>
          <w:color w:val="0000FF"/>
        </w:rPr>
        <w:t>notes</w:t>
      </w:r>
      <w:r>
        <w:rPr>
          <w:rFonts w:ascii="Arial" w:cs="Arial" w:eastAsia="Arial" w:hAnsi="Arial"/>
          <w:sz w:val="17"/>
          <w:szCs w:val="17"/>
          <w:color w:val="auto"/>
        </w:rPr>
        <w:t xml:space="preserve">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213995</wp:posOffset>
            </wp:positionV>
            <wp:extent cx="70237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00" w:type="dxa"/>
            <w:vAlign w:val="bottom"/>
          </w:tcPr>
          <w:p>
            <w:pPr>
              <w:ind w:left="1180"/>
              <w:spacing w:after="0"/>
              <w:rPr>
                <w:sz w:val="20"/>
                <w:szCs w:val="20"/>
                <w:color w:val="auto"/>
              </w:rPr>
            </w:pPr>
            <w:r>
              <w:rPr>
                <w:rFonts w:ascii="Arial" w:cs="Arial" w:eastAsia="Arial" w:hAnsi="Arial"/>
                <w:sz w:val="17"/>
                <w:szCs w:val="17"/>
                <w:color w:val="DF1995"/>
              </w:rPr>
              <w:t>Q1 Fiscal 2026 Form 10-Q</w:t>
            </w:r>
          </w:p>
        </w:tc>
        <w:tc>
          <w:tcPr>
            <w:tcW w:w="4140" w:type="dxa"/>
            <w:vAlign w:val="bottom"/>
          </w:tcPr>
          <w:p>
            <w:pPr>
              <w:jc w:val="right"/>
              <w:ind w:right="54"/>
              <w:spacing w:after="0"/>
              <w:rPr>
                <w:sz w:val="20"/>
                <w:szCs w:val="20"/>
                <w:color w:val="auto"/>
              </w:rPr>
            </w:pPr>
            <w:r>
              <w:rPr>
                <w:rFonts w:ascii="Arial" w:cs="Arial" w:eastAsia="Arial" w:hAnsi="Arial"/>
                <w:sz w:val="17"/>
                <w:szCs w:val="17"/>
                <w:color w:val="DF1995"/>
              </w:rPr>
              <w:t>5</w:t>
            </w:r>
          </w:p>
        </w:tc>
      </w:tr>
      <w:tr>
        <w:trPr>
          <w:trHeight w:val="223"/>
        </w:trPr>
        <w:tc>
          <w:tcPr>
            <w:tcW w:w="7100" w:type="dxa"/>
            <w:vAlign w:val="bottom"/>
            <w:tcBorders>
              <w:bottom w:val="single" w:sz="8" w:color="9A9A9A"/>
            </w:tcBorders>
          </w:tcPr>
          <w:p>
            <w:pPr>
              <w:spacing w:after="0"/>
              <w:rPr>
                <w:sz w:val="19"/>
                <w:szCs w:val="19"/>
                <w:color w:val="auto"/>
              </w:rPr>
            </w:pPr>
          </w:p>
        </w:tc>
        <w:tc>
          <w:tcPr>
            <w:tcW w:w="4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-277495</wp:posOffset>
            </wp:positionV>
            <wp:extent cx="393065" cy="81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493395</wp:posOffset>
            </wp:positionV>
            <wp:extent cx="5222875" cy="466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22875" cy="46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880"/>
        <w:spacing w:after="0"/>
        <w:rPr>
          <w:sz w:val="20"/>
          <w:szCs w:val="20"/>
          <w:color w:val="auto"/>
        </w:rPr>
      </w:pPr>
      <w:r>
        <w:rPr>
          <w:rFonts w:ascii="Arial" w:cs="Arial" w:eastAsia="Arial" w:hAnsi="Arial"/>
          <w:sz w:val="19"/>
          <w:szCs w:val="19"/>
          <w:b w:val="1"/>
          <w:bCs w:val="1"/>
          <w:color w:val="FFFFFF"/>
        </w:rPr>
        <w:t>PACIFIC BIOSCIENCES OF CALIFORNIA, INC.</w:t>
      </w:r>
    </w:p>
    <w:p>
      <w:pPr>
        <w:spacing w:after="0" w:line="32" w:lineRule="exact"/>
        <w:rPr>
          <w:sz w:val="20"/>
          <w:szCs w:val="20"/>
          <w:color w:val="auto"/>
        </w:rPr>
      </w:pPr>
    </w:p>
    <w:p>
      <w:pPr>
        <w:ind w:left="1880" w:right="3720"/>
        <w:spacing w:after="0" w:line="254" w:lineRule="auto"/>
        <w:rPr>
          <w:sz w:val="20"/>
          <w:szCs w:val="20"/>
          <w:color w:val="auto"/>
        </w:rPr>
      </w:pPr>
      <w:r>
        <w:rPr>
          <w:rFonts w:ascii="Arial" w:cs="Arial" w:eastAsia="Arial" w:hAnsi="Arial"/>
          <w:sz w:val="19"/>
          <w:szCs w:val="19"/>
          <w:color w:val="FFFFFF"/>
        </w:rPr>
        <w:t>CONDENSED CONSOLIDATED STATEMENTS OF CASH FLOWS (Unaudited)</w:t>
      </w:r>
    </w:p>
    <w:p>
      <w:pPr>
        <w:spacing w:after="0" w:line="147" w:lineRule="exact"/>
        <w:rPr>
          <w:sz w:val="20"/>
          <w:szCs w:val="20"/>
          <w:color w:val="auto"/>
        </w:rPr>
      </w:pPr>
    </w:p>
    <w:tbl>
      <w:tblPr>
        <w:tblLayout w:type="fixed"/>
        <w:tblInd w:w="152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3"/>
                <w:szCs w:val="13"/>
                <w:b w:val="1"/>
                <w:bCs w:val="1"/>
                <w:color w:val="auto"/>
                <w:w w:val="99"/>
              </w:rPr>
              <w:t>Three Months Ended March 31,</w:t>
            </w:r>
          </w:p>
        </w:tc>
      </w:tr>
      <w:tr>
        <w:trPr>
          <w:trHeight w:val="199"/>
        </w:trPr>
        <w:tc>
          <w:tcPr>
            <w:tcW w:w="602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auto"/>
            </w:tcBorders>
            <w:shd w:val="clear" w:color="auto" w:fill="E7F2F9"/>
          </w:tcPr>
          <w:p>
            <w:pPr>
              <w:spacing w:after="0"/>
              <w:rPr>
                <w:sz w:val="17"/>
                <w:szCs w:val="17"/>
                <w:color w:val="auto"/>
              </w:rPr>
            </w:pPr>
          </w:p>
        </w:tc>
        <w:tc>
          <w:tcPr>
            <w:tcW w:w="940" w:type="dxa"/>
            <w:vAlign w:val="bottom"/>
            <w:tcBorders>
              <w:bottom w:val="single" w:sz="8" w:color="auto"/>
            </w:tcBorders>
            <w:shd w:val="clear" w:color="auto" w:fill="E7F2F9"/>
          </w:tcPr>
          <w:p>
            <w:pPr>
              <w:jc w:val="right"/>
              <w:ind w:right="316"/>
              <w:spacing w:after="0"/>
              <w:rPr>
                <w:sz w:val="20"/>
                <w:szCs w:val="20"/>
                <w:color w:val="auto"/>
              </w:rPr>
            </w:pPr>
            <w:r>
              <w:rPr>
                <w:rFonts w:ascii="Arial" w:cs="Arial" w:eastAsia="Arial" w:hAnsi="Arial"/>
                <w:sz w:val="13"/>
                <w:szCs w:val="13"/>
                <w:b w:val="1"/>
                <w:bCs w:val="1"/>
                <w:color w:val="1383C6"/>
              </w:rPr>
              <w:t>2026</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2025</w:t>
            </w:r>
          </w:p>
        </w:tc>
      </w:tr>
      <w:tr>
        <w:trPr>
          <w:trHeight w:val="177"/>
        </w:trPr>
        <w:tc>
          <w:tcPr>
            <w:tcW w:w="6020" w:type="dxa"/>
            <w:vAlign w:val="bottom"/>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20" w:type="dxa"/>
            <w:vAlign w:val="bottom"/>
            <w:shd w:val="clear" w:color="auto" w:fill="E7F2F9"/>
          </w:tcPr>
          <w:p>
            <w:pPr>
              <w:spacing w:after="0"/>
              <w:rPr>
                <w:sz w:val="15"/>
                <w:szCs w:val="15"/>
                <w:color w:val="auto"/>
              </w:rPr>
            </w:pPr>
          </w:p>
        </w:tc>
        <w:tc>
          <w:tcPr>
            <w:tcW w:w="940" w:type="dxa"/>
            <w:vAlign w:val="bottom"/>
            <w:shd w:val="clear" w:color="auto" w:fill="E7F2F9"/>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8"/>
        </w:trPr>
        <w:tc>
          <w:tcPr>
            <w:tcW w:w="6020" w:type="dxa"/>
            <w:vAlign w:val="bottom"/>
          </w:tcPr>
          <w:p>
            <w:pPr>
              <w:spacing w:after="0"/>
              <w:rPr>
                <w:sz w:val="20"/>
                <w:szCs w:val="20"/>
                <w:color w:val="auto"/>
              </w:rPr>
            </w:pPr>
            <w:r>
              <w:rPr>
                <w:rFonts w:ascii="Arial" w:cs="Arial" w:eastAsia="Arial" w:hAnsi="Arial"/>
                <w:sz w:val="13"/>
                <w:szCs w:val="13"/>
                <w:color w:val="auto"/>
              </w:rPr>
              <w:t>Net loss</w:t>
            </w:r>
          </w:p>
        </w:tc>
        <w:tc>
          <w:tcPr>
            <w:tcW w:w="12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w:t>
            </w: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(8,275)</w:t>
            </w:r>
          </w:p>
        </w:tc>
        <w:tc>
          <w:tcPr>
            <w:tcW w:w="32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(426,075)</w:t>
            </w:r>
          </w:p>
        </w:tc>
      </w:tr>
      <w:tr>
        <w:trPr>
          <w:trHeight w:val="206"/>
        </w:trPr>
        <w:tc>
          <w:tcPr>
            <w:tcW w:w="6020" w:type="dxa"/>
            <w:vAlign w:val="bottom"/>
          </w:tcPr>
          <w:p>
            <w:pPr>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6"/>
        </w:trPr>
        <w:tc>
          <w:tcPr>
            <w:tcW w:w="6020" w:type="dxa"/>
            <w:vAlign w:val="bottom"/>
          </w:tcPr>
          <w:p>
            <w:pPr>
              <w:ind w:left="400"/>
              <w:spacing w:after="0"/>
              <w:rPr>
                <w:sz w:val="20"/>
                <w:szCs w:val="20"/>
                <w:color w:val="auto"/>
              </w:rPr>
            </w:pPr>
            <w:r>
              <w:rPr>
                <w:rFonts w:ascii="Arial" w:cs="Arial" w:eastAsia="Arial" w:hAnsi="Arial"/>
                <w:sz w:val="13"/>
                <w:szCs w:val="13"/>
                <w:color w:val="auto"/>
              </w:rPr>
              <w:t>Depreciation</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2,200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5,131</w:t>
            </w:r>
          </w:p>
        </w:tc>
      </w:tr>
      <w:tr>
        <w:trPr>
          <w:trHeight w:val="206"/>
        </w:trPr>
        <w:tc>
          <w:tcPr>
            <w:tcW w:w="602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1,020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366,390</w:t>
            </w:r>
          </w:p>
        </w:tc>
      </w:tr>
      <w:tr>
        <w:trPr>
          <w:trHeight w:val="206"/>
        </w:trPr>
        <w:tc>
          <w:tcPr>
            <w:tcW w:w="6020" w:type="dxa"/>
            <w:vAlign w:val="bottom"/>
          </w:tcPr>
          <w:p>
            <w:pPr>
              <w:ind w:left="400"/>
              <w:spacing w:after="0"/>
              <w:rPr>
                <w:sz w:val="20"/>
                <w:szCs w:val="20"/>
                <w:color w:val="auto"/>
              </w:rPr>
            </w:pPr>
            <w:r>
              <w:rPr>
                <w:rFonts w:ascii="Arial" w:cs="Arial" w:eastAsia="Arial" w:hAnsi="Arial"/>
                <w:sz w:val="13"/>
                <w:szCs w:val="13"/>
                <w:color w:val="auto"/>
              </w:rPr>
              <w:t>Amortization of right-of-use assets</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849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1,258</w:t>
            </w:r>
          </w:p>
        </w:tc>
      </w:tr>
      <w:tr>
        <w:trPr>
          <w:trHeight w:val="206"/>
        </w:trPr>
        <w:tc>
          <w:tcPr>
            <w:tcW w:w="6020" w:type="dxa"/>
            <w:vAlign w:val="bottom"/>
          </w:tcPr>
          <w:p>
            <w:pPr>
              <w:ind w:left="400"/>
              <w:spacing w:after="0"/>
              <w:rPr>
                <w:sz w:val="20"/>
                <w:szCs w:val="20"/>
                <w:color w:val="auto"/>
              </w:rPr>
            </w:pPr>
            <w:r>
              <w:rPr>
                <w:rFonts w:ascii="Arial" w:cs="Arial" w:eastAsia="Arial" w:hAnsi="Arial"/>
                <w:sz w:val="13"/>
                <w:szCs w:val="13"/>
                <w:color w:val="auto"/>
              </w:rPr>
              <w:t>Share-based compensation expense</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4,459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9,201</w:t>
            </w:r>
          </w:p>
        </w:tc>
      </w:tr>
      <w:tr>
        <w:trPr>
          <w:trHeight w:val="206"/>
        </w:trPr>
        <w:tc>
          <w:tcPr>
            <w:tcW w:w="6020" w:type="dxa"/>
            <w:vAlign w:val="bottom"/>
          </w:tcPr>
          <w:p>
            <w:pPr>
              <w:ind w:left="40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15,000</w:t>
            </w:r>
          </w:p>
        </w:tc>
      </w:tr>
      <w:tr>
        <w:trPr>
          <w:trHeight w:val="206"/>
        </w:trPr>
        <w:tc>
          <w:tcPr>
            <w:tcW w:w="6020" w:type="dxa"/>
            <w:vAlign w:val="bottom"/>
          </w:tcPr>
          <w:p>
            <w:pPr>
              <w:ind w:left="400"/>
              <w:spacing w:after="0"/>
              <w:rPr>
                <w:sz w:val="20"/>
                <w:szCs w:val="20"/>
                <w:color w:val="auto"/>
              </w:rPr>
            </w:pPr>
            <w:r>
              <w:rPr>
                <w:rFonts w:ascii="Arial" w:cs="Arial" w:eastAsia="Arial" w:hAnsi="Arial"/>
                <w:sz w:val="13"/>
                <w:szCs w:val="13"/>
                <w:color w:val="auto"/>
              </w:rPr>
              <w:t>Gain on disposal of assets</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(48,100)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6"/>
        </w:trPr>
        <w:tc>
          <w:tcPr>
            <w:tcW w:w="6020" w:type="dxa"/>
            <w:vAlign w:val="bottom"/>
          </w:tcPr>
          <w:p>
            <w:pPr>
              <w:ind w:left="400"/>
              <w:spacing w:after="0"/>
              <w:rPr>
                <w:sz w:val="20"/>
                <w:szCs w:val="20"/>
                <w:color w:val="auto"/>
              </w:rPr>
            </w:pPr>
            <w:r>
              <w:rPr>
                <w:rFonts w:ascii="Arial" w:cs="Arial" w:eastAsia="Arial" w:hAnsi="Arial"/>
                <w:sz w:val="13"/>
                <w:szCs w:val="13"/>
                <w:color w:val="auto"/>
              </w:rPr>
              <w:t>Accretion of discount and amortization of premium on marketable securities, net</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(295)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(1,706)</w:t>
            </w:r>
          </w:p>
        </w:tc>
      </w:tr>
      <w:tr>
        <w:trPr>
          <w:trHeight w:val="206"/>
        </w:trPr>
        <w:tc>
          <w:tcPr>
            <w:tcW w:w="6020" w:type="dxa"/>
            <w:vAlign w:val="bottom"/>
          </w:tcPr>
          <w:p>
            <w:pPr>
              <w:ind w:left="400"/>
              <w:spacing w:after="0"/>
              <w:rPr>
                <w:sz w:val="20"/>
                <w:szCs w:val="20"/>
                <w:color w:val="auto"/>
              </w:rPr>
            </w:pPr>
            <w:r>
              <w:rPr>
                <w:rFonts w:ascii="Arial" w:cs="Arial" w:eastAsia="Arial" w:hAnsi="Arial"/>
                <w:sz w:val="13"/>
                <w:szCs w:val="13"/>
                <w:color w:val="auto"/>
              </w:rPr>
              <w:t>Change in the estimated fair value of contingent consideration</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(18,700)</w:t>
            </w:r>
          </w:p>
        </w:tc>
      </w:tr>
      <w:tr>
        <w:trPr>
          <w:trHeight w:val="206"/>
        </w:trPr>
        <w:tc>
          <w:tcPr>
            <w:tcW w:w="6020" w:type="dxa"/>
            <w:vAlign w:val="bottom"/>
          </w:tcPr>
          <w:p>
            <w:pPr>
              <w:ind w:left="400"/>
              <w:spacing w:after="0"/>
              <w:rPr>
                <w:sz w:val="20"/>
                <w:szCs w:val="20"/>
                <w:color w:val="auto"/>
              </w:rPr>
            </w:pPr>
            <w:r>
              <w:rPr>
                <w:rFonts w:ascii="Arial" w:cs="Arial" w:eastAsia="Arial" w:hAnsi="Arial"/>
                <w:sz w:val="13"/>
                <w:szCs w:val="13"/>
                <w:color w:val="auto"/>
              </w:rPr>
              <w:t>Inventory provision</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54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7,659</w:t>
            </w:r>
          </w:p>
        </w:tc>
      </w:tr>
      <w:tr>
        <w:trPr>
          <w:trHeight w:val="206"/>
        </w:trPr>
        <w:tc>
          <w:tcPr>
            <w:tcW w:w="6020" w:type="dxa"/>
            <w:vAlign w:val="bottom"/>
          </w:tcPr>
          <w:p>
            <w:pPr>
              <w:ind w:left="400"/>
              <w:spacing w:after="0"/>
              <w:rPr>
                <w:sz w:val="20"/>
                <w:szCs w:val="20"/>
                <w:color w:val="auto"/>
              </w:rPr>
            </w:pPr>
            <w:r>
              <w:rPr>
                <w:rFonts w:ascii="Arial" w:cs="Arial" w:eastAsia="Arial" w:hAnsi="Arial"/>
                <w:sz w:val="13"/>
                <w:szCs w:val="13"/>
                <w:color w:val="auto"/>
              </w:rPr>
              <w:t>Deferred income taxes</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(546)</w:t>
            </w:r>
          </w:p>
        </w:tc>
      </w:tr>
      <w:tr>
        <w:trPr>
          <w:trHeight w:val="206"/>
        </w:trPr>
        <w:tc>
          <w:tcPr>
            <w:tcW w:w="6020" w:type="dxa"/>
            <w:vAlign w:val="bottom"/>
          </w:tcPr>
          <w:p>
            <w:pPr>
              <w:ind w:left="40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225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719</w:t>
            </w:r>
          </w:p>
        </w:tc>
      </w:tr>
      <w:tr>
        <w:trPr>
          <w:trHeight w:val="206"/>
        </w:trPr>
        <w:tc>
          <w:tcPr>
            <w:tcW w:w="6020" w:type="dxa"/>
            <w:vAlign w:val="bottom"/>
          </w:tcPr>
          <w:p>
            <w:pPr>
              <w:ind w:left="400"/>
              <w:spacing w:after="0"/>
              <w:rPr>
                <w:sz w:val="20"/>
                <w:szCs w:val="20"/>
                <w:color w:val="auto"/>
              </w:rPr>
            </w:pPr>
            <w:r>
              <w:rPr>
                <w:rFonts w:ascii="Arial" w:cs="Arial" w:eastAsia="Arial" w:hAnsi="Arial"/>
                <w:sz w:val="13"/>
                <w:szCs w:val="13"/>
                <w:color w:val="auto"/>
              </w:rPr>
              <w:t>Changes in assets and liabilities</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6"/>
        </w:trPr>
        <w:tc>
          <w:tcPr>
            <w:tcW w:w="6020" w:type="dxa"/>
            <w:vAlign w:val="bottom"/>
          </w:tcPr>
          <w:p>
            <w:pPr>
              <w:ind w:left="620"/>
              <w:spacing w:after="0"/>
              <w:rPr>
                <w:sz w:val="20"/>
                <w:szCs w:val="20"/>
                <w:color w:val="auto"/>
              </w:rPr>
            </w:pPr>
            <w:r>
              <w:rPr>
                <w:rFonts w:ascii="Arial" w:cs="Arial" w:eastAsia="Arial" w:hAnsi="Arial"/>
                <w:sz w:val="13"/>
                <w:szCs w:val="13"/>
                <w:color w:val="auto"/>
              </w:rPr>
              <w:t>Accounts receivable, net</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6,098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(4,121)</w:t>
            </w:r>
          </w:p>
        </w:tc>
      </w:tr>
      <w:tr>
        <w:trPr>
          <w:trHeight w:val="206"/>
        </w:trPr>
        <w:tc>
          <w:tcPr>
            <w:tcW w:w="6020" w:type="dxa"/>
            <w:vAlign w:val="bottom"/>
          </w:tcPr>
          <w:p>
            <w:pPr>
              <w:ind w:left="620"/>
              <w:spacing w:after="0"/>
              <w:rPr>
                <w:sz w:val="20"/>
                <w:szCs w:val="20"/>
                <w:color w:val="auto"/>
              </w:rPr>
            </w:pPr>
            <w:r>
              <w:rPr>
                <w:rFonts w:ascii="Arial" w:cs="Arial" w:eastAsia="Arial" w:hAnsi="Arial"/>
                <w:sz w:val="13"/>
                <w:szCs w:val="13"/>
                <w:color w:val="auto"/>
              </w:rPr>
              <w:t>Inventory, net</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(3,206)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(2,538)</w:t>
            </w:r>
          </w:p>
        </w:tc>
      </w:tr>
      <w:tr>
        <w:trPr>
          <w:trHeight w:val="206"/>
        </w:trPr>
        <w:tc>
          <w:tcPr>
            <w:tcW w:w="6020" w:type="dxa"/>
            <w:vAlign w:val="bottom"/>
          </w:tcPr>
          <w:p>
            <w:pPr>
              <w:ind w:left="620"/>
              <w:spacing w:after="0"/>
              <w:rPr>
                <w:sz w:val="20"/>
                <w:szCs w:val="20"/>
                <w:color w:val="auto"/>
              </w:rPr>
            </w:pPr>
            <w:r>
              <w:rPr>
                <w:rFonts w:ascii="Arial" w:cs="Arial" w:eastAsia="Arial" w:hAnsi="Arial"/>
                <w:sz w:val="13"/>
                <w:szCs w:val="13"/>
                <w:color w:val="auto"/>
              </w:rPr>
              <w:t>Prepaid expenses and other assets</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(2,288)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3,426</w:t>
            </w:r>
          </w:p>
        </w:tc>
      </w:tr>
      <w:tr>
        <w:trPr>
          <w:trHeight w:val="206"/>
        </w:trPr>
        <w:tc>
          <w:tcPr>
            <w:tcW w:w="6020" w:type="dxa"/>
            <w:vAlign w:val="bottom"/>
          </w:tcPr>
          <w:p>
            <w:pPr>
              <w:ind w:left="620"/>
              <w:spacing w:after="0"/>
              <w:rPr>
                <w:sz w:val="20"/>
                <w:szCs w:val="20"/>
                <w:color w:val="auto"/>
              </w:rPr>
            </w:pPr>
            <w:r>
              <w:rPr>
                <w:rFonts w:ascii="Arial" w:cs="Arial" w:eastAsia="Arial" w:hAnsi="Arial"/>
                <w:sz w:val="13"/>
                <w:szCs w:val="13"/>
                <w:color w:val="auto"/>
              </w:rPr>
              <w:t>Accounts payable</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(4,322)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(1,525)</w:t>
            </w:r>
          </w:p>
        </w:tc>
      </w:tr>
      <w:tr>
        <w:trPr>
          <w:trHeight w:val="206"/>
        </w:trPr>
        <w:tc>
          <w:tcPr>
            <w:tcW w:w="6020" w:type="dxa"/>
            <w:vAlign w:val="bottom"/>
          </w:tcPr>
          <w:p>
            <w:pPr>
              <w:ind w:left="620"/>
              <w:spacing w:after="0"/>
              <w:rPr>
                <w:sz w:val="20"/>
                <w:szCs w:val="20"/>
                <w:color w:val="auto"/>
              </w:rPr>
            </w:pPr>
            <w:r>
              <w:rPr>
                <w:rFonts w:ascii="Arial" w:cs="Arial" w:eastAsia="Arial" w:hAnsi="Arial"/>
                <w:sz w:val="13"/>
                <w:szCs w:val="13"/>
                <w:color w:val="auto"/>
              </w:rPr>
              <w:t>Accrued expenses</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314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311</w:t>
            </w:r>
          </w:p>
        </w:tc>
      </w:tr>
      <w:tr>
        <w:trPr>
          <w:trHeight w:val="206"/>
        </w:trPr>
        <w:tc>
          <w:tcPr>
            <w:tcW w:w="6020" w:type="dxa"/>
            <w:vAlign w:val="bottom"/>
          </w:tcPr>
          <w:p>
            <w:pPr>
              <w:ind w:left="620"/>
              <w:spacing w:after="0"/>
              <w:rPr>
                <w:sz w:val="20"/>
                <w:szCs w:val="20"/>
                <w:color w:val="auto"/>
              </w:rPr>
            </w:pPr>
            <w:r>
              <w:rPr>
                <w:rFonts w:ascii="Arial" w:cs="Arial" w:eastAsia="Arial" w:hAnsi="Arial"/>
                <w:sz w:val="13"/>
                <w:szCs w:val="13"/>
                <w:color w:val="auto"/>
              </w:rPr>
              <w:t>Deferred revenue</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1,332</w:t>
            </w:r>
          </w:p>
        </w:tc>
      </w:tr>
      <w:tr>
        <w:trPr>
          <w:trHeight w:val="206"/>
        </w:trPr>
        <w:tc>
          <w:tcPr>
            <w:tcW w:w="6020" w:type="dxa"/>
            <w:vAlign w:val="bottom"/>
          </w:tcPr>
          <w:p>
            <w:pPr>
              <w:ind w:left="620"/>
              <w:spacing w:after="0"/>
              <w:rPr>
                <w:sz w:val="20"/>
                <w:szCs w:val="20"/>
                <w:color w:val="auto"/>
              </w:rPr>
            </w:pPr>
            <w:r>
              <w:rPr>
                <w:rFonts w:ascii="Arial" w:cs="Arial" w:eastAsia="Arial" w:hAnsi="Arial"/>
                <w:sz w:val="13"/>
                <w:szCs w:val="13"/>
                <w:color w:val="auto"/>
              </w:rPr>
              <w:t>Operating lease liabilities</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1,425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(1,618)</w:t>
            </w:r>
          </w:p>
        </w:tc>
      </w:tr>
      <w:tr>
        <w:trPr>
          <w:trHeight w:val="231"/>
        </w:trPr>
        <w:tc>
          <w:tcPr>
            <w:tcW w:w="6020" w:type="dxa"/>
            <w:vAlign w:val="bottom"/>
          </w:tcPr>
          <w:p>
            <w:pPr>
              <w:ind w:left="620"/>
              <w:spacing w:after="0"/>
              <w:rPr>
                <w:sz w:val="20"/>
                <w:szCs w:val="20"/>
                <w:color w:val="auto"/>
              </w:rPr>
            </w:pPr>
            <w:r>
              <w:rPr>
                <w:rFonts w:ascii="Arial" w:cs="Arial" w:eastAsia="Arial" w:hAnsi="Arial"/>
                <w:sz w:val="13"/>
                <w:szCs w:val="13"/>
                <w:color w:val="auto"/>
              </w:rPr>
              <w:t>Other liabilities</w:t>
            </w:r>
          </w:p>
        </w:tc>
        <w:tc>
          <w:tcPr>
            <w:tcW w:w="120" w:type="dxa"/>
            <w:vAlign w:val="bottom"/>
            <w:tcBorders>
              <w:bottom w:val="single" w:sz="8" w:color="E7F2F9"/>
            </w:tcBorders>
            <w:shd w:val="clear" w:color="auto" w:fill="E7F2F9"/>
          </w:tcPr>
          <w:p>
            <w:pPr>
              <w:spacing w:after="0"/>
              <w:rPr>
                <w:sz w:val="20"/>
                <w:szCs w:val="20"/>
                <w:color w:val="auto"/>
              </w:rPr>
            </w:pPr>
          </w:p>
        </w:tc>
        <w:tc>
          <w:tcPr>
            <w:tcW w:w="9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3"/>
                <w:szCs w:val="13"/>
                <w:color w:val="1383C6"/>
              </w:rPr>
              <w:t>5,132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2,346</w:t>
            </w:r>
          </w:p>
        </w:tc>
      </w:tr>
      <w:tr>
        <w:trPr>
          <w:trHeight w:val="199"/>
        </w:trPr>
        <w:tc>
          <w:tcPr>
            <w:tcW w:w="6020" w:type="dxa"/>
            <w:vAlign w:val="bottom"/>
          </w:tcPr>
          <w:p>
            <w:pPr>
              <w:ind w:left="860"/>
              <w:spacing w:after="0"/>
              <w:rPr>
                <w:sz w:val="20"/>
                <w:szCs w:val="20"/>
                <w:color w:val="auto"/>
              </w:rPr>
            </w:pPr>
            <w:r>
              <w:rPr>
                <w:rFonts w:ascii="Arial" w:cs="Arial" w:eastAsia="Arial" w:hAnsi="Arial"/>
                <w:sz w:val="13"/>
                <w:szCs w:val="13"/>
                <w:color w:val="auto"/>
              </w:rPr>
              <w:t>Net cash used in operating activities</w:t>
            </w:r>
          </w:p>
        </w:tc>
        <w:tc>
          <w:tcPr>
            <w:tcW w:w="120" w:type="dxa"/>
            <w:vAlign w:val="bottom"/>
            <w:tcBorders>
              <w:top w:val="single" w:sz="8" w:color="auto"/>
              <w:bottom w:val="single" w:sz="8" w:color="E7F2F9"/>
            </w:tcBorders>
            <w:shd w:val="clear" w:color="auto" w:fill="E7F2F9"/>
          </w:tcPr>
          <w:p>
            <w:pPr>
              <w:spacing w:after="0"/>
              <w:rPr>
                <w:sz w:val="17"/>
                <w:szCs w:val="17"/>
                <w:color w:val="auto"/>
              </w:rPr>
            </w:pPr>
          </w:p>
        </w:tc>
        <w:tc>
          <w:tcPr>
            <w:tcW w:w="9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3"/>
                <w:szCs w:val="13"/>
                <w:color w:val="1383C6"/>
              </w:rPr>
              <w:t>(44,691)</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(44,056)</w:t>
            </w:r>
          </w:p>
        </w:tc>
      </w:tr>
      <w:tr>
        <w:trPr>
          <w:trHeight w:val="170"/>
        </w:trPr>
        <w:tc>
          <w:tcPr>
            <w:tcW w:w="6020" w:type="dxa"/>
            <w:vAlign w:val="bottom"/>
          </w:tcPr>
          <w:p>
            <w:pPr>
              <w:ind w:left="80"/>
              <w:spacing w:after="0"/>
              <w:rPr>
                <w:sz w:val="20"/>
                <w:szCs w:val="20"/>
                <w:color w:val="auto"/>
              </w:rPr>
            </w:pPr>
            <w:r>
              <w:rPr>
                <w:rFonts w:ascii="Arial" w:cs="Arial" w:eastAsia="Arial" w:hAnsi="Arial"/>
                <w:sz w:val="13"/>
                <w:szCs w:val="13"/>
                <w:b w:val="1"/>
                <w:bCs w:val="1"/>
                <w:color w:val="auto"/>
              </w:rPr>
              <w:t>Cash flows from investing activities</w:t>
            </w:r>
          </w:p>
        </w:tc>
        <w:tc>
          <w:tcPr>
            <w:tcW w:w="120" w:type="dxa"/>
            <w:vAlign w:val="bottom"/>
            <w:tcBorders>
              <w:top w:val="single" w:sz="8" w:color="auto"/>
            </w:tcBorders>
            <w:shd w:val="clear" w:color="auto" w:fill="E7F2F9"/>
          </w:tcPr>
          <w:p>
            <w:pPr>
              <w:spacing w:after="0"/>
              <w:rPr>
                <w:sz w:val="14"/>
                <w:szCs w:val="14"/>
                <w:color w:val="auto"/>
              </w:rPr>
            </w:pPr>
          </w:p>
        </w:tc>
        <w:tc>
          <w:tcPr>
            <w:tcW w:w="940" w:type="dxa"/>
            <w:vAlign w:val="bottom"/>
            <w:tcBorders>
              <w:top w:val="single" w:sz="8" w:color="auto"/>
            </w:tcBorders>
            <w:shd w:val="clear" w:color="auto" w:fill="E7F2F9"/>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198"/>
        </w:trPr>
        <w:tc>
          <w:tcPr>
            <w:tcW w:w="6020" w:type="dxa"/>
            <w:vAlign w:val="bottom"/>
          </w:tcPr>
          <w:p>
            <w:pPr>
              <w:ind w:left="80"/>
              <w:spacing w:after="0"/>
              <w:rPr>
                <w:sz w:val="20"/>
                <w:szCs w:val="20"/>
                <w:color w:val="auto"/>
              </w:rPr>
            </w:pPr>
            <w:r>
              <w:rPr>
                <w:rFonts w:ascii="Arial" w:cs="Arial" w:eastAsia="Arial" w:hAnsi="Arial"/>
                <w:sz w:val="13"/>
                <w:szCs w:val="13"/>
                <w:color w:val="auto"/>
              </w:rPr>
              <w:t>Proceeds from disposal of assets</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50,000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6"/>
        </w:trPr>
        <w:tc>
          <w:tcPr>
            <w:tcW w:w="6020" w:type="dxa"/>
            <w:vAlign w:val="bottom"/>
          </w:tcPr>
          <w:p>
            <w:pPr>
              <w:ind w:left="80"/>
              <w:spacing w:after="0"/>
              <w:rPr>
                <w:sz w:val="20"/>
                <w:szCs w:val="20"/>
                <w:color w:val="auto"/>
              </w:rPr>
            </w:pPr>
            <w:r>
              <w:rPr>
                <w:rFonts w:ascii="Arial" w:cs="Arial" w:eastAsia="Arial" w:hAnsi="Arial"/>
                <w:sz w:val="13"/>
                <w:szCs w:val="13"/>
                <w:color w:val="auto"/>
              </w:rPr>
              <w:t>Payment for waiver of milestone obligation</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(1,900)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6"/>
        </w:trPr>
        <w:tc>
          <w:tcPr>
            <w:tcW w:w="6020" w:type="dxa"/>
            <w:vAlign w:val="bottom"/>
          </w:tcPr>
          <w:p>
            <w:pPr>
              <w:ind w:left="80"/>
              <w:spacing w:after="0"/>
              <w:rPr>
                <w:sz w:val="20"/>
                <w:szCs w:val="20"/>
                <w:color w:val="auto"/>
              </w:rPr>
            </w:pPr>
            <w:r>
              <w:rPr>
                <w:rFonts w:ascii="Arial" w:cs="Arial" w:eastAsia="Arial" w:hAnsi="Arial"/>
                <w:sz w:val="13"/>
                <w:szCs w:val="13"/>
                <w:color w:val="auto"/>
              </w:rPr>
              <w:t>Purchases of property and equipment</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(3,043)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(1,389)</w:t>
            </w:r>
          </w:p>
        </w:tc>
      </w:tr>
      <w:tr>
        <w:trPr>
          <w:trHeight w:val="206"/>
        </w:trPr>
        <w:tc>
          <w:tcPr>
            <w:tcW w:w="6020" w:type="dxa"/>
            <w:vAlign w:val="bottom"/>
          </w:tcPr>
          <w:p>
            <w:pPr>
              <w:ind w:left="80"/>
              <w:spacing w:after="0"/>
              <w:rPr>
                <w:sz w:val="20"/>
                <w:szCs w:val="20"/>
                <w:color w:val="auto"/>
              </w:rPr>
            </w:pPr>
            <w:r>
              <w:rPr>
                <w:rFonts w:ascii="Arial" w:cs="Arial" w:eastAsia="Arial" w:hAnsi="Arial"/>
                <w:sz w:val="13"/>
                <w:szCs w:val="13"/>
                <w:color w:val="auto"/>
              </w:rPr>
              <w:t>Purchases of intangible assets</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(5,000)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(5,000)</w:t>
            </w:r>
          </w:p>
        </w:tc>
      </w:tr>
      <w:tr>
        <w:trPr>
          <w:trHeight w:val="206"/>
        </w:trPr>
        <w:tc>
          <w:tcPr>
            <w:tcW w:w="6020" w:type="dxa"/>
            <w:vAlign w:val="bottom"/>
          </w:tcPr>
          <w:p>
            <w:pPr>
              <w:ind w:left="80"/>
              <w:spacing w:after="0"/>
              <w:rPr>
                <w:sz w:val="20"/>
                <w:szCs w:val="20"/>
                <w:color w:val="auto"/>
              </w:rPr>
            </w:pPr>
            <w:r>
              <w:rPr>
                <w:rFonts w:ascii="Arial" w:cs="Arial" w:eastAsia="Arial" w:hAnsi="Arial"/>
                <w:sz w:val="13"/>
                <w:szCs w:val="13"/>
                <w:color w:val="auto"/>
              </w:rPr>
              <w:t>Purchases of investments</w:t>
            </w:r>
          </w:p>
        </w:tc>
        <w:tc>
          <w:tcPr>
            <w:tcW w:w="120" w:type="dxa"/>
            <w:vAlign w:val="bottom"/>
            <w:shd w:val="clear" w:color="auto" w:fill="E7F2F9"/>
          </w:tcPr>
          <w:p>
            <w:pPr>
              <w:spacing w:after="0"/>
              <w:rPr>
                <w:sz w:val="17"/>
                <w:szCs w:val="17"/>
                <w:color w:val="auto"/>
              </w:rPr>
            </w:pPr>
          </w:p>
        </w:tc>
        <w:tc>
          <w:tcPr>
            <w:tcW w:w="940" w:type="dxa"/>
            <w:vAlign w:val="bottom"/>
            <w:shd w:val="clear" w:color="auto" w:fill="E7F2F9"/>
          </w:tcPr>
          <w:p>
            <w:pPr>
              <w:jc w:val="right"/>
              <w:spacing w:after="0"/>
              <w:rPr>
                <w:sz w:val="20"/>
                <w:szCs w:val="20"/>
                <w:color w:val="auto"/>
              </w:rPr>
            </w:pPr>
            <w:r>
              <w:rPr>
                <w:rFonts w:ascii="Arial" w:cs="Arial" w:eastAsia="Arial" w:hAnsi="Arial"/>
                <w:sz w:val="13"/>
                <w:szCs w:val="13"/>
                <w:color w:val="1383C6"/>
              </w:rPr>
              <w:t>(52,448)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(61,820)</w:t>
            </w:r>
          </w:p>
        </w:tc>
      </w:tr>
      <w:tr>
        <w:trPr>
          <w:trHeight w:val="231"/>
        </w:trPr>
        <w:tc>
          <w:tcPr>
            <w:tcW w:w="6020" w:type="dxa"/>
            <w:vAlign w:val="bottom"/>
          </w:tcPr>
          <w:p>
            <w:pPr>
              <w:ind w:left="80"/>
              <w:spacing w:after="0"/>
              <w:rPr>
                <w:sz w:val="20"/>
                <w:szCs w:val="20"/>
                <w:color w:val="auto"/>
              </w:rPr>
            </w:pPr>
            <w:r>
              <w:rPr>
                <w:rFonts w:ascii="Arial" w:cs="Arial" w:eastAsia="Arial" w:hAnsi="Arial"/>
                <w:sz w:val="13"/>
                <w:szCs w:val="13"/>
                <w:color w:val="auto"/>
              </w:rPr>
              <w:t>Maturities of investments</w:t>
            </w:r>
          </w:p>
        </w:tc>
        <w:tc>
          <w:tcPr>
            <w:tcW w:w="120" w:type="dxa"/>
            <w:vAlign w:val="bottom"/>
            <w:tcBorders>
              <w:bottom w:val="single" w:sz="8" w:color="E7F2F9"/>
            </w:tcBorders>
            <w:shd w:val="clear" w:color="auto" w:fill="E7F2F9"/>
          </w:tcPr>
          <w:p>
            <w:pPr>
              <w:spacing w:after="0"/>
              <w:rPr>
                <w:sz w:val="20"/>
                <w:szCs w:val="20"/>
                <w:color w:val="auto"/>
              </w:rPr>
            </w:pPr>
          </w:p>
        </w:tc>
        <w:tc>
          <w:tcPr>
            <w:tcW w:w="9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3"/>
                <w:szCs w:val="13"/>
                <w:color w:val="1383C6"/>
              </w:rPr>
              <w:t>48,250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113,443</w:t>
            </w:r>
          </w:p>
        </w:tc>
      </w:tr>
      <w:tr>
        <w:trPr>
          <w:trHeight w:val="199"/>
        </w:trPr>
        <w:tc>
          <w:tcPr>
            <w:tcW w:w="6020" w:type="dxa"/>
            <w:vAlign w:val="bottom"/>
          </w:tcPr>
          <w:p>
            <w:pPr>
              <w:ind w:left="860"/>
              <w:spacing w:after="0"/>
              <w:rPr>
                <w:sz w:val="20"/>
                <w:szCs w:val="20"/>
                <w:color w:val="auto"/>
              </w:rPr>
            </w:pPr>
            <w:r>
              <w:rPr>
                <w:rFonts w:ascii="Arial" w:cs="Arial" w:eastAsia="Arial" w:hAnsi="Arial"/>
                <w:sz w:val="13"/>
                <w:szCs w:val="13"/>
                <w:color w:val="auto"/>
              </w:rPr>
              <w:t>Net cash provided by investing activities</w:t>
            </w:r>
          </w:p>
        </w:tc>
        <w:tc>
          <w:tcPr>
            <w:tcW w:w="120" w:type="dxa"/>
            <w:vAlign w:val="bottom"/>
            <w:tcBorders>
              <w:top w:val="single" w:sz="8" w:color="auto"/>
              <w:bottom w:val="single" w:sz="8" w:color="E7F2F9"/>
            </w:tcBorders>
            <w:shd w:val="clear" w:color="auto" w:fill="E7F2F9"/>
          </w:tcPr>
          <w:p>
            <w:pPr>
              <w:spacing w:after="0"/>
              <w:rPr>
                <w:sz w:val="17"/>
                <w:szCs w:val="17"/>
                <w:color w:val="auto"/>
              </w:rPr>
            </w:pPr>
          </w:p>
        </w:tc>
        <w:tc>
          <w:tcPr>
            <w:tcW w:w="9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3"/>
                <w:szCs w:val="13"/>
                <w:color w:val="1383C6"/>
              </w:rPr>
              <w:t>35,859</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45,234</w:t>
            </w:r>
          </w:p>
        </w:tc>
      </w:tr>
      <w:tr>
        <w:trPr>
          <w:trHeight w:val="170"/>
        </w:trPr>
        <w:tc>
          <w:tcPr>
            <w:tcW w:w="6020" w:type="dxa"/>
            <w:vAlign w:val="bottom"/>
          </w:tcPr>
          <w:p>
            <w:pPr>
              <w:ind w:left="80"/>
              <w:spacing w:after="0"/>
              <w:rPr>
                <w:sz w:val="20"/>
                <w:szCs w:val="20"/>
                <w:color w:val="auto"/>
              </w:rPr>
            </w:pPr>
            <w:r>
              <w:rPr>
                <w:rFonts w:ascii="Arial" w:cs="Arial" w:eastAsia="Arial" w:hAnsi="Arial"/>
                <w:sz w:val="13"/>
                <w:szCs w:val="13"/>
                <w:b w:val="1"/>
                <w:bCs w:val="1"/>
                <w:color w:val="auto"/>
              </w:rPr>
              <w:t>Cash flows from financing activities</w:t>
            </w:r>
          </w:p>
        </w:tc>
        <w:tc>
          <w:tcPr>
            <w:tcW w:w="120" w:type="dxa"/>
            <w:vAlign w:val="bottom"/>
            <w:tcBorders>
              <w:top w:val="single" w:sz="8" w:color="auto"/>
            </w:tcBorders>
            <w:shd w:val="clear" w:color="auto" w:fill="E7F2F9"/>
          </w:tcPr>
          <w:p>
            <w:pPr>
              <w:spacing w:after="0"/>
              <w:rPr>
                <w:sz w:val="14"/>
                <w:szCs w:val="14"/>
                <w:color w:val="auto"/>
              </w:rPr>
            </w:pPr>
          </w:p>
        </w:tc>
        <w:tc>
          <w:tcPr>
            <w:tcW w:w="940" w:type="dxa"/>
            <w:vAlign w:val="bottom"/>
            <w:tcBorders>
              <w:top w:val="single" w:sz="8" w:color="auto"/>
            </w:tcBorders>
            <w:shd w:val="clear" w:color="auto" w:fill="E7F2F9"/>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223"/>
        </w:trPr>
        <w:tc>
          <w:tcPr>
            <w:tcW w:w="6020" w:type="dxa"/>
            <w:vAlign w:val="bottom"/>
          </w:tcPr>
          <w:p>
            <w:pPr>
              <w:ind w:left="80"/>
              <w:spacing w:after="0"/>
              <w:rPr>
                <w:sz w:val="20"/>
                <w:szCs w:val="20"/>
                <w:color w:val="auto"/>
              </w:rPr>
            </w:pPr>
            <w:r>
              <w:rPr>
                <w:rFonts w:ascii="Arial" w:cs="Arial" w:eastAsia="Arial" w:hAnsi="Arial"/>
                <w:sz w:val="13"/>
                <w:szCs w:val="13"/>
                <w:color w:val="auto"/>
              </w:rPr>
              <w:t>Proceeds from issuance of common stock from equity plans</w:t>
            </w:r>
          </w:p>
        </w:tc>
        <w:tc>
          <w:tcPr>
            <w:tcW w:w="120" w:type="dxa"/>
            <w:vAlign w:val="bottom"/>
            <w:tcBorders>
              <w:bottom w:val="single" w:sz="8" w:color="E7F2F9"/>
            </w:tcBorders>
            <w:shd w:val="clear" w:color="auto" w:fill="E7F2F9"/>
          </w:tcPr>
          <w:p>
            <w:pPr>
              <w:spacing w:after="0"/>
              <w:rPr>
                <w:sz w:val="19"/>
                <w:szCs w:val="19"/>
                <w:color w:val="auto"/>
              </w:rPr>
            </w:pPr>
          </w:p>
        </w:tc>
        <w:tc>
          <w:tcPr>
            <w:tcW w:w="9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3"/>
                <w:szCs w:val="13"/>
                <w:color w:val="1383C6"/>
              </w:rPr>
              <w:t>1,437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1,959</w:t>
            </w:r>
          </w:p>
        </w:tc>
      </w:tr>
      <w:tr>
        <w:trPr>
          <w:trHeight w:val="199"/>
        </w:trPr>
        <w:tc>
          <w:tcPr>
            <w:tcW w:w="6020" w:type="dxa"/>
            <w:vAlign w:val="bottom"/>
          </w:tcPr>
          <w:p>
            <w:pPr>
              <w:ind w:left="860"/>
              <w:spacing w:after="0"/>
              <w:rPr>
                <w:sz w:val="20"/>
                <w:szCs w:val="20"/>
                <w:color w:val="auto"/>
              </w:rPr>
            </w:pPr>
            <w:r>
              <w:rPr>
                <w:rFonts w:ascii="Arial" w:cs="Arial" w:eastAsia="Arial" w:hAnsi="Arial"/>
                <w:sz w:val="13"/>
                <w:szCs w:val="13"/>
                <w:color w:val="auto"/>
              </w:rPr>
              <w:t>Net cash provided by financing activities</w:t>
            </w:r>
          </w:p>
        </w:tc>
        <w:tc>
          <w:tcPr>
            <w:tcW w:w="120" w:type="dxa"/>
            <w:vAlign w:val="bottom"/>
            <w:tcBorders>
              <w:top w:val="single" w:sz="8" w:color="auto"/>
              <w:bottom w:val="single" w:sz="8" w:color="E7F2F9"/>
            </w:tcBorders>
            <w:shd w:val="clear" w:color="auto" w:fill="E7F2F9"/>
          </w:tcPr>
          <w:p>
            <w:pPr>
              <w:spacing w:after="0"/>
              <w:rPr>
                <w:sz w:val="17"/>
                <w:szCs w:val="17"/>
                <w:color w:val="auto"/>
              </w:rPr>
            </w:pPr>
          </w:p>
        </w:tc>
        <w:tc>
          <w:tcPr>
            <w:tcW w:w="9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3"/>
                <w:szCs w:val="13"/>
                <w:color w:val="1383C6"/>
              </w:rPr>
              <w:t>1,437</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1,959</w:t>
            </w:r>
          </w:p>
        </w:tc>
      </w:tr>
      <w:tr>
        <w:trPr>
          <w:trHeight w:val="175"/>
        </w:trPr>
        <w:tc>
          <w:tcPr>
            <w:tcW w:w="6020" w:type="dxa"/>
            <w:vAlign w:val="bottom"/>
          </w:tcPr>
          <w:p>
            <w:pPr>
              <w:ind w:left="80"/>
              <w:spacing w:after="0"/>
              <w:rPr>
                <w:sz w:val="20"/>
                <w:szCs w:val="20"/>
                <w:color w:val="auto"/>
              </w:rPr>
            </w:pPr>
            <w:r>
              <w:rPr>
                <w:rFonts w:ascii="Arial" w:cs="Arial" w:eastAsia="Arial" w:hAnsi="Arial"/>
                <w:sz w:val="13"/>
                <w:szCs w:val="13"/>
                <w:color w:val="auto"/>
              </w:rPr>
              <w:t>Net (decrease) increase in cash, cash equivalents, and restricted cash</w:t>
            </w:r>
          </w:p>
        </w:tc>
        <w:tc>
          <w:tcPr>
            <w:tcW w:w="120" w:type="dxa"/>
            <w:vAlign w:val="bottom"/>
            <w:tcBorders>
              <w:top w:val="single" w:sz="8" w:color="auto"/>
            </w:tcBorders>
            <w:shd w:val="clear" w:color="auto" w:fill="E7F2F9"/>
          </w:tcPr>
          <w:p>
            <w:pPr>
              <w:spacing w:after="0"/>
              <w:rPr>
                <w:sz w:val="15"/>
                <w:szCs w:val="15"/>
                <w:color w:val="auto"/>
              </w:rPr>
            </w:pPr>
          </w:p>
        </w:tc>
        <w:tc>
          <w:tcPr>
            <w:tcW w:w="94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3"/>
                <w:szCs w:val="13"/>
                <w:color w:val="1383C6"/>
              </w:rPr>
              <w:t>(7,395)</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3,137</w:t>
            </w:r>
          </w:p>
        </w:tc>
      </w:tr>
      <w:tr>
        <w:trPr>
          <w:trHeight w:val="231"/>
        </w:trPr>
        <w:tc>
          <w:tcPr>
            <w:tcW w:w="6020" w:type="dxa"/>
            <w:vAlign w:val="bottom"/>
          </w:tcPr>
          <w:p>
            <w:pPr>
              <w:ind w:left="80"/>
              <w:spacing w:after="0"/>
              <w:rPr>
                <w:sz w:val="20"/>
                <w:szCs w:val="20"/>
                <w:color w:val="auto"/>
              </w:rPr>
            </w:pPr>
            <w:r>
              <w:rPr>
                <w:rFonts w:ascii="Arial" w:cs="Arial" w:eastAsia="Arial" w:hAnsi="Arial"/>
                <w:sz w:val="13"/>
                <w:szCs w:val="13"/>
                <w:color w:val="auto"/>
              </w:rPr>
              <w:t>Cash, cash equivalents, and restricted cash at beginning of period</w:t>
            </w:r>
          </w:p>
        </w:tc>
        <w:tc>
          <w:tcPr>
            <w:tcW w:w="120" w:type="dxa"/>
            <w:vAlign w:val="bottom"/>
            <w:tcBorders>
              <w:bottom w:val="single" w:sz="8" w:color="E7F2F9"/>
            </w:tcBorders>
            <w:shd w:val="clear" w:color="auto" w:fill="E7F2F9"/>
          </w:tcPr>
          <w:p>
            <w:pPr>
              <w:spacing w:after="0"/>
              <w:rPr>
                <w:sz w:val="20"/>
                <w:szCs w:val="20"/>
                <w:color w:val="auto"/>
              </w:rPr>
            </w:pPr>
          </w:p>
        </w:tc>
        <w:tc>
          <w:tcPr>
            <w:tcW w:w="9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3"/>
                <w:szCs w:val="13"/>
                <w:color w:val="1383C6"/>
              </w:rPr>
              <w:t>65,259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57,592</w:t>
            </w:r>
          </w:p>
        </w:tc>
      </w:tr>
      <w:tr>
        <w:trPr>
          <w:trHeight w:val="239"/>
        </w:trPr>
        <w:tc>
          <w:tcPr>
            <w:tcW w:w="6020" w:type="dxa"/>
            <w:vAlign w:val="bottom"/>
          </w:tcPr>
          <w:p>
            <w:pPr>
              <w:ind w:left="80"/>
              <w:spacing w:after="0"/>
              <w:rPr>
                <w:sz w:val="20"/>
                <w:szCs w:val="20"/>
                <w:color w:val="auto"/>
              </w:rPr>
            </w:pPr>
            <w:r>
              <w:rPr>
                <w:rFonts w:ascii="Arial" w:cs="Arial" w:eastAsia="Arial" w:hAnsi="Arial"/>
                <w:sz w:val="13"/>
                <w:szCs w:val="13"/>
                <w:color w:val="auto"/>
              </w:rPr>
              <w:t>Cash, cash equivalents, and restricted cash at end of period</w:t>
            </w:r>
          </w:p>
        </w:tc>
        <w:tc>
          <w:tcPr>
            <w:tcW w:w="12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3"/>
                <w:szCs w:val="13"/>
                <w:color w:val="1383C6"/>
              </w:rPr>
              <w:t>$</w:t>
            </w:r>
          </w:p>
        </w:tc>
        <w:tc>
          <w:tcPr>
            <w:tcW w:w="9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3"/>
                <w:szCs w:val="13"/>
                <w:color w:val="1383C6"/>
              </w:rPr>
              <w:t>57,864</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60,729</w:t>
            </w:r>
          </w:p>
        </w:tc>
      </w:tr>
      <w:tr>
        <w:trPr>
          <w:trHeight w:val="173"/>
        </w:trPr>
        <w:tc>
          <w:tcPr>
            <w:tcW w:w="6020" w:type="dxa"/>
            <w:vAlign w:val="bottom"/>
          </w:tcPr>
          <w:p>
            <w:pPr>
              <w:ind w:left="80"/>
              <w:spacing w:after="0" w:line="148" w:lineRule="exact"/>
              <w:rPr>
                <w:sz w:val="20"/>
                <w:szCs w:val="20"/>
                <w:color w:val="auto"/>
              </w:rPr>
            </w:pPr>
            <w:r>
              <w:rPr>
                <w:rFonts w:ascii="Arial" w:cs="Arial" w:eastAsia="Arial" w:hAnsi="Arial"/>
                <w:sz w:val="13"/>
                <w:szCs w:val="13"/>
                <w:color w:val="auto"/>
              </w:rPr>
              <w:t>Cash and cash equivalents at end of period</w:t>
            </w:r>
          </w:p>
        </w:tc>
        <w:tc>
          <w:tcPr>
            <w:tcW w:w="120" w:type="dxa"/>
            <w:vAlign w:val="bottom"/>
            <w:tcBorders>
              <w:top w:val="single" w:sz="8" w:color="auto"/>
            </w:tcBorders>
            <w:shd w:val="clear" w:color="auto" w:fill="E7F2F9"/>
          </w:tcPr>
          <w:p>
            <w:pPr>
              <w:spacing w:after="0"/>
              <w:rPr>
                <w:sz w:val="15"/>
                <w:szCs w:val="15"/>
                <w:color w:val="auto"/>
              </w:rPr>
            </w:pPr>
          </w:p>
        </w:tc>
        <w:tc>
          <w:tcPr>
            <w:tcW w:w="94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3"/>
                <w:szCs w:val="13"/>
                <w:color w:val="1383C6"/>
              </w:rPr>
              <w:t>56,274</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58,507</w:t>
            </w:r>
          </w:p>
        </w:tc>
      </w:tr>
      <w:tr>
        <w:trPr>
          <w:trHeight w:val="231"/>
        </w:trPr>
        <w:tc>
          <w:tcPr>
            <w:tcW w:w="6020" w:type="dxa"/>
            <w:vAlign w:val="bottom"/>
          </w:tcPr>
          <w:p>
            <w:pPr>
              <w:ind w:left="80"/>
              <w:spacing w:after="0"/>
              <w:rPr>
                <w:sz w:val="20"/>
                <w:szCs w:val="20"/>
                <w:color w:val="auto"/>
              </w:rPr>
            </w:pPr>
            <w:r>
              <w:rPr>
                <w:rFonts w:ascii="Arial" w:cs="Arial" w:eastAsia="Arial" w:hAnsi="Arial"/>
                <w:sz w:val="13"/>
                <w:szCs w:val="13"/>
                <w:color w:val="auto"/>
              </w:rPr>
              <w:t>Restricted cash at end of period</w:t>
            </w:r>
          </w:p>
        </w:tc>
        <w:tc>
          <w:tcPr>
            <w:tcW w:w="120" w:type="dxa"/>
            <w:vAlign w:val="bottom"/>
            <w:tcBorders>
              <w:bottom w:val="single" w:sz="8" w:color="E7F2F9"/>
            </w:tcBorders>
            <w:shd w:val="clear" w:color="auto" w:fill="E7F2F9"/>
          </w:tcPr>
          <w:p>
            <w:pPr>
              <w:spacing w:after="0"/>
              <w:rPr>
                <w:sz w:val="20"/>
                <w:szCs w:val="20"/>
                <w:color w:val="auto"/>
              </w:rPr>
            </w:pPr>
          </w:p>
        </w:tc>
        <w:tc>
          <w:tcPr>
            <w:tcW w:w="9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3"/>
                <w:szCs w:val="13"/>
                <w:color w:val="1383C6"/>
              </w:rPr>
              <w:t>1,590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2,222</w:t>
            </w:r>
          </w:p>
        </w:tc>
      </w:tr>
      <w:tr>
        <w:trPr>
          <w:trHeight w:val="231"/>
        </w:trPr>
        <w:tc>
          <w:tcPr>
            <w:tcW w:w="6020" w:type="dxa"/>
            <w:vAlign w:val="bottom"/>
          </w:tcPr>
          <w:p>
            <w:pPr>
              <w:ind w:left="80"/>
              <w:spacing w:after="0"/>
              <w:rPr>
                <w:sz w:val="20"/>
                <w:szCs w:val="20"/>
                <w:color w:val="auto"/>
              </w:rPr>
            </w:pPr>
            <w:r>
              <w:rPr>
                <w:rFonts w:ascii="Arial" w:cs="Arial" w:eastAsia="Arial" w:hAnsi="Arial"/>
                <w:sz w:val="13"/>
                <w:szCs w:val="13"/>
                <w:color w:val="auto"/>
              </w:rPr>
              <w:t>Cash, cash equivalents, and restricted cash at end of period</w:t>
            </w:r>
          </w:p>
        </w:tc>
        <w:tc>
          <w:tcPr>
            <w:tcW w:w="12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3"/>
                <w:szCs w:val="13"/>
                <w:color w:val="1383C6"/>
              </w:rPr>
              <w:t>$</w:t>
            </w:r>
          </w:p>
        </w:tc>
        <w:tc>
          <w:tcPr>
            <w:tcW w:w="9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3"/>
                <w:szCs w:val="13"/>
                <w:color w:val="1383C6"/>
              </w:rPr>
              <w:t>57,864</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60,729</w:t>
            </w:r>
          </w:p>
        </w:tc>
      </w:tr>
      <w:tr>
        <w:trPr>
          <w:trHeight w:val="319"/>
        </w:trPr>
        <w:tc>
          <w:tcPr>
            <w:tcW w:w="6020" w:type="dxa"/>
            <w:vAlign w:val="bottom"/>
          </w:tcPr>
          <w:p>
            <w:pPr>
              <w:ind w:left="8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20" w:type="dxa"/>
            <w:vAlign w:val="bottom"/>
            <w:tcBorders>
              <w:top w:val="single" w:sz="8" w:color="auto"/>
            </w:tcBorders>
            <w:shd w:val="clear" w:color="auto" w:fill="E7F2F9"/>
          </w:tcPr>
          <w:p>
            <w:pPr>
              <w:spacing w:after="0"/>
              <w:rPr>
                <w:sz w:val="24"/>
                <w:szCs w:val="24"/>
                <w:color w:val="auto"/>
              </w:rPr>
            </w:pPr>
          </w:p>
        </w:tc>
        <w:tc>
          <w:tcPr>
            <w:tcW w:w="940" w:type="dxa"/>
            <w:vAlign w:val="bottom"/>
            <w:tcBorders>
              <w:top w:val="single" w:sz="8" w:color="auto"/>
            </w:tcBorders>
            <w:shd w:val="clear" w:color="auto" w:fill="E7F2F9"/>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243"/>
        </w:trPr>
        <w:tc>
          <w:tcPr>
            <w:tcW w:w="6020" w:type="dxa"/>
            <w:vAlign w:val="bottom"/>
          </w:tcPr>
          <w:p>
            <w:pPr>
              <w:ind w:left="80"/>
              <w:spacing w:after="0"/>
              <w:rPr>
                <w:sz w:val="20"/>
                <w:szCs w:val="20"/>
                <w:color w:val="auto"/>
              </w:rPr>
            </w:pPr>
            <w:r>
              <w:rPr>
                <w:rFonts w:ascii="Arial" w:cs="Arial" w:eastAsia="Arial" w:hAnsi="Arial"/>
                <w:sz w:val="13"/>
                <w:szCs w:val="13"/>
                <w:color w:val="auto"/>
              </w:rPr>
              <w:t>Right-of-use asset and lease liability recognized due to lease extension</w:t>
            </w:r>
          </w:p>
        </w:tc>
        <w:tc>
          <w:tcPr>
            <w:tcW w:w="12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3"/>
                <w:szCs w:val="13"/>
                <w:color w:val="1383C6"/>
              </w:rPr>
              <w:t>$</w:t>
            </w:r>
          </w:p>
        </w:tc>
        <w:tc>
          <w:tcPr>
            <w:tcW w:w="9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3"/>
                <w:szCs w:val="13"/>
                <w:color w:val="1383C6"/>
              </w:rPr>
              <w:t>—</w:t>
            </w:r>
          </w:p>
        </w:tc>
        <w:tc>
          <w:tcPr>
            <w:tcW w:w="320" w:type="dxa"/>
            <w:vAlign w:val="bottom"/>
            <w:gridSpan w:val="2"/>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29,575</w:t>
            </w:r>
          </w:p>
        </w:tc>
      </w:tr>
      <w:tr>
        <w:trPr>
          <w:trHeight w:val="20"/>
        </w:trPr>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accompanying </w:t>
      </w:r>
      <w:r>
        <w:rPr>
          <w:rFonts w:ascii="Arial" w:cs="Arial" w:eastAsia="Arial" w:hAnsi="Arial"/>
          <w:sz w:val="14"/>
          <w:szCs w:val="14"/>
          <w:u w:val="single" w:color="auto"/>
          <w:color w:val="0000FF"/>
        </w:rPr>
        <w:t>notes</w:t>
      </w:r>
      <w:r>
        <w:rPr>
          <w:rFonts w:ascii="Arial" w:cs="Arial" w:eastAsia="Arial" w:hAnsi="Arial"/>
          <w:sz w:val="14"/>
          <w:szCs w:val="14"/>
          <w:color w:val="auto"/>
        </w:rPr>
        <w:t xml:space="preserve">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205105</wp:posOffset>
            </wp:positionV>
            <wp:extent cx="70237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373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00" w:type="dxa"/>
            <w:vAlign w:val="bottom"/>
          </w:tcPr>
          <w:p>
            <w:pPr>
              <w:ind w:left="1180"/>
              <w:spacing w:after="0"/>
              <w:rPr>
                <w:sz w:val="20"/>
                <w:szCs w:val="20"/>
                <w:color w:val="auto"/>
              </w:rPr>
            </w:pPr>
            <w:r>
              <w:rPr>
                <w:rFonts w:ascii="Arial" w:cs="Arial" w:eastAsia="Arial" w:hAnsi="Arial"/>
                <w:sz w:val="17"/>
                <w:szCs w:val="17"/>
                <w:color w:val="DF1995"/>
              </w:rPr>
              <w:t>Q1 Fiscal 2026 Form 10-Q</w:t>
            </w:r>
          </w:p>
        </w:tc>
        <w:tc>
          <w:tcPr>
            <w:tcW w:w="4140" w:type="dxa"/>
            <w:vAlign w:val="bottom"/>
          </w:tcPr>
          <w:p>
            <w:pPr>
              <w:jc w:val="right"/>
              <w:ind w:right="54"/>
              <w:spacing w:after="0"/>
              <w:rPr>
                <w:sz w:val="20"/>
                <w:szCs w:val="20"/>
                <w:color w:val="auto"/>
              </w:rPr>
            </w:pPr>
            <w:r>
              <w:rPr>
                <w:rFonts w:ascii="Arial" w:cs="Arial" w:eastAsia="Arial" w:hAnsi="Arial"/>
                <w:sz w:val="17"/>
                <w:szCs w:val="17"/>
                <w:color w:val="DF1995"/>
              </w:rPr>
              <w:t>6</w:t>
            </w:r>
          </w:p>
        </w:tc>
      </w:tr>
      <w:tr>
        <w:trPr>
          <w:trHeight w:val="223"/>
        </w:trPr>
        <w:tc>
          <w:tcPr>
            <w:tcW w:w="7100" w:type="dxa"/>
            <w:vAlign w:val="bottom"/>
            <w:tcBorders>
              <w:bottom w:val="single" w:sz="8" w:color="9A9A9A"/>
            </w:tcBorders>
          </w:tcPr>
          <w:p>
            <w:pPr>
              <w:spacing w:after="0"/>
              <w:rPr>
                <w:sz w:val="19"/>
                <w:szCs w:val="19"/>
                <w:color w:val="auto"/>
              </w:rPr>
            </w:pPr>
          </w:p>
        </w:tc>
        <w:tc>
          <w:tcPr>
            <w:tcW w:w="4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-277495</wp:posOffset>
            </wp:positionV>
            <wp:extent cx="393065" cy="81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460375</wp:posOffset>
            </wp:positionV>
            <wp:extent cx="7138670" cy="466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46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PACIFIC BIOSCIENCES OF CALIFORNIA, INC.</w:t>
      </w:r>
    </w:p>
    <w:p>
      <w:pPr>
        <w:spacing w:after="0" w:line="32" w:lineRule="exact"/>
        <w:rPr>
          <w:sz w:val="20"/>
          <w:szCs w:val="20"/>
          <w:color w:val="auto"/>
        </w:rPr>
      </w:pPr>
    </w:p>
    <w:p>
      <w:pPr>
        <w:ind w:left="20" w:right="5140"/>
        <w:spacing w:after="0" w:line="254" w:lineRule="auto"/>
        <w:rPr>
          <w:sz w:val="20"/>
          <w:szCs w:val="20"/>
          <w:color w:val="auto"/>
        </w:rPr>
      </w:pPr>
      <w:r>
        <w:rPr>
          <w:rFonts w:ascii="Arial" w:cs="Arial" w:eastAsia="Arial" w:hAnsi="Arial"/>
          <w:sz w:val="19"/>
          <w:szCs w:val="19"/>
          <w:color w:val="FFFFFF"/>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7138670" cy="245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1. ORGANIZATION AND SIGNIFICANT ACCOUNTING POLICIES</w:t>
      </w:r>
    </w:p>
    <w:p>
      <w:pPr>
        <w:spacing w:after="0" w:line="37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are a life science technology company that designs, develops, and manufactures advanced sequencing solutions that enable scientists and clinical researchers to improve their understanding of the genome and ultimately, resolve genetically complex problems.</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products and technology, which primarily consist of our HiFi long-read sequencing systems, address a broad set of applications including human germline sequencing, plant and animal sciences, infectious disease and microbiology, oncology, and other emerging applications.</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focus is on creating some of the world's most advanced sequencing systems to provide our customers with the most complete and accurate view of genomes, transcriptomes, and epigenomes.</w:t>
      </w:r>
    </w:p>
    <w:p>
      <w:pPr>
        <w:spacing w:after="0" w:line="4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26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References in this report to “PacBio,” “we,” “us,” the “Company,” and “our” refer to Pacific Biosciences of California, Inc. and its consolidated subsidiaries.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Basis of Presentation and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unaudited condensed consolidated financial statements have been prepared in conformity with accounting principles generally accepted in the United States, or U.S. GAAP, as set forth in the Financial Accounting Standards Board, or FASB, Accounting Standards Codification, or ASC. The unaudited condensed consolidated financial statements include the accounts of Pacific Biosciences and our wholly owned subsidiaries. Certain information and footnote disclosures typically included in our audited financial statements have been condensed or omitted. The accompanying unaudited condensed consolidated financial statements have been prepared on a consistent basis with the December 31, 2025 audited consolidated financial statements and include all adjustments, consisting of only normal recurring adjustments, necessary to fairly state our financial position, results of operations, comprehensive loss, and cash flows for the period, but are not necessarily indicative of the results to be expected for the entire year or any future periods. All intercompany transactions and balances have been eliminated.</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financial statements should be read in conjunction with the audited consolidated financial statements and notes included in our Annual Report on Form 10-K for the year ended December 31, 2025 (the "2025 Annual Report").</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Use of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preparation of financial statements in conformity with U.S. GAAP requires us to make estimates and assumptions that affect the amounts reported in the financial statements and accompanying notes to the financial statements. On an ongoing basis, we evaluate our significant estimates, including those relating to the valuation of inventory, fair value of contingent consideration, valuation of acquired intangible assets, useful lives assigned to finite-lived assets, asset impairment assessments, computation of provisions for income taxes, and valuations related to our convertible senior notes. While the extent of the potential impact of current macroeconomic conditions on our business is highly uncertain, we considered information available related to assumptions and estimates used to determine the results reported and asset valuations as of March 31, 2026. Actual results could differ materially from these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71386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2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20" w:type="dxa"/>
            <w:vAlign w:val="bottom"/>
          </w:tcPr>
          <w:p>
            <w:pPr>
              <w:jc w:val="right"/>
              <w:spacing w:after="0"/>
              <w:rPr>
                <w:sz w:val="20"/>
                <w:szCs w:val="20"/>
                <w:color w:val="auto"/>
              </w:rPr>
            </w:pPr>
            <w:r>
              <w:rPr>
                <w:rFonts w:ascii="Arial" w:cs="Arial" w:eastAsia="Arial" w:hAnsi="Arial"/>
                <w:sz w:val="17"/>
                <w:szCs w:val="17"/>
                <w:color w:val="DF1995"/>
              </w:rPr>
              <w:t>7</w:t>
            </w:r>
          </w:p>
        </w:tc>
      </w:tr>
      <w:tr>
        <w:trPr>
          <w:trHeight w:val="210"/>
        </w:trPr>
        <w:tc>
          <w:tcPr>
            <w:tcW w:w="7120" w:type="dxa"/>
            <w:vAlign w:val="bottom"/>
            <w:tcBorders>
              <w:bottom w:val="single" w:sz="8" w:color="9A9A9A"/>
            </w:tcBorders>
          </w:tcPr>
          <w:p>
            <w:pPr>
              <w:spacing w:after="0"/>
              <w:rPr>
                <w:sz w:val="18"/>
                <w:szCs w:val="18"/>
                <w:color w:val="auto"/>
              </w:rPr>
            </w:pPr>
          </w:p>
        </w:tc>
        <w:tc>
          <w:tcPr>
            <w:tcW w:w="4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-269240</wp:posOffset>
            </wp:positionV>
            <wp:extent cx="393065" cy="81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Cash, Cash Equivalents, Restricted Cash,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classify our investments in debt securities as available-for-sale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income (loss) in stockholders’ equity. Realized gains and losses, expected credit losses, as well as interest income, on available-for-sale securities are reported in other income,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net. We have the ability to hold, and do not intend to sell investments in unrealized loss positions before the recovery of their amortized cost bases.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Restricted cash includes cash that is not readily available for use in the Company’s operating activities. Restricted cash is primarily comprised of cash pledged under letters of credit.</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Recently Adopted Accounting Standards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In November 2024, the FASB issued ASU 2024-04, </w:t>
      </w:r>
      <w:r>
        <w:rPr>
          <w:rFonts w:ascii="Arial" w:cs="Arial" w:eastAsia="Arial" w:hAnsi="Arial"/>
          <w:sz w:val="17"/>
          <w:szCs w:val="17"/>
          <w:i w:val="1"/>
          <w:iCs w:val="1"/>
          <w:color w:val="auto"/>
        </w:rPr>
        <w:t>Debt—Debt With Conversion and Other Options (Subtopic 470-20): Induced Conversions of</w:t>
      </w:r>
      <w:r>
        <w:rPr>
          <w:rFonts w:ascii="Arial" w:cs="Arial" w:eastAsia="Arial" w:hAnsi="Arial"/>
          <w:sz w:val="17"/>
          <w:szCs w:val="17"/>
          <w:color w:val="auto"/>
        </w:rPr>
        <w:t xml:space="preserve"> </w:t>
      </w:r>
      <w:r>
        <w:rPr>
          <w:rFonts w:ascii="Arial" w:cs="Arial" w:eastAsia="Arial" w:hAnsi="Arial"/>
          <w:sz w:val="17"/>
          <w:szCs w:val="17"/>
          <w:i w:val="1"/>
          <w:iCs w:val="1"/>
          <w:color w:val="auto"/>
        </w:rPr>
        <w:t>Convertible Debt Instruments</w:t>
      </w:r>
      <w:r>
        <w:rPr>
          <w:rFonts w:ascii="Arial" w:cs="Arial" w:eastAsia="Arial" w:hAnsi="Arial"/>
          <w:sz w:val="17"/>
          <w:szCs w:val="17"/>
          <w:color w:val="auto"/>
        </w:rPr>
        <w:t>. This new standard clarifies the requirements for determining whether certain settlements of convertible debt</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should be accounted for as an induced conversion or extinguishment of convertible debt. The standard was effective for us and we adopted prospectively beginning in the first quarter of 2026. The adoption of this new standard did not have a material impact on the consolidated financial statements and related disclosures.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Accounting Pronouncements Pending Adoption</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In November 2024, the FASB issued ASU 2024-03, </w:t>
      </w:r>
      <w:r>
        <w:rPr>
          <w:rFonts w:ascii="Arial" w:cs="Arial" w:eastAsia="Arial" w:hAnsi="Arial"/>
          <w:sz w:val="17"/>
          <w:szCs w:val="17"/>
          <w:i w:val="1"/>
          <w:iCs w:val="1"/>
          <w:color w:val="auto"/>
        </w:rPr>
        <w:t>Income Statement—Reporting Comprehensive Income—Expense Disaggregation Disclosures</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220-40): Disaggregation of Income Statement Expenses</w:t>
      </w:r>
      <w:r>
        <w:rPr>
          <w:rFonts w:ascii="Arial" w:cs="Arial" w:eastAsia="Arial" w:hAnsi="Arial"/>
          <w:sz w:val="17"/>
          <w:szCs w:val="17"/>
          <w:color w:val="auto"/>
        </w:rPr>
        <w:t>. This new standard requires a company to provide disaggregated disclosures,</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the notes to the financial statements, of specified categories of expenses that are included in line items on the face of the income statement. The standard will be effective for us beginning in 2027, and interim periods within 2028, with early adoption permitted. The new standard is expected to be applied prospectively, but retrospective application is permitted. We are currently evaluating the impact of ASU 2024-03 on the consolidated financial statements and related disclosures.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In September 2025, the FASB issued ASU 2025-06, </w:t>
      </w:r>
      <w:r>
        <w:rPr>
          <w:rFonts w:ascii="Arial" w:cs="Arial" w:eastAsia="Arial" w:hAnsi="Arial"/>
          <w:sz w:val="17"/>
          <w:szCs w:val="17"/>
          <w:i w:val="1"/>
          <w:iCs w:val="1"/>
          <w:color w:val="auto"/>
        </w:rPr>
        <w:t>Intangibles—Goodwill and Other—Internal-Use Software (Subtopic 350-40): Targeted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to the Accounting for Internal-Use Software. </w:t>
      </w:r>
      <w:r>
        <w:rPr>
          <w:rFonts w:ascii="Arial" w:cs="Arial" w:eastAsia="Arial" w:hAnsi="Arial"/>
          <w:sz w:val="17"/>
          <w:szCs w:val="17"/>
          <w:color w:val="auto"/>
        </w:rPr>
        <w:t>This new standard clarifies and modernizes the recognition and disclosure framework</w:t>
      </w:r>
      <w:r>
        <w:rPr>
          <w:rFonts w:ascii="Arial" w:cs="Arial" w:eastAsia="Arial" w:hAnsi="Arial"/>
          <w:sz w:val="17"/>
          <w:szCs w:val="17"/>
          <w:i w:val="1"/>
          <w:iCs w:val="1"/>
          <w:color w:val="auto"/>
        </w:rPr>
        <w:t xml:space="preserve"> </w:t>
      </w:r>
      <w:r>
        <w:rPr>
          <w:rFonts w:ascii="Arial" w:cs="Arial" w:eastAsia="Arial" w:hAnsi="Arial"/>
          <w:sz w:val="17"/>
          <w:szCs w:val="17"/>
          <w:color w:val="auto"/>
        </w:rPr>
        <w:t>for capitalized internal-use software costs by removing all references to project stages and introduces a more judgment-based approach. The standard also clarifies the threshold to be applied to begin capitalizing. The standard will be effective for us beginning in the first quarter of 2028, with early adoption permitted, and can be applied using a prospective, retrospective, or modified transition approach. We are currently evaluating the impact of ASU 2025-06 on the consolidated financial statements and related disclosures.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2025, the FASB issued ASU 2025-10, Accounting for Government Grants Received by Business Entities. This new standard provides guidance on the recognition, measurement, and presentation of government grants. The standard will be effective for us beginning in the first quarter of fiscal year 2029, with early adoption permitted, and can be applied using a modified prospective, modified retrospective or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7138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2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20" w:type="dxa"/>
            <w:vAlign w:val="bottom"/>
          </w:tcPr>
          <w:p>
            <w:pPr>
              <w:jc w:val="right"/>
              <w:spacing w:after="0"/>
              <w:rPr>
                <w:sz w:val="20"/>
                <w:szCs w:val="20"/>
                <w:color w:val="auto"/>
              </w:rPr>
            </w:pPr>
            <w:r>
              <w:rPr>
                <w:rFonts w:ascii="Arial" w:cs="Arial" w:eastAsia="Arial" w:hAnsi="Arial"/>
                <w:sz w:val="17"/>
                <w:szCs w:val="17"/>
                <w:color w:val="DF1995"/>
              </w:rPr>
              <w:t>8</w:t>
            </w:r>
          </w:p>
        </w:tc>
      </w:tr>
      <w:tr>
        <w:trPr>
          <w:trHeight w:val="210"/>
        </w:trPr>
        <w:tc>
          <w:tcPr>
            <w:tcW w:w="7120" w:type="dxa"/>
            <w:vAlign w:val="bottom"/>
            <w:tcBorders>
              <w:bottom w:val="single" w:sz="8" w:color="9A9A9A"/>
            </w:tcBorders>
          </w:tcPr>
          <w:p>
            <w:pPr>
              <w:spacing w:after="0"/>
              <w:rPr>
                <w:sz w:val="18"/>
                <w:szCs w:val="18"/>
                <w:color w:val="auto"/>
              </w:rPr>
            </w:pPr>
          </w:p>
        </w:tc>
        <w:tc>
          <w:tcPr>
            <w:tcW w:w="4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-269240</wp:posOffset>
            </wp:positionV>
            <wp:extent cx="393065" cy="819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retrospective transition approach. We are currently evaluating the impact of ASU 2025-10 on the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Significant Accounting Policies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changes to our significant accounting policies as disclosed in our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7138670" cy="2457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2. FINANCIAL INSTRUMENTS</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Fair value is the exchange price that would be received to sell an asset or paid to transfer a liability in an orderly transaction between market participants at the measurement date.</w:t>
      </w:r>
    </w:p>
    <w:p>
      <w:pPr>
        <w:spacing w:after="0" w:line="4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The fair value hierarchy established under U.S. GAAP requires an entity to maximize the use of observable inputs and minimize the use of unobservable inputs when measuring fair value. The three levels of inputs that may be used to measure fair value are as follows:</w:t>
      </w:r>
    </w:p>
    <w:p>
      <w:pPr>
        <w:spacing w:after="0" w:line="43" w:lineRule="exact"/>
        <w:rPr>
          <w:sz w:val="20"/>
          <w:szCs w:val="20"/>
          <w:color w:val="auto"/>
        </w:rPr>
      </w:pPr>
    </w:p>
    <w:p>
      <w:pPr>
        <w:ind w:left="620" w:hanging="307"/>
        <w:spacing w:after="0"/>
        <w:tabs>
          <w:tab w:leader="none" w:pos="620" w:val="left"/>
        </w:tabs>
        <w:numPr>
          <w:ilvl w:val="0"/>
          <w:numId w:val="1"/>
        </w:numPr>
        <w:rPr>
          <w:rFonts w:ascii="Arial" w:cs="Arial" w:eastAsia="Arial" w:hAnsi="Arial"/>
          <w:sz w:val="17"/>
          <w:szCs w:val="17"/>
          <w:b w:val="1"/>
          <w:bCs w:val="1"/>
          <w:color w:val="DF1995"/>
        </w:rPr>
      </w:pPr>
      <w:r>
        <w:rPr>
          <w:rFonts w:ascii="Arial" w:cs="Arial" w:eastAsia="Arial" w:hAnsi="Arial"/>
          <w:sz w:val="17"/>
          <w:szCs w:val="17"/>
          <w:color w:val="auto"/>
        </w:rPr>
        <w:t>Level 1: quoted prices in active markets for identical assets or liabilities;</w:t>
      </w:r>
    </w:p>
    <w:p>
      <w:pPr>
        <w:spacing w:after="0" w:line="113" w:lineRule="exact"/>
        <w:rPr>
          <w:rFonts w:ascii="Arial" w:cs="Arial" w:eastAsia="Arial" w:hAnsi="Arial"/>
          <w:sz w:val="17"/>
          <w:szCs w:val="17"/>
          <w:b w:val="1"/>
          <w:bCs w:val="1"/>
          <w:color w:val="DF1995"/>
        </w:rPr>
      </w:pPr>
    </w:p>
    <w:p>
      <w:pPr>
        <w:jc w:val="both"/>
        <w:ind w:left="620" w:hanging="307"/>
        <w:spacing w:after="0" w:line="271" w:lineRule="auto"/>
        <w:tabs>
          <w:tab w:leader="none" w:pos="616" w:val="left"/>
        </w:tabs>
        <w:numPr>
          <w:ilvl w:val="0"/>
          <w:numId w:val="1"/>
        </w:numPr>
        <w:rPr>
          <w:rFonts w:ascii="Arial" w:cs="Arial" w:eastAsia="Arial" w:hAnsi="Arial"/>
          <w:sz w:val="17"/>
          <w:szCs w:val="17"/>
          <w:b w:val="1"/>
          <w:bCs w:val="1"/>
          <w:color w:val="DF1995"/>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59"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1"/>
        </w:numPr>
        <w:rPr>
          <w:rFonts w:ascii="Arial" w:cs="Arial" w:eastAsia="Arial" w:hAnsi="Arial"/>
          <w:sz w:val="17"/>
          <w:szCs w:val="17"/>
          <w:b w:val="1"/>
          <w:bCs w:val="1"/>
          <w:color w:val="DF1995"/>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4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consider an active market as one in which transactions for the asset or liability occur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carrying amount of our accounts receivable, prepaid expenses, other current assets, accounts payable, accrued expenses and other liabilities, current, approximate fair value due to their short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386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2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20" w:type="dxa"/>
            <w:vAlign w:val="bottom"/>
          </w:tcPr>
          <w:p>
            <w:pPr>
              <w:jc w:val="right"/>
              <w:spacing w:after="0"/>
              <w:rPr>
                <w:sz w:val="20"/>
                <w:szCs w:val="20"/>
                <w:color w:val="auto"/>
              </w:rPr>
            </w:pPr>
            <w:r>
              <w:rPr>
                <w:rFonts w:ascii="Arial" w:cs="Arial" w:eastAsia="Arial" w:hAnsi="Arial"/>
                <w:sz w:val="17"/>
                <w:szCs w:val="17"/>
                <w:color w:val="DF1995"/>
              </w:rPr>
              <w:t>9</w:t>
            </w:r>
          </w:p>
        </w:tc>
      </w:tr>
      <w:tr>
        <w:trPr>
          <w:trHeight w:val="210"/>
        </w:trPr>
        <w:tc>
          <w:tcPr>
            <w:tcW w:w="7120" w:type="dxa"/>
            <w:vAlign w:val="bottom"/>
            <w:tcBorders>
              <w:bottom w:val="single" w:sz="8" w:color="9A9A9A"/>
            </w:tcBorders>
          </w:tcPr>
          <w:p>
            <w:pPr>
              <w:spacing w:after="0"/>
              <w:rPr>
                <w:sz w:val="18"/>
                <w:szCs w:val="18"/>
                <w:color w:val="auto"/>
              </w:rPr>
            </w:pPr>
          </w:p>
        </w:tc>
        <w:tc>
          <w:tcPr>
            <w:tcW w:w="4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-269240</wp:posOffset>
            </wp:positionV>
            <wp:extent cx="393065" cy="819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Assets Measured at Fair Value on a Recurring Basis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fair value of our financial assets that were measured on a recurring basis: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140" w:type="dxa"/>
            <w:vAlign w:val="bottom"/>
            <w:tcBorders>
              <w:bottom w:val="single" w:sz="8" w:color="auto"/>
            </w:tcBorders>
            <w:shd w:val="clear" w:color="auto" w:fill="E7F2F9"/>
          </w:tcPr>
          <w:p>
            <w:pPr>
              <w:spacing w:after="0"/>
              <w:rPr>
                <w:sz w:val="18"/>
                <w:szCs w:val="18"/>
                <w:color w:val="auto"/>
              </w:rPr>
            </w:pPr>
          </w:p>
        </w:tc>
        <w:tc>
          <w:tcPr>
            <w:tcW w:w="740" w:type="dxa"/>
            <w:vAlign w:val="bottom"/>
            <w:tcBorders>
              <w:bottom w:val="single" w:sz="8" w:color="auto"/>
            </w:tcBorders>
            <w:shd w:val="clear" w:color="auto" w:fill="E7F2F9"/>
          </w:tcPr>
          <w:p>
            <w:pPr>
              <w:spacing w:after="0"/>
              <w:rPr>
                <w:sz w:val="18"/>
                <w:szCs w:val="18"/>
                <w:color w:val="auto"/>
              </w:rPr>
            </w:pPr>
          </w:p>
        </w:tc>
        <w:tc>
          <w:tcPr>
            <w:tcW w:w="100" w:type="dxa"/>
            <w:vAlign w:val="bottom"/>
            <w:tcBorders>
              <w:bottom w:val="single" w:sz="8" w:color="auto"/>
            </w:tcBorders>
            <w:shd w:val="clear" w:color="auto" w:fill="E7F2F9"/>
          </w:tcPr>
          <w:p>
            <w:pPr>
              <w:spacing w:after="0"/>
              <w:rPr>
                <w:sz w:val="18"/>
                <w:szCs w:val="18"/>
                <w:color w:val="auto"/>
              </w:rPr>
            </w:pPr>
          </w:p>
        </w:tc>
        <w:tc>
          <w:tcPr>
            <w:tcW w:w="140" w:type="dxa"/>
            <w:vAlign w:val="bottom"/>
            <w:tcBorders>
              <w:bottom w:val="single" w:sz="8" w:color="auto"/>
            </w:tcBorders>
            <w:shd w:val="clear" w:color="auto" w:fill="E7F2F9"/>
          </w:tcPr>
          <w:p>
            <w:pPr>
              <w:spacing w:after="0"/>
              <w:rPr>
                <w:sz w:val="18"/>
                <w:szCs w:val="18"/>
                <w:color w:val="auto"/>
              </w:rPr>
            </w:pPr>
          </w:p>
        </w:tc>
        <w:tc>
          <w:tcPr>
            <w:tcW w:w="1520" w:type="dxa"/>
            <w:vAlign w:val="bottom"/>
            <w:tcBorders>
              <w:bottom w:val="single" w:sz="8" w:color="auto"/>
            </w:tcBorders>
            <w:gridSpan w:val="3"/>
            <w:shd w:val="clear" w:color="auto" w:fill="E7F2F9"/>
          </w:tcPr>
          <w:p>
            <w:pPr>
              <w:jc w:val="right"/>
              <w:ind w:right="171"/>
              <w:spacing w:after="0"/>
              <w:rPr>
                <w:sz w:val="20"/>
                <w:szCs w:val="20"/>
                <w:color w:val="auto"/>
              </w:rPr>
            </w:pPr>
            <w:r>
              <w:rPr>
                <w:rFonts w:ascii="Arial" w:cs="Arial" w:eastAsia="Arial" w:hAnsi="Arial"/>
                <w:sz w:val="14"/>
                <w:szCs w:val="14"/>
                <w:b w:val="1"/>
                <w:bCs w:val="1"/>
                <w:color w:val="1383C6"/>
              </w:rPr>
              <w:t>March 31, 2026</w:t>
            </w:r>
          </w:p>
        </w:tc>
        <w:tc>
          <w:tcPr>
            <w:tcW w:w="180" w:type="dxa"/>
            <w:vAlign w:val="bottom"/>
            <w:tcBorders>
              <w:bottom w:val="single" w:sz="8" w:color="auto"/>
            </w:tcBorders>
            <w:shd w:val="clear" w:color="auto" w:fill="E7F2F9"/>
          </w:tcPr>
          <w:p>
            <w:pPr>
              <w:spacing w:after="0"/>
              <w:rPr>
                <w:sz w:val="18"/>
                <w:szCs w:val="18"/>
                <w:color w:val="auto"/>
              </w:rPr>
            </w:pPr>
          </w:p>
        </w:tc>
        <w:tc>
          <w:tcPr>
            <w:tcW w:w="40" w:type="dxa"/>
            <w:vAlign w:val="bottom"/>
            <w:tcBorders>
              <w:bottom w:val="single" w:sz="8" w:color="auto"/>
            </w:tcBorders>
            <w:shd w:val="clear" w:color="auto" w:fill="E7F2F9"/>
          </w:tcPr>
          <w:p>
            <w:pPr>
              <w:spacing w:after="0"/>
              <w:rPr>
                <w:sz w:val="18"/>
                <w:szCs w:val="18"/>
                <w:color w:val="auto"/>
              </w:rPr>
            </w:pPr>
          </w:p>
        </w:tc>
        <w:tc>
          <w:tcPr>
            <w:tcW w:w="80" w:type="dxa"/>
            <w:vAlign w:val="bottom"/>
            <w:tcBorders>
              <w:bottom w:val="single" w:sz="8" w:color="auto"/>
            </w:tcBorders>
            <w:shd w:val="clear" w:color="auto" w:fill="E7F2F9"/>
          </w:tcPr>
          <w:p>
            <w:pPr>
              <w:spacing w:after="0"/>
              <w:rPr>
                <w:sz w:val="18"/>
                <w:szCs w:val="18"/>
                <w:color w:val="auto"/>
              </w:rPr>
            </w:pPr>
          </w:p>
        </w:tc>
        <w:tc>
          <w:tcPr>
            <w:tcW w:w="200" w:type="dxa"/>
            <w:vAlign w:val="bottom"/>
            <w:tcBorders>
              <w:bottom w:val="single" w:sz="8" w:color="auto"/>
            </w:tcBorders>
            <w:shd w:val="clear" w:color="auto" w:fill="E7F2F9"/>
          </w:tcPr>
          <w:p>
            <w:pPr>
              <w:spacing w:after="0"/>
              <w:rPr>
                <w:sz w:val="18"/>
                <w:szCs w:val="18"/>
                <w:color w:val="auto"/>
              </w:rPr>
            </w:pPr>
          </w:p>
        </w:tc>
        <w:tc>
          <w:tcPr>
            <w:tcW w:w="700" w:type="dxa"/>
            <w:vAlign w:val="bottom"/>
            <w:tcBorders>
              <w:bottom w:val="single" w:sz="8" w:color="auto"/>
            </w:tcBorders>
            <w:shd w:val="clear" w:color="auto" w:fill="E7F2F9"/>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2"/>
        </w:trPr>
        <w:tc>
          <w:tcPr>
            <w:tcW w:w="32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shd w:val="clear" w:color="auto" w:fill="E7F2F9"/>
          </w:tcPr>
          <w:p>
            <w:pPr>
              <w:spacing w:after="0"/>
              <w:rPr>
                <w:sz w:val="18"/>
                <w:szCs w:val="18"/>
                <w:color w:val="auto"/>
              </w:rPr>
            </w:pPr>
          </w:p>
        </w:tc>
        <w:tc>
          <w:tcPr>
            <w:tcW w:w="740" w:type="dxa"/>
            <w:vAlign w:val="bottom"/>
            <w:shd w:val="clear" w:color="auto" w:fill="E7F2F9"/>
          </w:tcPr>
          <w:p>
            <w:pPr>
              <w:jc w:val="right"/>
              <w:ind w:right="151"/>
              <w:spacing w:after="0"/>
              <w:rPr>
                <w:sz w:val="20"/>
                <w:szCs w:val="20"/>
                <w:color w:val="auto"/>
              </w:rPr>
            </w:pPr>
            <w:r>
              <w:rPr>
                <w:rFonts w:ascii="Arial" w:cs="Arial" w:eastAsia="Arial" w:hAnsi="Arial"/>
                <w:sz w:val="14"/>
                <w:szCs w:val="14"/>
                <w:b w:val="1"/>
                <w:bCs w:val="1"/>
                <w:color w:val="1383C6"/>
              </w:rPr>
              <w:t>Level 1</w:t>
            </w:r>
          </w:p>
        </w:tc>
        <w:tc>
          <w:tcPr>
            <w:tcW w:w="100" w:type="dxa"/>
            <w:vAlign w:val="bottom"/>
            <w:shd w:val="clear" w:color="auto" w:fill="E7F2F9"/>
          </w:tcPr>
          <w:p>
            <w:pPr>
              <w:spacing w:after="0"/>
              <w:rPr>
                <w:sz w:val="18"/>
                <w:szCs w:val="18"/>
                <w:color w:val="auto"/>
              </w:rPr>
            </w:pPr>
          </w:p>
        </w:tc>
        <w:tc>
          <w:tcPr>
            <w:tcW w:w="140" w:type="dxa"/>
            <w:vAlign w:val="bottom"/>
            <w:shd w:val="clear" w:color="auto" w:fill="E7F2F9"/>
          </w:tcPr>
          <w:p>
            <w:pPr>
              <w:spacing w:after="0"/>
              <w:rPr>
                <w:sz w:val="18"/>
                <w:szCs w:val="18"/>
                <w:color w:val="auto"/>
              </w:rPr>
            </w:pPr>
          </w:p>
        </w:tc>
        <w:tc>
          <w:tcPr>
            <w:tcW w:w="760" w:type="dxa"/>
            <w:vAlign w:val="bottom"/>
            <w:shd w:val="clear" w:color="auto" w:fill="E7F2F9"/>
          </w:tcPr>
          <w:p>
            <w:pPr>
              <w:jc w:val="right"/>
              <w:ind w:right="151"/>
              <w:spacing w:after="0"/>
              <w:rPr>
                <w:sz w:val="20"/>
                <w:szCs w:val="20"/>
                <w:color w:val="auto"/>
              </w:rPr>
            </w:pPr>
            <w:r>
              <w:rPr>
                <w:rFonts w:ascii="Arial" w:cs="Arial" w:eastAsia="Arial" w:hAnsi="Arial"/>
                <w:sz w:val="14"/>
                <w:szCs w:val="14"/>
                <w:b w:val="1"/>
                <w:bCs w:val="1"/>
                <w:color w:val="1383C6"/>
              </w:rPr>
              <w:t>Level 2</w:t>
            </w:r>
          </w:p>
        </w:tc>
        <w:tc>
          <w:tcPr>
            <w:tcW w:w="80" w:type="dxa"/>
            <w:vAlign w:val="bottom"/>
            <w:shd w:val="clear" w:color="auto" w:fill="E7F2F9"/>
          </w:tcPr>
          <w:p>
            <w:pPr>
              <w:spacing w:after="0"/>
              <w:rPr>
                <w:sz w:val="18"/>
                <w:szCs w:val="18"/>
                <w:color w:val="auto"/>
              </w:rPr>
            </w:pPr>
          </w:p>
        </w:tc>
        <w:tc>
          <w:tcPr>
            <w:tcW w:w="680" w:type="dxa"/>
            <w:vAlign w:val="bottom"/>
            <w:shd w:val="clear" w:color="auto" w:fill="E7F2F9"/>
          </w:tcPr>
          <w:p>
            <w:pPr>
              <w:jc w:val="right"/>
              <w:spacing w:after="0"/>
              <w:rPr>
                <w:sz w:val="20"/>
                <w:szCs w:val="20"/>
                <w:color w:val="auto"/>
              </w:rPr>
            </w:pPr>
            <w:r>
              <w:rPr>
                <w:rFonts w:ascii="Arial" w:cs="Arial" w:eastAsia="Arial" w:hAnsi="Arial"/>
                <w:sz w:val="14"/>
                <w:szCs w:val="14"/>
                <w:b w:val="1"/>
                <w:bCs w:val="1"/>
                <w:color w:val="1383C6"/>
              </w:rPr>
              <w:t>Level 3</w:t>
            </w:r>
          </w:p>
        </w:tc>
        <w:tc>
          <w:tcPr>
            <w:tcW w:w="180" w:type="dxa"/>
            <w:vAlign w:val="bottom"/>
            <w:shd w:val="clear" w:color="auto" w:fill="E7F2F9"/>
          </w:tcPr>
          <w:p>
            <w:pPr>
              <w:spacing w:after="0"/>
              <w:rPr>
                <w:sz w:val="18"/>
                <w:szCs w:val="18"/>
                <w:color w:val="auto"/>
              </w:rPr>
            </w:pPr>
          </w:p>
        </w:tc>
        <w:tc>
          <w:tcPr>
            <w:tcW w:w="40" w:type="dxa"/>
            <w:vAlign w:val="bottom"/>
            <w:shd w:val="clear" w:color="auto" w:fill="E7F2F9"/>
          </w:tcPr>
          <w:p>
            <w:pPr>
              <w:spacing w:after="0"/>
              <w:rPr>
                <w:sz w:val="18"/>
                <w:szCs w:val="18"/>
                <w:color w:val="auto"/>
              </w:rPr>
            </w:pPr>
          </w:p>
        </w:tc>
        <w:tc>
          <w:tcPr>
            <w:tcW w:w="80" w:type="dxa"/>
            <w:vAlign w:val="bottom"/>
            <w:shd w:val="clear" w:color="auto" w:fill="E7F2F9"/>
          </w:tcPr>
          <w:p>
            <w:pPr>
              <w:spacing w:after="0"/>
              <w:rPr>
                <w:sz w:val="18"/>
                <w:szCs w:val="18"/>
                <w:color w:val="auto"/>
              </w:rPr>
            </w:pPr>
          </w:p>
        </w:tc>
        <w:tc>
          <w:tcPr>
            <w:tcW w:w="200" w:type="dxa"/>
            <w:vAlign w:val="bottom"/>
            <w:shd w:val="clear" w:color="auto" w:fill="E7F2F9"/>
          </w:tcPr>
          <w:p>
            <w:pPr>
              <w:spacing w:after="0"/>
              <w:rPr>
                <w:sz w:val="18"/>
                <w:szCs w:val="18"/>
                <w:color w:val="auto"/>
              </w:rPr>
            </w:pPr>
          </w:p>
        </w:tc>
        <w:tc>
          <w:tcPr>
            <w:tcW w:w="700" w:type="dxa"/>
            <w:vAlign w:val="bottom"/>
            <w:shd w:val="clear" w:color="auto" w:fill="E7F2F9"/>
          </w:tcPr>
          <w:p>
            <w:pPr>
              <w:jc w:val="right"/>
              <w:ind w:right="211"/>
              <w:spacing w:after="0"/>
              <w:rPr>
                <w:sz w:val="20"/>
                <w:szCs w:val="20"/>
                <w:color w:val="auto"/>
              </w:rPr>
            </w:pPr>
            <w:r>
              <w:rPr>
                <w:rFonts w:ascii="Arial" w:cs="Arial" w:eastAsia="Arial" w:hAnsi="Arial"/>
                <w:sz w:val="14"/>
                <w:szCs w:val="14"/>
                <w:b w:val="1"/>
                <w:bCs w:val="1"/>
                <w:color w:val="1383C6"/>
              </w:rPr>
              <w:t>Total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r>
      <w:tr>
        <w:trPr>
          <w:trHeight w:val="192"/>
        </w:trPr>
        <w:tc>
          <w:tcPr>
            <w:tcW w:w="328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E7F2F9"/>
          </w:tcPr>
          <w:p>
            <w:pPr>
              <w:spacing w:after="0"/>
              <w:rPr>
                <w:sz w:val="16"/>
                <w:szCs w:val="16"/>
                <w:color w:val="auto"/>
              </w:rPr>
            </w:pPr>
          </w:p>
        </w:tc>
        <w:tc>
          <w:tcPr>
            <w:tcW w:w="740" w:type="dxa"/>
            <w:vAlign w:val="bottom"/>
            <w:tcBorders>
              <w:top w:val="single" w:sz="8" w:color="auto"/>
            </w:tcBorders>
            <w:shd w:val="clear" w:color="auto" w:fill="E7F2F9"/>
          </w:tcPr>
          <w:p>
            <w:pPr>
              <w:spacing w:after="0"/>
              <w:rPr>
                <w:sz w:val="16"/>
                <w:szCs w:val="16"/>
                <w:color w:val="auto"/>
              </w:rPr>
            </w:pPr>
          </w:p>
        </w:tc>
        <w:tc>
          <w:tcPr>
            <w:tcW w:w="100" w:type="dxa"/>
            <w:vAlign w:val="bottom"/>
            <w:tcBorders>
              <w:top w:val="single" w:sz="8" w:color="E7F2F9"/>
            </w:tcBorders>
            <w:shd w:val="clear" w:color="auto" w:fill="E7F2F9"/>
          </w:tcPr>
          <w:p>
            <w:pPr>
              <w:spacing w:after="0"/>
              <w:rPr>
                <w:sz w:val="16"/>
                <w:szCs w:val="16"/>
                <w:color w:val="auto"/>
              </w:rPr>
            </w:pPr>
          </w:p>
        </w:tc>
        <w:tc>
          <w:tcPr>
            <w:tcW w:w="140" w:type="dxa"/>
            <w:vAlign w:val="bottom"/>
            <w:tcBorders>
              <w:top w:val="single" w:sz="8" w:color="auto"/>
            </w:tcBorders>
            <w:shd w:val="clear" w:color="auto" w:fill="E7F2F9"/>
          </w:tcPr>
          <w:p>
            <w:pPr>
              <w:spacing w:after="0"/>
              <w:rPr>
                <w:sz w:val="16"/>
                <w:szCs w:val="16"/>
                <w:color w:val="auto"/>
              </w:rPr>
            </w:pPr>
          </w:p>
        </w:tc>
        <w:tc>
          <w:tcPr>
            <w:tcW w:w="760" w:type="dxa"/>
            <w:vAlign w:val="bottom"/>
            <w:tcBorders>
              <w:top w:val="single" w:sz="8" w:color="auto"/>
            </w:tcBorders>
            <w:shd w:val="clear" w:color="auto" w:fill="E7F2F9"/>
          </w:tcPr>
          <w:p>
            <w:pPr>
              <w:spacing w:after="0"/>
              <w:rPr>
                <w:sz w:val="16"/>
                <w:szCs w:val="16"/>
                <w:color w:val="auto"/>
              </w:rPr>
            </w:pPr>
          </w:p>
        </w:tc>
        <w:tc>
          <w:tcPr>
            <w:tcW w:w="80" w:type="dxa"/>
            <w:vAlign w:val="bottom"/>
            <w:tcBorders>
              <w:top w:val="single" w:sz="8" w:color="E7F2F9"/>
            </w:tcBorders>
            <w:shd w:val="clear" w:color="auto" w:fill="E7F2F9"/>
          </w:tcPr>
          <w:p>
            <w:pPr>
              <w:spacing w:after="0"/>
              <w:rPr>
                <w:sz w:val="16"/>
                <w:szCs w:val="16"/>
                <w:color w:val="auto"/>
              </w:rPr>
            </w:pPr>
          </w:p>
        </w:tc>
        <w:tc>
          <w:tcPr>
            <w:tcW w:w="680" w:type="dxa"/>
            <w:vAlign w:val="bottom"/>
            <w:tcBorders>
              <w:top w:val="single" w:sz="8" w:color="auto"/>
            </w:tcBorders>
            <w:shd w:val="clear" w:color="auto" w:fill="E7F2F9"/>
          </w:tcPr>
          <w:p>
            <w:pPr>
              <w:spacing w:after="0"/>
              <w:rPr>
                <w:sz w:val="16"/>
                <w:szCs w:val="16"/>
                <w:color w:val="auto"/>
              </w:rPr>
            </w:pPr>
          </w:p>
        </w:tc>
        <w:tc>
          <w:tcPr>
            <w:tcW w:w="180" w:type="dxa"/>
            <w:vAlign w:val="bottom"/>
            <w:tcBorders>
              <w:top w:val="single" w:sz="8" w:color="auto"/>
            </w:tcBorders>
            <w:shd w:val="clear" w:color="auto" w:fill="E7F2F9"/>
          </w:tcPr>
          <w:p>
            <w:pPr>
              <w:spacing w:after="0"/>
              <w:rPr>
                <w:sz w:val="16"/>
                <w:szCs w:val="16"/>
                <w:color w:val="auto"/>
              </w:rPr>
            </w:pPr>
          </w:p>
        </w:tc>
        <w:tc>
          <w:tcPr>
            <w:tcW w:w="40" w:type="dxa"/>
            <w:vAlign w:val="bottom"/>
            <w:tcBorders>
              <w:top w:val="single" w:sz="8" w:color="auto"/>
            </w:tcBorders>
            <w:shd w:val="clear" w:color="auto" w:fill="E7F2F9"/>
          </w:tcPr>
          <w:p>
            <w:pPr>
              <w:spacing w:after="0"/>
              <w:rPr>
                <w:sz w:val="16"/>
                <w:szCs w:val="16"/>
                <w:color w:val="auto"/>
              </w:rPr>
            </w:pPr>
          </w:p>
        </w:tc>
        <w:tc>
          <w:tcPr>
            <w:tcW w:w="80" w:type="dxa"/>
            <w:vAlign w:val="bottom"/>
            <w:tcBorders>
              <w:top w:val="single" w:sz="8" w:color="E7F2F9"/>
            </w:tcBorders>
            <w:shd w:val="clear" w:color="auto" w:fill="E7F2F9"/>
          </w:tcPr>
          <w:p>
            <w:pPr>
              <w:spacing w:after="0"/>
              <w:rPr>
                <w:sz w:val="16"/>
                <w:szCs w:val="16"/>
                <w:color w:val="auto"/>
              </w:rPr>
            </w:pPr>
          </w:p>
        </w:tc>
        <w:tc>
          <w:tcPr>
            <w:tcW w:w="200" w:type="dxa"/>
            <w:vAlign w:val="bottom"/>
            <w:tcBorders>
              <w:top w:val="single" w:sz="8" w:color="auto"/>
            </w:tcBorders>
            <w:shd w:val="clear" w:color="auto" w:fill="E7F2F9"/>
          </w:tcPr>
          <w:p>
            <w:pPr>
              <w:spacing w:after="0"/>
              <w:rPr>
                <w:sz w:val="16"/>
                <w:szCs w:val="16"/>
                <w:color w:val="auto"/>
              </w:rPr>
            </w:pPr>
          </w:p>
        </w:tc>
        <w:tc>
          <w:tcPr>
            <w:tcW w:w="700" w:type="dxa"/>
            <w:vAlign w:val="bottom"/>
            <w:tcBorders>
              <w:top w:val="single" w:sz="8" w:color="auto"/>
            </w:tcBorders>
            <w:shd w:val="clear" w:color="auto" w:fill="E7F2F9"/>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E7F2F9"/>
          </w:tcPr>
          <w:p>
            <w:pPr>
              <w:jc w:val="right"/>
              <w:spacing w:after="0"/>
              <w:rPr>
                <w:sz w:val="20"/>
                <w:szCs w:val="20"/>
                <w:color w:val="auto"/>
              </w:rPr>
            </w:pPr>
            <w:r>
              <w:rPr>
                <w:rFonts w:ascii="Arial" w:cs="Arial" w:eastAsia="Arial" w:hAnsi="Arial"/>
                <w:sz w:val="14"/>
                <w:szCs w:val="14"/>
                <w:color w:val="1383C6"/>
                <w:w w:val="76"/>
              </w:rPr>
              <w:t>$</w:t>
            </w:r>
          </w:p>
        </w:tc>
        <w:tc>
          <w:tcPr>
            <w:tcW w:w="7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56,274</w:t>
            </w:r>
          </w:p>
        </w:tc>
        <w:tc>
          <w:tcPr>
            <w:tcW w:w="100" w:type="dxa"/>
            <w:vAlign w:val="bottom"/>
            <w:shd w:val="clear" w:color="auto" w:fill="E7F2F9"/>
          </w:tcPr>
          <w:p>
            <w:pPr>
              <w:spacing w:after="0"/>
              <w:rPr>
                <w:sz w:val="18"/>
                <w:szCs w:val="18"/>
                <w:color w:val="auto"/>
              </w:rPr>
            </w:pPr>
          </w:p>
        </w:tc>
        <w:tc>
          <w:tcPr>
            <w:tcW w:w="140" w:type="dxa"/>
            <w:vAlign w:val="bottom"/>
            <w:shd w:val="clear" w:color="auto" w:fill="E7F2F9"/>
          </w:tcPr>
          <w:p>
            <w:pPr>
              <w:jc w:val="right"/>
              <w:spacing w:after="0"/>
              <w:rPr>
                <w:sz w:val="20"/>
                <w:szCs w:val="20"/>
                <w:color w:val="auto"/>
              </w:rPr>
            </w:pPr>
            <w:r>
              <w:rPr>
                <w:rFonts w:ascii="Arial" w:cs="Arial" w:eastAsia="Arial" w:hAnsi="Arial"/>
                <w:sz w:val="14"/>
                <w:szCs w:val="14"/>
                <w:color w:val="1383C6"/>
                <w:w w:val="76"/>
              </w:rPr>
              <w:t>$</w:t>
            </w:r>
          </w:p>
        </w:tc>
        <w:tc>
          <w:tcPr>
            <w:tcW w:w="760" w:type="dxa"/>
            <w:vAlign w:val="bottom"/>
            <w:shd w:val="clear" w:color="auto" w:fill="E7F2F9"/>
          </w:tcPr>
          <w:p>
            <w:pPr>
              <w:jc w:val="right"/>
              <w:ind w:right="11"/>
              <w:spacing w:after="0"/>
              <w:rPr>
                <w:sz w:val="20"/>
                <w:szCs w:val="20"/>
                <w:color w:val="auto"/>
              </w:rPr>
            </w:pPr>
            <w:r>
              <w:rPr>
                <w:rFonts w:ascii="Arial" w:cs="Arial" w:eastAsia="Arial" w:hAnsi="Arial"/>
                <w:sz w:val="14"/>
                <w:szCs w:val="14"/>
                <w:color w:val="1383C6"/>
              </w:rPr>
              <w:t>—</w:t>
            </w:r>
          </w:p>
        </w:tc>
        <w:tc>
          <w:tcPr>
            <w:tcW w:w="760" w:type="dxa"/>
            <w:vAlign w:val="bottom"/>
            <w:gridSpan w:val="2"/>
            <w:shd w:val="clear" w:color="auto" w:fill="E7F2F9"/>
          </w:tcPr>
          <w:p>
            <w:pPr>
              <w:jc w:val="right"/>
              <w:ind w:right="511"/>
              <w:spacing w:after="0"/>
              <w:rPr>
                <w:sz w:val="20"/>
                <w:szCs w:val="20"/>
                <w:color w:val="auto"/>
              </w:rPr>
            </w:pPr>
            <w:r>
              <w:rPr>
                <w:rFonts w:ascii="Arial" w:cs="Arial" w:eastAsia="Arial" w:hAnsi="Arial"/>
                <w:sz w:val="14"/>
                <w:szCs w:val="14"/>
                <w:color w:val="1383C6"/>
              </w:rPr>
              <w:t>$</w:t>
            </w:r>
          </w:p>
        </w:tc>
        <w:tc>
          <w:tcPr>
            <w:tcW w:w="180" w:type="dxa"/>
            <w:vAlign w:val="bottom"/>
            <w:shd w:val="clear" w:color="auto" w:fill="E7F2F9"/>
          </w:tcPr>
          <w:p>
            <w:pPr>
              <w:ind w:left="20"/>
              <w:spacing w:after="0"/>
              <w:rPr>
                <w:sz w:val="20"/>
                <w:szCs w:val="20"/>
                <w:color w:val="auto"/>
              </w:rPr>
            </w:pPr>
            <w:r>
              <w:rPr>
                <w:rFonts w:ascii="Arial" w:cs="Arial" w:eastAsia="Arial" w:hAnsi="Arial"/>
                <w:sz w:val="14"/>
                <w:szCs w:val="14"/>
                <w:color w:val="1383C6"/>
                <w:w w:val="99"/>
              </w:rPr>
              <w:t>—</w:t>
            </w:r>
          </w:p>
        </w:tc>
        <w:tc>
          <w:tcPr>
            <w:tcW w:w="320" w:type="dxa"/>
            <w:vAlign w:val="bottom"/>
            <w:gridSpan w:val="3"/>
            <w:shd w:val="clear" w:color="auto" w:fill="E7F2F9"/>
          </w:tcPr>
          <w:p>
            <w:pPr>
              <w:jc w:val="right"/>
              <w:ind w:right="31"/>
              <w:spacing w:after="0"/>
              <w:rPr>
                <w:sz w:val="20"/>
                <w:szCs w:val="20"/>
                <w:color w:val="auto"/>
              </w:rPr>
            </w:pPr>
            <w:r>
              <w:rPr>
                <w:rFonts w:ascii="Arial" w:cs="Arial" w:eastAsia="Arial" w:hAnsi="Arial"/>
                <w:sz w:val="14"/>
                <w:szCs w:val="14"/>
                <w:color w:val="1383C6"/>
              </w:rPr>
              <w:t>$</w:t>
            </w:r>
          </w:p>
        </w:tc>
        <w:tc>
          <w:tcPr>
            <w:tcW w:w="7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56,274</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60,496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3,211</w:t>
            </w:r>
          </w:p>
        </w:tc>
        <w:tc>
          <w:tcPr>
            <w:tcW w:w="80" w:type="dxa"/>
            <w:vAlign w:val="bottom"/>
          </w:tcPr>
          <w:p>
            <w:pPr>
              <w:spacing w:after="0"/>
              <w:rPr>
                <w:sz w:val="18"/>
                <w:szCs w:val="18"/>
                <w:color w:val="auto"/>
              </w:rPr>
            </w:pPr>
          </w:p>
        </w:tc>
        <w:tc>
          <w:tcPr>
            <w:tcW w:w="68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63,707</w:t>
            </w:r>
          </w:p>
        </w:tc>
      </w:tr>
      <w:tr>
        <w:trPr>
          <w:trHeight w:val="219"/>
        </w:trPr>
        <w:tc>
          <w:tcPr>
            <w:tcW w:w="3280" w:type="dxa"/>
            <w:vAlign w:val="bottom"/>
          </w:tcPr>
          <w:p>
            <w:pPr>
              <w:spacing w:after="0"/>
              <w:rPr>
                <w:sz w:val="20"/>
                <w:szCs w:val="20"/>
                <w:color w:val="auto"/>
              </w:rPr>
            </w:pPr>
            <w:r>
              <w:rPr>
                <w:rFonts w:ascii="Arial" w:cs="Arial" w:eastAsia="Arial" w:hAnsi="Arial"/>
                <w:sz w:val="14"/>
                <w:szCs w:val="14"/>
                <w:color w:val="auto"/>
              </w:rPr>
              <w:t>Investments:</w:t>
            </w:r>
          </w:p>
        </w:tc>
        <w:tc>
          <w:tcPr>
            <w:tcW w:w="140" w:type="dxa"/>
            <w:vAlign w:val="bottom"/>
            <w:shd w:val="clear" w:color="auto" w:fill="E7F2F9"/>
          </w:tcPr>
          <w:p>
            <w:pPr>
              <w:spacing w:after="0"/>
              <w:rPr>
                <w:sz w:val="19"/>
                <w:szCs w:val="19"/>
                <w:color w:val="auto"/>
              </w:rPr>
            </w:pPr>
          </w:p>
        </w:tc>
        <w:tc>
          <w:tcPr>
            <w:tcW w:w="740" w:type="dxa"/>
            <w:vAlign w:val="bottom"/>
            <w:shd w:val="clear" w:color="auto" w:fill="E7F2F9"/>
          </w:tcPr>
          <w:p>
            <w:pPr>
              <w:spacing w:after="0"/>
              <w:rPr>
                <w:sz w:val="19"/>
                <w:szCs w:val="19"/>
                <w:color w:val="auto"/>
              </w:rPr>
            </w:pPr>
          </w:p>
        </w:tc>
        <w:tc>
          <w:tcPr>
            <w:tcW w:w="100" w:type="dxa"/>
            <w:vAlign w:val="bottom"/>
            <w:shd w:val="clear" w:color="auto" w:fill="E7F2F9"/>
          </w:tcPr>
          <w:p>
            <w:pPr>
              <w:spacing w:after="0"/>
              <w:rPr>
                <w:sz w:val="19"/>
                <w:szCs w:val="19"/>
                <w:color w:val="auto"/>
              </w:rPr>
            </w:pPr>
          </w:p>
        </w:tc>
        <w:tc>
          <w:tcPr>
            <w:tcW w:w="140" w:type="dxa"/>
            <w:vAlign w:val="bottom"/>
            <w:shd w:val="clear" w:color="auto" w:fill="E7F2F9"/>
          </w:tcPr>
          <w:p>
            <w:pPr>
              <w:spacing w:after="0"/>
              <w:rPr>
                <w:sz w:val="19"/>
                <w:szCs w:val="19"/>
                <w:color w:val="auto"/>
              </w:rPr>
            </w:pPr>
          </w:p>
        </w:tc>
        <w:tc>
          <w:tcPr>
            <w:tcW w:w="760" w:type="dxa"/>
            <w:vAlign w:val="bottom"/>
            <w:shd w:val="clear" w:color="auto" w:fill="E7F2F9"/>
          </w:tcPr>
          <w:p>
            <w:pPr>
              <w:spacing w:after="0"/>
              <w:rPr>
                <w:sz w:val="19"/>
                <w:szCs w:val="19"/>
                <w:color w:val="auto"/>
              </w:rPr>
            </w:pPr>
          </w:p>
        </w:tc>
        <w:tc>
          <w:tcPr>
            <w:tcW w:w="80" w:type="dxa"/>
            <w:vAlign w:val="bottom"/>
            <w:shd w:val="clear" w:color="auto" w:fill="E7F2F9"/>
          </w:tcPr>
          <w:p>
            <w:pPr>
              <w:spacing w:after="0"/>
              <w:rPr>
                <w:sz w:val="19"/>
                <w:szCs w:val="19"/>
                <w:color w:val="auto"/>
              </w:rPr>
            </w:pPr>
          </w:p>
        </w:tc>
        <w:tc>
          <w:tcPr>
            <w:tcW w:w="680" w:type="dxa"/>
            <w:vAlign w:val="bottom"/>
            <w:shd w:val="clear" w:color="auto" w:fill="E7F2F9"/>
          </w:tcPr>
          <w:p>
            <w:pPr>
              <w:spacing w:after="0"/>
              <w:rPr>
                <w:sz w:val="19"/>
                <w:szCs w:val="19"/>
                <w:color w:val="auto"/>
              </w:rPr>
            </w:pPr>
          </w:p>
        </w:tc>
        <w:tc>
          <w:tcPr>
            <w:tcW w:w="180" w:type="dxa"/>
            <w:vAlign w:val="bottom"/>
            <w:shd w:val="clear" w:color="auto" w:fill="E7F2F9"/>
          </w:tcPr>
          <w:p>
            <w:pPr>
              <w:spacing w:after="0"/>
              <w:rPr>
                <w:sz w:val="19"/>
                <w:szCs w:val="19"/>
                <w:color w:val="auto"/>
              </w:rPr>
            </w:pPr>
          </w:p>
        </w:tc>
        <w:tc>
          <w:tcPr>
            <w:tcW w:w="40" w:type="dxa"/>
            <w:vAlign w:val="bottom"/>
            <w:shd w:val="clear" w:color="auto" w:fill="E7F2F9"/>
          </w:tcPr>
          <w:p>
            <w:pPr>
              <w:spacing w:after="0"/>
              <w:rPr>
                <w:sz w:val="19"/>
                <w:szCs w:val="19"/>
                <w:color w:val="auto"/>
              </w:rPr>
            </w:pPr>
          </w:p>
        </w:tc>
        <w:tc>
          <w:tcPr>
            <w:tcW w:w="80" w:type="dxa"/>
            <w:vAlign w:val="bottom"/>
            <w:shd w:val="clear" w:color="auto" w:fill="E7F2F9"/>
          </w:tcPr>
          <w:p>
            <w:pPr>
              <w:spacing w:after="0"/>
              <w:rPr>
                <w:sz w:val="19"/>
                <w:szCs w:val="19"/>
                <w:color w:val="auto"/>
              </w:rPr>
            </w:pPr>
          </w:p>
        </w:tc>
        <w:tc>
          <w:tcPr>
            <w:tcW w:w="200" w:type="dxa"/>
            <w:vAlign w:val="bottom"/>
            <w:shd w:val="clear" w:color="auto" w:fill="E7F2F9"/>
          </w:tcPr>
          <w:p>
            <w:pPr>
              <w:spacing w:after="0"/>
              <w:rPr>
                <w:sz w:val="19"/>
                <w:szCs w:val="19"/>
                <w:color w:val="auto"/>
              </w:rPr>
            </w:pPr>
          </w:p>
        </w:tc>
        <w:tc>
          <w:tcPr>
            <w:tcW w:w="700" w:type="dxa"/>
            <w:vAlign w:val="bottom"/>
            <w:shd w:val="clear" w:color="auto" w:fill="E7F2F9"/>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3280" w:type="dxa"/>
            <w:vAlign w:val="bottom"/>
          </w:tcPr>
          <w:p>
            <w:pPr>
              <w:ind w:left="80"/>
              <w:spacing w:after="0"/>
              <w:rPr>
                <w:sz w:val="20"/>
                <w:szCs w:val="20"/>
                <w:color w:val="auto"/>
              </w:rPr>
            </w:pPr>
            <w:r>
              <w:rPr>
                <w:rFonts w:ascii="Arial" w:cs="Arial" w:eastAsia="Arial" w:hAnsi="Arial"/>
                <w:sz w:val="14"/>
                <w:szCs w:val="14"/>
                <w:color w:val="auto"/>
              </w:rPr>
              <w:t>Commercial paper</w:t>
            </w:r>
          </w:p>
        </w:tc>
        <w:tc>
          <w:tcPr>
            <w:tcW w:w="140" w:type="dxa"/>
            <w:vAlign w:val="bottom"/>
            <w:shd w:val="clear" w:color="auto" w:fill="E7F2F9"/>
          </w:tcPr>
          <w:p>
            <w:pPr>
              <w:spacing w:after="0"/>
              <w:rPr>
                <w:sz w:val="19"/>
                <w:szCs w:val="19"/>
                <w:color w:val="auto"/>
              </w:rPr>
            </w:pPr>
          </w:p>
        </w:tc>
        <w:tc>
          <w:tcPr>
            <w:tcW w:w="7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100" w:type="dxa"/>
            <w:vAlign w:val="bottom"/>
            <w:shd w:val="clear" w:color="auto" w:fill="E7F2F9"/>
          </w:tcPr>
          <w:p>
            <w:pPr>
              <w:spacing w:after="0"/>
              <w:rPr>
                <w:sz w:val="19"/>
                <w:szCs w:val="19"/>
                <w:color w:val="auto"/>
              </w:rPr>
            </w:pPr>
          </w:p>
        </w:tc>
        <w:tc>
          <w:tcPr>
            <w:tcW w:w="140" w:type="dxa"/>
            <w:vAlign w:val="bottom"/>
            <w:shd w:val="clear" w:color="auto" w:fill="E7F2F9"/>
          </w:tcPr>
          <w:p>
            <w:pPr>
              <w:spacing w:after="0"/>
              <w:rPr>
                <w:sz w:val="19"/>
                <w:szCs w:val="19"/>
                <w:color w:val="auto"/>
              </w:rPr>
            </w:pPr>
          </w:p>
        </w:tc>
        <w:tc>
          <w:tcPr>
            <w:tcW w:w="760" w:type="dxa"/>
            <w:vAlign w:val="bottom"/>
            <w:shd w:val="clear" w:color="auto" w:fill="E7F2F9"/>
          </w:tcPr>
          <w:p>
            <w:pPr>
              <w:jc w:val="right"/>
              <w:ind w:right="11"/>
              <w:spacing w:after="0"/>
              <w:rPr>
                <w:sz w:val="20"/>
                <w:szCs w:val="20"/>
                <w:color w:val="auto"/>
              </w:rPr>
            </w:pPr>
            <w:r>
              <w:rPr>
                <w:rFonts w:ascii="Arial" w:cs="Arial" w:eastAsia="Arial" w:hAnsi="Arial"/>
                <w:sz w:val="14"/>
                <w:szCs w:val="14"/>
                <w:color w:val="1383C6"/>
              </w:rPr>
              <w:t>—</w:t>
            </w:r>
          </w:p>
        </w:tc>
        <w:tc>
          <w:tcPr>
            <w:tcW w:w="80" w:type="dxa"/>
            <w:vAlign w:val="bottom"/>
            <w:shd w:val="clear" w:color="auto" w:fill="E7F2F9"/>
          </w:tcPr>
          <w:p>
            <w:pPr>
              <w:spacing w:after="0"/>
              <w:rPr>
                <w:sz w:val="19"/>
                <w:szCs w:val="19"/>
                <w:color w:val="auto"/>
              </w:rPr>
            </w:pPr>
          </w:p>
        </w:tc>
        <w:tc>
          <w:tcPr>
            <w:tcW w:w="680" w:type="dxa"/>
            <w:vAlign w:val="bottom"/>
            <w:shd w:val="clear" w:color="auto" w:fill="E7F2F9"/>
          </w:tcPr>
          <w:p>
            <w:pPr>
              <w:spacing w:after="0"/>
              <w:rPr>
                <w:sz w:val="19"/>
                <w:szCs w:val="19"/>
                <w:color w:val="auto"/>
              </w:rPr>
            </w:pPr>
          </w:p>
        </w:tc>
        <w:tc>
          <w:tcPr>
            <w:tcW w:w="180" w:type="dxa"/>
            <w:vAlign w:val="bottom"/>
            <w:shd w:val="clear" w:color="auto" w:fill="E7F2F9"/>
          </w:tcPr>
          <w:p>
            <w:pPr>
              <w:ind w:left="20"/>
              <w:spacing w:after="0"/>
              <w:rPr>
                <w:sz w:val="20"/>
                <w:szCs w:val="20"/>
                <w:color w:val="auto"/>
              </w:rPr>
            </w:pPr>
            <w:r>
              <w:rPr>
                <w:rFonts w:ascii="Arial" w:cs="Arial" w:eastAsia="Arial" w:hAnsi="Arial"/>
                <w:sz w:val="14"/>
                <w:szCs w:val="14"/>
                <w:color w:val="1383C6"/>
                <w:w w:val="99"/>
              </w:rPr>
              <w:t>—</w:t>
            </w:r>
          </w:p>
        </w:tc>
        <w:tc>
          <w:tcPr>
            <w:tcW w:w="40" w:type="dxa"/>
            <w:vAlign w:val="bottom"/>
            <w:shd w:val="clear" w:color="auto" w:fill="E7F2F9"/>
          </w:tcPr>
          <w:p>
            <w:pPr>
              <w:spacing w:after="0"/>
              <w:rPr>
                <w:sz w:val="19"/>
                <w:szCs w:val="19"/>
                <w:color w:val="auto"/>
              </w:rPr>
            </w:pPr>
          </w:p>
        </w:tc>
        <w:tc>
          <w:tcPr>
            <w:tcW w:w="80" w:type="dxa"/>
            <w:vAlign w:val="bottom"/>
            <w:shd w:val="clear" w:color="auto" w:fill="E7F2F9"/>
          </w:tcPr>
          <w:p>
            <w:pPr>
              <w:spacing w:after="0"/>
              <w:rPr>
                <w:sz w:val="19"/>
                <w:szCs w:val="19"/>
                <w:color w:val="auto"/>
              </w:rPr>
            </w:pPr>
          </w:p>
        </w:tc>
        <w:tc>
          <w:tcPr>
            <w:tcW w:w="200" w:type="dxa"/>
            <w:vAlign w:val="bottom"/>
            <w:shd w:val="clear" w:color="auto" w:fill="E7F2F9"/>
          </w:tcPr>
          <w:p>
            <w:pPr>
              <w:spacing w:after="0"/>
              <w:rPr>
                <w:sz w:val="19"/>
                <w:szCs w:val="19"/>
                <w:color w:val="auto"/>
              </w:rPr>
            </w:pPr>
          </w:p>
        </w:tc>
        <w:tc>
          <w:tcPr>
            <w:tcW w:w="7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9"/>
        </w:trPr>
        <w:tc>
          <w:tcPr>
            <w:tcW w:w="3280" w:type="dxa"/>
            <w:vAlign w:val="bottom"/>
          </w:tcPr>
          <w:p>
            <w:pPr>
              <w:ind w:left="80"/>
              <w:spacing w:after="0"/>
              <w:rPr>
                <w:sz w:val="20"/>
                <w:szCs w:val="20"/>
                <w:color w:val="auto"/>
              </w:rPr>
            </w:pPr>
            <w:r>
              <w:rPr>
                <w:rFonts w:ascii="Arial" w:cs="Arial" w:eastAsia="Arial" w:hAnsi="Arial"/>
                <w:sz w:val="14"/>
                <w:szCs w:val="14"/>
                <w:color w:val="auto"/>
              </w:rPr>
              <w:t>Corporate debt securities</w:t>
            </w:r>
          </w:p>
        </w:tc>
        <w:tc>
          <w:tcPr>
            <w:tcW w:w="140" w:type="dxa"/>
            <w:vAlign w:val="bottom"/>
            <w:shd w:val="clear" w:color="auto" w:fill="E7F2F9"/>
          </w:tcPr>
          <w:p>
            <w:pPr>
              <w:spacing w:after="0"/>
              <w:rPr>
                <w:sz w:val="19"/>
                <w:szCs w:val="19"/>
                <w:color w:val="auto"/>
              </w:rPr>
            </w:pPr>
          </w:p>
        </w:tc>
        <w:tc>
          <w:tcPr>
            <w:tcW w:w="7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100" w:type="dxa"/>
            <w:vAlign w:val="bottom"/>
            <w:shd w:val="clear" w:color="auto" w:fill="E7F2F9"/>
          </w:tcPr>
          <w:p>
            <w:pPr>
              <w:spacing w:after="0"/>
              <w:rPr>
                <w:sz w:val="19"/>
                <w:szCs w:val="19"/>
                <w:color w:val="auto"/>
              </w:rPr>
            </w:pPr>
          </w:p>
        </w:tc>
        <w:tc>
          <w:tcPr>
            <w:tcW w:w="140" w:type="dxa"/>
            <w:vAlign w:val="bottom"/>
            <w:shd w:val="clear" w:color="auto" w:fill="E7F2F9"/>
          </w:tcPr>
          <w:p>
            <w:pPr>
              <w:spacing w:after="0"/>
              <w:rPr>
                <w:sz w:val="19"/>
                <w:szCs w:val="19"/>
                <w:color w:val="auto"/>
              </w:rPr>
            </w:pPr>
          </w:p>
        </w:tc>
        <w:tc>
          <w:tcPr>
            <w:tcW w:w="760" w:type="dxa"/>
            <w:vAlign w:val="bottom"/>
            <w:shd w:val="clear" w:color="auto" w:fill="E7F2F9"/>
          </w:tcPr>
          <w:p>
            <w:pPr>
              <w:jc w:val="right"/>
              <w:ind w:right="11"/>
              <w:spacing w:after="0"/>
              <w:rPr>
                <w:sz w:val="20"/>
                <w:szCs w:val="20"/>
                <w:color w:val="auto"/>
              </w:rPr>
            </w:pPr>
            <w:r>
              <w:rPr>
                <w:rFonts w:ascii="Arial" w:cs="Arial" w:eastAsia="Arial" w:hAnsi="Arial"/>
                <w:sz w:val="14"/>
                <w:szCs w:val="14"/>
                <w:color w:val="1383C6"/>
              </w:rPr>
              <w:t>20,238</w:t>
            </w:r>
          </w:p>
        </w:tc>
        <w:tc>
          <w:tcPr>
            <w:tcW w:w="80" w:type="dxa"/>
            <w:vAlign w:val="bottom"/>
            <w:shd w:val="clear" w:color="auto" w:fill="E7F2F9"/>
          </w:tcPr>
          <w:p>
            <w:pPr>
              <w:spacing w:after="0"/>
              <w:rPr>
                <w:sz w:val="19"/>
                <w:szCs w:val="19"/>
                <w:color w:val="auto"/>
              </w:rPr>
            </w:pPr>
          </w:p>
        </w:tc>
        <w:tc>
          <w:tcPr>
            <w:tcW w:w="680" w:type="dxa"/>
            <w:vAlign w:val="bottom"/>
            <w:shd w:val="clear" w:color="auto" w:fill="E7F2F9"/>
          </w:tcPr>
          <w:p>
            <w:pPr>
              <w:spacing w:after="0"/>
              <w:rPr>
                <w:sz w:val="19"/>
                <w:szCs w:val="19"/>
                <w:color w:val="auto"/>
              </w:rPr>
            </w:pPr>
          </w:p>
        </w:tc>
        <w:tc>
          <w:tcPr>
            <w:tcW w:w="180" w:type="dxa"/>
            <w:vAlign w:val="bottom"/>
            <w:shd w:val="clear" w:color="auto" w:fill="E7F2F9"/>
          </w:tcPr>
          <w:p>
            <w:pPr>
              <w:ind w:left="20"/>
              <w:spacing w:after="0"/>
              <w:rPr>
                <w:sz w:val="20"/>
                <w:szCs w:val="20"/>
                <w:color w:val="auto"/>
              </w:rPr>
            </w:pPr>
            <w:r>
              <w:rPr>
                <w:rFonts w:ascii="Arial" w:cs="Arial" w:eastAsia="Arial" w:hAnsi="Arial"/>
                <w:sz w:val="14"/>
                <w:szCs w:val="14"/>
                <w:color w:val="1383C6"/>
                <w:w w:val="99"/>
              </w:rPr>
              <w:t>—</w:t>
            </w:r>
          </w:p>
        </w:tc>
        <w:tc>
          <w:tcPr>
            <w:tcW w:w="40" w:type="dxa"/>
            <w:vAlign w:val="bottom"/>
            <w:shd w:val="clear" w:color="auto" w:fill="E7F2F9"/>
          </w:tcPr>
          <w:p>
            <w:pPr>
              <w:spacing w:after="0"/>
              <w:rPr>
                <w:sz w:val="19"/>
                <w:szCs w:val="19"/>
                <w:color w:val="auto"/>
              </w:rPr>
            </w:pPr>
          </w:p>
        </w:tc>
        <w:tc>
          <w:tcPr>
            <w:tcW w:w="80" w:type="dxa"/>
            <w:vAlign w:val="bottom"/>
            <w:shd w:val="clear" w:color="auto" w:fill="E7F2F9"/>
          </w:tcPr>
          <w:p>
            <w:pPr>
              <w:spacing w:after="0"/>
              <w:rPr>
                <w:sz w:val="19"/>
                <w:szCs w:val="19"/>
                <w:color w:val="auto"/>
              </w:rPr>
            </w:pPr>
          </w:p>
        </w:tc>
        <w:tc>
          <w:tcPr>
            <w:tcW w:w="200" w:type="dxa"/>
            <w:vAlign w:val="bottom"/>
            <w:shd w:val="clear" w:color="auto" w:fill="E7F2F9"/>
          </w:tcPr>
          <w:p>
            <w:pPr>
              <w:spacing w:after="0"/>
              <w:rPr>
                <w:sz w:val="19"/>
                <w:szCs w:val="19"/>
                <w:color w:val="auto"/>
              </w:rPr>
            </w:pPr>
          </w:p>
        </w:tc>
        <w:tc>
          <w:tcPr>
            <w:tcW w:w="7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20,238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23,250</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23,250</w:t>
            </w:r>
          </w:p>
        </w:tc>
      </w:tr>
      <w:tr>
        <w:trPr>
          <w:trHeight w:val="240"/>
        </w:trPr>
        <w:tc>
          <w:tcPr>
            <w:tcW w:w="3280" w:type="dxa"/>
            <w:vAlign w:val="bottom"/>
          </w:tcPr>
          <w:p>
            <w:pPr>
              <w:ind w:left="80"/>
              <w:spacing w:after="0"/>
              <w:rPr>
                <w:sz w:val="20"/>
                <w:szCs w:val="20"/>
                <w:color w:val="auto"/>
              </w:rPr>
            </w:pPr>
            <w:r>
              <w:rPr>
                <w:rFonts w:ascii="Arial" w:cs="Arial" w:eastAsia="Arial" w:hAnsi="Arial"/>
                <w:sz w:val="14"/>
                <w:szCs w:val="14"/>
                <w:color w:val="auto"/>
              </w:rPr>
              <w:t>U.S. government &amp; agency securities</w:t>
            </w:r>
          </w:p>
        </w:tc>
        <w:tc>
          <w:tcPr>
            <w:tcW w:w="140" w:type="dxa"/>
            <w:vAlign w:val="bottom"/>
            <w:tcBorders>
              <w:bottom w:val="single" w:sz="8" w:color="E7F2F9"/>
            </w:tcBorders>
            <w:shd w:val="clear" w:color="auto" w:fill="E7F2F9"/>
          </w:tcPr>
          <w:p>
            <w:pPr>
              <w:spacing w:after="0"/>
              <w:rPr>
                <w:sz w:val="20"/>
                <w:szCs w:val="20"/>
                <w:color w:val="auto"/>
              </w:rPr>
            </w:pPr>
          </w:p>
        </w:tc>
        <w:tc>
          <w:tcPr>
            <w:tcW w:w="7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100" w:type="dxa"/>
            <w:vAlign w:val="bottom"/>
            <w:tcBorders>
              <w:bottom w:val="single" w:sz="8" w:color="E7F2F9"/>
            </w:tcBorders>
            <w:shd w:val="clear" w:color="auto" w:fill="E7F2F9"/>
          </w:tcPr>
          <w:p>
            <w:pPr>
              <w:spacing w:after="0"/>
              <w:rPr>
                <w:sz w:val="20"/>
                <w:szCs w:val="20"/>
                <w:color w:val="auto"/>
              </w:rPr>
            </w:pPr>
          </w:p>
        </w:tc>
        <w:tc>
          <w:tcPr>
            <w:tcW w:w="140" w:type="dxa"/>
            <w:vAlign w:val="bottom"/>
            <w:tcBorders>
              <w:bottom w:val="single" w:sz="8" w:color="E7F2F9"/>
            </w:tcBorders>
            <w:shd w:val="clear" w:color="auto" w:fill="E7F2F9"/>
          </w:tcPr>
          <w:p>
            <w:pPr>
              <w:spacing w:after="0"/>
              <w:rPr>
                <w:sz w:val="20"/>
                <w:szCs w:val="20"/>
                <w:color w:val="auto"/>
              </w:rPr>
            </w:pPr>
          </w:p>
        </w:tc>
        <w:tc>
          <w:tcPr>
            <w:tcW w:w="760" w:type="dxa"/>
            <w:vAlign w:val="bottom"/>
            <w:tcBorders>
              <w:bottom w:val="single" w:sz="8" w:color="E7F2F9"/>
            </w:tcBorders>
            <w:shd w:val="clear" w:color="auto" w:fill="E7F2F9"/>
          </w:tcPr>
          <w:p>
            <w:pPr>
              <w:jc w:val="right"/>
              <w:ind w:right="11"/>
              <w:spacing w:after="0"/>
              <w:rPr>
                <w:sz w:val="20"/>
                <w:szCs w:val="20"/>
                <w:color w:val="auto"/>
              </w:rPr>
            </w:pPr>
            <w:r>
              <w:rPr>
                <w:rFonts w:ascii="Arial" w:cs="Arial" w:eastAsia="Arial" w:hAnsi="Arial"/>
                <w:sz w:val="14"/>
                <w:szCs w:val="14"/>
                <w:color w:val="1383C6"/>
              </w:rPr>
              <w:t>199,450</w:t>
            </w:r>
          </w:p>
        </w:tc>
        <w:tc>
          <w:tcPr>
            <w:tcW w:w="80" w:type="dxa"/>
            <w:vAlign w:val="bottom"/>
            <w:tcBorders>
              <w:bottom w:val="single" w:sz="8" w:color="E7F2F9"/>
            </w:tcBorders>
            <w:shd w:val="clear" w:color="auto" w:fill="E7F2F9"/>
          </w:tcPr>
          <w:p>
            <w:pPr>
              <w:spacing w:after="0"/>
              <w:rPr>
                <w:sz w:val="20"/>
                <w:szCs w:val="20"/>
                <w:color w:val="auto"/>
              </w:rPr>
            </w:pPr>
          </w:p>
        </w:tc>
        <w:tc>
          <w:tcPr>
            <w:tcW w:w="680" w:type="dxa"/>
            <w:vAlign w:val="bottom"/>
            <w:tcBorders>
              <w:bottom w:val="single" w:sz="8" w:color="E7F2F9"/>
            </w:tcBorders>
            <w:shd w:val="clear" w:color="auto" w:fill="E7F2F9"/>
          </w:tcPr>
          <w:p>
            <w:pPr>
              <w:spacing w:after="0"/>
              <w:rPr>
                <w:sz w:val="20"/>
                <w:szCs w:val="20"/>
                <w:color w:val="auto"/>
              </w:rPr>
            </w:pPr>
          </w:p>
        </w:tc>
        <w:tc>
          <w:tcPr>
            <w:tcW w:w="18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4"/>
                <w:szCs w:val="14"/>
                <w:color w:val="1383C6"/>
                <w:w w:val="99"/>
              </w:rPr>
              <w:t>—</w:t>
            </w:r>
          </w:p>
        </w:tc>
        <w:tc>
          <w:tcPr>
            <w:tcW w:w="40" w:type="dxa"/>
            <w:vAlign w:val="bottom"/>
            <w:tcBorders>
              <w:bottom w:val="single" w:sz="8" w:color="E7F2F9"/>
            </w:tcBorders>
            <w:shd w:val="clear" w:color="auto" w:fill="E7F2F9"/>
          </w:tcPr>
          <w:p>
            <w:pPr>
              <w:spacing w:after="0"/>
              <w:rPr>
                <w:sz w:val="20"/>
                <w:szCs w:val="20"/>
                <w:color w:val="auto"/>
              </w:rPr>
            </w:pPr>
          </w:p>
        </w:tc>
        <w:tc>
          <w:tcPr>
            <w:tcW w:w="80" w:type="dxa"/>
            <w:vAlign w:val="bottom"/>
            <w:tcBorders>
              <w:bottom w:val="single" w:sz="8" w:color="E7F2F9"/>
            </w:tcBorders>
            <w:shd w:val="clear" w:color="auto" w:fill="E7F2F9"/>
          </w:tcPr>
          <w:p>
            <w:pPr>
              <w:spacing w:after="0"/>
              <w:rPr>
                <w:sz w:val="20"/>
                <w:szCs w:val="20"/>
                <w:color w:val="auto"/>
              </w:rPr>
            </w:pPr>
          </w:p>
        </w:tc>
        <w:tc>
          <w:tcPr>
            <w:tcW w:w="200" w:type="dxa"/>
            <w:vAlign w:val="bottom"/>
            <w:tcBorders>
              <w:bottom w:val="single" w:sz="8" w:color="E7F2F9"/>
            </w:tcBorders>
            <w:shd w:val="clear" w:color="auto" w:fill="E7F2F9"/>
          </w:tcPr>
          <w:p>
            <w:pPr>
              <w:spacing w:after="0"/>
              <w:rPr>
                <w:sz w:val="20"/>
                <w:szCs w:val="20"/>
                <w:color w:val="auto"/>
              </w:rPr>
            </w:pPr>
          </w:p>
        </w:tc>
        <w:tc>
          <w:tcPr>
            <w:tcW w:w="70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199,450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192,549</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192,549</w:t>
            </w:r>
          </w:p>
        </w:tc>
      </w:tr>
      <w:tr>
        <w:trPr>
          <w:trHeight w:val="192"/>
        </w:trPr>
        <w:tc>
          <w:tcPr>
            <w:tcW w:w="3280" w:type="dxa"/>
            <w:vAlign w:val="bottom"/>
          </w:tcPr>
          <w:p>
            <w:pPr>
              <w:ind w:left="240"/>
              <w:spacing w:after="0"/>
              <w:rPr>
                <w:sz w:val="20"/>
                <w:szCs w:val="20"/>
                <w:color w:val="auto"/>
              </w:rPr>
            </w:pPr>
            <w:r>
              <w:rPr>
                <w:rFonts w:ascii="Arial" w:cs="Arial" w:eastAsia="Arial" w:hAnsi="Arial"/>
                <w:sz w:val="14"/>
                <w:szCs w:val="14"/>
                <w:color w:val="auto"/>
              </w:rPr>
              <w:t>Total investments</w:t>
            </w:r>
          </w:p>
        </w:tc>
        <w:tc>
          <w:tcPr>
            <w:tcW w:w="140" w:type="dxa"/>
            <w:vAlign w:val="bottom"/>
            <w:tcBorders>
              <w:top w:val="single" w:sz="8" w:color="auto"/>
            </w:tcBorders>
            <w:shd w:val="clear" w:color="auto" w:fill="E7F2F9"/>
          </w:tcPr>
          <w:p>
            <w:pPr>
              <w:spacing w:after="0"/>
              <w:rPr>
                <w:sz w:val="16"/>
                <w:szCs w:val="16"/>
                <w:color w:val="auto"/>
              </w:rPr>
            </w:pPr>
          </w:p>
        </w:tc>
        <w:tc>
          <w:tcPr>
            <w:tcW w:w="74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4"/>
                <w:szCs w:val="14"/>
                <w:color w:val="1383C6"/>
              </w:rPr>
              <w:t>—</w:t>
            </w:r>
          </w:p>
        </w:tc>
        <w:tc>
          <w:tcPr>
            <w:tcW w:w="100" w:type="dxa"/>
            <w:vAlign w:val="bottom"/>
            <w:tcBorders>
              <w:top w:val="single" w:sz="8" w:color="E7F2F9"/>
            </w:tcBorders>
            <w:shd w:val="clear" w:color="auto" w:fill="E7F2F9"/>
          </w:tcPr>
          <w:p>
            <w:pPr>
              <w:spacing w:after="0"/>
              <w:rPr>
                <w:sz w:val="16"/>
                <w:szCs w:val="16"/>
                <w:color w:val="auto"/>
              </w:rPr>
            </w:pPr>
          </w:p>
        </w:tc>
        <w:tc>
          <w:tcPr>
            <w:tcW w:w="140" w:type="dxa"/>
            <w:vAlign w:val="bottom"/>
            <w:tcBorders>
              <w:top w:val="single" w:sz="8" w:color="auto"/>
            </w:tcBorders>
            <w:shd w:val="clear" w:color="auto" w:fill="E7F2F9"/>
          </w:tcPr>
          <w:p>
            <w:pPr>
              <w:spacing w:after="0"/>
              <w:rPr>
                <w:sz w:val="16"/>
                <w:szCs w:val="16"/>
                <w:color w:val="auto"/>
              </w:rPr>
            </w:pPr>
          </w:p>
        </w:tc>
        <w:tc>
          <w:tcPr>
            <w:tcW w:w="760" w:type="dxa"/>
            <w:vAlign w:val="bottom"/>
            <w:tcBorders>
              <w:top w:val="single" w:sz="8" w:color="auto"/>
            </w:tcBorders>
            <w:shd w:val="clear" w:color="auto" w:fill="E7F2F9"/>
          </w:tcPr>
          <w:p>
            <w:pPr>
              <w:jc w:val="right"/>
              <w:ind w:right="11"/>
              <w:spacing w:after="0"/>
              <w:rPr>
                <w:sz w:val="20"/>
                <w:szCs w:val="20"/>
                <w:color w:val="auto"/>
              </w:rPr>
            </w:pPr>
            <w:r>
              <w:rPr>
                <w:rFonts w:ascii="Arial" w:cs="Arial" w:eastAsia="Arial" w:hAnsi="Arial"/>
                <w:sz w:val="14"/>
                <w:szCs w:val="14"/>
                <w:color w:val="1383C6"/>
              </w:rPr>
              <w:t>219,688</w:t>
            </w:r>
          </w:p>
        </w:tc>
        <w:tc>
          <w:tcPr>
            <w:tcW w:w="80" w:type="dxa"/>
            <w:vAlign w:val="bottom"/>
            <w:tcBorders>
              <w:top w:val="single" w:sz="8" w:color="E7F2F9"/>
            </w:tcBorders>
            <w:shd w:val="clear" w:color="auto" w:fill="E7F2F9"/>
          </w:tcPr>
          <w:p>
            <w:pPr>
              <w:spacing w:after="0"/>
              <w:rPr>
                <w:sz w:val="16"/>
                <w:szCs w:val="16"/>
                <w:color w:val="auto"/>
              </w:rPr>
            </w:pPr>
          </w:p>
        </w:tc>
        <w:tc>
          <w:tcPr>
            <w:tcW w:w="680" w:type="dxa"/>
            <w:vAlign w:val="bottom"/>
            <w:tcBorders>
              <w:top w:val="single" w:sz="8" w:color="auto"/>
            </w:tcBorders>
            <w:shd w:val="clear" w:color="auto" w:fill="E7F2F9"/>
          </w:tcPr>
          <w:p>
            <w:pPr>
              <w:spacing w:after="0"/>
              <w:rPr>
                <w:sz w:val="16"/>
                <w:szCs w:val="16"/>
                <w:color w:val="auto"/>
              </w:rPr>
            </w:pPr>
          </w:p>
        </w:tc>
        <w:tc>
          <w:tcPr>
            <w:tcW w:w="180" w:type="dxa"/>
            <w:vAlign w:val="bottom"/>
            <w:tcBorders>
              <w:top w:val="single" w:sz="8" w:color="auto"/>
            </w:tcBorders>
            <w:shd w:val="clear" w:color="auto" w:fill="E7F2F9"/>
          </w:tcPr>
          <w:p>
            <w:pPr>
              <w:ind w:left="20"/>
              <w:spacing w:after="0"/>
              <w:rPr>
                <w:sz w:val="20"/>
                <w:szCs w:val="20"/>
                <w:color w:val="auto"/>
              </w:rPr>
            </w:pPr>
            <w:r>
              <w:rPr>
                <w:rFonts w:ascii="Arial" w:cs="Arial" w:eastAsia="Arial" w:hAnsi="Arial"/>
                <w:sz w:val="14"/>
                <w:szCs w:val="14"/>
                <w:color w:val="1383C6"/>
                <w:w w:val="99"/>
              </w:rPr>
              <w:t>—</w:t>
            </w:r>
          </w:p>
        </w:tc>
        <w:tc>
          <w:tcPr>
            <w:tcW w:w="40" w:type="dxa"/>
            <w:vAlign w:val="bottom"/>
            <w:tcBorders>
              <w:top w:val="single" w:sz="8" w:color="auto"/>
            </w:tcBorders>
            <w:shd w:val="clear" w:color="auto" w:fill="E7F2F9"/>
          </w:tcPr>
          <w:p>
            <w:pPr>
              <w:spacing w:after="0"/>
              <w:rPr>
                <w:sz w:val="16"/>
                <w:szCs w:val="16"/>
                <w:color w:val="auto"/>
              </w:rPr>
            </w:pPr>
          </w:p>
        </w:tc>
        <w:tc>
          <w:tcPr>
            <w:tcW w:w="80" w:type="dxa"/>
            <w:vAlign w:val="bottom"/>
            <w:tcBorders>
              <w:top w:val="single" w:sz="8" w:color="E7F2F9"/>
            </w:tcBorders>
            <w:shd w:val="clear" w:color="auto" w:fill="E7F2F9"/>
          </w:tcPr>
          <w:p>
            <w:pPr>
              <w:spacing w:after="0"/>
              <w:rPr>
                <w:sz w:val="16"/>
                <w:szCs w:val="16"/>
                <w:color w:val="auto"/>
              </w:rPr>
            </w:pPr>
          </w:p>
        </w:tc>
        <w:tc>
          <w:tcPr>
            <w:tcW w:w="200" w:type="dxa"/>
            <w:vAlign w:val="bottom"/>
            <w:tcBorders>
              <w:top w:val="single" w:sz="8" w:color="auto"/>
            </w:tcBorders>
            <w:shd w:val="clear" w:color="auto" w:fill="E7F2F9"/>
          </w:tcPr>
          <w:p>
            <w:pPr>
              <w:spacing w:after="0"/>
              <w:rPr>
                <w:sz w:val="16"/>
                <w:szCs w:val="16"/>
                <w:color w:val="auto"/>
              </w:rPr>
            </w:pPr>
          </w:p>
        </w:tc>
        <w:tc>
          <w:tcPr>
            <w:tcW w:w="70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4"/>
                <w:szCs w:val="14"/>
                <w:color w:val="1383C6"/>
              </w:rPr>
              <w:t>219,688</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215,799</w:t>
            </w:r>
          </w:p>
        </w:tc>
        <w:tc>
          <w:tcPr>
            <w:tcW w:w="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215,799</w:t>
            </w:r>
          </w:p>
        </w:tc>
      </w:tr>
      <w:tr>
        <w:trPr>
          <w:trHeight w:val="477"/>
        </w:trPr>
        <w:tc>
          <w:tcPr>
            <w:tcW w:w="3280" w:type="dxa"/>
            <w:vAlign w:val="bottom"/>
          </w:tcPr>
          <w:p>
            <w:pPr>
              <w:spacing w:after="0"/>
              <w:rPr>
                <w:sz w:val="20"/>
                <w:szCs w:val="20"/>
                <w:color w:val="auto"/>
              </w:rPr>
            </w:pPr>
            <w:r>
              <w:rPr>
                <w:rFonts w:ascii="Arial" w:cs="Arial" w:eastAsia="Arial" w:hAnsi="Arial"/>
                <w:sz w:val="14"/>
                <w:szCs w:val="14"/>
                <w:color w:val="auto"/>
              </w:rPr>
              <w:t>Short-term restricted cash</w:t>
            </w:r>
          </w:p>
        </w:tc>
        <w:tc>
          <w:tcPr>
            <w:tcW w:w="140" w:type="dxa"/>
            <w:vAlign w:val="bottom"/>
            <w:shd w:val="clear" w:color="auto" w:fill="E7F2F9"/>
          </w:tcPr>
          <w:p>
            <w:pPr>
              <w:spacing w:after="0"/>
              <w:rPr>
                <w:sz w:val="24"/>
                <w:szCs w:val="24"/>
                <w:color w:val="auto"/>
              </w:rPr>
            </w:pPr>
          </w:p>
        </w:tc>
        <w:tc>
          <w:tcPr>
            <w:tcW w:w="74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19</w:t>
            </w:r>
          </w:p>
        </w:tc>
        <w:tc>
          <w:tcPr>
            <w:tcW w:w="100" w:type="dxa"/>
            <w:vAlign w:val="bottom"/>
            <w:shd w:val="clear" w:color="auto" w:fill="E7F2F9"/>
          </w:tcPr>
          <w:p>
            <w:pPr>
              <w:spacing w:after="0"/>
              <w:rPr>
                <w:sz w:val="24"/>
                <w:szCs w:val="24"/>
                <w:color w:val="auto"/>
              </w:rPr>
            </w:pPr>
          </w:p>
        </w:tc>
        <w:tc>
          <w:tcPr>
            <w:tcW w:w="140" w:type="dxa"/>
            <w:vAlign w:val="bottom"/>
            <w:shd w:val="clear" w:color="auto" w:fill="E7F2F9"/>
          </w:tcPr>
          <w:p>
            <w:pPr>
              <w:spacing w:after="0"/>
              <w:rPr>
                <w:sz w:val="24"/>
                <w:szCs w:val="24"/>
                <w:color w:val="auto"/>
              </w:rPr>
            </w:pPr>
          </w:p>
        </w:tc>
        <w:tc>
          <w:tcPr>
            <w:tcW w:w="760" w:type="dxa"/>
            <w:vAlign w:val="bottom"/>
            <w:shd w:val="clear" w:color="auto" w:fill="E7F2F9"/>
          </w:tcPr>
          <w:p>
            <w:pPr>
              <w:jc w:val="right"/>
              <w:ind w:right="11"/>
              <w:spacing w:after="0"/>
              <w:rPr>
                <w:sz w:val="20"/>
                <w:szCs w:val="20"/>
                <w:color w:val="auto"/>
              </w:rPr>
            </w:pPr>
            <w:r>
              <w:rPr>
                <w:rFonts w:ascii="Arial" w:cs="Arial" w:eastAsia="Arial" w:hAnsi="Arial"/>
                <w:sz w:val="14"/>
                <w:szCs w:val="14"/>
                <w:color w:val="1383C6"/>
              </w:rPr>
              <w:t>—</w:t>
            </w:r>
          </w:p>
        </w:tc>
        <w:tc>
          <w:tcPr>
            <w:tcW w:w="80" w:type="dxa"/>
            <w:vAlign w:val="bottom"/>
            <w:shd w:val="clear" w:color="auto" w:fill="E7F2F9"/>
          </w:tcPr>
          <w:p>
            <w:pPr>
              <w:spacing w:after="0"/>
              <w:rPr>
                <w:sz w:val="24"/>
                <w:szCs w:val="24"/>
                <w:color w:val="auto"/>
              </w:rPr>
            </w:pPr>
          </w:p>
        </w:tc>
        <w:tc>
          <w:tcPr>
            <w:tcW w:w="680" w:type="dxa"/>
            <w:vAlign w:val="bottom"/>
            <w:shd w:val="clear" w:color="auto" w:fill="E7F2F9"/>
          </w:tcPr>
          <w:p>
            <w:pPr>
              <w:spacing w:after="0"/>
              <w:rPr>
                <w:sz w:val="24"/>
                <w:szCs w:val="24"/>
                <w:color w:val="auto"/>
              </w:rPr>
            </w:pPr>
          </w:p>
        </w:tc>
        <w:tc>
          <w:tcPr>
            <w:tcW w:w="180" w:type="dxa"/>
            <w:vAlign w:val="bottom"/>
            <w:shd w:val="clear" w:color="auto" w:fill="E7F2F9"/>
          </w:tcPr>
          <w:p>
            <w:pPr>
              <w:ind w:left="20"/>
              <w:spacing w:after="0"/>
              <w:rPr>
                <w:sz w:val="20"/>
                <w:szCs w:val="20"/>
                <w:color w:val="auto"/>
              </w:rPr>
            </w:pPr>
            <w:r>
              <w:rPr>
                <w:rFonts w:ascii="Arial" w:cs="Arial" w:eastAsia="Arial" w:hAnsi="Arial"/>
                <w:sz w:val="14"/>
                <w:szCs w:val="14"/>
                <w:color w:val="1383C6"/>
                <w:w w:val="99"/>
              </w:rPr>
              <w:t>—</w:t>
            </w:r>
          </w:p>
        </w:tc>
        <w:tc>
          <w:tcPr>
            <w:tcW w:w="40" w:type="dxa"/>
            <w:vAlign w:val="bottom"/>
            <w:shd w:val="clear" w:color="auto" w:fill="E7F2F9"/>
          </w:tcPr>
          <w:p>
            <w:pPr>
              <w:spacing w:after="0"/>
              <w:rPr>
                <w:sz w:val="24"/>
                <w:szCs w:val="24"/>
                <w:color w:val="auto"/>
              </w:rPr>
            </w:pPr>
          </w:p>
        </w:tc>
        <w:tc>
          <w:tcPr>
            <w:tcW w:w="80" w:type="dxa"/>
            <w:vAlign w:val="bottom"/>
            <w:shd w:val="clear" w:color="auto" w:fill="E7F2F9"/>
          </w:tcPr>
          <w:p>
            <w:pPr>
              <w:spacing w:after="0"/>
              <w:rPr>
                <w:sz w:val="24"/>
                <w:szCs w:val="24"/>
                <w:color w:val="auto"/>
              </w:rPr>
            </w:pPr>
          </w:p>
        </w:tc>
        <w:tc>
          <w:tcPr>
            <w:tcW w:w="200" w:type="dxa"/>
            <w:vAlign w:val="bottom"/>
            <w:shd w:val="clear" w:color="auto" w:fill="E7F2F9"/>
          </w:tcPr>
          <w:p>
            <w:pPr>
              <w:spacing w:after="0"/>
              <w:rPr>
                <w:sz w:val="24"/>
                <w:szCs w:val="24"/>
                <w:color w:val="auto"/>
              </w:rPr>
            </w:pPr>
          </w:p>
        </w:tc>
        <w:tc>
          <w:tcPr>
            <w:tcW w:w="700" w:type="dxa"/>
            <w:vAlign w:val="bottom"/>
            <w:shd w:val="clear" w:color="auto" w:fill="E7F2F9"/>
          </w:tcPr>
          <w:p>
            <w:pPr>
              <w:jc w:val="right"/>
              <w:spacing w:after="0"/>
              <w:rPr>
                <w:sz w:val="20"/>
                <w:szCs w:val="20"/>
                <w:color w:val="auto"/>
              </w:rPr>
            </w:pPr>
            <w:r>
              <w:rPr>
                <w:rFonts w:ascii="Arial" w:cs="Arial" w:eastAsia="Arial" w:hAnsi="Arial"/>
                <w:sz w:val="14"/>
                <w:szCs w:val="14"/>
                <w:color w:val="1383C6"/>
              </w:rPr>
              <w:t>19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4"/>
                <w:szCs w:val="24"/>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40"/>
        </w:trPr>
        <w:tc>
          <w:tcPr>
            <w:tcW w:w="3280" w:type="dxa"/>
            <w:vAlign w:val="bottom"/>
          </w:tcPr>
          <w:p>
            <w:pPr>
              <w:spacing w:after="0"/>
              <w:rPr>
                <w:sz w:val="20"/>
                <w:szCs w:val="20"/>
                <w:color w:val="auto"/>
              </w:rPr>
            </w:pPr>
            <w:r>
              <w:rPr>
                <w:rFonts w:ascii="Arial" w:cs="Arial" w:eastAsia="Arial" w:hAnsi="Arial"/>
                <w:sz w:val="14"/>
                <w:szCs w:val="14"/>
                <w:color w:val="auto"/>
              </w:rPr>
              <w:t>Long-term restricted cash</w:t>
            </w:r>
          </w:p>
        </w:tc>
        <w:tc>
          <w:tcPr>
            <w:tcW w:w="140" w:type="dxa"/>
            <w:vAlign w:val="bottom"/>
            <w:tcBorders>
              <w:bottom w:val="single" w:sz="8" w:color="E7F2F9"/>
            </w:tcBorders>
            <w:shd w:val="clear" w:color="auto" w:fill="E7F2F9"/>
          </w:tcPr>
          <w:p>
            <w:pPr>
              <w:spacing w:after="0"/>
              <w:rPr>
                <w:sz w:val="20"/>
                <w:szCs w:val="20"/>
                <w:color w:val="auto"/>
              </w:rPr>
            </w:pPr>
          </w:p>
        </w:tc>
        <w:tc>
          <w:tcPr>
            <w:tcW w:w="74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1,571</w:t>
            </w:r>
          </w:p>
        </w:tc>
        <w:tc>
          <w:tcPr>
            <w:tcW w:w="100" w:type="dxa"/>
            <w:vAlign w:val="bottom"/>
            <w:tcBorders>
              <w:bottom w:val="single" w:sz="8" w:color="E7F2F9"/>
            </w:tcBorders>
            <w:shd w:val="clear" w:color="auto" w:fill="E7F2F9"/>
          </w:tcPr>
          <w:p>
            <w:pPr>
              <w:spacing w:after="0"/>
              <w:rPr>
                <w:sz w:val="20"/>
                <w:szCs w:val="20"/>
                <w:color w:val="auto"/>
              </w:rPr>
            </w:pPr>
          </w:p>
        </w:tc>
        <w:tc>
          <w:tcPr>
            <w:tcW w:w="140" w:type="dxa"/>
            <w:vAlign w:val="bottom"/>
            <w:tcBorders>
              <w:bottom w:val="single" w:sz="8" w:color="E7F2F9"/>
            </w:tcBorders>
            <w:shd w:val="clear" w:color="auto" w:fill="E7F2F9"/>
          </w:tcPr>
          <w:p>
            <w:pPr>
              <w:spacing w:after="0"/>
              <w:rPr>
                <w:sz w:val="20"/>
                <w:szCs w:val="20"/>
                <w:color w:val="auto"/>
              </w:rPr>
            </w:pPr>
          </w:p>
        </w:tc>
        <w:tc>
          <w:tcPr>
            <w:tcW w:w="760" w:type="dxa"/>
            <w:vAlign w:val="bottom"/>
            <w:tcBorders>
              <w:bottom w:val="single" w:sz="8" w:color="E7F2F9"/>
            </w:tcBorders>
            <w:shd w:val="clear" w:color="auto" w:fill="E7F2F9"/>
          </w:tcPr>
          <w:p>
            <w:pPr>
              <w:jc w:val="right"/>
              <w:ind w:right="11"/>
              <w:spacing w:after="0"/>
              <w:rPr>
                <w:sz w:val="20"/>
                <w:szCs w:val="20"/>
                <w:color w:val="auto"/>
              </w:rPr>
            </w:pPr>
            <w:r>
              <w:rPr>
                <w:rFonts w:ascii="Arial" w:cs="Arial" w:eastAsia="Arial" w:hAnsi="Arial"/>
                <w:sz w:val="14"/>
                <w:szCs w:val="14"/>
                <w:color w:val="1383C6"/>
              </w:rPr>
              <w:t>—</w:t>
            </w:r>
          </w:p>
        </w:tc>
        <w:tc>
          <w:tcPr>
            <w:tcW w:w="80" w:type="dxa"/>
            <w:vAlign w:val="bottom"/>
            <w:tcBorders>
              <w:bottom w:val="single" w:sz="8" w:color="E7F2F9"/>
            </w:tcBorders>
            <w:shd w:val="clear" w:color="auto" w:fill="E7F2F9"/>
          </w:tcPr>
          <w:p>
            <w:pPr>
              <w:spacing w:after="0"/>
              <w:rPr>
                <w:sz w:val="20"/>
                <w:szCs w:val="20"/>
                <w:color w:val="auto"/>
              </w:rPr>
            </w:pPr>
          </w:p>
        </w:tc>
        <w:tc>
          <w:tcPr>
            <w:tcW w:w="680" w:type="dxa"/>
            <w:vAlign w:val="bottom"/>
            <w:tcBorders>
              <w:bottom w:val="single" w:sz="8" w:color="E7F2F9"/>
            </w:tcBorders>
            <w:shd w:val="clear" w:color="auto" w:fill="E7F2F9"/>
          </w:tcPr>
          <w:p>
            <w:pPr>
              <w:spacing w:after="0"/>
              <w:rPr>
                <w:sz w:val="20"/>
                <w:szCs w:val="20"/>
                <w:color w:val="auto"/>
              </w:rPr>
            </w:pPr>
          </w:p>
        </w:tc>
        <w:tc>
          <w:tcPr>
            <w:tcW w:w="18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4"/>
                <w:szCs w:val="14"/>
                <w:color w:val="1383C6"/>
                <w:w w:val="99"/>
              </w:rPr>
              <w:t>—</w:t>
            </w:r>
          </w:p>
        </w:tc>
        <w:tc>
          <w:tcPr>
            <w:tcW w:w="40" w:type="dxa"/>
            <w:vAlign w:val="bottom"/>
            <w:tcBorders>
              <w:bottom w:val="single" w:sz="8" w:color="E7F2F9"/>
            </w:tcBorders>
            <w:shd w:val="clear" w:color="auto" w:fill="E7F2F9"/>
          </w:tcPr>
          <w:p>
            <w:pPr>
              <w:spacing w:after="0"/>
              <w:rPr>
                <w:sz w:val="20"/>
                <w:szCs w:val="20"/>
                <w:color w:val="auto"/>
              </w:rPr>
            </w:pPr>
          </w:p>
        </w:tc>
        <w:tc>
          <w:tcPr>
            <w:tcW w:w="80" w:type="dxa"/>
            <w:vAlign w:val="bottom"/>
            <w:tcBorders>
              <w:bottom w:val="single" w:sz="8" w:color="E7F2F9"/>
            </w:tcBorders>
            <w:shd w:val="clear" w:color="auto" w:fill="E7F2F9"/>
          </w:tcPr>
          <w:p>
            <w:pPr>
              <w:spacing w:after="0"/>
              <w:rPr>
                <w:sz w:val="20"/>
                <w:szCs w:val="20"/>
                <w:color w:val="auto"/>
              </w:rPr>
            </w:pPr>
          </w:p>
        </w:tc>
        <w:tc>
          <w:tcPr>
            <w:tcW w:w="200" w:type="dxa"/>
            <w:vAlign w:val="bottom"/>
            <w:tcBorders>
              <w:bottom w:val="single" w:sz="8" w:color="E7F2F9"/>
            </w:tcBorders>
            <w:shd w:val="clear" w:color="auto" w:fill="E7F2F9"/>
          </w:tcPr>
          <w:p>
            <w:pPr>
              <w:spacing w:after="0"/>
              <w:rPr>
                <w:sz w:val="20"/>
                <w:szCs w:val="20"/>
                <w:color w:val="auto"/>
              </w:rPr>
            </w:pPr>
          </w:p>
        </w:tc>
        <w:tc>
          <w:tcPr>
            <w:tcW w:w="70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1,571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1,532</w:t>
            </w:r>
          </w:p>
        </w:tc>
      </w:tr>
      <w:tr>
        <w:trPr>
          <w:trHeight w:val="232"/>
        </w:trPr>
        <w:tc>
          <w:tcPr>
            <w:tcW w:w="3280" w:type="dxa"/>
            <w:vAlign w:val="bottom"/>
          </w:tcPr>
          <w:p>
            <w:pPr>
              <w:ind w:left="240"/>
              <w:spacing w:after="0"/>
              <w:rPr>
                <w:sz w:val="20"/>
                <w:szCs w:val="20"/>
                <w:color w:val="auto"/>
              </w:rPr>
            </w:pPr>
            <w:r>
              <w:rPr>
                <w:rFonts w:ascii="Arial" w:cs="Arial" w:eastAsia="Arial" w:hAnsi="Arial"/>
                <w:sz w:val="14"/>
                <w:szCs w:val="14"/>
                <w:color w:val="auto"/>
              </w:rPr>
              <w:t>Total assets measured at fair value</w:t>
            </w:r>
          </w:p>
        </w:tc>
        <w:tc>
          <w:tcPr>
            <w:tcW w:w="1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w w:val="76"/>
              </w:rPr>
              <w:t>$</w:t>
            </w:r>
          </w:p>
        </w:tc>
        <w:tc>
          <w:tcPr>
            <w:tcW w:w="7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57,864</w:t>
            </w:r>
          </w:p>
        </w:tc>
        <w:tc>
          <w:tcPr>
            <w:tcW w:w="100" w:type="dxa"/>
            <w:vAlign w:val="bottom"/>
            <w:tcBorders>
              <w:top w:val="single" w:sz="8" w:color="E7F2F9"/>
              <w:bottom w:val="single" w:sz="8" w:color="E7F2F9"/>
            </w:tcBorders>
            <w:shd w:val="clear" w:color="auto" w:fill="E7F2F9"/>
          </w:tcPr>
          <w:p>
            <w:pPr>
              <w:spacing w:after="0"/>
              <w:rPr>
                <w:sz w:val="20"/>
                <w:szCs w:val="20"/>
                <w:color w:val="auto"/>
              </w:rPr>
            </w:pPr>
          </w:p>
        </w:tc>
        <w:tc>
          <w:tcPr>
            <w:tcW w:w="14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w w:val="76"/>
              </w:rPr>
              <w:t>$</w:t>
            </w:r>
          </w:p>
        </w:tc>
        <w:tc>
          <w:tcPr>
            <w:tcW w:w="760" w:type="dxa"/>
            <w:vAlign w:val="bottom"/>
            <w:tcBorders>
              <w:top w:val="single" w:sz="8" w:color="auto"/>
              <w:bottom w:val="single" w:sz="8" w:color="E7F2F9"/>
            </w:tcBorders>
            <w:shd w:val="clear" w:color="auto" w:fill="E7F2F9"/>
          </w:tcPr>
          <w:p>
            <w:pPr>
              <w:jc w:val="right"/>
              <w:ind w:right="11"/>
              <w:spacing w:after="0"/>
              <w:rPr>
                <w:sz w:val="20"/>
                <w:szCs w:val="20"/>
                <w:color w:val="auto"/>
              </w:rPr>
            </w:pPr>
            <w:r>
              <w:rPr>
                <w:rFonts w:ascii="Arial" w:cs="Arial" w:eastAsia="Arial" w:hAnsi="Arial"/>
                <w:sz w:val="14"/>
                <w:szCs w:val="14"/>
                <w:color w:val="1383C6"/>
              </w:rPr>
              <w:t>219,688</w:t>
            </w: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680" w:type="dxa"/>
            <w:vAlign w:val="bottom"/>
            <w:tcBorders>
              <w:top w:val="single" w:sz="8" w:color="auto"/>
              <w:bottom w:val="single" w:sz="8" w:color="E7F2F9"/>
            </w:tcBorders>
            <w:shd w:val="clear" w:color="auto" w:fill="E7F2F9"/>
          </w:tcPr>
          <w:p>
            <w:pPr>
              <w:jc w:val="right"/>
              <w:ind w:right="511"/>
              <w:spacing w:after="0"/>
              <w:rPr>
                <w:sz w:val="20"/>
                <w:szCs w:val="20"/>
                <w:color w:val="auto"/>
              </w:rPr>
            </w:pPr>
            <w:r>
              <w:rPr>
                <w:rFonts w:ascii="Arial" w:cs="Arial" w:eastAsia="Arial" w:hAnsi="Arial"/>
                <w:sz w:val="14"/>
                <w:szCs w:val="14"/>
                <w:color w:val="1383C6"/>
              </w:rPr>
              <w:t>$</w:t>
            </w:r>
          </w:p>
        </w:tc>
        <w:tc>
          <w:tcPr>
            <w:tcW w:w="180" w:type="dxa"/>
            <w:vAlign w:val="bottom"/>
            <w:tcBorders>
              <w:top w:val="single" w:sz="8" w:color="auto"/>
              <w:bottom w:val="single" w:sz="8" w:color="E7F2F9"/>
            </w:tcBorders>
            <w:shd w:val="clear" w:color="auto" w:fill="E7F2F9"/>
          </w:tcPr>
          <w:p>
            <w:pPr>
              <w:ind w:left="20"/>
              <w:spacing w:after="0"/>
              <w:rPr>
                <w:sz w:val="20"/>
                <w:szCs w:val="20"/>
                <w:color w:val="auto"/>
              </w:rPr>
            </w:pPr>
            <w:r>
              <w:rPr>
                <w:rFonts w:ascii="Arial" w:cs="Arial" w:eastAsia="Arial" w:hAnsi="Arial"/>
                <w:sz w:val="14"/>
                <w:szCs w:val="14"/>
                <w:color w:val="1383C6"/>
                <w:w w:val="99"/>
              </w:rPr>
              <w:t>—</w:t>
            </w:r>
          </w:p>
        </w:tc>
        <w:tc>
          <w:tcPr>
            <w:tcW w:w="40" w:type="dxa"/>
            <w:vAlign w:val="bottom"/>
            <w:tcBorders>
              <w:top w:val="single" w:sz="8" w:color="auto"/>
              <w:bottom w:val="single" w:sz="8" w:color="E7F2F9"/>
            </w:tcBorders>
            <w:shd w:val="clear" w:color="auto" w:fill="E7F2F9"/>
          </w:tcPr>
          <w:p>
            <w:pPr>
              <w:spacing w:after="0"/>
              <w:rPr>
                <w:sz w:val="20"/>
                <w:szCs w:val="20"/>
                <w:color w:val="auto"/>
              </w:rPr>
            </w:pPr>
          </w:p>
        </w:tc>
        <w:tc>
          <w:tcPr>
            <w:tcW w:w="80" w:type="dxa"/>
            <w:vAlign w:val="bottom"/>
            <w:tcBorders>
              <w:top w:val="single" w:sz="8" w:color="E7F2F9"/>
              <w:bottom w:val="single" w:sz="8" w:color="E7F2F9"/>
            </w:tcBorders>
            <w:shd w:val="clear" w:color="auto" w:fill="E7F2F9"/>
          </w:tcPr>
          <w:p>
            <w:pPr>
              <w:spacing w:after="0"/>
              <w:rPr>
                <w:sz w:val="20"/>
                <w:szCs w:val="20"/>
                <w:color w:val="auto"/>
              </w:rPr>
            </w:pPr>
          </w:p>
        </w:tc>
        <w:tc>
          <w:tcPr>
            <w:tcW w:w="200" w:type="dxa"/>
            <w:vAlign w:val="bottom"/>
            <w:tcBorders>
              <w:top w:val="single" w:sz="8" w:color="auto"/>
              <w:bottom w:val="single" w:sz="8" w:color="E7F2F9"/>
            </w:tcBorders>
            <w:shd w:val="clear" w:color="auto" w:fill="E7F2F9"/>
          </w:tcPr>
          <w:p>
            <w:pPr>
              <w:jc w:val="right"/>
              <w:ind w:right="31"/>
              <w:spacing w:after="0"/>
              <w:rPr>
                <w:sz w:val="20"/>
                <w:szCs w:val="20"/>
                <w:color w:val="auto"/>
              </w:rPr>
            </w:pPr>
            <w:r>
              <w:rPr>
                <w:rFonts w:ascii="Arial" w:cs="Arial" w:eastAsia="Arial" w:hAnsi="Arial"/>
                <w:sz w:val="14"/>
                <w:szCs w:val="14"/>
                <w:color w:val="1383C6"/>
              </w:rPr>
              <w:t>$</w:t>
            </w:r>
          </w:p>
        </w:tc>
        <w:tc>
          <w:tcPr>
            <w:tcW w:w="700" w:type="dxa"/>
            <w:vAlign w:val="bottom"/>
            <w:tcBorders>
              <w:top w:val="single" w:sz="8" w:color="auto"/>
              <w:bottom w:val="single" w:sz="8" w:color="E7F2F9"/>
            </w:tcBorders>
            <w:shd w:val="clear" w:color="auto" w:fill="E7F2F9"/>
          </w:tcPr>
          <w:p>
            <w:pPr>
              <w:jc w:val="right"/>
              <w:spacing w:after="0"/>
              <w:rPr>
                <w:sz w:val="20"/>
                <w:szCs w:val="20"/>
                <w:color w:val="auto"/>
              </w:rPr>
            </w:pPr>
            <w:r>
              <w:rPr>
                <w:rFonts w:ascii="Arial" w:cs="Arial" w:eastAsia="Arial" w:hAnsi="Arial"/>
                <w:sz w:val="14"/>
                <w:szCs w:val="14"/>
                <w:color w:val="1383C6"/>
              </w:rPr>
              <w:t>277,552</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62,048</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219,010</w:t>
            </w:r>
          </w:p>
        </w:tc>
        <w:tc>
          <w:tcPr>
            <w:tcW w:w="80" w:type="dxa"/>
            <w:vAlign w:val="bottom"/>
          </w:tcPr>
          <w:p>
            <w:pPr>
              <w:spacing w:after="0"/>
              <w:rPr>
                <w:sz w:val="20"/>
                <w:szCs w:val="20"/>
                <w:color w:val="auto"/>
              </w:rPr>
            </w:pPr>
          </w:p>
        </w:tc>
        <w:tc>
          <w:tcPr>
            <w:tcW w:w="680" w:type="dxa"/>
            <w:vAlign w:val="bottom"/>
            <w:tcBorders>
              <w:top w:val="single" w:sz="8" w:color="auto"/>
            </w:tcBorders>
          </w:tcPr>
          <w:p>
            <w:pPr>
              <w:jc w:val="right"/>
              <w:ind w:right="51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281,058</w:t>
            </w: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F2F9"/>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the three months ended March 31, 2026, there were no transfers between Level 1, Level 2, or Level 3 assets reported at fair value on a recurring basis, and our valuation techniques did not change compared to the prior year.</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DF1995"/>
        </w:rPr>
        <w:t>Contingent Consideration</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connection with the August 2023 Apton Biosystems, Inc. (“Apton”) acquisition, contingent consideration of $25.0 million, which we could elect to pay in cash, shares of our common stock or a combination of cash and shares of our common stock, was due upon the achievement of a milestone, defined as the achievement of $50.0 million in revenue associated with Apton's technology, provided that the milestone event occurred prior to the five-year anniversary of the closing date of the acquisition.</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January 30, 2026, we completed a disposition of certain assets (the "Asset Sale") to Illumina Cambridge Limited (the “Buyer”) pursuant to an Asset Purchase Agreement dated January 30, 2026. Under the agreement, Buyer acquired certain intellectual property and other assets related to our short-read DNA sequencing technology and related clustering, sequencing reagent, and detection technologies. In consideration, Buyer paid $50.0 million in cash, assumed certain liabilities, and granted us a non-exclusive license to certain intellectual property included in the purchased assets.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the three months ended March 31, 2026, in connection with the Asset Sale, Buyer paid, at our direction, 4% of the net cash proceeds to the former equity holders of Apton in connection with the waiver of remaining milestone obligations from the Apton acquisition. As a result, we received approximately $48.1 million in net cash proceeds from the Asset Sale. In connection with the transaction, the Company incurred transaction costs of $2.3M in the first quarter of 2026 that are offset against the gain on disposal of assets on our condensed consolidated statements of operations and comprehensive loss.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contingent consideration was accounted for as a liability at fair value, with changes during each reporting period recognized in our condensed consolidated statements of operations and comprehensive loss. The fair value of the contingent consideration liability was calculated using a Monte Carlo Simulation to estimate the volatility and systematic relative risk of revenues subject to sales milestone payments and discounting the associated cash payment amounts to their present values using a credit-risk-adjusted interest rate.</w:t>
      </w:r>
    </w:p>
    <w:p>
      <w:pPr>
        <w:spacing w:after="0" w:line="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classified contingent consideration within Level 3, as factors used to develop the estimate of fair value include unobservable inputs that are not supported by market activity and are significant to the fair value. Estimates and assumptions used in the Monte Carlo simulation include risk-adjusted forecasted revenues for products and services leveraging Apton's technology and an estimated credit spread.</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March 31, 2025, primarily due to management's decision to cease development of the high-throughput short-read system, and the resulting changes in the expected future revenues, among other factors, and as the milestone event needed to occur prior to the five-year anniversary of the closing date of the acquisition, the estimated fair value of the contingent consideration liability was $0, resulting in a change in fair value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1386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10</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first quarter of 2025 of $ 18.7 million. Changes to the fair value are recorded as change in fair value of contingent consideration in the condensed consolidated statements of operations and comprehensive loss.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Cash, Cash Equivalents, Restricted Cash,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our cash, cash equivalents, restricted cash, and investments: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40" w:type="dxa"/>
            <w:vAlign w:val="bottom"/>
            <w:tcBorders>
              <w:bottom w:val="single" w:sz="8" w:color="E7F2F9"/>
            </w:tcBorders>
            <w:shd w:val="clear" w:color="auto" w:fill="E7F2F9"/>
          </w:tcPr>
          <w:p>
            <w:pPr>
              <w:spacing w:after="0"/>
              <w:rPr>
                <w:sz w:val="20"/>
                <w:szCs w:val="20"/>
                <w:color w:val="auto"/>
              </w:rPr>
            </w:pPr>
          </w:p>
        </w:tc>
        <w:tc>
          <w:tcPr>
            <w:tcW w:w="100" w:type="dxa"/>
            <w:vAlign w:val="bottom"/>
            <w:tcBorders>
              <w:bottom w:val="single" w:sz="8" w:color="auto"/>
            </w:tcBorders>
            <w:shd w:val="clear" w:color="auto" w:fill="E7F2F9"/>
          </w:tcPr>
          <w:p>
            <w:pPr>
              <w:spacing w:after="0"/>
              <w:rPr>
                <w:sz w:val="20"/>
                <w:szCs w:val="20"/>
                <w:color w:val="auto"/>
              </w:rPr>
            </w:pPr>
          </w:p>
        </w:tc>
        <w:tc>
          <w:tcPr>
            <w:tcW w:w="1380" w:type="dxa"/>
            <w:vAlign w:val="bottom"/>
            <w:tcBorders>
              <w:bottom w:val="single" w:sz="8" w:color="auto"/>
            </w:tcBorders>
            <w:shd w:val="clear" w:color="auto" w:fill="E7F2F9"/>
          </w:tcPr>
          <w:p>
            <w:pPr>
              <w:spacing w:after="0"/>
              <w:rPr>
                <w:sz w:val="20"/>
                <w:szCs w:val="20"/>
                <w:color w:val="auto"/>
              </w:rPr>
            </w:pPr>
          </w:p>
        </w:tc>
        <w:tc>
          <w:tcPr>
            <w:tcW w:w="80" w:type="dxa"/>
            <w:vAlign w:val="bottom"/>
            <w:tcBorders>
              <w:bottom w:val="single" w:sz="8" w:color="auto"/>
            </w:tcBorders>
            <w:shd w:val="clear" w:color="auto" w:fill="E7F2F9"/>
          </w:tcPr>
          <w:p>
            <w:pPr>
              <w:spacing w:after="0"/>
              <w:rPr>
                <w:sz w:val="20"/>
                <w:szCs w:val="20"/>
                <w:color w:val="auto"/>
              </w:rPr>
            </w:pPr>
          </w:p>
        </w:tc>
        <w:tc>
          <w:tcPr>
            <w:tcW w:w="120" w:type="dxa"/>
            <w:vAlign w:val="bottom"/>
            <w:tcBorders>
              <w:bottom w:val="single" w:sz="8" w:color="auto"/>
            </w:tcBorders>
            <w:shd w:val="clear" w:color="auto" w:fill="E7F2F9"/>
          </w:tcPr>
          <w:p>
            <w:pPr>
              <w:spacing w:after="0"/>
              <w:rPr>
                <w:sz w:val="20"/>
                <w:szCs w:val="20"/>
                <w:color w:val="auto"/>
              </w:rPr>
            </w:pPr>
          </w:p>
        </w:tc>
        <w:tc>
          <w:tcPr>
            <w:tcW w:w="2960" w:type="dxa"/>
            <w:vAlign w:val="bottom"/>
            <w:tcBorders>
              <w:bottom w:val="single" w:sz="8" w:color="auto"/>
            </w:tcBorders>
            <w:gridSpan w:val="5"/>
            <w:shd w:val="clear" w:color="auto" w:fill="E7F2F9"/>
          </w:tcPr>
          <w:p>
            <w:pPr>
              <w:jc w:val="right"/>
              <w:ind w:right="703"/>
              <w:spacing w:after="0"/>
              <w:rPr>
                <w:sz w:val="20"/>
                <w:szCs w:val="20"/>
                <w:color w:val="auto"/>
              </w:rPr>
            </w:pPr>
            <w:r>
              <w:rPr>
                <w:rFonts w:ascii="Arial" w:cs="Arial" w:eastAsia="Arial" w:hAnsi="Arial"/>
                <w:sz w:val="15"/>
                <w:szCs w:val="15"/>
                <w:b w:val="1"/>
                <w:bCs w:val="1"/>
                <w:color w:val="1383C6"/>
              </w:rPr>
              <w:t>As of March 31, 2026</w:t>
            </w:r>
          </w:p>
        </w:tc>
        <w:tc>
          <w:tcPr>
            <w:tcW w:w="80" w:type="dxa"/>
            <w:vAlign w:val="bottom"/>
            <w:tcBorders>
              <w:bottom w:val="single" w:sz="8" w:color="auto"/>
            </w:tcBorders>
            <w:shd w:val="clear" w:color="auto" w:fill="E7F2F9"/>
          </w:tcPr>
          <w:p>
            <w:pPr>
              <w:spacing w:after="0"/>
              <w:rPr>
                <w:sz w:val="20"/>
                <w:szCs w:val="20"/>
                <w:color w:val="auto"/>
              </w:rPr>
            </w:pPr>
          </w:p>
        </w:tc>
        <w:tc>
          <w:tcPr>
            <w:tcW w:w="120" w:type="dxa"/>
            <w:vAlign w:val="bottom"/>
            <w:tcBorders>
              <w:bottom w:val="single" w:sz="8" w:color="auto"/>
            </w:tcBorders>
            <w:shd w:val="clear" w:color="auto" w:fill="E7F2F9"/>
          </w:tcPr>
          <w:p>
            <w:pPr>
              <w:spacing w:after="0"/>
              <w:rPr>
                <w:sz w:val="20"/>
                <w:szCs w:val="20"/>
                <w:color w:val="auto"/>
              </w:rPr>
            </w:pPr>
          </w:p>
        </w:tc>
        <w:tc>
          <w:tcPr>
            <w:tcW w:w="1360" w:type="dxa"/>
            <w:vAlign w:val="bottom"/>
            <w:tcBorders>
              <w:bottom w:val="single" w:sz="8" w:color="auto"/>
            </w:tcBorders>
            <w:shd w:val="clear" w:color="auto" w:fill="E7F2F9"/>
          </w:tcPr>
          <w:p>
            <w:pPr>
              <w:spacing w:after="0"/>
              <w:rPr>
                <w:sz w:val="20"/>
                <w:szCs w:val="20"/>
                <w:color w:val="auto"/>
              </w:rPr>
            </w:pPr>
          </w:p>
        </w:tc>
      </w:tr>
      <w:tr>
        <w:trPr>
          <w:trHeight w:val="187"/>
        </w:trPr>
        <w:tc>
          <w:tcPr>
            <w:tcW w:w="5040" w:type="dxa"/>
            <w:vAlign w:val="bottom"/>
            <w:shd w:val="clear" w:color="auto" w:fill="E7F2F9"/>
          </w:tcPr>
          <w:p>
            <w:pPr>
              <w:spacing w:after="0"/>
              <w:rPr>
                <w:sz w:val="16"/>
                <w:szCs w:val="16"/>
                <w:color w:val="auto"/>
              </w:rPr>
            </w:pPr>
          </w:p>
        </w:tc>
        <w:tc>
          <w:tcPr>
            <w:tcW w:w="100" w:type="dxa"/>
            <w:vAlign w:val="bottom"/>
            <w:shd w:val="clear" w:color="auto" w:fill="E7F2F9"/>
          </w:tcPr>
          <w:p>
            <w:pPr>
              <w:spacing w:after="0"/>
              <w:rPr>
                <w:sz w:val="16"/>
                <w:szCs w:val="16"/>
                <w:color w:val="auto"/>
              </w:rPr>
            </w:pPr>
          </w:p>
        </w:tc>
        <w:tc>
          <w:tcPr>
            <w:tcW w:w="1380" w:type="dxa"/>
            <w:vAlign w:val="bottom"/>
            <w:shd w:val="clear" w:color="auto" w:fill="E7F2F9"/>
          </w:tcPr>
          <w:p>
            <w:pPr>
              <w:spacing w:after="0"/>
              <w:rPr>
                <w:sz w:val="16"/>
                <w:szCs w:val="16"/>
                <w:color w:val="auto"/>
              </w:rPr>
            </w:pPr>
          </w:p>
        </w:tc>
        <w:tc>
          <w:tcPr>
            <w:tcW w:w="80" w:type="dxa"/>
            <w:vAlign w:val="bottom"/>
            <w:shd w:val="clear" w:color="auto" w:fill="E7F2F9"/>
          </w:tcPr>
          <w:p>
            <w:pPr>
              <w:spacing w:after="0"/>
              <w:rPr>
                <w:sz w:val="16"/>
                <w:szCs w:val="16"/>
                <w:color w:val="auto"/>
              </w:rPr>
            </w:pPr>
          </w:p>
        </w:tc>
        <w:tc>
          <w:tcPr>
            <w:tcW w:w="120" w:type="dxa"/>
            <w:vAlign w:val="bottom"/>
            <w:shd w:val="clear" w:color="auto" w:fill="E7F2F9"/>
          </w:tcPr>
          <w:p>
            <w:pPr>
              <w:spacing w:after="0"/>
              <w:rPr>
                <w:sz w:val="16"/>
                <w:szCs w:val="16"/>
                <w:color w:val="auto"/>
              </w:rPr>
            </w:pPr>
          </w:p>
        </w:tc>
        <w:tc>
          <w:tcPr>
            <w:tcW w:w="1340" w:type="dxa"/>
            <w:vAlign w:val="bottom"/>
            <w:shd w:val="clear" w:color="auto" w:fill="E7F2F9"/>
          </w:tcPr>
          <w:p>
            <w:pPr>
              <w:jc w:val="center"/>
              <w:ind w:right="3"/>
              <w:spacing w:after="0"/>
              <w:rPr>
                <w:sz w:val="20"/>
                <w:szCs w:val="20"/>
                <w:color w:val="auto"/>
              </w:rPr>
            </w:pPr>
            <w:r>
              <w:rPr>
                <w:rFonts w:ascii="Arial" w:cs="Arial" w:eastAsia="Arial" w:hAnsi="Arial"/>
                <w:sz w:val="15"/>
                <w:szCs w:val="15"/>
                <w:color w:val="1383C6"/>
              </w:rPr>
              <w:t>Gross</w:t>
            </w:r>
          </w:p>
        </w:tc>
        <w:tc>
          <w:tcPr>
            <w:tcW w:w="20" w:type="dxa"/>
            <w:vAlign w:val="bottom"/>
            <w:shd w:val="clear" w:color="auto" w:fill="E7F2F9"/>
          </w:tcPr>
          <w:p>
            <w:pPr>
              <w:spacing w:after="0"/>
              <w:rPr>
                <w:sz w:val="16"/>
                <w:szCs w:val="16"/>
                <w:color w:val="auto"/>
              </w:rPr>
            </w:pPr>
          </w:p>
        </w:tc>
        <w:tc>
          <w:tcPr>
            <w:tcW w:w="100" w:type="dxa"/>
            <w:vAlign w:val="bottom"/>
            <w:shd w:val="clear" w:color="auto" w:fill="E7F2F9"/>
          </w:tcPr>
          <w:p>
            <w:pPr>
              <w:spacing w:after="0"/>
              <w:rPr>
                <w:sz w:val="16"/>
                <w:szCs w:val="16"/>
                <w:color w:val="auto"/>
              </w:rPr>
            </w:pPr>
          </w:p>
        </w:tc>
        <w:tc>
          <w:tcPr>
            <w:tcW w:w="120" w:type="dxa"/>
            <w:vAlign w:val="bottom"/>
            <w:shd w:val="clear" w:color="auto" w:fill="E7F2F9"/>
          </w:tcPr>
          <w:p>
            <w:pPr>
              <w:spacing w:after="0"/>
              <w:rPr>
                <w:sz w:val="16"/>
                <w:szCs w:val="16"/>
                <w:color w:val="auto"/>
              </w:rPr>
            </w:pPr>
          </w:p>
        </w:tc>
        <w:tc>
          <w:tcPr>
            <w:tcW w:w="1380" w:type="dxa"/>
            <w:vAlign w:val="bottom"/>
            <w:shd w:val="clear" w:color="auto" w:fill="E7F2F9"/>
          </w:tcPr>
          <w:p>
            <w:pPr>
              <w:jc w:val="center"/>
              <w:ind w:right="43"/>
              <w:spacing w:after="0"/>
              <w:rPr>
                <w:sz w:val="20"/>
                <w:szCs w:val="20"/>
                <w:color w:val="auto"/>
              </w:rPr>
            </w:pPr>
            <w:r>
              <w:rPr>
                <w:rFonts w:ascii="Arial" w:cs="Arial" w:eastAsia="Arial" w:hAnsi="Arial"/>
                <w:sz w:val="15"/>
                <w:szCs w:val="15"/>
                <w:color w:val="1383C6"/>
              </w:rPr>
              <w:t>Gross</w:t>
            </w:r>
          </w:p>
        </w:tc>
        <w:tc>
          <w:tcPr>
            <w:tcW w:w="80" w:type="dxa"/>
            <w:vAlign w:val="bottom"/>
            <w:shd w:val="clear" w:color="auto" w:fill="E7F2F9"/>
          </w:tcPr>
          <w:p>
            <w:pPr>
              <w:spacing w:after="0"/>
              <w:rPr>
                <w:sz w:val="16"/>
                <w:szCs w:val="16"/>
                <w:color w:val="auto"/>
              </w:rPr>
            </w:pPr>
          </w:p>
        </w:tc>
        <w:tc>
          <w:tcPr>
            <w:tcW w:w="120" w:type="dxa"/>
            <w:vAlign w:val="bottom"/>
            <w:shd w:val="clear" w:color="auto" w:fill="E7F2F9"/>
          </w:tcPr>
          <w:p>
            <w:pPr>
              <w:spacing w:after="0"/>
              <w:rPr>
                <w:sz w:val="16"/>
                <w:szCs w:val="16"/>
                <w:color w:val="auto"/>
              </w:rPr>
            </w:pPr>
          </w:p>
        </w:tc>
        <w:tc>
          <w:tcPr>
            <w:tcW w:w="1360" w:type="dxa"/>
            <w:vAlign w:val="bottom"/>
            <w:shd w:val="clear" w:color="auto" w:fill="E7F2F9"/>
          </w:tcPr>
          <w:p>
            <w:pPr>
              <w:spacing w:after="0"/>
              <w:rPr>
                <w:sz w:val="16"/>
                <w:szCs w:val="16"/>
                <w:color w:val="auto"/>
              </w:rPr>
            </w:pPr>
          </w:p>
        </w:tc>
      </w:tr>
      <w:tr>
        <w:trPr>
          <w:trHeight w:val="180"/>
        </w:trPr>
        <w:tc>
          <w:tcPr>
            <w:tcW w:w="5040" w:type="dxa"/>
            <w:vAlign w:val="bottom"/>
            <w:shd w:val="clear" w:color="auto" w:fill="E7F2F9"/>
          </w:tcPr>
          <w:p>
            <w:pPr>
              <w:spacing w:after="0"/>
              <w:rPr>
                <w:sz w:val="15"/>
                <w:szCs w:val="15"/>
                <w:color w:val="auto"/>
              </w:rPr>
            </w:pPr>
          </w:p>
        </w:tc>
        <w:tc>
          <w:tcPr>
            <w:tcW w:w="100" w:type="dxa"/>
            <w:vAlign w:val="bottom"/>
            <w:shd w:val="clear" w:color="auto" w:fill="E7F2F9"/>
          </w:tcPr>
          <w:p>
            <w:pPr>
              <w:spacing w:after="0"/>
              <w:rPr>
                <w:sz w:val="15"/>
                <w:szCs w:val="15"/>
                <w:color w:val="auto"/>
              </w:rPr>
            </w:pPr>
          </w:p>
        </w:tc>
        <w:tc>
          <w:tcPr>
            <w:tcW w:w="1380" w:type="dxa"/>
            <w:vAlign w:val="bottom"/>
            <w:shd w:val="clear" w:color="auto" w:fill="E7F2F9"/>
          </w:tcPr>
          <w:p>
            <w:pPr>
              <w:jc w:val="center"/>
              <w:ind w:right="43"/>
              <w:spacing w:after="0"/>
              <w:rPr>
                <w:sz w:val="20"/>
                <w:szCs w:val="20"/>
                <w:color w:val="auto"/>
              </w:rPr>
            </w:pPr>
            <w:r>
              <w:rPr>
                <w:rFonts w:ascii="Arial" w:cs="Arial" w:eastAsia="Arial" w:hAnsi="Arial"/>
                <w:sz w:val="15"/>
                <w:szCs w:val="15"/>
                <w:color w:val="1383C6"/>
              </w:rPr>
              <w:t>Amortized</w:t>
            </w:r>
          </w:p>
        </w:tc>
        <w:tc>
          <w:tcPr>
            <w:tcW w:w="80" w:type="dxa"/>
            <w:vAlign w:val="bottom"/>
            <w:shd w:val="clear" w:color="auto" w:fill="E7F2F9"/>
          </w:tcPr>
          <w:p>
            <w:pPr>
              <w:spacing w:after="0"/>
              <w:rPr>
                <w:sz w:val="15"/>
                <w:szCs w:val="15"/>
                <w:color w:val="auto"/>
              </w:rPr>
            </w:pPr>
          </w:p>
        </w:tc>
        <w:tc>
          <w:tcPr>
            <w:tcW w:w="120" w:type="dxa"/>
            <w:vAlign w:val="bottom"/>
            <w:shd w:val="clear" w:color="auto" w:fill="E7F2F9"/>
          </w:tcPr>
          <w:p>
            <w:pPr>
              <w:spacing w:after="0"/>
              <w:rPr>
                <w:sz w:val="15"/>
                <w:szCs w:val="15"/>
                <w:color w:val="auto"/>
              </w:rPr>
            </w:pPr>
          </w:p>
        </w:tc>
        <w:tc>
          <w:tcPr>
            <w:tcW w:w="1340" w:type="dxa"/>
            <w:vAlign w:val="bottom"/>
            <w:shd w:val="clear" w:color="auto" w:fill="E7F2F9"/>
          </w:tcPr>
          <w:p>
            <w:pPr>
              <w:jc w:val="center"/>
              <w:ind w:right="23"/>
              <w:spacing w:after="0"/>
              <w:rPr>
                <w:sz w:val="20"/>
                <w:szCs w:val="20"/>
                <w:color w:val="auto"/>
              </w:rPr>
            </w:pPr>
            <w:r>
              <w:rPr>
                <w:rFonts w:ascii="Arial" w:cs="Arial" w:eastAsia="Arial" w:hAnsi="Arial"/>
                <w:sz w:val="15"/>
                <w:szCs w:val="15"/>
                <w:color w:val="1383C6"/>
              </w:rPr>
              <w:t>unrealized</w:t>
            </w:r>
          </w:p>
        </w:tc>
        <w:tc>
          <w:tcPr>
            <w:tcW w:w="20" w:type="dxa"/>
            <w:vAlign w:val="bottom"/>
            <w:shd w:val="clear" w:color="auto" w:fill="E7F2F9"/>
          </w:tcPr>
          <w:p>
            <w:pPr>
              <w:spacing w:after="0"/>
              <w:rPr>
                <w:sz w:val="15"/>
                <w:szCs w:val="15"/>
                <w:color w:val="auto"/>
              </w:rPr>
            </w:pPr>
          </w:p>
        </w:tc>
        <w:tc>
          <w:tcPr>
            <w:tcW w:w="100" w:type="dxa"/>
            <w:vAlign w:val="bottom"/>
            <w:shd w:val="clear" w:color="auto" w:fill="E7F2F9"/>
          </w:tcPr>
          <w:p>
            <w:pPr>
              <w:spacing w:after="0"/>
              <w:rPr>
                <w:sz w:val="15"/>
                <w:szCs w:val="15"/>
                <w:color w:val="auto"/>
              </w:rPr>
            </w:pPr>
          </w:p>
        </w:tc>
        <w:tc>
          <w:tcPr>
            <w:tcW w:w="120" w:type="dxa"/>
            <w:vAlign w:val="bottom"/>
            <w:shd w:val="clear" w:color="auto" w:fill="E7F2F9"/>
          </w:tcPr>
          <w:p>
            <w:pPr>
              <w:spacing w:after="0"/>
              <w:rPr>
                <w:sz w:val="15"/>
                <w:szCs w:val="15"/>
                <w:color w:val="auto"/>
              </w:rPr>
            </w:pPr>
          </w:p>
        </w:tc>
        <w:tc>
          <w:tcPr>
            <w:tcW w:w="1380" w:type="dxa"/>
            <w:vAlign w:val="bottom"/>
            <w:shd w:val="clear" w:color="auto" w:fill="E7F2F9"/>
          </w:tcPr>
          <w:p>
            <w:pPr>
              <w:jc w:val="center"/>
              <w:ind w:right="63"/>
              <w:spacing w:after="0"/>
              <w:rPr>
                <w:sz w:val="20"/>
                <w:szCs w:val="20"/>
                <w:color w:val="auto"/>
              </w:rPr>
            </w:pPr>
            <w:r>
              <w:rPr>
                <w:rFonts w:ascii="Arial" w:cs="Arial" w:eastAsia="Arial" w:hAnsi="Arial"/>
                <w:sz w:val="15"/>
                <w:szCs w:val="15"/>
                <w:color w:val="1383C6"/>
              </w:rPr>
              <w:t>unrealized</w:t>
            </w:r>
          </w:p>
        </w:tc>
        <w:tc>
          <w:tcPr>
            <w:tcW w:w="80" w:type="dxa"/>
            <w:vAlign w:val="bottom"/>
            <w:shd w:val="clear" w:color="auto" w:fill="E7F2F9"/>
          </w:tcPr>
          <w:p>
            <w:pPr>
              <w:spacing w:after="0"/>
              <w:rPr>
                <w:sz w:val="15"/>
                <w:szCs w:val="15"/>
                <w:color w:val="auto"/>
              </w:rPr>
            </w:pPr>
          </w:p>
        </w:tc>
        <w:tc>
          <w:tcPr>
            <w:tcW w:w="120" w:type="dxa"/>
            <w:vAlign w:val="bottom"/>
            <w:shd w:val="clear" w:color="auto" w:fill="E7F2F9"/>
          </w:tcPr>
          <w:p>
            <w:pPr>
              <w:spacing w:after="0"/>
              <w:rPr>
                <w:sz w:val="15"/>
                <w:szCs w:val="15"/>
                <w:color w:val="auto"/>
              </w:rPr>
            </w:pPr>
          </w:p>
        </w:tc>
        <w:tc>
          <w:tcPr>
            <w:tcW w:w="1360" w:type="dxa"/>
            <w:vAlign w:val="bottom"/>
            <w:shd w:val="clear" w:color="auto" w:fill="E7F2F9"/>
          </w:tcPr>
          <w:p>
            <w:pPr>
              <w:jc w:val="center"/>
              <w:ind w:right="23"/>
              <w:spacing w:after="0"/>
              <w:rPr>
                <w:sz w:val="20"/>
                <w:szCs w:val="20"/>
                <w:color w:val="auto"/>
              </w:rPr>
            </w:pPr>
            <w:r>
              <w:rPr>
                <w:rFonts w:ascii="Arial" w:cs="Arial" w:eastAsia="Arial" w:hAnsi="Arial"/>
                <w:sz w:val="15"/>
                <w:szCs w:val="15"/>
                <w:color w:val="1383C6"/>
              </w:rPr>
              <w:t>Fair</w:t>
            </w:r>
          </w:p>
        </w:tc>
      </w:tr>
      <w:tr>
        <w:trPr>
          <w:trHeight w:val="236"/>
        </w:trPr>
        <w:tc>
          <w:tcPr>
            <w:tcW w:w="504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4"/>
                <w:szCs w:val="14"/>
                <w:i w:val="1"/>
                <w:iCs w:val="1"/>
                <w:color w:val="1383C6"/>
              </w:rPr>
              <w:t>(In thousands)</w:t>
            </w:r>
          </w:p>
        </w:tc>
        <w:tc>
          <w:tcPr>
            <w:tcW w:w="100" w:type="dxa"/>
            <w:vAlign w:val="bottom"/>
            <w:tcBorders>
              <w:bottom w:val="single" w:sz="8" w:color="E7F2F9"/>
            </w:tcBorders>
            <w:shd w:val="clear" w:color="auto" w:fill="E7F2F9"/>
          </w:tcPr>
          <w:p>
            <w:pPr>
              <w:spacing w:after="0"/>
              <w:rPr>
                <w:sz w:val="20"/>
                <w:szCs w:val="20"/>
                <w:color w:val="auto"/>
              </w:rPr>
            </w:pPr>
          </w:p>
        </w:tc>
        <w:tc>
          <w:tcPr>
            <w:tcW w:w="1380" w:type="dxa"/>
            <w:vAlign w:val="bottom"/>
            <w:tcBorders>
              <w:bottom w:val="single" w:sz="8" w:color="E7F2F9"/>
            </w:tcBorders>
            <w:shd w:val="clear" w:color="auto" w:fill="E7F2F9"/>
          </w:tcPr>
          <w:p>
            <w:pPr>
              <w:jc w:val="center"/>
              <w:ind w:right="23"/>
              <w:spacing w:after="0"/>
              <w:rPr>
                <w:sz w:val="20"/>
                <w:szCs w:val="20"/>
                <w:color w:val="auto"/>
              </w:rPr>
            </w:pPr>
            <w:r>
              <w:rPr>
                <w:rFonts w:ascii="Arial" w:cs="Arial" w:eastAsia="Arial" w:hAnsi="Arial"/>
                <w:sz w:val="15"/>
                <w:szCs w:val="15"/>
                <w:color w:val="1383C6"/>
              </w:rPr>
              <w:t>Cost</w:t>
            </w:r>
          </w:p>
        </w:tc>
        <w:tc>
          <w:tcPr>
            <w:tcW w:w="80" w:type="dxa"/>
            <w:vAlign w:val="bottom"/>
            <w:tcBorders>
              <w:bottom w:val="single" w:sz="8" w:color="E7F2F9"/>
            </w:tcBorders>
            <w:shd w:val="clear" w:color="auto" w:fill="E7F2F9"/>
          </w:tcPr>
          <w:p>
            <w:pPr>
              <w:spacing w:after="0"/>
              <w:rPr>
                <w:sz w:val="20"/>
                <w:szCs w:val="20"/>
                <w:color w:val="auto"/>
              </w:rPr>
            </w:pPr>
          </w:p>
        </w:tc>
        <w:tc>
          <w:tcPr>
            <w:tcW w:w="120" w:type="dxa"/>
            <w:vAlign w:val="bottom"/>
            <w:tcBorders>
              <w:bottom w:val="single" w:sz="8" w:color="E7F2F9"/>
            </w:tcBorders>
            <w:shd w:val="clear" w:color="auto" w:fill="E7F2F9"/>
          </w:tcPr>
          <w:p>
            <w:pPr>
              <w:spacing w:after="0"/>
              <w:rPr>
                <w:sz w:val="20"/>
                <w:szCs w:val="20"/>
                <w:color w:val="auto"/>
              </w:rPr>
            </w:pPr>
          </w:p>
        </w:tc>
        <w:tc>
          <w:tcPr>
            <w:tcW w:w="1340" w:type="dxa"/>
            <w:vAlign w:val="bottom"/>
            <w:tcBorders>
              <w:bottom w:val="single" w:sz="8" w:color="E7F2F9"/>
            </w:tcBorders>
            <w:shd w:val="clear" w:color="auto" w:fill="E7F2F9"/>
          </w:tcPr>
          <w:p>
            <w:pPr>
              <w:jc w:val="center"/>
              <w:ind w:right="23"/>
              <w:spacing w:after="0"/>
              <w:rPr>
                <w:sz w:val="20"/>
                <w:szCs w:val="20"/>
                <w:color w:val="auto"/>
              </w:rPr>
            </w:pPr>
            <w:r>
              <w:rPr>
                <w:rFonts w:ascii="Arial" w:cs="Arial" w:eastAsia="Arial" w:hAnsi="Arial"/>
                <w:sz w:val="15"/>
                <w:szCs w:val="15"/>
                <w:color w:val="1383C6"/>
              </w:rPr>
              <w:t>gains</w:t>
            </w:r>
          </w:p>
        </w:tc>
        <w:tc>
          <w:tcPr>
            <w:tcW w:w="20" w:type="dxa"/>
            <w:vAlign w:val="bottom"/>
            <w:tcBorders>
              <w:bottom w:val="single" w:sz="8" w:color="E7F2F9"/>
            </w:tcBorders>
            <w:shd w:val="clear" w:color="auto" w:fill="E7F2F9"/>
          </w:tcPr>
          <w:p>
            <w:pPr>
              <w:spacing w:after="0"/>
              <w:rPr>
                <w:sz w:val="20"/>
                <w:szCs w:val="20"/>
                <w:color w:val="auto"/>
              </w:rPr>
            </w:pPr>
          </w:p>
        </w:tc>
        <w:tc>
          <w:tcPr>
            <w:tcW w:w="100" w:type="dxa"/>
            <w:vAlign w:val="bottom"/>
            <w:tcBorders>
              <w:bottom w:val="single" w:sz="8" w:color="E7F2F9"/>
            </w:tcBorders>
            <w:shd w:val="clear" w:color="auto" w:fill="E7F2F9"/>
          </w:tcPr>
          <w:p>
            <w:pPr>
              <w:spacing w:after="0"/>
              <w:rPr>
                <w:sz w:val="20"/>
                <w:szCs w:val="20"/>
                <w:color w:val="auto"/>
              </w:rPr>
            </w:pPr>
          </w:p>
        </w:tc>
        <w:tc>
          <w:tcPr>
            <w:tcW w:w="120" w:type="dxa"/>
            <w:vAlign w:val="bottom"/>
            <w:tcBorders>
              <w:bottom w:val="single" w:sz="8" w:color="E7F2F9"/>
            </w:tcBorders>
            <w:shd w:val="clear" w:color="auto" w:fill="E7F2F9"/>
          </w:tcPr>
          <w:p>
            <w:pPr>
              <w:spacing w:after="0"/>
              <w:rPr>
                <w:sz w:val="20"/>
                <w:szCs w:val="20"/>
                <w:color w:val="auto"/>
              </w:rPr>
            </w:pPr>
          </w:p>
        </w:tc>
        <w:tc>
          <w:tcPr>
            <w:tcW w:w="1380" w:type="dxa"/>
            <w:vAlign w:val="bottom"/>
            <w:tcBorders>
              <w:bottom w:val="single" w:sz="8" w:color="E7F2F9"/>
            </w:tcBorders>
            <w:shd w:val="clear" w:color="auto" w:fill="E7F2F9"/>
          </w:tcPr>
          <w:p>
            <w:pPr>
              <w:jc w:val="center"/>
              <w:ind w:right="63"/>
              <w:spacing w:after="0"/>
              <w:rPr>
                <w:sz w:val="20"/>
                <w:szCs w:val="20"/>
                <w:color w:val="auto"/>
              </w:rPr>
            </w:pPr>
            <w:r>
              <w:rPr>
                <w:rFonts w:ascii="Arial" w:cs="Arial" w:eastAsia="Arial" w:hAnsi="Arial"/>
                <w:sz w:val="15"/>
                <w:szCs w:val="15"/>
                <w:color w:val="1383C6"/>
              </w:rPr>
              <w:t>losses</w:t>
            </w:r>
          </w:p>
        </w:tc>
        <w:tc>
          <w:tcPr>
            <w:tcW w:w="80" w:type="dxa"/>
            <w:vAlign w:val="bottom"/>
            <w:tcBorders>
              <w:bottom w:val="single" w:sz="8" w:color="E7F2F9"/>
            </w:tcBorders>
            <w:shd w:val="clear" w:color="auto" w:fill="E7F2F9"/>
          </w:tcPr>
          <w:p>
            <w:pPr>
              <w:spacing w:after="0"/>
              <w:rPr>
                <w:sz w:val="20"/>
                <w:szCs w:val="20"/>
                <w:color w:val="auto"/>
              </w:rPr>
            </w:pPr>
          </w:p>
        </w:tc>
        <w:tc>
          <w:tcPr>
            <w:tcW w:w="120" w:type="dxa"/>
            <w:vAlign w:val="bottom"/>
            <w:tcBorders>
              <w:bottom w:val="single" w:sz="8" w:color="E7F2F9"/>
            </w:tcBorders>
            <w:shd w:val="clear" w:color="auto" w:fill="E7F2F9"/>
          </w:tcPr>
          <w:p>
            <w:pPr>
              <w:spacing w:after="0"/>
              <w:rPr>
                <w:sz w:val="20"/>
                <w:szCs w:val="20"/>
                <w:color w:val="auto"/>
              </w:rPr>
            </w:pPr>
          </w:p>
        </w:tc>
        <w:tc>
          <w:tcPr>
            <w:tcW w:w="1360" w:type="dxa"/>
            <w:vAlign w:val="bottom"/>
            <w:tcBorders>
              <w:bottom w:val="single" w:sz="8" w:color="E7F2F9"/>
            </w:tcBorders>
            <w:shd w:val="clear" w:color="auto" w:fill="E7F2F9"/>
          </w:tcPr>
          <w:p>
            <w:pPr>
              <w:jc w:val="center"/>
              <w:ind w:right="23"/>
              <w:spacing w:after="0"/>
              <w:rPr>
                <w:sz w:val="20"/>
                <w:szCs w:val="20"/>
                <w:color w:val="auto"/>
              </w:rPr>
            </w:pPr>
            <w:r>
              <w:rPr>
                <w:rFonts w:ascii="Arial" w:cs="Arial" w:eastAsia="Arial" w:hAnsi="Arial"/>
                <w:sz w:val="15"/>
                <w:szCs w:val="15"/>
                <w:color w:val="1383C6"/>
                <w:w w:val="98"/>
              </w:rPr>
              <w:t>Value</w:t>
            </w:r>
          </w:p>
        </w:tc>
      </w:tr>
      <w:tr>
        <w:trPr>
          <w:trHeight w:val="210"/>
        </w:trPr>
        <w:tc>
          <w:tcPr>
            <w:tcW w:w="5040" w:type="dxa"/>
            <w:vAlign w:val="bottom"/>
            <w:tcBorders>
              <w:top w:val="single" w:sz="8" w:color="E7F2F9"/>
            </w:tcBorders>
            <w:shd w:val="clear" w:color="auto" w:fill="E7F2F9"/>
          </w:tcPr>
          <w:p>
            <w:pPr>
              <w:ind w:left="20"/>
              <w:spacing w:after="0"/>
              <w:rPr>
                <w:sz w:val="20"/>
                <w:szCs w:val="20"/>
                <w:color w:val="auto"/>
              </w:rPr>
            </w:pPr>
            <w:r>
              <w:rPr>
                <w:rFonts w:ascii="Arial" w:cs="Arial" w:eastAsia="Arial" w:hAnsi="Arial"/>
                <w:sz w:val="15"/>
                <w:szCs w:val="15"/>
                <w:color w:val="1383C6"/>
              </w:rPr>
              <w:t>Cash and cash equivalents</w:t>
            </w:r>
          </w:p>
        </w:tc>
        <w:tc>
          <w:tcPr>
            <w:tcW w:w="10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80" w:type="dxa"/>
            <w:vAlign w:val="bottom"/>
            <w:tcBorders>
              <w:top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56,274</w:t>
            </w:r>
          </w:p>
        </w:tc>
        <w:tc>
          <w:tcPr>
            <w:tcW w:w="80" w:type="dxa"/>
            <w:vAlign w:val="bottom"/>
            <w:tcBorders>
              <w:top w:val="single" w:sz="8" w:color="E7F2F9"/>
            </w:tcBorders>
            <w:shd w:val="clear" w:color="auto" w:fill="E7F2F9"/>
          </w:tcPr>
          <w:p>
            <w:pPr>
              <w:spacing w:after="0"/>
              <w:rPr>
                <w:sz w:val="18"/>
                <w:szCs w:val="18"/>
                <w:color w:val="auto"/>
              </w:rPr>
            </w:pPr>
          </w:p>
        </w:tc>
        <w:tc>
          <w:tcPr>
            <w:tcW w:w="12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4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w:t>
            </w:r>
          </w:p>
        </w:tc>
        <w:tc>
          <w:tcPr>
            <w:tcW w:w="20" w:type="dxa"/>
            <w:vAlign w:val="bottom"/>
            <w:tcBorders>
              <w:top w:val="single" w:sz="8" w:color="auto"/>
            </w:tcBorders>
            <w:shd w:val="clear" w:color="auto" w:fill="E7F2F9"/>
          </w:tcPr>
          <w:p>
            <w:pPr>
              <w:spacing w:after="0"/>
              <w:rPr>
                <w:sz w:val="18"/>
                <w:szCs w:val="18"/>
                <w:color w:val="auto"/>
              </w:rPr>
            </w:pPr>
          </w:p>
        </w:tc>
        <w:tc>
          <w:tcPr>
            <w:tcW w:w="100" w:type="dxa"/>
            <w:vAlign w:val="bottom"/>
            <w:tcBorders>
              <w:top w:val="single" w:sz="8" w:color="E7F2F9"/>
            </w:tcBorders>
            <w:shd w:val="clear" w:color="auto" w:fill="E7F2F9"/>
          </w:tcPr>
          <w:p>
            <w:pPr>
              <w:spacing w:after="0"/>
              <w:rPr>
                <w:sz w:val="18"/>
                <w:szCs w:val="18"/>
                <w:color w:val="auto"/>
              </w:rPr>
            </w:pPr>
          </w:p>
        </w:tc>
        <w:tc>
          <w:tcPr>
            <w:tcW w:w="12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80" w:type="dxa"/>
            <w:vAlign w:val="bottom"/>
            <w:tcBorders>
              <w:top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w:t>
            </w:r>
          </w:p>
        </w:tc>
        <w:tc>
          <w:tcPr>
            <w:tcW w:w="80" w:type="dxa"/>
            <w:vAlign w:val="bottom"/>
            <w:tcBorders>
              <w:top w:val="single" w:sz="8" w:color="E7F2F9"/>
            </w:tcBorders>
            <w:shd w:val="clear" w:color="auto" w:fill="E7F2F9"/>
          </w:tcPr>
          <w:p>
            <w:pPr>
              <w:spacing w:after="0"/>
              <w:rPr>
                <w:sz w:val="18"/>
                <w:szCs w:val="18"/>
                <w:color w:val="auto"/>
              </w:rPr>
            </w:pPr>
          </w:p>
        </w:tc>
        <w:tc>
          <w:tcPr>
            <w:tcW w:w="12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60" w:type="dxa"/>
            <w:vAlign w:val="bottom"/>
            <w:tcBorders>
              <w:top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56,274</w:t>
            </w:r>
          </w:p>
        </w:tc>
      </w:tr>
      <w:tr>
        <w:trPr>
          <w:trHeight w:val="232"/>
        </w:trPr>
        <w:tc>
          <w:tcPr>
            <w:tcW w:w="504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Investments:</w:t>
            </w:r>
          </w:p>
        </w:tc>
        <w:tc>
          <w:tcPr>
            <w:tcW w:w="100" w:type="dxa"/>
            <w:vAlign w:val="bottom"/>
            <w:shd w:val="clear" w:color="auto" w:fill="E7F2F9"/>
          </w:tcPr>
          <w:p>
            <w:pPr>
              <w:spacing w:after="0"/>
              <w:rPr>
                <w:sz w:val="20"/>
                <w:szCs w:val="20"/>
                <w:color w:val="auto"/>
              </w:rPr>
            </w:pPr>
          </w:p>
        </w:tc>
        <w:tc>
          <w:tcPr>
            <w:tcW w:w="1380" w:type="dxa"/>
            <w:vAlign w:val="bottom"/>
            <w:shd w:val="clear" w:color="auto" w:fill="E7F2F9"/>
          </w:tcPr>
          <w:p>
            <w:pPr>
              <w:spacing w:after="0"/>
              <w:rPr>
                <w:sz w:val="20"/>
                <w:szCs w:val="20"/>
                <w:color w:val="auto"/>
              </w:rPr>
            </w:pPr>
          </w:p>
        </w:tc>
        <w:tc>
          <w:tcPr>
            <w:tcW w:w="80" w:type="dxa"/>
            <w:vAlign w:val="bottom"/>
            <w:shd w:val="clear" w:color="auto" w:fill="E7F2F9"/>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40" w:type="dxa"/>
            <w:vAlign w:val="bottom"/>
            <w:shd w:val="clear" w:color="auto" w:fill="E7F2F9"/>
          </w:tcPr>
          <w:p>
            <w:pPr>
              <w:spacing w:after="0"/>
              <w:rPr>
                <w:sz w:val="20"/>
                <w:szCs w:val="20"/>
                <w:color w:val="auto"/>
              </w:rPr>
            </w:pPr>
          </w:p>
        </w:tc>
        <w:tc>
          <w:tcPr>
            <w:tcW w:w="20" w:type="dxa"/>
            <w:vAlign w:val="bottom"/>
            <w:shd w:val="clear" w:color="auto" w:fill="E7F2F9"/>
          </w:tcPr>
          <w:p>
            <w:pPr>
              <w:spacing w:after="0"/>
              <w:rPr>
                <w:sz w:val="20"/>
                <w:szCs w:val="20"/>
                <w:color w:val="auto"/>
              </w:rPr>
            </w:pPr>
          </w:p>
        </w:tc>
        <w:tc>
          <w:tcPr>
            <w:tcW w:w="100" w:type="dxa"/>
            <w:vAlign w:val="bottom"/>
            <w:shd w:val="clear" w:color="auto" w:fill="E7F2F9"/>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spacing w:after="0"/>
              <w:rPr>
                <w:sz w:val="20"/>
                <w:szCs w:val="20"/>
                <w:color w:val="auto"/>
              </w:rPr>
            </w:pPr>
          </w:p>
        </w:tc>
        <w:tc>
          <w:tcPr>
            <w:tcW w:w="80" w:type="dxa"/>
            <w:vAlign w:val="bottom"/>
            <w:shd w:val="clear" w:color="auto" w:fill="E7F2F9"/>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spacing w:after="0"/>
              <w:rPr>
                <w:sz w:val="20"/>
                <w:szCs w:val="20"/>
                <w:color w:val="auto"/>
              </w:rPr>
            </w:pPr>
          </w:p>
        </w:tc>
      </w:tr>
      <w:tr>
        <w:trPr>
          <w:trHeight w:val="232"/>
        </w:trPr>
        <w:tc>
          <w:tcPr>
            <w:tcW w:w="504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Corporate debt securities</w:t>
            </w:r>
          </w:p>
        </w:tc>
        <w:tc>
          <w:tcPr>
            <w:tcW w:w="100" w:type="dxa"/>
            <w:vAlign w:val="bottom"/>
            <w:shd w:val="clear" w:color="auto" w:fill="E7F2F9"/>
          </w:tcPr>
          <w:p>
            <w:pPr>
              <w:spacing w:after="0"/>
              <w:rPr>
                <w:sz w:val="20"/>
                <w:szCs w:val="20"/>
                <w:color w:val="auto"/>
              </w:rPr>
            </w:pPr>
          </w:p>
        </w:tc>
        <w:tc>
          <w:tcPr>
            <w:tcW w:w="1380" w:type="dxa"/>
            <w:vAlign w:val="bottom"/>
            <w:shd w:val="clear" w:color="auto" w:fill="E7F2F9"/>
          </w:tcPr>
          <w:p>
            <w:pPr>
              <w:jc w:val="right"/>
              <w:ind w:right="3"/>
              <w:spacing w:after="0"/>
              <w:rPr>
                <w:sz w:val="20"/>
                <w:szCs w:val="20"/>
                <w:color w:val="auto"/>
              </w:rPr>
            </w:pPr>
            <w:r>
              <w:rPr>
                <w:rFonts w:ascii="Arial" w:cs="Arial" w:eastAsia="Arial" w:hAnsi="Arial"/>
                <w:sz w:val="15"/>
                <w:szCs w:val="15"/>
                <w:color w:val="1383C6"/>
              </w:rPr>
              <w:t>20,245</w:t>
            </w:r>
          </w:p>
        </w:tc>
        <w:tc>
          <w:tcPr>
            <w:tcW w:w="80" w:type="dxa"/>
            <w:vAlign w:val="bottom"/>
            <w:shd w:val="clear" w:color="auto" w:fill="E7F2F9"/>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28</w:t>
            </w:r>
          </w:p>
        </w:tc>
        <w:tc>
          <w:tcPr>
            <w:tcW w:w="20" w:type="dxa"/>
            <w:vAlign w:val="bottom"/>
            <w:shd w:val="clear" w:color="auto" w:fill="E7F2F9"/>
          </w:tcPr>
          <w:p>
            <w:pPr>
              <w:spacing w:after="0"/>
              <w:rPr>
                <w:sz w:val="20"/>
                <w:szCs w:val="20"/>
                <w:color w:val="auto"/>
              </w:rPr>
            </w:pPr>
          </w:p>
        </w:tc>
        <w:tc>
          <w:tcPr>
            <w:tcW w:w="100" w:type="dxa"/>
            <w:vAlign w:val="bottom"/>
            <w:shd w:val="clear" w:color="auto" w:fill="E7F2F9"/>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(35)</w:t>
            </w:r>
          </w:p>
        </w:tc>
        <w:tc>
          <w:tcPr>
            <w:tcW w:w="80" w:type="dxa"/>
            <w:vAlign w:val="bottom"/>
            <w:shd w:val="clear" w:color="auto" w:fill="E7F2F9"/>
          </w:tcPr>
          <w:p>
            <w:pPr>
              <w:spacing w:after="0"/>
              <w:rPr>
                <w:sz w:val="20"/>
                <w:szCs w:val="20"/>
                <w:color w:val="auto"/>
              </w:rPr>
            </w:pPr>
          </w:p>
        </w:tc>
        <w:tc>
          <w:tcPr>
            <w:tcW w:w="120" w:type="dxa"/>
            <w:vAlign w:val="bottom"/>
            <w:shd w:val="clear" w:color="auto" w:fill="E7F2F9"/>
          </w:tcPr>
          <w:p>
            <w:pPr>
              <w:spacing w:after="0"/>
              <w:rPr>
                <w:sz w:val="20"/>
                <w:szCs w:val="20"/>
                <w:color w:val="auto"/>
              </w:rPr>
            </w:pPr>
          </w:p>
        </w:tc>
        <w:tc>
          <w:tcPr>
            <w:tcW w:w="136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20,238</w:t>
            </w:r>
          </w:p>
        </w:tc>
      </w:tr>
      <w:tr>
        <w:trPr>
          <w:trHeight w:val="239"/>
        </w:trPr>
        <w:tc>
          <w:tcPr>
            <w:tcW w:w="504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5"/>
                <w:szCs w:val="15"/>
                <w:color w:val="1383C6"/>
              </w:rPr>
              <w:t>U.S. government &amp; agency securities</w:t>
            </w:r>
          </w:p>
        </w:tc>
        <w:tc>
          <w:tcPr>
            <w:tcW w:w="100" w:type="dxa"/>
            <w:vAlign w:val="bottom"/>
            <w:tcBorders>
              <w:bottom w:val="single" w:sz="8" w:color="auto"/>
            </w:tcBorders>
            <w:shd w:val="clear" w:color="auto" w:fill="E7F2F9"/>
          </w:tcPr>
          <w:p>
            <w:pPr>
              <w:spacing w:after="0"/>
              <w:rPr>
                <w:sz w:val="20"/>
                <w:szCs w:val="20"/>
                <w:color w:val="auto"/>
              </w:rPr>
            </w:pPr>
          </w:p>
        </w:tc>
        <w:tc>
          <w:tcPr>
            <w:tcW w:w="1380" w:type="dxa"/>
            <w:vAlign w:val="bottom"/>
            <w:tcBorders>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199,590</w:t>
            </w:r>
          </w:p>
        </w:tc>
        <w:tc>
          <w:tcPr>
            <w:tcW w:w="80" w:type="dxa"/>
            <w:vAlign w:val="bottom"/>
            <w:tcBorders>
              <w:bottom w:val="single" w:sz="8" w:color="E7F2F9"/>
            </w:tcBorders>
            <w:shd w:val="clear" w:color="auto" w:fill="E7F2F9"/>
          </w:tcPr>
          <w:p>
            <w:pPr>
              <w:spacing w:after="0"/>
              <w:rPr>
                <w:sz w:val="20"/>
                <w:szCs w:val="20"/>
                <w:color w:val="auto"/>
              </w:rPr>
            </w:pPr>
          </w:p>
        </w:tc>
        <w:tc>
          <w:tcPr>
            <w:tcW w:w="120" w:type="dxa"/>
            <w:vAlign w:val="bottom"/>
            <w:tcBorders>
              <w:bottom w:val="single" w:sz="8" w:color="auto"/>
            </w:tcBorders>
            <w:shd w:val="clear" w:color="auto" w:fill="E7F2F9"/>
          </w:tcPr>
          <w:p>
            <w:pPr>
              <w:spacing w:after="0"/>
              <w:rPr>
                <w:sz w:val="20"/>
                <w:szCs w:val="20"/>
                <w:color w:val="auto"/>
              </w:rPr>
            </w:pPr>
          </w:p>
        </w:tc>
        <w:tc>
          <w:tcPr>
            <w:tcW w:w="13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88</w:t>
            </w:r>
          </w:p>
        </w:tc>
        <w:tc>
          <w:tcPr>
            <w:tcW w:w="20" w:type="dxa"/>
            <w:vAlign w:val="bottom"/>
            <w:tcBorders>
              <w:bottom w:val="single" w:sz="8" w:color="auto"/>
            </w:tcBorders>
            <w:shd w:val="clear" w:color="auto" w:fill="E7F2F9"/>
          </w:tcPr>
          <w:p>
            <w:pPr>
              <w:spacing w:after="0"/>
              <w:rPr>
                <w:sz w:val="20"/>
                <w:szCs w:val="20"/>
                <w:color w:val="auto"/>
              </w:rPr>
            </w:pPr>
          </w:p>
        </w:tc>
        <w:tc>
          <w:tcPr>
            <w:tcW w:w="100" w:type="dxa"/>
            <w:vAlign w:val="bottom"/>
            <w:tcBorders>
              <w:bottom w:val="single" w:sz="8" w:color="E7F2F9"/>
            </w:tcBorders>
            <w:shd w:val="clear" w:color="auto" w:fill="E7F2F9"/>
          </w:tcPr>
          <w:p>
            <w:pPr>
              <w:spacing w:after="0"/>
              <w:rPr>
                <w:sz w:val="20"/>
                <w:szCs w:val="20"/>
                <w:color w:val="auto"/>
              </w:rPr>
            </w:pPr>
          </w:p>
        </w:tc>
        <w:tc>
          <w:tcPr>
            <w:tcW w:w="120" w:type="dxa"/>
            <w:vAlign w:val="bottom"/>
            <w:tcBorders>
              <w:bottom w:val="single" w:sz="8" w:color="auto"/>
            </w:tcBorders>
            <w:shd w:val="clear" w:color="auto" w:fill="E7F2F9"/>
          </w:tcPr>
          <w:p>
            <w:pPr>
              <w:spacing w:after="0"/>
              <w:rPr>
                <w:sz w:val="20"/>
                <w:szCs w:val="20"/>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(228)</w:t>
            </w:r>
          </w:p>
        </w:tc>
        <w:tc>
          <w:tcPr>
            <w:tcW w:w="80" w:type="dxa"/>
            <w:vAlign w:val="bottom"/>
            <w:tcBorders>
              <w:bottom w:val="single" w:sz="8" w:color="E7F2F9"/>
            </w:tcBorders>
            <w:shd w:val="clear" w:color="auto" w:fill="E7F2F9"/>
          </w:tcPr>
          <w:p>
            <w:pPr>
              <w:spacing w:after="0"/>
              <w:rPr>
                <w:sz w:val="20"/>
                <w:szCs w:val="20"/>
                <w:color w:val="auto"/>
              </w:rPr>
            </w:pPr>
          </w:p>
        </w:tc>
        <w:tc>
          <w:tcPr>
            <w:tcW w:w="120" w:type="dxa"/>
            <w:vAlign w:val="bottom"/>
            <w:tcBorders>
              <w:bottom w:val="single" w:sz="8" w:color="auto"/>
            </w:tcBorders>
            <w:shd w:val="clear" w:color="auto" w:fill="E7F2F9"/>
          </w:tcPr>
          <w:p>
            <w:pPr>
              <w:spacing w:after="0"/>
              <w:rPr>
                <w:sz w:val="20"/>
                <w:szCs w:val="20"/>
                <w:color w:val="auto"/>
              </w:rPr>
            </w:pP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199,450</w:t>
            </w:r>
          </w:p>
        </w:tc>
      </w:tr>
      <w:tr>
        <w:trPr>
          <w:trHeight w:val="225"/>
        </w:trPr>
        <w:tc>
          <w:tcPr>
            <w:tcW w:w="5040" w:type="dxa"/>
            <w:vAlign w:val="bottom"/>
            <w:tcBorders>
              <w:bottom w:val="single" w:sz="8" w:color="E7F2F9"/>
            </w:tcBorders>
            <w:shd w:val="clear" w:color="auto" w:fill="E7F2F9"/>
          </w:tcPr>
          <w:p>
            <w:pPr>
              <w:ind w:left="260"/>
              <w:spacing w:after="0"/>
              <w:rPr>
                <w:sz w:val="20"/>
                <w:szCs w:val="20"/>
                <w:color w:val="auto"/>
              </w:rPr>
            </w:pPr>
            <w:r>
              <w:rPr>
                <w:rFonts w:ascii="Arial" w:cs="Arial" w:eastAsia="Arial" w:hAnsi="Arial"/>
                <w:sz w:val="15"/>
                <w:szCs w:val="15"/>
                <w:color w:val="1383C6"/>
              </w:rPr>
              <w:t>Total investments</w:t>
            </w:r>
          </w:p>
        </w:tc>
        <w:tc>
          <w:tcPr>
            <w:tcW w:w="100" w:type="dxa"/>
            <w:vAlign w:val="bottom"/>
            <w:tcBorders>
              <w:bottom w:val="single" w:sz="8" w:color="auto"/>
            </w:tcBorders>
            <w:shd w:val="clear" w:color="auto" w:fill="E7F2F9"/>
          </w:tcPr>
          <w:p>
            <w:pPr>
              <w:spacing w:after="0"/>
              <w:rPr>
                <w:sz w:val="19"/>
                <w:szCs w:val="19"/>
                <w:color w:val="auto"/>
              </w:rPr>
            </w:pPr>
          </w:p>
        </w:tc>
        <w:tc>
          <w:tcPr>
            <w:tcW w:w="1380" w:type="dxa"/>
            <w:vAlign w:val="bottom"/>
            <w:tcBorders>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219,835</w:t>
            </w:r>
          </w:p>
        </w:tc>
        <w:tc>
          <w:tcPr>
            <w:tcW w:w="80" w:type="dxa"/>
            <w:vAlign w:val="bottom"/>
            <w:tcBorders>
              <w:bottom w:val="single" w:sz="8" w:color="E7F2F9"/>
            </w:tcBorders>
            <w:shd w:val="clear" w:color="auto" w:fill="E7F2F9"/>
          </w:tcPr>
          <w:p>
            <w:pPr>
              <w:spacing w:after="0"/>
              <w:rPr>
                <w:sz w:val="19"/>
                <w:szCs w:val="19"/>
                <w:color w:val="auto"/>
              </w:rPr>
            </w:pPr>
          </w:p>
        </w:tc>
        <w:tc>
          <w:tcPr>
            <w:tcW w:w="120" w:type="dxa"/>
            <w:vAlign w:val="bottom"/>
            <w:tcBorders>
              <w:bottom w:val="single" w:sz="8" w:color="auto"/>
            </w:tcBorders>
            <w:shd w:val="clear" w:color="auto" w:fill="E7F2F9"/>
          </w:tcPr>
          <w:p>
            <w:pPr>
              <w:spacing w:after="0"/>
              <w:rPr>
                <w:sz w:val="19"/>
                <w:szCs w:val="19"/>
                <w:color w:val="auto"/>
              </w:rPr>
            </w:pPr>
          </w:p>
        </w:tc>
        <w:tc>
          <w:tcPr>
            <w:tcW w:w="13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116</w:t>
            </w:r>
          </w:p>
        </w:tc>
        <w:tc>
          <w:tcPr>
            <w:tcW w:w="20" w:type="dxa"/>
            <w:vAlign w:val="bottom"/>
            <w:tcBorders>
              <w:bottom w:val="single" w:sz="8" w:color="auto"/>
            </w:tcBorders>
            <w:shd w:val="clear" w:color="auto" w:fill="E7F2F9"/>
          </w:tcPr>
          <w:p>
            <w:pPr>
              <w:spacing w:after="0"/>
              <w:rPr>
                <w:sz w:val="19"/>
                <w:szCs w:val="19"/>
                <w:color w:val="auto"/>
              </w:rPr>
            </w:pPr>
          </w:p>
        </w:tc>
        <w:tc>
          <w:tcPr>
            <w:tcW w:w="100" w:type="dxa"/>
            <w:vAlign w:val="bottom"/>
            <w:tcBorders>
              <w:bottom w:val="single" w:sz="8" w:color="E7F2F9"/>
            </w:tcBorders>
            <w:shd w:val="clear" w:color="auto" w:fill="E7F2F9"/>
          </w:tcPr>
          <w:p>
            <w:pPr>
              <w:spacing w:after="0"/>
              <w:rPr>
                <w:sz w:val="19"/>
                <w:szCs w:val="19"/>
                <w:color w:val="auto"/>
              </w:rPr>
            </w:pPr>
          </w:p>
        </w:tc>
        <w:tc>
          <w:tcPr>
            <w:tcW w:w="120" w:type="dxa"/>
            <w:vAlign w:val="bottom"/>
            <w:tcBorders>
              <w:bottom w:val="single" w:sz="8" w:color="auto"/>
            </w:tcBorders>
            <w:shd w:val="clear" w:color="auto" w:fill="E7F2F9"/>
          </w:tcPr>
          <w:p>
            <w:pPr>
              <w:spacing w:after="0"/>
              <w:rPr>
                <w:sz w:val="19"/>
                <w:szCs w:val="19"/>
                <w:color w:val="auto"/>
              </w:rPr>
            </w:pPr>
          </w:p>
        </w:tc>
        <w:tc>
          <w:tcPr>
            <w:tcW w:w="13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(263)</w:t>
            </w:r>
          </w:p>
        </w:tc>
        <w:tc>
          <w:tcPr>
            <w:tcW w:w="80" w:type="dxa"/>
            <w:vAlign w:val="bottom"/>
            <w:tcBorders>
              <w:bottom w:val="single" w:sz="8" w:color="E7F2F9"/>
            </w:tcBorders>
            <w:shd w:val="clear" w:color="auto" w:fill="E7F2F9"/>
          </w:tcPr>
          <w:p>
            <w:pPr>
              <w:spacing w:after="0"/>
              <w:rPr>
                <w:sz w:val="19"/>
                <w:szCs w:val="19"/>
                <w:color w:val="auto"/>
              </w:rPr>
            </w:pPr>
          </w:p>
        </w:tc>
        <w:tc>
          <w:tcPr>
            <w:tcW w:w="120" w:type="dxa"/>
            <w:vAlign w:val="bottom"/>
            <w:tcBorders>
              <w:bottom w:val="single" w:sz="8" w:color="auto"/>
            </w:tcBorders>
            <w:shd w:val="clear" w:color="auto" w:fill="E7F2F9"/>
          </w:tcPr>
          <w:p>
            <w:pPr>
              <w:spacing w:after="0"/>
              <w:rPr>
                <w:sz w:val="19"/>
                <w:szCs w:val="19"/>
                <w:color w:val="auto"/>
              </w:rPr>
            </w:pP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219,688</w:t>
            </w:r>
          </w:p>
        </w:tc>
      </w:tr>
      <w:tr>
        <w:trPr>
          <w:trHeight w:val="264"/>
        </w:trPr>
        <w:tc>
          <w:tcPr>
            <w:tcW w:w="5040" w:type="dxa"/>
            <w:vAlign w:val="bottom"/>
            <w:shd w:val="clear" w:color="auto" w:fill="E7F2F9"/>
          </w:tcPr>
          <w:p>
            <w:pPr>
              <w:ind w:left="480"/>
              <w:spacing w:after="0"/>
              <w:rPr>
                <w:sz w:val="20"/>
                <w:szCs w:val="20"/>
                <w:color w:val="auto"/>
              </w:rPr>
            </w:pPr>
            <w:r>
              <w:rPr>
                <w:rFonts w:ascii="Arial" w:cs="Arial" w:eastAsia="Arial" w:hAnsi="Arial"/>
                <w:sz w:val="15"/>
                <w:szCs w:val="15"/>
                <w:color w:val="1383C6"/>
              </w:rPr>
              <w:t>Total cash, cash equivalents and investments</w:t>
            </w:r>
          </w:p>
        </w:tc>
        <w:tc>
          <w:tcPr>
            <w:tcW w:w="100" w:type="dxa"/>
            <w:vAlign w:val="bottom"/>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80" w:type="dxa"/>
            <w:vAlign w:val="bottom"/>
            <w:shd w:val="clear" w:color="auto" w:fill="E7F2F9"/>
          </w:tcPr>
          <w:p>
            <w:pPr>
              <w:jc w:val="right"/>
              <w:ind w:right="3"/>
              <w:spacing w:after="0"/>
              <w:rPr>
                <w:sz w:val="20"/>
                <w:szCs w:val="20"/>
                <w:color w:val="auto"/>
              </w:rPr>
            </w:pPr>
            <w:r>
              <w:rPr>
                <w:rFonts w:ascii="Arial" w:cs="Arial" w:eastAsia="Arial" w:hAnsi="Arial"/>
                <w:sz w:val="15"/>
                <w:szCs w:val="15"/>
                <w:color w:val="1383C6"/>
              </w:rPr>
              <w:t>276,109</w:t>
            </w:r>
          </w:p>
        </w:tc>
        <w:tc>
          <w:tcPr>
            <w:tcW w:w="80" w:type="dxa"/>
            <w:vAlign w:val="bottom"/>
            <w:shd w:val="clear" w:color="auto" w:fill="E7F2F9"/>
          </w:tcPr>
          <w:p>
            <w:pPr>
              <w:spacing w:after="0"/>
              <w:rPr>
                <w:sz w:val="22"/>
                <w:szCs w:val="22"/>
                <w:color w:val="auto"/>
              </w:rPr>
            </w:pPr>
          </w:p>
        </w:tc>
        <w:tc>
          <w:tcPr>
            <w:tcW w:w="120" w:type="dxa"/>
            <w:vAlign w:val="bottom"/>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116</w:t>
            </w:r>
          </w:p>
        </w:tc>
        <w:tc>
          <w:tcPr>
            <w:tcW w:w="20" w:type="dxa"/>
            <w:vAlign w:val="bottom"/>
            <w:shd w:val="clear" w:color="auto" w:fill="E7F2F9"/>
          </w:tcPr>
          <w:p>
            <w:pPr>
              <w:spacing w:after="0"/>
              <w:rPr>
                <w:sz w:val="22"/>
                <w:szCs w:val="22"/>
                <w:color w:val="auto"/>
              </w:rPr>
            </w:pPr>
          </w:p>
        </w:tc>
        <w:tc>
          <w:tcPr>
            <w:tcW w:w="100" w:type="dxa"/>
            <w:vAlign w:val="bottom"/>
            <w:shd w:val="clear" w:color="auto" w:fill="E7F2F9"/>
          </w:tcPr>
          <w:p>
            <w:pPr>
              <w:spacing w:after="0"/>
              <w:rPr>
                <w:sz w:val="22"/>
                <w:szCs w:val="22"/>
                <w:color w:val="auto"/>
              </w:rPr>
            </w:pPr>
          </w:p>
        </w:tc>
        <w:tc>
          <w:tcPr>
            <w:tcW w:w="120" w:type="dxa"/>
            <w:vAlign w:val="bottom"/>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(263)</w:t>
            </w:r>
          </w:p>
        </w:tc>
        <w:tc>
          <w:tcPr>
            <w:tcW w:w="200" w:type="dxa"/>
            <w:vAlign w:val="bottom"/>
            <w:gridSpan w:val="2"/>
            <w:shd w:val="clear" w:color="auto" w:fill="E7F2F9"/>
          </w:tcPr>
          <w:p>
            <w:pPr>
              <w:jc w:val="right"/>
              <w:spacing w:after="0"/>
              <w:rPr>
                <w:sz w:val="20"/>
                <w:szCs w:val="20"/>
                <w:color w:val="auto"/>
              </w:rPr>
            </w:pPr>
            <w:r>
              <w:rPr>
                <w:rFonts w:ascii="Arial" w:cs="Arial" w:eastAsia="Arial" w:hAnsi="Arial"/>
                <w:sz w:val="15"/>
                <w:szCs w:val="15"/>
                <w:color w:val="1383C6"/>
              </w:rPr>
              <w:t>$</w:t>
            </w:r>
          </w:p>
        </w:tc>
        <w:tc>
          <w:tcPr>
            <w:tcW w:w="136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275,962</w:t>
            </w:r>
          </w:p>
        </w:tc>
      </w:tr>
      <w:tr>
        <w:trPr>
          <w:trHeight w:val="496"/>
        </w:trPr>
        <w:tc>
          <w:tcPr>
            <w:tcW w:w="5040" w:type="dxa"/>
            <w:vAlign w:val="bottom"/>
            <w:tcBorders>
              <w:top w:val="single" w:sz="8" w:color="E7F2F9"/>
              <w:bottom w:val="single" w:sz="8" w:color="E7F2F9"/>
            </w:tcBorders>
            <w:shd w:val="clear" w:color="auto" w:fill="E7F2F9"/>
          </w:tcPr>
          <w:p>
            <w:pPr>
              <w:ind w:left="20"/>
              <w:spacing w:after="0"/>
              <w:rPr>
                <w:sz w:val="20"/>
                <w:szCs w:val="20"/>
                <w:color w:val="auto"/>
              </w:rPr>
            </w:pPr>
            <w:r>
              <w:rPr>
                <w:rFonts w:ascii="Arial" w:cs="Arial" w:eastAsia="Arial" w:hAnsi="Arial"/>
                <w:sz w:val="15"/>
                <w:szCs w:val="15"/>
                <w:color w:val="1383C6"/>
              </w:rPr>
              <w:t>Short-term restricted cash</w:t>
            </w:r>
          </w:p>
        </w:tc>
        <w:tc>
          <w:tcPr>
            <w:tcW w:w="10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80" w:type="dxa"/>
            <w:vAlign w:val="bottom"/>
            <w:tcBorders>
              <w:top w:val="single" w:sz="8" w:color="auto"/>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19</w:t>
            </w:r>
          </w:p>
        </w:tc>
        <w:tc>
          <w:tcPr>
            <w:tcW w:w="80" w:type="dxa"/>
            <w:vAlign w:val="bottom"/>
            <w:tcBorders>
              <w:top w:val="single" w:sz="8" w:color="E7F2F9"/>
              <w:bottom w:val="single" w:sz="8" w:color="E7F2F9"/>
            </w:tcBorders>
            <w:shd w:val="clear" w:color="auto" w:fill="E7F2F9"/>
          </w:tcPr>
          <w:p>
            <w:pPr>
              <w:spacing w:after="0"/>
              <w:rPr>
                <w:sz w:val="24"/>
                <w:szCs w:val="24"/>
                <w:color w:val="auto"/>
              </w:rPr>
            </w:pPr>
          </w:p>
        </w:tc>
        <w:tc>
          <w:tcPr>
            <w:tcW w:w="12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4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w:t>
            </w:r>
          </w:p>
        </w:tc>
        <w:tc>
          <w:tcPr>
            <w:tcW w:w="20" w:type="dxa"/>
            <w:vAlign w:val="bottom"/>
            <w:tcBorders>
              <w:top w:val="single" w:sz="8" w:color="auto"/>
              <w:bottom w:val="single" w:sz="8" w:color="auto"/>
            </w:tcBorders>
            <w:shd w:val="clear" w:color="auto" w:fill="E7F2F9"/>
          </w:tcPr>
          <w:p>
            <w:pPr>
              <w:spacing w:after="0"/>
              <w:rPr>
                <w:sz w:val="24"/>
                <w:szCs w:val="24"/>
                <w:color w:val="auto"/>
              </w:rPr>
            </w:pPr>
          </w:p>
        </w:tc>
        <w:tc>
          <w:tcPr>
            <w:tcW w:w="100" w:type="dxa"/>
            <w:vAlign w:val="bottom"/>
            <w:tcBorders>
              <w:top w:val="single" w:sz="8" w:color="E7F2F9"/>
              <w:bottom w:val="single" w:sz="8" w:color="E7F2F9"/>
            </w:tcBorders>
            <w:shd w:val="clear" w:color="auto" w:fill="E7F2F9"/>
          </w:tcPr>
          <w:p>
            <w:pPr>
              <w:spacing w:after="0"/>
              <w:rPr>
                <w:sz w:val="24"/>
                <w:szCs w:val="24"/>
                <w:color w:val="auto"/>
              </w:rPr>
            </w:pPr>
          </w:p>
        </w:tc>
        <w:tc>
          <w:tcPr>
            <w:tcW w:w="12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80" w:type="dxa"/>
            <w:vAlign w:val="bottom"/>
            <w:tcBorders>
              <w:top w:val="single" w:sz="8" w:color="auto"/>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w:t>
            </w:r>
          </w:p>
        </w:tc>
        <w:tc>
          <w:tcPr>
            <w:tcW w:w="80" w:type="dxa"/>
            <w:vAlign w:val="bottom"/>
            <w:tcBorders>
              <w:top w:val="single" w:sz="8" w:color="E7F2F9"/>
              <w:bottom w:val="single" w:sz="8" w:color="E7F2F9"/>
            </w:tcBorders>
            <w:shd w:val="clear" w:color="auto" w:fill="E7F2F9"/>
          </w:tcPr>
          <w:p>
            <w:pPr>
              <w:spacing w:after="0"/>
              <w:rPr>
                <w:sz w:val="24"/>
                <w:szCs w:val="24"/>
                <w:color w:val="auto"/>
              </w:rPr>
            </w:pPr>
          </w:p>
        </w:tc>
        <w:tc>
          <w:tcPr>
            <w:tcW w:w="12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6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19</w:t>
            </w:r>
          </w:p>
        </w:tc>
      </w:tr>
      <w:tr>
        <w:trPr>
          <w:trHeight w:val="257"/>
        </w:trPr>
        <w:tc>
          <w:tcPr>
            <w:tcW w:w="504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5"/>
                <w:szCs w:val="15"/>
                <w:color w:val="1383C6"/>
              </w:rPr>
              <w:t>Long-term restricted cash</w:t>
            </w:r>
          </w:p>
        </w:tc>
        <w:tc>
          <w:tcPr>
            <w:tcW w:w="1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80" w:type="dxa"/>
            <w:vAlign w:val="bottom"/>
            <w:tcBorders>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1,571</w:t>
            </w:r>
          </w:p>
        </w:tc>
        <w:tc>
          <w:tcPr>
            <w:tcW w:w="80" w:type="dxa"/>
            <w:vAlign w:val="bottom"/>
            <w:tcBorders>
              <w:bottom w:val="single" w:sz="8" w:color="E7F2F9"/>
            </w:tcBorders>
            <w:shd w:val="clear" w:color="auto" w:fill="E7F2F9"/>
          </w:tcPr>
          <w:p>
            <w:pPr>
              <w:spacing w:after="0"/>
              <w:rPr>
                <w:sz w:val="21"/>
                <w:szCs w:val="21"/>
                <w:color w:val="auto"/>
              </w:rPr>
            </w:pPr>
          </w:p>
        </w:tc>
        <w:tc>
          <w:tcPr>
            <w:tcW w:w="1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w:t>
            </w:r>
          </w:p>
        </w:tc>
        <w:tc>
          <w:tcPr>
            <w:tcW w:w="20" w:type="dxa"/>
            <w:vAlign w:val="bottom"/>
            <w:tcBorders>
              <w:bottom w:val="single" w:sz="8" w:color="auto"/>
            </w:tcBorders>
            <w:shd w:val="clear" w:color="auto" w:fill="E7F2F9"/>
          </w:tcPr>
          <w:p>
            <w:pPr>
              <w:spacing w:after="0"/>
              <w:rPr>
                <w:sz w:val="21"/>
                <w:szCs w:val="21"/>
                <w:color w:val="auto"/>
              </w:rPr>
            </w:pPr>
          </w:p>
        </w:tc>
        <w:tc>
          <w:tcPr>
            <w:tcW w:w="100" w:type="dxa"/>
            <w:vAlign w:val="bottom"/>
            <w:tcBorders>
              <w:bottom w:val="single" w:sz="8" w:color="E7F2F9"/>
            </w:tcBorders>
            <w:shd w:val="clear" w:color="auto" w:fill="E7F2F9"/>
          </w:tcPr>
          <w:p>
            <w:pPr>
              <w:spacing w:after="0"/>
              <w:rPr>
                <w:sz w:val="21"/>
                <w:szCs w:val="21"/>
                <w:color w:val="auto"/>
              </w:rPr>
            </w:pPr>
          </w:p>
        </w:tc>
        <w:tc>
          <w:tcPr>
            <w:tcW w:w="1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80" w:type="dxa"/>
            <w:vAlign w:val="bottom"/>
            <w:tcBorders>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w:t>
            </w:r>
          </w:p>
        </w:tc>
        <w:tc>
          <w:tcPr>
            <w:tcW w:w="80" w:type="dxa"/>
            <w:vAlign w:val="bottom"/>
            <w:tcBorders>
              <w:bottom w:val="single" w:sz="8" w:color="E7F2F9"/>
            </w:tcBorders>
            <w:shd w:val="clear" w:color="auto" w:fill="E7F2F9"/>
          </w:tcPr>
          <w:p>
            <w:pPr>
              <w:spacing w:after="0"/>
              <w:rPr>
                <w:sz w:val="21"/>
                <w:szCs w:val="21"/>
                <w:color w:val="auto"/>
              </w:rPr>
            </w:pPr>
          </w:p>
        </w:tc>
        <w:tc>
          <w:tcPr>
            <w:tcW w:w="12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13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1,571</w:t>
            </w:r>
          </w:p>
        </w:tc>
      </w:tr>
      <w:tr>
        <w:trPr>
          <w:trHeight w:val="20"/>
        </w:trPr>
        <w:tc>
          <w:tcPr>
            <w:tcW w:w="5040" w:type="dxa"/>
            <w:vAlign w:val="bottom"/>
            <w:tcBorders>
              <w:top w:val="single" w:sz="8" w:color="E7F2F9"/>
            </w:tcBorders>
          </w:tcPr>
          <w:p>
            <w:pPr>
              <w:spacing w:after="0" w:line="20" w:lineRule="exact"/>
              <w:rPr>
                <w:sz w:val="1"/>
                <w:szCs w:val="1"/>
                <w:color w:val="auto"/>
              </w:rPr>
            </w:pPr>
          </w:p>
        </w:tc>
        <w:tc>
          <w:tcPr>
            <w:tcW w:w="100" w:type="dxa"/>
            <w:vAlign w:val="bottom"/>
            <w:tcBorders>
              <w:top w:val="single" w:sz="8" w:color="E7F2F9"/>
              <w:bottom w:val="single" w:sz="8" w:color="auto"/>
            </w:tcBorders>
          </w:tcPr>
          <w:p>
            <w:pPr>
              <w:spacing w:after="0" w:line="20" w:lineRule="exact"/>
              <w:rPr>
                <w:sz w:val="1"/>
                <w:szCs w:val="1"/>
                <w:color w:val="auto"/>
              </w:rPr>
            </w:pPr>
          </w:p>
        </w:tc>
        <w:tc>
          <w:tcPr>
            <w:tcW w:w="1380" w:type="dxa"/>
            <w:vAlign w:val="bottom"/>
            <w:tcBorders>
              <w:top w:val="single" w:sz="8" w:color="E7F2F9"/>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20" w:type="dxa"/>
            <w:vAlign w:val="bottom"/>
            <w:tcBorders>
              <w:top w:val="single" w:sz="8" w:color="E7F2F9"/>
              <w:bottom w:val="single" w:sz="8" w:color="auto"/>
            </w:tcBorders>
          </w:tcPr>
          <w:p>
            <w:pPr>
              <w:spacing w:after="0" w:line="20" w:lineRule="exact"/>
              <w:rPr>
                <w:sz w:val="1"/>
                <w:szCs w:val="1"/>
                <w:color w:val="auto"/>
              </w:rPr>
            </w:pPr>
          </w:p>
        </w:tc>
        <w:tc>
          <w:tcPr>
            <w:tcW w:w="1360" w:type="dxa"/>
            <w:vAlign w:val="bottom"/>
            <w:tcBorders>
              <w:top w:val="single" w:sz="8" w:color="E7F2F9"/>
              <w:bottom w:val="single" w:sz="8" w:color="auto"/>
            </w:tcBorders>
            <w:gridSpan w:val="2"/>
          </w:tcPr>
          <w:p>
            <w:pPr>
              <w:spacing w:after="0" w:line="20" w:lineRule="exact"/>
              <w:rPr>
                <w:sz w:val="1"/>
                <w:szCs w:val="1"/>
                <w:color w:val="auto"/>
              </w:rPr>
            </w:pPr>
          </w:p>
        </w:tc>
        <w:tc>
          <w:tcPr>
            <w:tcW w:w="100" w:type="dxa"/>
            <w:vAlign w:val="bottom"/>
            <w:tcBorders>
              <w:top w:val="single" w:sz="8" w:color="E7F2F9"/>
            </w:tcBorders>
          </w:tcPr>
          <w:p>
            <w:pPr>
              <w:spacing w:after="0" w:line="20" w:lineRule="exact"/>
              <w:rPr>
                <w:sz w:val="1"/>
                <w:szCs w:val="1"/>
                <w:color w:val="auto"/>
              </w:rPr>
            </w:pPr>
          </w:p>
        </w:tc>
        <w:tc>
          <w:tcPr>
            <w:tcW w:w="1500" w:type="dxa"/>
            <w:vAlign w:val="bottom"/>
            <w:tcBorders>
              <w:top w:val="single" w:sz="8" w:color="E7F2F9"/>
              <w:bottom w:val="single" w:sz="8" w:color="auto"/>
            </w:tcBorders>
            <w:gridSpan w:val="2"/>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20" w:type="dxa"/>
            <w:vAlign w:val="bottom"/>
            <w:tcBorders>
              <w:top w:val="single" w:sz="8" w:color="E7F2F9"/>
              <w:bottom w:val="single" w:sz="8" w:color="auto"/>
            </w:tcBorders>
          </w:tcPr>
          <w:p>
            <w:pPr>
              <w:spacing w:after="0" w:line="20" w:lineRule="exact"/>
              <w:rPr>
                <w:sz w:val="1"/>
                <w:szCs w:val="1"/>
                <w:color w:val="auto"/>
              </w:rPr>
            </w:pPr>
          </w:p>
        </w:tc>
        <w:tc>
          <w:tcPr>
            <w:tcW w:w="1360" w:type="dxa"/>
            <w:vAlign w:val="bottom"/>
            <w:tcBorders>
              <w:top w:val="single" w:sz="8" w:color="E7F2F9"/>
              <w:bottom w:val="single" w:sz="8" w:color="auto"/>
            </w:tcBorders>
          </w:tcPr>
          <w:p>
            <w:pPr>
              <w:spacing w:after="0" w:line="20" w:lineRule="exact"/>
              <w:rPr>
                <w:sz w:val="1"/>
                <w:szCs w:val="1"/>
                <w:color w:val="auto"/>
              </w:rPr>
            </w:pPr>
          </w:p>
        </w:tc>
      </w:tr>
      <w:tr>
        <w:trPr>
          <w:trHeight w:val="432"/>
        </w:trPr>
        <w:tc>
          <w:tcPr>
            <w:tcW w:w="5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563"/>
              <w:spacing w:after="0"/>
              <w:rPr>
                <w:sz w:val="20"/>
                <w:szCs w:val="20"/>
                <w:color w:val="auto"/>
              </w:rPr>
            </w:pPr>
            <w:r>
              <w:rPr>
                <w:rFonts w:ascii="Arial" w:cs="Arial" w:eastAsia="Arial" w:hAnsi="Arial"/>
                <w:sz w:val="15"/>
                <w:szCs w:val="15"/>
                <w:b w:val="1"/>
                <w:bCs w:val="1"/>
                <w:color w:val="auto"/>
              </w:rPr>
              <w:t>As of December 31, 2025</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90"/>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3"/>
              <w:spacing w:after="0"/>
              <w:rPr>
                <w:sz w:val="20"/>
                <w:szCs w:val="20"/>
                <w:color w:val="auto"/>
              </w:rPr>
            </w:pPr>
            <w:r>
              <w:rPr>
                <w:rFonts w:ascii="Arial" w:cs="Arial" w:eastAsia="Arial" w:hAnsi="Arial"/>
                <w:sz w:val="15"/>
                <w:szCs w:val="15"/>
                <w:color w:val="auto"/>
              </w:rPr>
              <w:t>Gross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43"/>
              <w:spacing w:after="0"/>
              <w:rPr>
                <w:sz w:val="20"/>
                <w:szCs w:val="20"/>
                <w:color w:val="auto"/>
              </w:rPr>
            </w:pPr>
            <w:r>
              <w:rPr>
                <w:rFonts w:ascii="Arial" w:cs="Arial" w:eastAsia="Arial" w:hAnsi="Arial"/>
                <w:sz w:val="15"/>
                <w:szCs w:val="15"/>
                <w:color w:val="auto"/>
              </w:rPr>
              <w:t>Gross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0"/>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ind w:right="43"/>
              <w:spacing w:after="0"/>
              <w:rPr>
                <w:sz w:val="20"/>
                <w:szCs w:val="20"/>
                <w:color w:val="auto"/>
              </w:rPr>
            </w:pPr>
            <w:r>
              <w:rPr>
                <w:rFonts w:ascii="Arial" w:cs="Arial" w:eastAsia="Arial" w:hAnsi="Arial"/>
                <w:sz w:val="15"/>
                <w:szCs w:val="15"/>
                <w:color w:val="auto"/>
              </w:rPr>
              <w:t>Amortized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23"/>
              <w:spacing w:after="0"/>
              <w:rPr>
                <w:sz w:val="20"/>
                <w:szCs w:val="20"/>
                <w:color w:val="auto"/>
              </w:rPr>
            </w:pPr>
            <w:r>
              <w:rPr>
                <w:rFonts w:ascii="Arial" w:cs="Arial" w:eastAsia="Arial" w:hAnsi="Arial"/>
                <w:sz w:val="15"/>
                <w:szCs w:val="15"/>
                <w:color w:val="auto"/>
              </w:rPr>
              <w:t>unrealized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63"/>
              <w:spacing w:after="0"/>
              <w:rPr>
                <w:sz w:val="20"/>
                <w:szCs w:val="20"/>
                <w:color w:val="auto"/>
              </w:rPr>
            </w:pPr>
            <w:r>
              <w:rPr>
                <w:rFonts w:ascii="Arial" w:cs="Arial" w:eastAsia="Arial" w:hAnsi="Arial"/>
                <w:sz w:val="15"/>
                <w:szCs w:val="15"/>
                <w:color w:val="auto"/>
              </w:rPr>
              <w:t>unrealized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23"/>
              <w:spacing w:after="0"/>
              <w:rPr>
                <w:sz w:val="20"/>
                <w:szCs w:val="20"/>
                <w:color w:val="auto"/>
              </w:rPr>
            </w:pPr>
            <w:r>
              <w:rPr>
                <w:rFonts w:ascii="Arial" w:cs="Arial" w:eastAsia="Arial" w:hAnsi="Arial"/>
                <w:sz w:val="15"/>
                <w:szCs w:val="15"/>
                <w:color w:val="auto"/>
              </w:rPr>
              <w:t>Fair</w:t>
            </w:r>
          </w:p>
        </w:tc>
      </w:tr>
      <w:tr>
        <w:trPr>
          <w:trHeight w:val="211"/>
        </w:trPr>
        <w:tc>
          <w:tcPr>
            <w:tcW w:w="50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8"/>
                <w:szCs w:val="18"/>
                <w:color w:val="auto"/>
              </w:rPr>
            </w:pPr>
          </w:p>
        </w:tc>
        <w:tc>
          <w:tcPr>
            <w:tcW w:w="1380" w:type="dxa"/>
            <w:vAlign w:val="bottom"/>
          </w:tcPr>
          <w:p>
            <w:pPr>
              <w:jc w:val="center"/>
              <w:ind w:right="23"/>
              <w:spacing w:after="0"/>
              <w:rPr>
                <w:sz w:val="20"/>
                <w:szCs w:val="20"/>
                <w:color w:val="auto"/>
              </w:rPr>
            </w:pPr>
            <w:r>
              <w:rPr>
                <w:rFonts w:ascii="Arial" w:cs="Arial" w:eastAsia="Arial" w:hAnsi="Arial"/>
                <w:sz w:val="15"/>
                <w:szCs w:val="15"/>
                <w:color w:val="auto"/>
              </w:rPr>
              <w:t>Cost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23"/>
              <w:spacing w:after="0"/>
              <w:rPr>
                <w:sz w:val="20"/>
                <w:szCs w:val="20"/>
                <w:color w:val="auto"/>
              </w:rPr>
            </w:pPr>
            <w:r>
              <w:rPr>
                <w:rFonts w:ascii="Arial" w:cs="Arial" w:eastAsia="Arial" w:hAnsi="Arial"/>
                <w:sz w:val="15"/>
                <w:szCs w:val="15"/>
                <w:color w:val="auto"/>
              </w:rPr>
              <w:t>gains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63"/>
              <w:spacing w:after="0"/>
              <w:rPr>
                <w:sz w:val="20"/>
                <w:szCs w:val="20"/>
                <w:color w:val="auto"/>
              </w:rPr>
            </w:pPr>
            <w:r>
              <w:rPr>
                <w:rFonts w:ascii="Arial" w:cs="Arial" w:eastAsia="Arial" w:hAnsi="Arial"/>
                <w:sz w:val="15"/>
                <w:szCs w:val="15"/>
                <w:color w:val="auto"/>
              </w:rPr>
              <w:t>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3"/>
              <w:spacing w:after="0"/>
              <w:rPr>
                <w:sz w:val="20"/>
                <w:szCs w:val="20"/>
                <w:color w:val="auto"/>
              </w:rPr>
            </w:pPr>
            <w:r>
              <w:rPr>
                <w:rFonts w:ascii="Arial" w:cs="Arial" w:eastAsia="Arial" w:hAnsi="Arial"/>
                <w:sz w:val="15"/>
                <w:szCs w:val="15"/>
                <w:color w:val="auto"/>
                <w:w w:val="98"/>
              </w:rPr>
              <w:t>Value</w:t>
            </w: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63,707</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63,707</w:t>
            </w:r>
          </w:p>
        </w:tc>
      </w:tr>
      <w:tr>
        <w:trPr>
          <w:trHeight w:val="232"/>
        </w:trPr>
        <w:tc>
          <w:tcPr>
            <w:tcW w:w="5040" w:type="dxa"/>
            <w:vAlign w:val="bottom"/>
          </w:tcPr>
          <w:p>
            <w:pPr>
              <w:ind w:left="20"/>
              <w:spacing w:after="0"/>
              <w:rPr>
                <w:sz w:val="20"/>
                <w:szCs w:val="20"/>
                <w:color w:val="auto"/>
              </w:rPr>
            </w:pPr>
            <w:r>
              <w:rPr>
                <w:rFonts w:ascii="Arial" w:cs="Arial" w:eastAsia="Arial" w:hAnsi="Arial"/>
                <w:sz w:val="15"/>
                <w:szCs w:val="15"/>
                <w:color w:val="auto"/>
              </w:rPr>
              <w:t>Investments:</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2"/>
        </w:trPr>
        <w:tc>
          <w:tcPr>
            <w:tcW w:w="5040" w:type="dxa"/>
            <w:vAlign w:val="bottom"/>
          </w:tcPr>
          <w:p>
            <w:pPr>
              <w:ind w:left="20"/>
              <w:spacing w:after="0"/>
              <w:rPr>
                <w:sz w:val="20"/>
                <w:szCs w:val="20"/>
                <w:color w:val="auto"/>
              </w:rPr>
            </w:pPr>
            <w:r>
              <w:rPr>
                <w:rFonts w:ascii="Arial" w:cs="Arial" w:eastAsia="Arial" w:hAnsi="Arial"/>
                <w:sz w:val="15"/>
                <w:szCs w:val="15"/>
                <w:color w:val="auto"/>
              </w:rPr>
              <w:t>Corporate debt securities</w:t>
            </w:r>
          </w:p>
        </w:tc>
        <w:tc>
          <w:tcPr>
            <w:tcW w:w="100" w:type="dxa"/>
            <w:vAlign w:val="bottom"/>
          </w:tcPr>
          <w:p>
            <w:pPr>
              <w:spacing w:after="0"/>
              <w:rPr>
                <w:sz w:val="20"/>
                <w:szCs w:val="20"/>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23,172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23,250</w:t>
            </w:r>
          </w:p>
        </w:tc>
      </w:tr>
      <w:tr>
        <w:trPr>
          <w:trHeight w:val="239"/>
        </w:trPr>
        <w:tc>
          <w:tcPr>
            <w:tcW w:w="5040" w:type="dxa"/>
            <w:vAlign w:val="bottom"/>
          </w:tcPr>
          <w:p>
            <w:pPr>
              <w:ind w:left="20"/>
              <w:spacing w:after="0"/>
              <w:rPr>
                <w:sz w:val="20"/>
                <w:szCs w:val="20"/>
                <w:color w:val="auto"/>
              </w:rPr>
            </w:pPr>
            <w:r>
              <w:rPr>
                <w:rFonts w:ascii="Arial" w:cs="Arial" w:eastAsia="Arial" w:hAnsi="Arial"/>
                <w:sz w:val="15"/>
                <w:szCs w:val="15"/>
                <w:color w:val="auto"/>
              </w:rPr>
              <w:t>U.S. government &amp; agency securities</w:t>
            </w: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192,170</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192,549</w:t>
            </w:r>
          </w:p>
        </w:tc>
      </w:tr>
      <w:tr>
        <w:trPr>
          <w:trHeight w:val="225"/>
        </w:trPr>
        <w:tc>
          <w:tcPr>
            <w:tcW w:w="5040" w:type="dxa"/>
            <w:vAlign w:val="bottom"/>
          </w:tcPr>
          <w:p>
            <w:pPr>
              <w:ind w:left="260"/>
              <w:spacing w:after="0"/>
              <w:rPr>
                <w:sz w:val="20"/>
                <w:szCs w:val="20"/>
                <w:color w:val="auto"/>
              </w:rPr>
            </w:pPr>
            <w:r>
              <w:rPr>
                <w:rFonts w:ascii="Arial" w:cs="Arial" w:eastAsia="Arial" w:hAnsi="Arial"/>
                <w:sz w:val="15"/>
                <w:szCs w:val="15"/>
                <w:color w:val="auto"/>
              </w:rPr>
              <w:t>Total investments</w:t>
            </w: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215,342</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215,799</w:t>
            </w:r>
          </w:p>
        </w:tc>
      </w:tr>
      <w:tr>
        <w:trPr>
          <w:trHeight w:val="232"/>
        </w:trPr>
        <w:tc>
          <w:tcPr>
            <w:tcW w:w="5040" w:type="dxa"/>
            <w:vAlign w:val="bottom"/>
          </w:tcPr>
          <w:p>
            <w:pPr>
              <w:ind w:left="480"/>
              <w:spacing w:after="0"/>
              <w:rPr>
                <w:sz w:val="20"/>
                <w:szCs w:val="20"/>
                <w:color w:val="auto"/>
              </w:rPr>
            </w:pPr>
            <w:r>
              <w:rPr>
                <w:rFonts w:ascii="Arial" w:cs="Arial" w:eastAsia="Arial" w:hAnsi="Arial"/>
                <w:sz w:val="15"/>
                <w:szCs w:val="15"/>
                <w:color w:val="auto"/>
              </w:rPr>
              <w:t>Total cash, cash equivalents and investments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279,049</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279,506</w:t>
            </w: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56"/>
        </w:trPr>
        <w:tc>
          <w:tcPr>
            <w:tcW w:w="5040" w:type="dxa"/>
            <w:vAlign w:val="bottom"/>
          </w:tcPr>
          <w:p>
            <w:pPr>
              <w:ind w:left="20"/>
              <w:spacing w:after="0"/>
              <w:rPr>
                <w:sz w:val="20"/>
                <w:szCs w:val="20"/>
                <w:color w:val="auto"/>
              </w:rPr>
            </w:pPr>
            <w:r>
              <w:rPr>
                <w:rFonts w:ascii="Arial" w:cs="Arial" w:eastAsia="Arial" w:hAnsi="Arial"/>
                <w:sz w:val="15"/>
                <w:szCs w:val="15"/>
                <w:color w:val="auto"/>
              </w:rPr>
              <w:t>Short-term restricted cash</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5040" w:type="dxa"/>
            <w:vAlign w:val="bottom"/>
          </w:tcPr>
          <w:p>
            <w:pPr>
              <w:ind w:left="20"/>
              <w:spacing w:after="0"/>
              <w:rPr>
                <w:sz w:val="20"/>
                <w:szCs w:val="20"/>
                <w:color w:val="auto"/>
              </w:rPr>
            </w:pPr>
            <w:r>
              <w:rPr>
                <w:rFonts w:ascii="Arial" w:cs="Arial" w:eastAsia="Arial" w:hAnsi="Arial"/>
                <w:sz w:val="15"/>
                <w:szCs w:val="15"/>
                <w:color w:val="auto"/>
              </w:rPr>
              <w:t>Long-term restricted cash</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1,532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1,532</w:t>
            </w: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 summarizes the contractual maturities of our cash equivalents and available-for-sale investments, excluding money market funds, as of March 31, 2026:</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97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shd w:val="clear" w:color="auto" w:fill="E7F2F9"/>
          </w:tcPr>
          <w:p>
            <w:pPr>
              <w:spacing w:after="0"/>
              <w:rPr>
                <w:sz w:val="20"/>
                <w:szCs w:val="20"/>
                <w:color w:val="auto"/>
              </w:rPr>
            </w:pPr>
          </w:p>
        </w:tc>
        <w:tc>
          <w:tcPr>
            <w:tcW w:w="1240" w:type="dxa"/>
            <w:vAlign w:val="bottom"/>
            <w:tcBorders>
              <w:bottom w:val="single" w:sz="8" w:color="auto"/>
            </w:tcBorders>
            <w:shd w:val="clear" w:color="auto" w:fill="E7F2F9"/>
          </w:tcPr>
          <w:p>
            <w:pPr>
              <w:jc w:val="right"/>
              <w:ind w:right="303"/>
              <w:spacing w:after="0"/>
              <w:rPr>
                <w:sz w:val="20"/>
                <w:szCs w:val="20"/>
                <w:color w:val="auto"/>
              </w:rPr>
            </w:pPr>
            <w:r>
              <w:rPr>
                <w:rFonts w:ascii="Arial" w:cs="Arial" w:eastAsia="Arial" w:hAnsi="Arial"/>
                <w:sz w:val="15"/>
                <w:szCs w:val="15"/>
                <w:b w:val="1"/>
                <w:bCs w:val="1"/>
                <w:color w:val="1383C6"/>
              </w:rPr>
              <w:t>Fair Value</w:t>
            </w:r>
          </w:p>
        </w:tc>
      </w:tr>
      <w:tr>
        <w:trPr>
          <w:trHeight w:val="210"/>
        </w:trPr>
        <w:tc>
          <w:tcPr>
            <w:tcW w:w="9720" w:type="dxa"/>
            <w:vAlign w:val="bottom"/>
          </w:tcPr>
          <w:p>
            <w:pPr>
              <w:spacing w:after="0"/>
              <w:rPr>
                <w:sz w:val="20"/>
                <w:szCs w:val="20"/>
                <w:color w:val="auto"/>
              </w:rPr>
            </w:pPr>
            <w:r>
              <w:rPr>
                <w:rFonts w:ascii="Arial" w:cs="Arial" w:eastAsia="Arial" w:hAnsi="Arial"/>
                <w:sz w:val="15"/>
                <w:szCs w:val="15"/>
                <w:color w:val="auto"/>
              </w:rPr>
              <w:t>Due in one year or less</w:t>
            </w:r>
          </w:p>
        </w:tc>
        <w:tc>
          <w:tcPr>
            <w:tcW w:w="260" w:type="dxa"/>
            <w:vAlign w:val="bottom"/>
            <w:shd w:val="clear" w:color="auto" w:fill="E7F2F9"/>
          </w:tcPr>
          <w:p>
            <w:pPr>
              <w:jc w:val="right"/>
              <w:ind w:right="63"/>
              <w:spacing w:after="0"/>
              <w:rPr>
                <w:sz w:val="20"/>
                <w:szCs w:val="20"/>
                <w:color w:val="auto"/>
              </w:rPr>
            </w:pPr>
            <w:r>
              <w:rPr>
                <w:rFonts w:ascii="Arial" w:cs="Arial" w:eastAsia="Arial" w:hAnsi="Arial"/>
                <w:sz w:val="15"/>
                <w:szCs w:val="15"/>
                <w:color w:val="1383C6"/>
              </w:rPr>
              <w:t>$</w:t>
            </w:r>
          </w:p>
        </w:tc>
        <w:tc>
          <w:tcPr>
            <w:tcW w:w="12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136,535</w:t>
            </w:r>
          </w:p>
        </w:tc>
      </w:tr>
      <w:tr>
        <w:trPr>
          <w:trHeight w:val="239"/>
        </w:trPr>
        <w:tc>
          <w:tcPr>
            <w:tcW w:w="9720" w:type="dxa"/>
            <w:vAlign w:val="bottom"/>
          </w:tcPr>
          <w:p>
            <w:pPr>
              <w:spacing w:after="0"/>
              <w:rPr>
                <w:sz w:val="20"/>
                <w:szCs w:val="20"/>
                <w:color w:val="auto"/>
              </w:rPr>
            </w:pPr>
            <w:r>
              <w:rPr>
                <w:rFonts w:ascii="Arial" w:cs="Arial" w:eastAsia="Arial" w:hAnsi="Arial"/>
                <w:sz w:val="15"/>
                <w:szCs w:val="15"/>
                <w:color w:val="auto"/>
              </w:rPr>
              <w:t>Due after one year through five years</w:t>
            </w:r>
          </w:p>
        </w:tc>
        <w:tc>
          <w:tcPr>
            <w:tcW w:w="260" w:type="dxa"/>
            <w:vAlign w:val="bottom"/>
            <w:tcBorders>
              <w:bottom w:val="single" w:sz="8" w:color="auto"/>
            </w:tcBorders>
            <w:shd w:val="clear" w:color="auto" w:fill="E7F2F9"/>
          </w:tcPr>
          <w:p>
            <w:pPr>
              <w:spacing w:after="0"/>
              <w:rPr>
                <w:sz w:val="20"/>
                <w:szCs w:val="20"/>
                <w:color w:val="auto"/>
              </w:rPr>
            </w:pPr>
          </w:p>
        </w:tc>
        <w:tc>
          <w:tcPr>
            <w:tcW w:w="12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83,153</w:t>
            </w:r>
          </w:p>
        </w:tc>
      </w:tr>
      <w:tr>
        <w:trPr>
          <w:trHeight w:val="250"/>
        </w:trPr>
        <w:tc>
          <w:tcPr>
            <w:tcW w:w="9720" w:type="dxa"/>
            <w:vAlign w:val="bottom"/>
          </w:tcPr>
          <w:p>
            <w:pPr>
              <w:ind w:left="30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E7F2F9"/>
          </w:tcPr>
          <w:p>
            <w:pPr>
              <w:jc w:val="right"/>
              <w:ind w:right="63"/>
              <w:spacing w:after="0"/>
              <w:rPr>
                <w:sz w:val="20"/>
                <w:szCs w:val="20"/>
                <w:color w:val="auto"/>
              </w:rPr>
            </w:pPr>
            <w:r>
              <w:rPr>
                <w:rFonts w:ascii="Arial" w:cs="Arial" w:eastAsia="Arial" w:hAnsi="Arial"/>
                <w:sz w:val="15"/>
                <w:szCs w:val="15"/>
                <w:color w:val="1383C6"/>
              </w:rPr>
              <w:t>$</w:t>
            </w:r>
          </w:p>
        </w:tc>
        <w:tc>
          <w:tcPr>
            <w:tcW w:w="12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219,688</w:t>
            </w:r>
          </w:p>
        </w:tc>
      </w:tr>
      <w:tr>
        <w:trPr>
          <w:trHeight w:val="20"/>
        </w:trPr>
        <w:tc>
          <w:tcPr>
            <w:tcW w:w="9720" w:type="dxa"/>
            <w:vAlign w:val="bottom"/>
          </w:tcPr>
          <w:p>
            <w:pPr>
              <w:spacing w:after="0" w:line="20" w:lineRule="exact"/>
              <w:rPr>
                <w:sz w:val="1"/>
                <w:szCs w:val="1"/>
                <w:color w:val="auto"/>
              </w:rPr>
            </w:pPr>
          </w:p>
        </w:tc>
        <w:tc>
          <w:tcPr>
            <w:tcW w:w="260" w:type="dxa"/>
            <w:vAlign w:val="bottom"/>
            <w:tcBorders>
              <w:top w:val="single" w:sz="8" w:color="E7F2F9"/>
              <w:bottom w:val="single" w:sz="8" w:color="auto"/>
            </w:tcBorders>
          </w:tcPr>
          <w:p>
            <w:pPr>
              <w:spacing w:after="0" w:line="20" w:lineRule="exact"/>
              <w:rPr>
                <w:sz w:val="1"/>
                <w:szCs w:val="1"/>
                <w:color w:val="auto"/>
              </w:rPr>
            </w:pPr>
          </w:p>
        </w:tc>
        <w:tc>
          <w:tcPr>
            <w:tcW w:w="1240" w:type="dxa"/>
            <w:vAlign w:val="bottom"/>
            <w:tcBorders>
              <w:top w:val="single" w:sz="8" w:color="E7F2F9"/>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Actual maturities may differ from contractual maturities because issuers may have the right to call or prepay obligations without call or prepayment penalties.</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Investment income included in other income, net on the condensed consolidated statements of operations and comprehensive loss was $2.5 million for the three months ended March 31, 2026 and $3.9 million for the three months ended March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38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11</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558800</wp:posOffset>
            </wp:positionV>
            <wp:extent cx="713867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3. BALANCE SHEET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Inventory,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Our inventory, net, consisted of the following components: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260" w:type="dxa"/>
            <w:vAlign w:val="bottom"/>
            <w:shd w:val="clear" w:color="auto" w:fill="E7F2F9"/>
          </w:tcPr>
          <w:p>
            <w:pPr>
              <w:spacing w:after="0"/>
              <w:rPr>
                <w:sz w:val="17"/>
                <w:szCs w:val="17"/>
                <w:color w:val="auto"/>
              </w:rPr>
            </w:pPr>
          </w:p>
        </w:tc>
        <w:tc>
          <w:tcPr>
            <w:tcW w:w="1240" w:type="dxa"/>
            <w:vAlign w:val="bottom"/>
            <w:shd w:val="clear" w:color="auto" w:fill="E7F2F9"/>
          </w:tcPr>
          <w:p>
            <w:pPr>
              <w:jc w:val="center"/>
              <w:ind w:right="183"/>
              <w:spacing w:after="0"/>
              <w:rPr>
                <w:sz w:val="20"/>
                <w:szCs w:val="20"/>
                <w:color w:val="auto"/>
              </w:rPr>
            </w:pPr>
            <w:r>
              <w:rPr>
                <w:rFonts w:ascii="Arial" w:cs="Arial" w:eastAsia="Arial" w:hAnsi="Arial"/>
                <w:sz w:val="15"/>
                <w:szCs w:val="15"/>
                <w:b w:val="1"/>
                <w:bCs w:val="1"/>
                <w:color w:val="1383C6"/>
              </w:rPr>
              <w:t>March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83"/>
              <w:spacing w:after="0"/>
              <w:rPr>
                <w:sz w:val="20"/>
                <w:szCs w:val="20"/>
                <w:color w:val="auto"/>
              </w:rPr>
            </w:pPr>
            <w:r>
              <w:rPr>
                <w:rFonts w:ascii="Arial" w:cs="Arial" w:eastAsia="Arial" w:hAnsi="Arial"/>
                <w:sz w:val="15"/>
                <w:szCs w:val="15"/>
                <w:b w:val="1"/>
                <w:bCs w:val="1"/>
                <w:color w:val="auto"/>
              </w:rPr>
              <w:t>December 31,</w:t>
            </w:r>
          </w:p>
        </w:tc>
      </w:tr>
      <w:tr>
        <w:trPr>
          <w:trHeight w:val="214"/>
        </w:trPr>
        <w:tc>
          <w:tcPr>
            <w:tcW w:w="8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shd w:val="clear" w:color="auto" w:fill="E7F2F9"/>
          </w:tcPr>
          <w:p>
            <w:pPr>
              <w:spacing w:after="0"/>
              <w:rPr>
                <w:sz w:val="18"/>
                <w:szCs w:val="18"/>
                <w:color w:val="auto"/>
              </w:rPr>
            </w:pPr>
          </w:p>
        </w:tc>
        <w:tc>
          <w:tcPr>
            <w:tcW w:w="1240" w:type="dxa"/>
            <w:vAlign w:val="bottom"/>
            <w:tcBorders>
              <w:bottom w:val="single" w:sz="8" w:color="auto"/>
            </w:tcBorders>
            <w:shd w:val="clear" w:color="auto" w:fill="E7F2F9"/>
          </w:tcPr>
          <w:p>
            <w:pPr>
              <w:jc w:val="right"/>
              <w:ind w:right="503"/>
              <w:spacing w:after="0"/>
              <w:rPr>
                <w:sz w:val="20"/>
                <w:szCs w:val="20"/>
                <w:color w:val="auto"/>
              </w:rPr>
            </w:pPr>
            <w:r>
              <w:rPr>
                <w:rFonts w:ascii="Arial" w:cs="Arial" w:eastAsia="Arial" w:hAnsi="Arial"/>
                <w:sz w:val="15"/>
                <w:szCs w:val="15"/>
                <w:b w:val="1"/>
                <w:bCs w:val="1"/>
                <w:color w:val="1383C6"/>
              </w:rPr>
              <w:t>2026</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2025</w:t>
            </w:r>
          </w:p>
        </w:tc>
      </w:tr>
      <w:tr>
        <w:trPr>
          <w:trHeight w:val="217"/>
        </w:trPr>
        <w:tc>
          <w:tcPr>
            <w:tcW w:w="8140" w:type="dxa"/>
            <w:vAlign w:val="bottom"/>
          </w:tcPr>
          <w:p>
            <w:pPr>
              <w:spacing w:after="0"/>
              <w:rPr>
                <w:sz w:val="20"/>
                <w:szCs w:val="20"/>
                <w:color w:val="auto"/>
              </w:rPr>
            </w:pPr>
            <w:r>
              <w:rPr>
                <w:rFonts w:ascii="Arial" w:cs="Arial" w:eastAsia="Arial" w:hAnsi="Arial"/>
                <w:sz w:val="15"/>
                <w:szCs w:val="15"/>
                <w:color w:val="auto"/>
              </w:rPr>
              <w:t>Purchased materials</w:t>
            </w:r>
          </w:p>
        </w:tc>
        <w:tc>
          <w:tcPr>
            <w:tcW w:w="260" w:type="dxa"/>
            <w:vAlign w:val="bottom"/>
            <w:shd w:val="clear" w:color="auto" w:fill="E7F2F9"/>
          </w:tcPr>
          <w:p>
            <w:pPr>
              <w:jc w:val="right"/>
              <w:ind w:right="83"/>
              <w:spacing w:after="0"/>
              <w:rPr>
                <w:sz w:val="20"/>
                <w:szCs w:val="20"/>
                <w:color w:val="auto"/>
              </w:rPr>
            </w:pPr>
            <w:r>
              <w:rPr>
                <w:rFonts w:ascii="Arial" w:cs="Arial" w:eastAsia="Arial" w:hAnsi="Arial"/>
                <w:sz w:val="15"/>
                <w:szCs w:val="15"/>
                <w:color w:val="1383C6"/>
                <w:w w:val="95"/>
              </w:rPr>
              <w:t>$</w:t>
            </w:r>
          </w:p>
        </w:tc>
        <w:tc>
          <w:tcPr>
            <w:tcW w:w="1240" w:type="dxa"/>
            <w:vAlign w:val="bottom"/>
            <w:shd w:val="clear" w:color="auto" w:fill="E7F2F9"/>
          </w:tcPr>
          <w:p>
            <w:pPr>
              <w:jc w:val="center"/>
              <w:ind w:left="563"/>
              <w:spacing w:after="0"/>
              <w:rPr>
                <w:sz w:val="20"/>
                <w:szCs w:val="20"/>
                <w:color w:val="auto"/>
              </w:rPr>
            </w:pPr>
            <w:r>
              <w:rPr>
                <w:rFonts w:ascii="Arial" w:cs="Arial" w:eastAsia="Arial" w:hAnsi="Arial"/>
                <w:sz w:val="15"/>
                <w:szCs w:val="15"/>
                <w:color w:val="1383C6"/>
              </w:rPr>
              <w:t>34,736</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320" w:type="dxa"/>
            <w:vAlign w:val="bottom"/>
          </w:tcPr>
          <w:p>
            <w:pPr>
              <w:jc w:val="center"/>
              <w:ind w:left="643"/>
              <w:spacing w:after="0"/>
              <w:rPr>
                <w:sz w:val="20"/>
                <w:szCs w:val="20"/>
                <w:color w:val="auto"/>
              </w:rPr>
            </w:pPr>
            <w:r>
              <w:rPr>
                <w:rFonts w:ascii="Arial" w:cs="Arial" w:eastAsia="Arial" w:hAnsi="Arial"/>
                <w:sz w:val="15"/>
                <w:szCs w:val="15"/>
                <w:color w:val="auto"/>
              </w:rPr>
              <w:t>38,638</w:t>
            </w:r>
          </w:p>
        </w:tc>
      </w:tr>
      <w:tr>
        <w:trPr>
          <w:trHeight w:val="232"/>
        </w:trPr>
        <w:tc>
          <w:tcPr>
            <w:tcW w:w="8140" w:type="dxa"/>
            <w:vAlign w:val="bottom"/>
          </w:tcPr>
          <w:p>
            <w:pPr>
              <w:spacing w:after="0"/>
              <w:rPr>
                <w:sz w:val="20"/>
                <w:szCs w:val="20"/>
                <w:color w:val="auto"/>
              </w:rPr>
            </w:pPr>
            <w:r>
              <w:rPr>
                <w:rFonts w:ascii="Arial" w:cs="Arial" w:eastAsia="Arial" w:hAnsi="Arial"/>
                <w:sz w:val="15"/>
                <w:szCs w:val="15"/>
                <w:color w:val="auto"/>
              </w:rPr>
              <w:t>Work in process</w:t>
            </w:r>
          </w:p>
        </w:tc>
        <w:tc>
          <w:tcPr>
            <w:tcW w:w="260" w:type="dxa"/>
            <w:vAlign w:val="bottom"/>
            <w:shd w:val="clear" w:color="auto" w:fill="E7F2F9"/>
          </w:tcPr>
          <w:p>
            <w:pPr>
              <w:spacing w:after="0"/>
              <w:rPr>
                <w:sz w:val="20"/>
                <w:szCs w:val="20"/>
                <w:color w:val="auto"/>
              </w:rPr>
            </w:pPr>
          </w:p>
        </w:tc>
        <w:tc>
          <w:tcPr>
            <w:tcW w:w="1240" w:type="dxa"/>
            <w:vAlign w:val="bottom"/>
            <w:shd w:val="clear" w:color="auto" w:fill="E7F2F9"/>
          </w:tcPr>
          <w:p>
            <w:pPr>
              <w:jc w:val="center"/>
              <w:ind w:left="563"/>
              <w:spacing w:after="0"/>
              <w:rPr>
                <w:sz w:val="20"/>
                <w:szCs w:val="20"/>
                <w:color w:val="auto"/>
              </w:rPr>
            </w:pPr>
            <w:r>
              <w:rPr>
                <w:rFonts w:ascii="Arial" w:cs="Arial" w:eastAsia="Arial" w:hAnsi="Arial"/>
                <w:sz w:val="15"/>
                <w:szCs w:val="15"/>
                <w:color w:val="1383C6"/>
              </w:rPr>
              <w:t>27,349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left="643"/>
              <w:spacing w:after="0"/>
              <w:rPr>
                <w:sz w:val="20"/>
                <w:szCs w:val="20"/>
                <w:color w:val="auto"/>
              </w:rPr>
            </w:pPr>
            <w:r>
              <w:rPr>
                <w:rFonts w:ascii="Arial" w:cs="Arial" w:eastAsia="Arial" w:hAnsi="Arial"/>
                <w:sz w:val="15"/>
                <w:szCs w:val="15"/>
                <w:color w:val="auto"/>
              </w:rPr>
              <w:t>27,051</w:t>
            </w:r>
          </w:p>
        </w:tc>
      </w:tr>
      <w:tr>
        <w:trPr>
          <w:trHeight w:val="239"/>
        </w:trPr>
        <w:tc>
          <w:tcPr>
            <w:tcW w:w="8140" w:type="dxa"/>
            <w:vAlign w:val="bottom"/>
          </w:tcPr>
          <w:p>
            <w:pPr>
              <w:spacing w:after="0"/>
              <w:rPr>
                <w:sz w:val="20"/>
                <w:szCs w:val="20"/>
                <w:color w:val="auto"/>
              </w:rPr>
            </w:pPr>
            <w:r>
              <w:rPr>
                <w:rFonts w:ascii="Arial" w:cs="Arial" w:eastAsia="Arial" w:hAnsi="Arial"/>
                <w:sz w:val="15"/>
                <w:szCs w:val="15"/>
                <w:color w:val="auto"/>
              </w:rPr>
              <w:t>Finished goods</w:t>
            </w:r>
          </w:p>
        </w:tc>
        <w:tc>
          <w:tcPr>
            <w:tcW w:w="260" w:type="dxa"/>
            <w:vAlign w:val="bottom"/>
            <w:tcBorders>
              <w:bottom w:val="single" w:sz="8" w:color="auto"/>
            </w:tcBorders>
            <w:shd w:val="clear" w:color="auto" w:fill="E7F2F9"/>
          </w:tcPr>
          <w:p>
            <w:pPr>
              <w:spacing w:after="0"/>
              <w:rPr>
                <w:sz w:val="20"/>
                <w:szCs w:val="20"/>
                <w:color w:val="auto"/>
              </w:rPr>
            </w:pPr>
          </w:p>
        </w:tc>
        <w:tc>
          <w:tcPr>
            <w:tcW w:w="1240" w:type="dxa"/>
            <w:vAlign w:val="bottom"/>
            <w:tcBorders>
              <w:bottom w:val="single" w:sz="8" w:color="auto"/>
            </w:tcBorders>
            <w:shd w:val="clear" w:color="auto" w:fill="E7F2F9"/>
          </w:tcPr>
          <w:p>
            <w:pPr>
              <w:jc w:val="center"/>
              <w:ind w:left="563"/>
              <w:spacing w:after="0"/>
              <w:rPr>
                <w:sz w:val="20"/>
                <w:szCs w:val="20"/>
                <w:color w:val="auto"/>
              </w:rPr>
            </w:pPr>
            <w:r>
              <w:rPr>
                <w:rFonts w:ascii="Arial" w:cs="Arial" w:eastAsia="Arial" w:hAnsi="Arial"/>
                <w:sz w:val="15"/>
                <w:szCs w:val="15"/>
                <w:color w:val="1383C6"/>
              </w:rPr>
              <w:t>17,838</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643"/>
              <w:spacing w:after="0"/>
              <w:rPr>
                <w:sz w:val="20"/>
                <w:szCs w:val="20"/>
                <w:color w:val="auto"/>
              </w:rPr>
            </w:pPr>
            <w:r>
              <w:rPr>
                <w:rFonts w:ascii="Arial" w:cs="Arial" w:eastAsia="Arial" w:hAnsi="Arial"/>
                <w:sz w:val="15"/>
                <w:szCs w:val="15"/>
                <w:color w:val="auto"/>
              </w:rPr>
              <w:t>15,709</w:t>
            </w:r>
          </w:p>
        </w:tc>
      </w:tr>
      <w:tr>
        <w:trPr>
          <w:trHeight w:val="218"/>
        </w:trPr>
        <w:tc>
          <w:tcPr>
            <w:tcW w:w="8140" w:type="dxa"/>
            <w:vAlign w:val="bottom"/>
          </w:tcPr>
          <w:p>
            <w:pPr>
              <w:ind w:left="120"/>
              <w:spacing w:after="0"/>
              <w:rPr>
                <w:sz w:val="20"/>
                <w:szCs w:val="20"/>
                <w:color w:val="auto"/>
              </w:rPr>
            </w:pPr>
            <w:r>
              <w:rPr>
                <w:rFonts w:ascii="Arial" w:cs="Arial" w:eastAsia="Arial" w:hAnsi="Arial"/>
                <w:sz w:val="15"/>
                <w:szCs w:val="15"/>
                <w:color w:val="auto"/>
              </w:rPr>
              <w:t>Inventory, gross</w:t>
            </w:r>
          </w:p>
        </w:tc>
        <w:tc>
          <w:tcPr>
            <w:tcW w:w="260" w:type="dxa"/>
            <w:vAlign w:val="bottom"/>
            <w:shd w:val="clear" w:color="auto" w:fill="E7F2F9"/>
          </w:tcPr>
          <w:p>
            <w:pPr>
              <w:spacing w:after="0"/>
              <w:rPr>
                <w:sz w:val="18"/>
                <w:szCs w:val="18"/>
                <w:color w:val="auto"/>
              </w:rPr>
            </w:pPr>
          </w:p>
        </w:tc>
        <w:tc>
          <w:tcPr>
            <w:tcW w:w="1240" w:type="dxa"/>
            <w:vAlign w:val="bottom"/>
            <w:shd w:val="clear" w:color="auto" w:fill="E7F2F9"/>
          </w:tcPr>
          <w:p>
            <w:pPr>
              <w:jc w:val="center"/>
              <w:ind w:left="563"/>
              <w:spacing w:after="0"/>
              <w:rPr>
                <w:sz w:val="20"/>
                <w:szCs w:val="20"/>
                <w:color w:val="auto"/>
              </w:rPr>
            </w:pPr>
            <w:r>
              <w:rPr>
                <w:rFonts w:ascii="Arial" w:cs="Arial" w:eastAsia="Arial" w:hAnsi="Arial"/>
                <w:sz w:val="15"/>
                <w:szCs w:val="15"/>
                <w:color w:val="1383C6"/>
              </w:rPr>
              <w:t>79,923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left="643"/>
              <w:spacing w:after="0"/>
              <w:rPr>
                <w:sz w:val="20"/>
                <w:szCs w:val="20"/>
                <w:color w:val="auto"/>
              </w:rPr>
            </w:pPr>
            <w:r>
              <w:rPr>
                <w:rFonts w:ascii="Arial" w:cs="Arial" w:eastAsia="Arial" w:hAnsi="Arial"/>
                <w:sz w:val="15"/>
                <w:szCs w:val="15"/>
                <w:color w:val="auto"/>
              </w:rPr>
              <w:t>81,398</w:t>
            </w:r>
          </w:p>
        </w:tc>
      </w:tr>
      <w:tr>
        <w:trPr>
          <w:trHeight w:val="239"/>
        </w:trPr>
        <w:tc>
          <w:tcPr>
            <w:tcW w:w="8140" w:type="dxa"/>
            <w:vAlign w:val="bottom"/>
          </w:tcPr>
          <w:p>
            <w:pPr>
              <w:ind w:left="20"/>
              <w:spacing w:after="0"/>
              <w:rPr>
                <w:sz w:val="20"/>
                <w:szCs w:val="20"/>
                <w:color w:val="auto"/>
              </w:rPr>
            </w:pPr>
            <w:r>
              <w:rPr>
                <w:rFonts w:ascii="Arial" w:cs="Arial" w:eastAsia="Arial" w:hAnsi="Arial"/>
                <w:sz w:val="15"/>
                <w:szCs w:val="15"/>
                <w:color w:val="auto"/>
              </w:rPr>
              <w:t>Inventory reserve</w:t>
            </w:r>
          </w:p>
        </w:tc>
        <w:tc>
          <w:tcPr>
            <w:tcW w:w="260" w:type="dxa"/>
            <w:vAlign w:val="bottom"/>
            <w:tcBorders>
              <w:bottom w:val="single" w:sz="8" w:color="auto"/>
            </w:tcBorders>
            <w:shd w:val="clear" w:color="auto" w:fill="E7F2F9"/>
          </w:tcPr>
          <w:p>
            <w:pPr>
              <w:spacing w:after="0"/>
              <w:rPr>
                <w:sz w:val="20"/>
                <w:szCs w:val="20"/>
                <w:color w:val="auto"/>
              </w:rPr>
            </w:pPr>
          </w:p>
        </w:tc>
        <w:tc>
          <w:tcPr>
            <w:tcW w:w="1240" w:type="dxa"/>
            <w:vAlign w:val="bottom"/>
            <w:tcBorders>
              <w:bottom w:val="single" w:sz="8" w:color="auto"/>
            </w:tcBorders>
            <w:shd w:val="clear" w:color="auto" w:fill="E7F2F9"/>
          </w:tcPr>
          <w:p>
            <w:pPr>
              <w:jc w:val="center"/>
              <w:ind w:left="543"/>
              <w:spacing w:after="0"/>
              <w:rPr>
                <w:sz w:val="20"/>
                <w:szCs w:val="20"/>
                <w:color w:val="auto"/>
              </w:rPr>
            </w:pPr>
            <w:r>
              <w:rPr>
                <w:rFonts w:ascii="Arial" w:cs="Arial" w:eastAsia="Arial" w:hAnsi="Arial"/>
                <w:sz w:val="15"/>
                <w:szCs w:val="15"/>
                <w:color w:val="1383C6"/>
              </w:rPr>
              <w:t>(28,901)</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643"/>
              <w:spacing w:after="0"/>
              <w:rPr>
                <w:sz w:val="20"/>
                <w:szCs w:val="20"/>
                <w:color w:val="auto"/>
              </w:rPr>
            </w:pPr>
            <w:r>
              <w:rPr>
                <w:rFonts w:ascii="Arial" w:cs="Arial" w:eastAsia="Arial" w:hAnsi="Arial"/>
                <w:sz w:val="15"/>
                <w:szCs w:val="15"/>
                <w:color w:val="auto"/>
              </w:rPr>
              <w:t>(32,113)</w:t>
            </w:r>
          </w:p>
        </w:tc>
      </w:tr>
      <w:tr>
        <w:trPr>
          <w:trHeight w:val="245"/>
        </w:trPr>
        <w:tc>
          <w:tcPr>
            <w:tcW w:w="8140" w:type="dxa"/>
            <w:vAlign w:val="bottom"/>
          </w:tcPr>
          <w:p>
            <w:pPr>
              <w:ind w:left="120"/>
              <w:spacing w:after="0"/>
              <w:rPr>
                <w:sz w:val="20"/>
                <w:szCs w:val="20"/>
                <w:color w:val="auto"/>
              </w:rPr>
            </w:pPr>
            <w:r>
              <w:rPr>
                <w:rFonts w:ascii="Arial" w:cs="Arial" w:eastAsia="Arial" w:hAnsi="Arial"/>
                <w:sz w:val="15"/>
                <w:szCs w:val="15"/>
                <w:color w:val="auto"/>
              </w:rPr>
              <w:t>Inventory, net</w:t>
            </w:r>
          </w:p>
        </w:tc>
        <w:tc>
          <w:tcPr>
            <w:tcW w:w="260" w:type="dxa"/>
            <w:vAlign w:val="bottom"/>
            <w:shd w:val="clear" w:color="auto" w:fill="E7F2F9"/>
          </w:tcPr>
          <w:p>
            <w:pPr>
              <w:jc w:val="right"/>
              <w:ind w:right="83"/>
              <w:spacing w:after="0"/>
              <w:rPr>
                <w:sz w:val="20"/>
                <w:szCs w:val="20"/>
                <w:color w:val="auto"/>
              </w:rPr>
            </w:pPr>
            <w:r>
              <w:rPr>
                <w:rFonts w:ascii="Arial" w:cs="Arial" w:eastAsia="Arial" w:hAnsi="Arial"/>
                <w:sz w:val="15"/>
                <w:szCs w:val="15"/>
                <w:color w:val="1383C6"/>
                <w:w w:val="95"/>
              </w:rPr>
              <w:t>$</w:t>
            </w:r>
          </w:p>
        </w:tc>
        <w:tc>
          <w:tcPr>
            <w:tcW w:w="1240" w:type="dxa"/>
            <w:vAlign w:val="bottom"/>
            <w:shd w:val="clear" w:color="auto" w:fill="E7F2F9"/>
          </w:tcPr>
          <w:p>
            <w:pPr>
              <w:jc w:val="center"/>
              <w:ind w:left="563"/>
              <w:spacing w:after="0"/>
              <w:rPr>
                <w:sz w:val="20"/>
                <w:szCs w:val="20"/>
                <w:color w:val="auto"/>
              </w:rPr>
            </w:pPr>
            <w:r>
              <w:rPr>
                <w:rFonts w:ascii="Arial" w:cs="Arial" w:eastAsia="Arial" w:hAnsi="Arial"/>
                <w:sz w:val="15"/>
                <w:szCs w:val="15"/>
                <w:color w:val="1383C6"/>
              </w:rPr>
              <w:t>51,022</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320" w:type="dxa"/>
            <w:vAlign w:val="bottom"/>
          </w:tcPr>
          <w:p>
            <w:pPr>
              <w:jc w:val="center"/>
              <w:ind w:left="643"/>
              <w:spacing w:after="0"/>
              <w:rPr>
                <w:sz w:val="20"/>
                <w:szCs w:val="20"/>
                <w:color w:val="auto"/>
              </w:rPr>
            </w:pPr>
            <w:r>
              <w:rPr>
                <w:rFonts w:ascii="Arial" w:cs="Arial" w:eastAsia="Arial" w:hAnsi="Arial"/>
                <w:sz w:val="15"/>
                <w:szCs w:val="15"/>
                <w:color w:val="auto"/>
              </w:rPr>
              <w:t>49,285</w:t>
            </w:r>
          </w:p>
        </w:tc>
      </w:tr>
      <w:tr>
        <w:trPr>
          <w:trHeight w:val="20"/>
        </w:trPr>
        <w:tc>
          <w:tcPr>
            <w:tcW w:w="8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Goodwill</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Goodwill is reviewed for impairment at least annually during the second quarter, or more frequently if an event occurs indicating the potential for impairment. We completed our annual goodwill impairment assessment on April 1, 2025 and noted no impairment.</w:t>
      </w:r>
    </w:p>
    <w:p>
      <w:pPr>
        <w:spacing w:after="0" w:line="4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Based primarily on the decline in our stock price and overall market capitalization during the first quarter of 2025, driven in part by macroeconomic uncertainties, as well as our updated strategic plans and restructuring initiatives that prioritized accelerating adoption of HiFi sequencing and ceasing development of our high-throughput short-read platform, we concluded that changes to the timing and amount of expected future cash flows, among other factors, indicated that it was more likely than not that the fair value of the reporting unit was less than its carrying amount, requiring an interim goodwill impairment assessment. As a result of the quantitative interim impairment test performed as of March 31, 2025, we concluded that there was no impairment, as the estimated fair value of the entity-level reporting unit exceeded the carrying value.</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Changes in our future operating results, cash flows, share price, market capitalization or discount rates used when conducting future goodwill impairment tests could affect the implied fair value of goodwill and may result in additional impairment charges in the future.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Intangible Assets</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Intangible assets include developed technology, customer relationships, and acquired in-process research and development ("IPR&amp;D"). In connection with the Apton acquisition in August 2023, we allocated $55.0 million of the purchase price to IPR&amp;D. IPR&amp;D is reviewed for impairment at least annually, or more frequently if an event occurs indicating the potential for impairment. We recognized a $40.0 million impairment charge during the year ended December 31, 2024 as a result of a quantitative interim impairment test.</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During the first quarter of 2025, based on our decision to cease development of the high-throughput short-read sequencing platform, which would utilize the IPR&amp;D, and the resulting changes to the expected future cash flows, among other factors, we concluded that it was more likely than not that the fair value of the IPR&amp;D was less than its carrying amount, requiring an interim impairment assessment. Using a discounted cash flow model under the income approach, we determined the fair value was $0 and recorded a $ 15.0 million impairment charge. The decline in the fair value of the IPR&amp;D to $0 as of March 31, 2025 resulted primarily from changes in the timing of expected future cash flows as compared to the fair value as of December 31, 2024, driven by the restructuring initiatives that prioritize accelerating adoption of HiFi sequencing and resulted in ceasing development of our high-throughput short-read sequencing platform. The impairment charge is included in our condensed consolidated statements of operations and comprehensive loss for the three months ended March 31, 2025.</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u w:val="single" w:color="auto"/>
          <w:color w:val="0000FF"/>
        </w:rPr>
        <w:t>Note 5. Restructuring</w:t>
      </w:r>
      <w:r>
        <w:rPr>
          <w:rFonts w:ascii="Arial" w:cs="Arial" w:eastAsia="Arial" w:hAnsi="Arial"/>
          <w:sz w:val="17"/>
          <w:szCs w:val="17"/>
          <w:color w:val="auto"/>
        </w:rPr>
        <w:t xml:space="preserve"> for additional information on costs incurred in connection with our restructuring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386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12</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We have the following acquired finite-lived intangible assets: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March 31, 2026</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6"/>
          </w:tcPr>
          <w:p>
            <w:pPr>
              <w:jc w:val="center"/>
              <w:ind w:right="83"/>
              <w:spacing w:after="0"/>
              <w:rPr>
                <w:sz w:val="20"/>
                <w:szCs w:val="20"/>
                <w:color w:val="auto"/>
              </w:rPr>
            </w:pPr>
            <w:r>
              <w:rPr>
                <w:rFonts w:ascii="Arial" w:cs="Arial" w:eastAsia="Arial" w:hAnsi="Arial"/>
                <w:sz w:val="14"/>
                <w:szCs w:val="14"/>
                <w:b w:val="1"/>
                <w:bCs w:val="1"/>
                <w:color w:val="auto"/>
                <w:w w:val="98"/>
              </w:rPr>
              <w:t>As of December 31, 2025</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Estimated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5"/>
                <w:szCs w:val="15"/>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5"/>
                <w:szCs w:val="15"/>
                <w:color w:val="auto"/>
              </w:rPr>
            </w:pPr>
          </w:p>
        </w:tc>
        <w:tc>
          <w:tcPr>
            <w:tcW w:w="940" w:type="dxa"/>
            <w:vAlign w:val="bottom"/>
          </w:tcPr>
          <w:p>
            <w:pPr>
              <w:jc w:val="center"/>
              <w:ind w:right="87"/>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right="67"/>
              <w:spacing w:after="0"/>
              <w:rPr>
                <w:sz w:val="20"/>
                <w:szCs w:val="20"/>
                <w:color w:val="auto"/>
              </w:rPr>
            </w:pPr>
            <w:r>
              <w:rPr>
                <w:rFonts w:ascii="Arial" w:cs="Arial" w:eastAsia="Arial" w:hAnsi="Arial"/>
                <w:sz w:val="14"/>
                <w:szCs w:val="14"/>
                <w:b w:val="1"/>
                <w:bCs w:val="1"/>
                <w:color w:val="auto"/>
                <w:w w:val="98"/>
              </w:rPr>
              <w:t>Gross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Accumulated</w:t>
            </w:r>
          </w:p>
        </w:tc>
        <w:tc>
          <w:tcPr>
            <w:tcW w:w="180" w:type="dxa"/>
            <w:vAlign w:val="bottom"/>
          </w:tcPr>
          <w:p>
            <w:pPr>
              <w:spacing w:after="0"/>
              <w:rPr>
                <w:sz w:val="15"/>
                <w:szCs w:val="15"/>
                <w:color w:val="auto"/>
              </w:rPr>
            </w:pPr>
          </w:p>
        </w:tc>
        <w:tc>
          <w:tcPr>
            <w:tcW w:w="940" w:type="dxa"/>
            <w:vAlign w:val="bottom"/>
          </w:tcPr>
          <w:p>
            <w:pPr>
              <w:jc w:val="center"/>
              <w:ind w:right="127"/>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7"/>
              </w:rPr>
              <w:t>Useful Life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07"/>
              <w:spacing w:after="0" w:line="15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67"/>
              <w:spacing w:after="0" w:line="155" w:lineRule="exact"/>
              <w:rPr>
                <w:sz w:val="20"/>
                <w:szCs w:val="20"/>
                <w:color w:val="auto"/>
              </w:rPr>
            </w:pPr>
            <w:r>
              <w:rPr>
                <w:rFonts w:ascii="Arial" w:cs="Arial" w:eastAsia="Arial" w:hAnsi="Arial"/>
                <w:sz w:val="14"/>
                <w:szCs w:val="14"/>
                <w:b w:val="1"/>
                <w:bCs w:val="1"/>
                <w:color w:val="auto"/>
                <w:w w:val="97"/>
              </w:rPr>
              <w:t>Carrying</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107"/>
              <w:spacing w:after="0" w:line="15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202"/>
        </w:trPr>
        <w:tc>
          <w:tcPr>
            <w:tcW w:w="2260" w:type="dxa"/>
            <w:vAlign w:val="bottom"/>
          </w:tcPr>
          <w:p>
            <w:pPr>
              <w:spacing w:after="0"/>
              <w:rPr>
                <w:sz w:val="20"/>
                <w:szCs w:val="20"/>
                <w:color w:val="auto"/>
              </w:rPr>
            </w:pPr>
            <w:r>
              <w:rPr>
                <w:rFonts w:ascii="Arial" w:cs="Arial" w:eastAsia="Arial" w:hAnsi="Arial"/>
                <w:sz w:val="14"/>
                <w:szCs w:val="14"/>
                <w:i w:val="1"/>
                <w:iCs w:val="1"/>
                <w:color w:val="auto"/>
              </w:rPr>
              <w:t>(In thousands, except years)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 years)</w:t>
            </w:r>
          </w:p>
        </w:tc>
        <w:tc>
          <w:tcPr>
            <w:tcW w:w="100" w:type="dxa"/>
            <w:vAlign w:val="bottom"/>
            <w:tcBorders>
              <w:bottom w:val="single" w:sz="8" w:color="E7F2F9"/>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E7F2F9"/>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E7F2F9"/>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1"/>
        </w:trPr>
        <w:tc>
          <w:tcPr>
            <w:tcW w:w="2260" w:type="dxa"/>
            <w:vAlign w:val="bottom"/>
          </w:tcPr>
          <w:p>
            <w:pPr>
              <w:spacing w:after="0"/>
              <w:rPr>
                <w:sz w:val="20"/>
                <w:szCs w:val="20"/>
                <w:color w:val="auto"/>
              </w:rPr>
            </w:pPr>
            <w:r>
              <w:rPr>
                <w:rFonts w:ascii="Arial" w:cs="Arial" w:eastAsia="Arial" w:hAnsi="Arial"/>
                <w:sz w:val="15"/>
                <w:szCs w:val="15"/>
                <w:color w:val="auto"/>
              </w:rPr>
              <w:t>Developed technology</w:t>
            </w:r>
          </w:p>
        </w:tc>
        <w:tc>
          <w:tcPr>
            <w:tcW w:w="1060" w:type="dxa"/>
            <w:vAlign w:val="bottom"/>
            <w:shd w:val="clear" w:color="auto" w:fill="E7F2F9"/>
          </w:tcPr>
          <w:p>
            <w:pPr>
              <w:jc w:val="center"/>
              <w:spacing w:after="0"/>
              <w:rPr>
                <w:sz w:val="20"/>
                <w:szCs w:val="20"/>
                <w:color w:val="auto"/>
              </w:rPr>
            </w:pPr>
            <w:r>
              <w:rPr>
                <w:rFonts w:ascii="Arial" w:cs="Arial" w:eastAsia="Arial" w:hAnsi="Arial"/>
                <w:sz w:val="15"/>
                <w:szCs w:val="15"/>
                <w:color w:val="1383C6"/>
              </w:rPr>
              <w:t>3 — 15</w:t>
            </w:r>
          </w:p>
        </w:tc>
        <w:tc>
          <w:tcPr>
            <w:tcW w:w="280" w:type="dxa"/>
            <w:vAlign w:val="bottom"/>
            <w:gridSpan w:val="2"/>
            <w:shd w:val="clear" w:color="auto" w:fill="E7F2F9"/>
          </w:tcPr>
          <w:p>
            <w:pPr>
              <w:jc w:val="right"/>
              <w:ind w:right="3"/>
              <w:spacing w:after="0"/>
              <w:rPr>
                <w:sz w:val="20"/>
                <w:szCs w:val="20"/>
                <w:color w:val="auto"/>
              </w:rPr>
            </w:pPr>
            <w:r>
              <w:rPr>
                <w:rFonts w:ascii="Arial" w:cs="Arial" w:eastAsia="Arial" w:hAnsi="Arial"/>
                <w:sz w:val="15"/>
                <w:szCs w:val="15"/>
                <w:color w:val="1383C6"/>
              </w:rPr>
              <w:t>$</w:t>
            </w:r>
          </w:p>
        </w:tc>
        <w:tc>
          <w:tcPr>
            <w:tcW w:w="9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421,179</w:t>
            </w:r>
          </w:p>
        </w:tc>
        <w:tc>
          <w:tcPr>
            <w:tcW w:w="100" w:type="dxa"/>
            <w:vAlign w:val="bottom"/>
            <w:shd w:val="clear" w:color="auto" w:fill="E7F2F9"/>
          </w:tcPr>
          <w:p>
            <w:pPr>
              <w:spacing w:after="0"/>
              <w:rPr>
                <w:sz w:val="18"/>
                <w:szCs w:val="18"/>
                <w:color w:val="auto"/>
              </w:rPr>
            </w:pPr>
          </w:p>
        </w:tc>
        <w:tc>
          <w:tcPr>
            <w:tcW w:w="18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w:t>
            </w: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(407,075)</w:t>
            </w:r>
          </w:p>
        </w:tc>
        <w:tc>
          <w:tcPr>
            <w:tcW w:w="100" w:type="dxa"/>
            <w:vAlign w:val="bottom"/>
            <w:shd w:val="clear" w:color="auto" w:fill="E7F2F9"/>
          </w:tcPr>
          <w:p>
            <w:pPr>
              <w:spacing w:after="0"/>
              <w:rPr>
                <w:sz w:val="18"/>
                <w:szCs w:val="18"/>
                <w:color w:val="auto"/>
              </w:rPr>
            </w:pPr>
          </w:p>
        </w:tc>
        <w:tc>
          <w:tcPr>
            <w:tcW w:w="180" w:type="dxa"/>
            <w:vAlign w:val="bottom"/>
            <w:shd w:val="clear" w:color="auto" w:fill="E7F2F9"/>
          </w:tcPr>
          <w:p>
            <w:pPr>
              <w:jc w:val="right"/>
              <w:ind w:right="3"/>
              <w:spacing w:after="0"/>
              <w:rPr>
                <w:sz w:val="20"/>
                <w:szCs w:val="20"/>
                <w:color w:val="auto"/>
              </w:rPr>
            </w:pPr>
            <w:r>
              <w:rPr>
                <w:rFonts w:ascii="Arial" w:cs="Arial" w:eastAsia="Arial" w:hAnsi="Arial"/>
                <w:sz w:val="15"/>
                <w:szCs w:val="15"/>
                <w:color w:val="1383C6"/>
                <w:w w:val="95"/>
              </w:rPr>
              <w:t>$</w:t>
            </w:r>
          </w:p>
        </w:tc>
        <w:tc>
          <w:tcPr>
            <w:tcW w:w="9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14,104</w:t>
            </w:r>
          </w:p>
        </w:tc>
        <w:tc>
          <w:tcPr>
            <w:tcW w:w="3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421,179</w:t>
            </w:r>
          </w:p>
        </w:tc>
        <w:tc>
          <w:tcPr>
            <w:tcW w:w="3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(406,055)</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15,124</w:t>
            </w:r>
          </w:p>
        </w:tc>
        <w:tc>
          <w:tcPr>
            <w:tcW w:w="0" w:type="dxa"/>
            <w:vAlign w:val="bottom"/>
          </w:tcPr>
          <w:p>
            <w:pPr>
              <w:spacing w:after="0"/>
              <w:rPr>
                <w:sz w:val="1"/>
                <w:szCs w:val="1"/>
                <w:color w:val="auto"/>
              </w:rPr>
            </w:pPr>
          </w:p>
        </w:tc>
      </w:tr>
      <w:tr>
        <w:trPr>
          <w:trHeight w:val="239"/>
        </w:trPr>
        <w:tc>
          <w:tcPr>
            <w:tcW w:w="2260" w:type="dxa"/>
            <w:vAlign w:val="bottom"/>
          </w:tcPr>
          <w:p>
            <w:pPr>
              <w:spacing w:after="0"/>
              <w:rPr>
                <w:sz w:val="20"/>
                <w:szCs w:val="20"/>
                <w:color w:val="auto"/>
              </w:rPr>
            </w:pPr>
            <w:r>
              <w:rPr>
                <w:rFonts w:ascii="Arial" w:cs="Arial" w:eastAsia="Arial" w:hAnsi="Arial"/>
                <w:sz w:val="15"/>
                <w:szCs w:val="15"/>
                <w:color w:val="auto"/>
              </w:rPr>
              <w:t>Customer relationships</w:t>
            </w:r>
          </w:p>
        </w:tc>
        <w:tc>
          <w:tcPr>
            <w:tcW w:w="1060" w:type="dxa"/>
            <w:vAlign w:val="bottom"/>
            <w:tcBorders>
              <w:bottom w:val="single" w:sz="8" w:color="E7F2F9"/>
            </w:tcBorders>
            <w:shd w:val="clear" w:color="auto" w:fill="E7F2F9"/>
          </w:tcPr>
          <w:p>
            <w:pPr>
              <w:jc w:val="right"/>
              <w:ind w:right="408"/>
              <w:spacing w:after="0"/>
              <w:rPr>
                <w:sz w:val="20"/>
                <w:szCs w:val="20"/>
                <w:color w:val="auto"/>
              </w:rPr>
            </w:pPr>
            <w:r>
              <w:rPr>
                <w:rFonts w:ascii="Arial" w:cs="Arial" w:eastAsia="Arial" w:hAnsi="Arial"/>
                <w:sz w:val="15"/>
                <w:szCs w:val="15"/>
                <w:color w:val="1383C6"/>
              </w:rPr>
              <w:t>2</w:t>
            </w:r>
          </w:p>
        </w:tc>
        <w:tc>
          <w:tcPr>
            <w:tcW w:w="100" w:type="dxa"/>
            <w:vAlign w:val="bottom"/>
            <w:tcBorders>
              <w:bottom w:val="single" w:sz="8" w:color="E7F2F9"/>
            </w:tcBorders>
            <w:shd w:val="clear" w:color="auto" w:fill="E7F2F9"/>
          </w:tcPr>
          <w:p>
            <w:pPr>
              <w:spacing w:after="0"/>
              <w:rPr>
                <w:sz w:val="20"/>
                <w:szCs w:val="20"/>
                <w:color w:val="auto"/>
              </w:rPr>
            </w:pPr>
          </w:p>
        </w:tc>
        <w:tc>
          <w:tcPr>
            <w:tcW w:w="180" w:type="dxa"/>
            <w:vAlign w:val="bottom"/>
            <w:tcBorders>
              <w:bottom w:val="single" w:sz="8" w:color="auto"/>
            </w:tcBorders>
            <w:shd w:val="clear" w:color="auto" w:fill="E7F2F9"/>
          </w:tcPr>
          <w:p>
            <w:pPr>
              <w:spacing w:after="0"/>
              <w:rPr>
                <w:sz w:val="20"/>
                <w:szCs w:val="20"/>
                <w:color w:val="auto"/>
              </w:rPr>
            </w:pPr>
          </w:p>
        </w:tc>
        <w:tc>
          <w:tcPr>
            <w:tcW w:w="9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360</w:t>
            </w:r>
          </w:p>
        </w:tc>
        <w:tc>
          <w:tcPr>
            <w:tcW w:w="100" w:type="dxa"/>
            <w:vAlign w:val="bottom"/>
            <w:tcBorders>
              <w:bottom w:val="single" w:sz="8" w:color="E7F2F9"/>
            </w:tcBorders>
            <w:shd w:val="clear" w:color="auto" w:fill="E7F2F9"/>
          </w:tcPr>
          <w:p>
            <w:pPr>
              <w:spacing w:after="0"/>
              <w:rPr>
                <w:sz w:val="20"/>
                <w:szCs w:val="20"/>
                <w:color w:val="auto"/>
              </w:rPr>
            </w:pPr>
          </w:p>
        </w:tc>
        <w:tc>
          <w:tcPr>
            <w:tcW w:w="180" w:type="dxa"/>
            <w:vAlign w:val="bottom"/>
            <w:tcBorders>
              <w:bottom w:val="single" w:sz="8" w:color="auto"/>
            </w:tcBorders>
            <w:shd w:val="clear" w:color="auto" w:fill="E7F2F9"/>
          </w:tcPr>
          <w:p>
            <w:pPr>
              <w:spacing w:after="0"/>
              <w:rPr>
                <w:sz w:val="20"/>
                <w:szCs w:val="20"/>
                <w:color w:val="auto"/>
              </w:rPr>
            </w:pPr>
          </w:p>
        </w:tc>
        <w:tc>
          <w:tcPr>
            <w:tcW w:w="11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(360)</w:t>
            </w:r>
          </w:p>
        </w:tc>
        <w:tc>
          <w:tcPr>
            <w:tcW w:w="100" w:type="dxa"/>
            <w:vAlign w:val="bottom"/>
            <w:tcBorders>
              <w:bottom w:val="single" w:sz="8" w:color="E7F2F9"/>
            </w:tcBorders>
            <w:shd w:val="clear" w:color="auto" w:fill="E7F2F9"/>
          </w:tcPr>
          <w:p>
            <w:pPr>
              <w:spacing w:after="0"/>
              <w:rPr>
                <w:sz w:val="20"/>
                <w:szCs w:val="20"/>
                <w:color w:val="auto"/>
              </w:rPr>
            </w:pPr>
          </w:p>
        </w:tc>
        <w:tc>
          <w:tcPr>
            <w:tcW w:w="180" w:type="dxa"/>
            <w:vAlign w:val="bottom"/>
            <w:tcBorders>
              <w:bottom w:val="single" w:sz="8" w:color="auto"/>
            </w:tcBorders>
            <w:shd w:val="clear" w:color="auto" w:fill="E7F2F9"/>
          </w:tcPr>
          <w:p>
            <w:pPr>
              <w:spacing w:after="0"/>
              <w:rPr>
                <w:sz w:val="20"/>
                <w:szCs w:val="20"/>
                <w:color w:val="auto"/>
              </w:rPr>
            </w:pPr>
          </w:p>
        </w:tc>
        <w:tc>
          <w:tcPr>
            <w:tcW w:w="9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360</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2"/>
        </w:trPr>
        <w:tc>
          <w:tcPr>
            <w:tcW w:w="2260" w:type="dxa"/>
            <w:vAlign w:val="bottom"/>
          </w:tcPr>
          <w:p>
            <w:pPr>
              <w:ind w:left="460"/>
              <w:spacing w:after="0"/>
              <w:rPr>
                <w:sz w:val="20"/>
                <w:szCs w:val="20"/>
                <w:color w:val="auto"/>
              </w:rPr>
            </w:pPr>
            <w:r>
              <w:rPr>
                <w:rFonts w:ascii="Arial" w:cs="Arial" w:eastAsia="Arial" w:hAnsi="Arial"/>
                <w:sz w:val="15"/>
                <w:szCs w:val="15"/>
                <w:color w:val="auto"/>
              </w:rPr>
              <w:t>Total</w:t>
            </w:r>
          </w:p>
        </w:tc>
        <w:tc>
          <w:tcPr>
            <w:tcW w:w="1060" w:type="dxa"/>
            <w:vAlign w:val="bottom"/>
            <w:shd w:val="clear" w:color="auto" w:fill="E7F2F9"/>
          </w:tcPr>
          <w:p>
            <w:pPr>
              <w:spacing w:after="0"/>
              <w:rPr>
                <w:sz w:val="21"/>
                <w:szCs w:val="21"/>
                <w:color w:val="auto"/>
              </w:rPr>
            </w:pPr>
          </w:p>
        </w:tc>
        <w:tc>
          <w:tcPr>
            <w:tcW w:w="100" w:type="dxa"/>
            <w:vAlign w:val="bottom"/>
            <w:shd w:val="clear" w:color="auto" w:fill="E7F2F9"/>
          </w:tcPr>
          <w:p>
            <w:pPr>
              <w:spacing w:after="0"/>
              <w:rPr>
                <w:sz w:val="21"/>
                <w:szCs w:val="21"/>
                <w:color w:val="auto"/>
              </w:rPr>
            </w:pPr>
          </w:p>
        </w:tc>
        <w:tc>
          <w:tcPr>
            <w:tcW w:w="180" w:type="dxa"/>
            <w:vAlign w:val="bottom"/>
            <w:shd w:val="clear" w:color="auto" w:fill="E7F2F9"/>
          </w:tcPr>
          <w:p>
            <w:pPr>
              <w:jc w:val="right"/>
              <w:ind w:right="3"/>
              <w:spacing w:after="0"/>
              <w:rPr>
                <w:sz w:val="20"/>
                <w:szCs w:val="20"/>
                <w:color w:val="auto"/>
              </w:rPr>
            </w:pPr>
            <w:r>
              <w:rPr>
                <w:rFonts w:ascii="Arial" w:cs="Arial" w:eastAsia="Arial" w:hAnsi="Arial"/>
                <w:sz w:val="15"/>
                <w:szCs w:val="15"/>
                <w:color w:val="1383C6"/>
                <w:w w:val="95"/>
              </w:rPr>
              <w:t>$</w:t>
            </w:r>
          </w:p>
        </w:tc>
        <w:tc>
          <w:tcPr>
            <w:tcW w:w="9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421,539</w:t>
            </w:r>
          </w:p>
        </w:tc>
        <w:tc>
          <w:tcPr>
            <w:tcW w:w="100" w:type="dxa"/>
            <w:vAlign w:val="bottom"/>
            <w:shd w:val="clear" w:color="auto" w:fill="E7F2F9"/>
          </w:tcPr>
          <w:p>
            <w:pPr>
              <w:spacing w:after="0"/>
              <w:rPr>
                <w:sz w:val="21"/>
                <w:szCs w:val="21"/>
                <w:color w:val="auto"/>
              </w:rPr>
            </w:pPr>
          </w:p>
        </w:tc>
        <w:tc>
          <w:tcPr>
            <w:tcW w:w="18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w:t>
            </w: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(407,435)</w:t>
            </w:r>
          </w:p>
        </w:tc>
        <w:tc>
          <w:tcPr>
            <w:tcW w:w="100" w:type="dxa"/>
            <w:vAlign w:val="bottom"/>
            <w:shd w:val="clear" w:color="auto" w:fill="E7F2F9"/>
          </w:tcPr>
          <w:p>
            <w:pPr>
              <w:spacing w:after="0"/>
              <w:rPr>
                <w:sz w:val="21"/>
                <w:szCs w:val="21"/>
                <w:color w:val="auto"/>
              </w:rPr>
            </w:pPr>
          </w:p>
        </w:tc>
        <w:tc>
          <w:tcPr>
            <w:tcW w:w="180" w:type="dxa"/>
            <w:vAlign w:val="bottom"/>
            <w:shd w:val="clear" w:color="auto" w:fill="E7F2F9"/>
          </w:tcPr>
          <w:p>
            <w:pPr>
              <w:jc w:val="right"/>
              <w:ind w:right="3"/>
              <w:spacing w:after="0"/>
              <w:rPr>
                <w:sz w:val="20"/>
                <w:szCs w:val="20"/>
                <w:color w:val="auto"/>
              </w:rPr>
            </w:pPr>
            <w:r>
              <w:rPr>
                <w:rFonts w:ascii="Arial" w:cs="Arial" w:eastAsia="Arial" w:hAnsi="Arial"/>
                <w:sz w:val="15"/>
                <w:szCs w:val="15"/>
                <w:color w:val="1383C6"/>
                <w:w w:val="95"/>
              </w:rPr>
              <w:t>$</w:t>
            </w:r>
          </w:p>
        </w:tc>
        <w:tc>
          <w:tcPr>
            <w:tcW w:w="9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14,104</w:t>
            </w:r>
          </w:p>
        </w:tc>
        <w:tc>
          <w:tcPr>
            <w:tcW w:w="3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421,539</w:t>
            </w:r>
          </w:p>
        </w:tc>
        <w:tc>
          <w:tcPr>
            <w:tcW w:w="32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(406,415)</w:t>
            </w:r>
          </w:p>
        </w:tc>
        <w:tc>
          <w:tcPr>
            <w:tcW w:w="100" w:type="dxa"/>
            <w:vAlign w:val="bottom"/>
          </w:tcPr>
          <w:p>
            <w:pPr>
              <w:spacing w:after="0"/>
              <w:rPr>
                <w:sz w:val="21"/>
                <w:szCs w:val="21"/>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15,124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60" w:type="dxa"/>
            <w:vAlign w:val="bottom"/>
            <w:tcBorders>
              <w:top w:val="single" w:sz="8" w:color="E7F2F9"/>
            </w:tcBorders>
          </w:tcPr>
          <w:p>
            <w:pPr>
              <w:spacing w:after="0" w:line="20" w:lineRule="exact"/>
              <w:rPr>
                <w:sz w:val="1"/>
                <w:szCs w:val="1"/>
                <w:color w:val="auto"/>
              </w:rPr>
            </w:pPr>
          </w:p>
        </w:tc>
        <w:tc>
          <w:tcPr>
            <w:tcW w:w="100" w:type="dxa"/>
            <w:vAlign w:val="bottom"/>
            <w:tcBorders>
              <w:top w:val="single" w:sz="8" w:color="E7F2F9"/>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F2F9"/>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F2F9"/>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future amortization expense of intangible assets with finite lives is as follows: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97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
        </w:trPr>
        <w:tc>
          <w:tcPr>
            <w:tcW w:w="9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8"/>
        </w:trPr>
        <w:tc>
          <w:tcPr>
            <w:tcW w:w="9720" w:type="dxa"/>
            <w:vAlign w:val="bottom"/>
          </w:tcPr>
          <w:p>
            <w:pPr>
              <w:spacing w:after="0"/>
              <w:rPr>
                <w:sz w:val="20"/>
                <w:szCs w:val="20"/>
                <w:color w:val="auto"/>
              </w:rPr>
            </w:pPr>
            <w:r>
              <w:rPr>
                <w:rFonts w:ascii="Arial" w:cs="Arial" w:eastAsia="Arial" w:hAnsi="Arial"/>
                <w:sz w:val="15"/>
                <w:szCs w:val="15"/>
                <w:color w:val="auto"/>
              </w:rPr>
              <w:t>Remainder of 2026</w:t>
            </w:r>
          </w:p>
        </w:tc>
        <w:tc>
          <w:tcPr>
            <w:tcW w:w="540" w:type="dxa"/>
            <w:vAlign w:val="bottom"/>
            <w:shd w:val="clear" w:color="auto" w:fill="E7F2F9"/>
          </w:tcPr>
          <w:p>
            <w:pPr>
              <w:jc w:val="right"/>
              <w:ind w:right="343"/>
              <w:spacing w:after="0"/>
              <w:rPr>
                <w:sz w:val="20"/>
                <w:szCs w:val="20"/>
                <w:color w:val="auto"/>
              </w:rPr>
            </w:pPr>
            <w:r>
              <w:rPr>
                <w:rFonts w:ascii="Arial" w:cs="Arial" w:eastAsia="Arial" w:hAnsi="Arial"/>
                <w:sz w:val="15"/>
                <w:szCs w:val="15"/>
                <w:color w:val="1383C6"/>
              </w:rPr>
              <w:t>$</w:t>
            </w:r>
          </w:p>
        </w:tc>
        <w:tc>
          <w:tcPr>
            <w:tcW w:w="96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3,059</w:t>
            </w:r>
          </w:p>
        </w:tc>
      </w:tr>
      <w:tr>
        <w:trPr>
          <w:trHeight w:val="232"/>
        </w:trPr>
        <w:tc>
          <w:tcPr>
            <w:tcW w:w="9720" w:type="dxa"/>
            <w:vAlign w:val="bottom"/>
          </w:tcPr>
          <w:p>
            <w:pPr>
              <w:spacing w:after="0"/>
              <w:rPr>
                <w:sz w:val="20"/>
                <w:szCs w:val="20"/>
                <w:color w:val="auto"/>
              </w:rPr>
            </w:pPr>
            <w:r>
              <w:rPr>
                <w:rFonts w:ascii="Arial" w:cs="Arial" w:eastAsia="Arial" w:hAnsi="Arial"/>
                <w:sz w:val="15"/>
                <w:szCs w:val="15"/>
                <w:color w:val="auto"/>
              </w:rPr>
              <w:t>2027</w:t>
            </w:r>
          </w:p>
        </w:tc>
        <w:tc>
          <w:tcPr>
            <w:tcW w:w="540" w:type="dxa"/>
            <w:vAlign w:val="bottom"/>
            <w:shd w:val="clear" w:color="auto" w:fill="E7F2F9"/>
          </w:tcPr>
          <w:p>
            <w:pPr>
              <w:spacing w:after="0"/>
              <w:rPr>
                <w:sz w:val="20"/>
                <w:szCs w:val="20"/>
                <w:color w:val="auto"/>
              </w:rPr>
            </w:pPr>
          </w:p>
        </w:tc>
        <w:tc>
          <w:tcPr>
            <w:tcW w:w="96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4,079</w:t>
            </w:r>
          </w:p>
        </w:tc>
      </w:tr>
      <w:tr>
        <w:trPr>
          <w:trHeight w:val="232"/>
        </w:trPr>
        <w:tc>
          <w:tcPr>
            <w:tcW w:w="9720" w:type="dxa"/>
            <w:vAlign w:val="bottom"/>
          </w:tcPr>
          <w:p>
            <w:pPr>
              <w:spacing w:after="0"/>
              <w:rPr>
                <w:sz w:val="20"/>
                <w:szCs w:val="20"/>
                <w:color w:val="auto"/>
              </w:rPr>
            </w:pPr>
            <w:r>
              <w:rPr>
                <w:rFonts w:ascii="Arial" w:cs="Arial" w:eastAsia="Arial" w:hAnsi="Arial"/>
                <w:sz w:val="15"/>
                <w:szCs w:val="15"/>
                <w:color w:val="auto"/>
              </w:rPr>
              <w:t>2028</w:t>
            </w:r>
          </w:p>
        </w:tc>
        <w:tc>
          <w:tcPr>
            <w:tcW w:w="540" w:type="dxa"/>
            <w:vAlign w:val="bottom"/>
            <w:shd w:val="clear" w:color="auto" w:fill="E7F2F9"/>
          </w:tcPr>
          <w:p>
            <w:pPr>
              <w:spacing w:after="0"/>
              <w:rPr>
                <w:sz w:val="20"/>
                <w:szCs w:val="20"/>
                <w:color w:val="auto"/>
              </w:rPr>
            </w:pPr>
          </w:p>
        </w:tc>
        <w:tc>
          <w:tcPr>
            <w:tcW w:w="96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1,301</w:t>
            </w:r>
          </w:p>
        </w:tc>
      </w:tr>
      <w:tr>
        <w:trPr>
          <w:trHeight w:val="232"/>
        </w:trPr>
        <w:tc>
          <w:tcPr>
            <w:tcW w:w="9720" w:type="dxa"/>
            <w:vAlign w:val="bottom"/>
          </w:tcPr>
          <w:p>
            <w:pPr>
              <w:spacing w:after="0"/>
              <w:rPr>
                <w:sz w:val="20"/>
                <w:szCs w:val="20"/>
                <w:color w:val="auto"/>
              </w:rPr>
            </w:pPr>
            <w:r>
              <w:rPr>
                <w:rFonts w:ascii="Arial" w:cs="Arial" w:eastAsia="Arial" w:hAnsi="Arial"/>
                <w:sz w:val="15"/>
                <w:szCs w:val="15"/>
                <w:color w:val="auto"/>
              </w:rPr>
              <w:t>2029</w:t>
            </w:r>
          </w:p>
        </w:tc>
        <w:tc>
          <w:tcPr>
            <w:tcW w:w="540" w:type="dxa"/>
            <w:vAlign w:val="bottom"/>
            <w:shd w:val="clear" w:color="auto" w:fill="E7F2F9"/>
          </w:tcPr>
          <w:p>
            <w:pPr>
              <w:spacing w:after="0"/>
              <w:rPr>
                <w:sz w:val="20"/>
                <w:szCs w:val="20"/>
                <w:color w:val="auto"/>
              </w:rPr>
            </w:pPr>
          </w:p>
        </w:tc>
        <w:tc>
          <w:tcPr>
            <w:tcW w:w="96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745</w:t>
            </w:r>
          </w:p>
        </w:tc>
      </w:tr>
      <w:tr>
        <w:trPr>
          <w:trHeight w:val="232"/>
        </w:trPr>
        <w:tc>
          <w:tcPr>
            <w:tcW w:w="9720" w:type="dxa"/>
            <w:vAlign w:val="bottom"/>
          </w:tcPr>
          <w:p>
            <w:pPr>
              <w:spacing w:after="0"/>
              <w:rPr>
                <w:sz w:val="20"/>
                <w:szCs w:val="20"/>
                <w:color w:val="auto"/>
              </w:rPr>
            </w:pPr>
            <w:r>
              <w:rPr>
                <w:rFonts w:ascii="Arial" w:cs="Arial" w:eastAsia="Arial" w:hAnsi="Arial"/>
                <w:sz w:val="15"/>
                <w:szCs w:val="15"/>
                <w:color w:val="auto"/>
              </w:rPr>
              <w:t>2030</w:t>
            </w:r>
          </w:p>
        </w:tc>
        <w:tc>
          <w:tcPr>
            <w:tcW w:w="540" w:type="dxa"/>
            <w:vAlign w:val="bottom"/>
            <w:shd w:val="clear" w:color="auto" w:fill="E7F2F9"/>
          </w:tcPr>
          <w:p>
            <w:pPr>
              <w:spacing w:after="0"/>
              <w:rPr>
                <w:sz w:val="20"/>
                <w:szCs w:val="20"/>
                <w:color w:val="auto"/>
              </w:rPr>
            </w:pPr>
          </w:p>
        </w:tc>
        <w:tc>
          <w:tcPr>
            <w:tcW w:w="96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745</w:t>
            </w:r>
          </w:p>
        </w:tc>
      </w:tr>
      <w:tr>
        <w:trPr>
          <w:trHeight w:val="239"/>
        </w:trPr>
        <w:tc>
          <w:tcPr>
            <w:tcW w:w="9720" w:type="dxa"/>
            <w:vAlign w:val="bottom"/>
          </w:tcPr>
          <w:p>
            <w:pPr>
              <w:spacing w:after="0"/>
              <w:rPr>
                <w:sz w:val="20"/>
                <w:szCs w:val="20"/>
                <w:color w:val="auto"/>
              </w:rPr>
            </w:pPr>
            <w:r>
              <w:rPr>
                <w:rFonts w:ascii="Arial" w:cs="Arial" w:eastAsia="Arial" w:hAnsi="Arial"/>
                <w:sz w:val="15"/>
                <w:szCs w:val="15"/>
                <w:color w:val="auto"/>
              </w:rPr>
              <w:t>2031 and thereafter</w:t>
            </w:r>
          </w:p>
        </w:tc>
        <w:tc>
          <w:tcPr>
            <w:tcW w:w="540" w:type="dxa"/>
            <w:vAlign w:val="bottom"/>
            <w:tcBorders>
              <w:bottom w:val="single" w:sz="8" w:color="auto"/>
            </w:tcBorders>
            <w:shd w:val="clear" w:color="auto" w:fill="E7F2F9"/>
          </w:tcPr>
          <w:p>
            <w:pPr>
              <w:spacing w:after="0"/>
              <w:rPr>
                <w:sz w:val="20"/>
                <w:szCs w:val="20"/>
                <w:color w:val="auto"/>
              </w:rPr>
            </w:pPr>
          </w:p>
        </w:tc>
        <w:tc>
          <w:tcPr>
            <w:tcW w:w="9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4,175</w:t>
            </w:r>
          </w:p>
        </w:tc>
      </w:tr>
      <w:tr>
        <w:trPr>
          <w:trHeight w:val="257"/>
        </w:trPr>
        <w:tc>
          <w:tcPr>
            <w:tcW w:w="9720" w:type="dxa"/>
            <w:vAlign w:val="bottom"/>
          </w:tcPr>
          <w:p>
            <w:pPr>
              <w:ind w:left="300"/>
              <w:spacing w:after="0"/>
              <w:rPr>
                <w:sz w:val="20"/>
                <w:szCs w:val="20"/>
                <w:color w:val="auto"/>
              </w:rPr>
            </w:pPr>
            <w:r>
              <w:rPr>
                <w:rFonts w:ascii="Arial" w:cs="Arial" w:eastAsia="Arial" w:hAnsi="Arial"/>
                <w:sz w:val="15"/>
                <w:szCs w:val="15"/>
                <w:color w:val="auto"/>
              </w:rPr>
              <w:t>Total</w:t>
            </w:r>
          </w:p>
        </w:tc>
        <w:tc>
          <w:tcPr>
            <w:tcW w:w="540" w:type="dxa"/>
            <w:vAlign w:val="bottom"/>
            <w:tcBorders>
              <w:bottom w:val="single" w:sz="8" w:color="auto"/>
            </w:tcBorders>
            <w:shd w:val="clear" w:color="auto" w:fill="E7F2F9"/>
          </w:tcPr>
          <w:p>
            <w:pPr>
              <w:jc w:val="right"/>
              <w:ind w:right="343"/>
              <w:spacing w:after="0"/>
              <w:rPr>
                <w:sz w:val="20"/>
                <w:szCs w:val="20"/>
                <w:color w:val="auto"/>
              </w:rPr>
            </w:pPr>
            <w:r>
              <w:rPr>
                <w:rFonts w:ascii="Arial" w:cs="Arial" w:eastAsia="Arial" w:hAnsi="Arial"/>
                <w:sz w:val="15"/>
                <w:szCs w:val="15"/>
                <w:color w:val="1383C6"/>
              </w:rPr>
              <w:t>$</w:t>
            </w:r>
          </w:p>
        </w:tc>
        <w:tc>
          <w:tcPr>
            <w:tcW w:w="9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14,104</w:t>
            </w:r>
          </w:p>
        </w:tc>
      </w:tr>
      <w:tr>
        <w:trPr>
          <w:trHeight w:val="20"/>
        </w:trPr>
        <w:tc>
          <w:tcPr>
            <w:tcW w:w="9720" w:type="dxa"/>
            <w:vAlign w:val="bottom"/>
          </w:tcPr>
          <w:p>
            <w:pPr>
              <w:spacing w:after="0" w:line="20" w:lineRule="exact"/>
              <w:rPr>
                <w:sz w:val="1"/>
                <w:szCs w:val="1"/>
                <w:color w:val="auto"/>
              </w:rPr>
            </w:pPr>
          </w:p>
        </w:tc>
        <w:tc>
          <w:tcPr>
            <w:tcW w:w="540" w:type="dxa"/>
            <w:vAlign w:val="bottom"/>
            <w:tcBorders>
              <w:top w:val="single" w:sz="8" w:color="E7F2F9"/>
              <w:bottom w:val="single" w:sz="8" w:color="auto"/>
            </w:tcBorders>
          </w:tcPr>
          <w:p>
            <w:pPr>
              <w:spacing w:after="0" w:line="20" w:lineRule="exact"/>
              <w:rPr>
                <w:sz w:val="1"/>
                <w:szCs w:val="1"/>
                <w:color w:val="auto"/>
              </w:rPr>
            </w:pPr>
          </w:p>
        </w:tc>
        <w:tc>
          <w:tcPr>
            <w:tcW w:w="960" w:type="dxa"/>
            <w:vAlign w:val="bottom"/>
            <w:tcBorders>
              <w:top w:val="single" w:sz="8" w:color="E7F2F9"/>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Amortization of acquired intangible assets is included within our cost of revenue if the costs and expenses related to the intangible assets are attributable to revenue generating activities. Amortization expense for intangible assets that are not directly related to sales generating activities are amortized to operating expenses. For developed technology intangible assets that are utilized in both revenue generating activities and in research and development activities, we allocate the amortization expense between cost of revenue and operating expenses. The finite-lived intangible assets are amortized using the straight-line method over their estimated useful lives.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During the three months ended March 31, 2025, we revised the estimated useful life of the developed technology acquired in the 2021 Omniome, Inc. ("Omniome") acquisition. This change reflects updated strategic plans and restructuring initiatives focused on accelerating HiFi sequencing adoption, leading to ceased development of our high-throughput short-read platform and revised expectations for the timing and amount of future cash flows from short-read sequencing products and services. As a result of the change in estimate, during the three months ended March 31, 2025, we recognized accelerated amortization of $359.3 million within amortization of acquired intangible assets in operating expenses, reflecting our revised estimate that the asset will no longer generate economic benefit beyond March 31, 2025. This expense had a negative impact on basic and diluted net loss per share of $1.21 for the three months ended March 31, 2025.</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review finite-lived intangible assets for impairment when indication of potential impairment exists, such as a significant reduction in cash flows associated with the assets. In the first quarter of 2025, as part of our interim goodwill impairment test, we also performed a recoverability test for the definite-lived asset group and noted no impairment.</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March 7, 2025, the Company entered into an agreement to acquire certain developed technology and related intellectual property from The Chinese University of Hong Kong for total consideration of $9.7 million. In addition, the Company entered into a license agreement for complementary developed technology during the three months ended March 31, 2025. Both the acquired technology and license are classified as intangible assets and are being amortized over an estimated useful life of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386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13</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-269240</wp:posOffset>
            </wp:positionV>
            <wp:extent cx="393065" cy="819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the first quarter of 2026, the Company entered into a license and settlement agreement with Personal Genomics of Taiwan, Inc. (“PGI”). PGI had previously filed a suit against the Company for alleged patent infringement and related matters. Under the terms of the agreement, the parties agreed to dismiss all claims and counterclaims and to release one another from all claims arising out of the litigation (the "PGI Settlement"). In connection with the settlement, PGI granted the Company a non-exclusive, royalty-free, worldwide license to certain patents and patent applications and provided a covenant not to sue the Company and its affiliates for patent infringement for a specified period.</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fixed payment structure, the Company paid PGI $8,000,000 in the second quarter of 2026, and will pay $5,000,000 in the first quarter of each of 2027, 2028 and 2029, with the payment in 2027 increasing by $1,000,000 if the Company’s 2026 revenue is at least $165,000,000 and another $1,000,000 if it is at least $180,000,000.</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accounted for the transaction as a settlement of litigation combined with a license to patents. The total consideration was allocated on a relative fair value basis between (i) the license to the patents and (ii) the settlement of past and potential claims relating to the patents and associated with the litigation.</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fair value of the license was estimated using an income approach, specifically the relief-from-royalty method, which is based on the present value of hypothetical royalty payments avoided as a result of obtaining the license. The fair value of the settlement component was estimated using an income-based approach that considered a hypothetical royalty rate applied to historical revenues generated during the alleged infringement period. This valuation represents a level 3 fair value measurement due to its reliance on certain unobservable inputs. The determination of fair value involves estimates and assumptions, including projected future revenues attributable to the licensed patents, historical revenues generated during the alleged infringement period, an estimated royalty rate derived from comparable market transactions, and a discount rate applied to the projected cash flows. The royalty rate utilized in the valuation was 5%, the discount rate of 14.5% applied to the projected future revenues was based on the Company’s estimated weighted average cost of capital, considering market participant assumptions and risk factors specific to the asset, and the discount rate of 6.3% applied to the historical revenues was based on the Company's estimated cost of debt, considering market participant assumptions. The assumptions used were inherently subject to uncertainty.</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portion of the consideration allocated to the license of $5.5 million was capitalized and included in other long-term assets on the condensed consolidated balance sheets. The asset is being amortized on a straight-line basis over a period of approximately three years, which approximates the remaining economic life of the underlying patent rights. The remaining portion of the consideration was recorded as a litigation settlement charge. The Company recorded $0.5 million of settlement charges within cost of product revenue in the condensed consolidated statements of operations and $15.4 million of settlement charges within operating expenses in the condensed consolidated statements of operations and comprehensive loss.</w:t>
      </w:r>
    </w:p>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recorded the liability at its present value of $21.4 million as of March 31, 2026. The liability will be accreted to its undiscounted amount using the effective interest method, resulting in an effective interest rate of 9.5%, with accretion recognized as interest expense in the condensed consolidated statements of operations. The liability for the settlement obligation is classified between current and non-current portions based on the timing of expected payments. As of March 31, 2026, $13.4 million is included in accrued expenses in the condensed consolidated balance sheets and $8.0 million is included in other liabilities, non-current in the condensed consolidated balance sheets.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of March 31, 2026, we had a total of $19.9 million of deferred revenue, $16.3 million of which was recorded as deferred revenue, current, and $3.6 million of which was recorded as deferred revenue, non-current, which primarily relates to deferred service contract revenues and is scheduled to be recognized in the next five years. Revenue recorded in the three months ended March 31, 2026 includes $5.0 million that was included in deferred revenue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386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14</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-269240</wp:posOffset>
            </wp:positionV>
            <wp:extent cx="393065" cy="819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Performance Obligations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regularly enter into contracts with multiple performance obligations. These contracts are believed to be firm as of the balance sheet date. However, we may allow customers to make product substitutions or certain modifications at our discretion. The timing of shipments depends on several factors, including agreed upon shipping schedules, which may span multiple quarters. Most performance obligations are generally satisfied within a year of the contract execution date. As of March 31, 2026, the aggregate amount of the transaction price allocated to remaining performance obligations was $46.6 million, of which approximately 78% is expected to be converted to revenue over the next twelve months, approximately 17% in the following twelve months, and the remainder thereafter.</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Product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Warranties are recorded as part of accrued expenses on the condensed consolidated balance sheets and warranty expense is recorded as a component of cost of product revenue in the condensed consolidated statements of operations and comprehensive loss. There were no material changes in estimates for the periods presented below.</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reserve for product warranties were as follows for the periods indicated:</w:t>
      </w:r>
    </w:p>
    <w:p>
      <w:pPr>
        <w:spacing w:after="0" w:line="168" w:lineRule="exact"/>
        <w:rPr>
          <w:sz w:val="20"/>
          <w:szCs w:val="20"/>
          <w:color w:val="auto"/>
        </w:rPr>
      </w:pPr>
    </w:p>
    <w:p>
      <w:pPr>
        <w:ind w:left="8560"/>
        <w:spacing w:after="0"/>
        <w:rPr>
          <w:sz w:val="20"/>
          <w:szCs w:val="20"/>
          <w:color w:val="auto"/>
        </w:rPr>
      </w:pPr>
      <w:r>
        <w:rPr>
          <w:rFonts w:ascii="Arial" w:cs="Arial" w:eastAsia="Arial" w:hAnsi="Arial"/>
          <w:sz w:val="15"/>
          <w:szCs w:val="15"/>
          <w:b w:val="1"/>
          <w:bCs w:val="1"/>
          <w:color w:val="auto"/>
        </w:rPr>
        <w:t>Three Months Ended March 31,</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8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shd w:val="clear" w:color="auto" w:fill="E7F2F9"/>
          </w:tcPr>
          <w:p>
            <w:pPr>
              <w:spacing w:after="0"/>
              <w:rPr>
                <w:sz w:val="19"/>
                <w:szCs w:val="19"/>
                <w:color w:val="auto"/>
              </w:rPr>
            </w:pPr>
          </w:p>
        </w:tc>
        <w:tc>
          <w:tcPr>
            <w:tcW w:w="1160" w:type="dxa"/>
            <w:vAlign w:val="bottom"/>
            <w:tcBorders>
              <w:top w:val="single" w:sz="8" w:color="auto"/>
              <w:bottom w:val="single" w:sz="8" w:color="auto"/>
            </w:tcBorders>
            <w:shd w:val="clear" w:color="auto" w:fill="E7F2F9"/>
          </w:tcPr>
          <w:p>
            <w:pPr>
              <w:jc w:val="right"/>
              <w:ind w:right="503"/>
              <w:spacing w:after="0"/>
              <w:rPr>
                <w:sz w:val="20"/>
                <w:szCs w:val="20"/>
                <w:color w:val="auto"/>
              </w:rPr>
            </w:pPr>
            <w:r>
              <w:rPr>
                <w:rFonts w:ascii="Arial" w:cs="Arial" w:eastAsia="Arial" w:hAnsi="Arial"/>
                <w:sz w:val="15"/>
                <w:szCs w:val="15"/>
                <w:b w:val="1"/>
                <w:bCs w:val="1"/>
                <w:color w:val="1383C6"/>
              </w:rPr>
              <w:t>2026</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2025</w:t>
            </w:r>
          </w:p>
        </w:tc>
      </w:tr>
      <w:tr>
        <w:trPr>
          <w:trHeight w:val="214"/>
        </w:trPr>
        <w:tc>
          <w:tcPr>
            <w:tcW w:w="8140" w:type="dxa"/>
            <w:vAlign w:val="bottom"/>
          </w:tcPr>
          <w:p>
            <w:pPr>
              <w:spacing w:after="0"/>
              <w:rPr>
                <w:sz w:val="20"/>
                <w:szCs w:val="20"/>
                <w:color w:val="auto"/>
              </w:rPr>
            </w:pPr>
            <w:r>
              <w:rPr>
                <w:rFonts w:ascii="Arial" w:cs="Arial" w:eastAsia="Arial" w:hAnsi="Arial"/>
                <w:sz w:val="15"/>
                <w:szCs w:val="15"/>
                <w:color w:val="auto"/>
              </w:rPr>
              <w:t>Balance at beginning of period</w:t>
            </w:r>
          </w:p>
        </w:tc>
        <w:tc>
          <w:tcPr>
            <w:tcW w:w="340" w:type="dxa"/>
            <w:vAlign w:val="bottom"/>
            <w:shd w:val="clear" w:color="auto" w:fill="E7F2F9"/>
          </w:tcPr>
          <w:p>
            <w:pPr>
              <w:jc w:val="right"/>
              <w:ind w:right="163"/>
              <w:spacing w:after="0"/>
              <w:rPr>
                <w:sz w:val="20"/>
                <w:szCs w:val="20"/>
                <w:color w:val="auto"/>
              </w:rPr>
            </w:pPr>
            <w:r>
              <w:rPr>
                <w:rFonts w:ascii="Arial" w:cs="Arial" w:eastAsia="Arial" w:hAnsi="Arial"/>
                <w:sz w:val="15"/>
                <w:szCs w:val="15"/>
                <w:color w:val="1383C6"/>
                <w:w w:val="95"/>
              </w:rPr>
              <w:t>$</w:t>
            </w:r>
          </w:p>
        </w:tc>
        <w:tc>
          <w:tcPr>
            <w:tcW w:w="1160" w:type="dxa"/>
            <w:vAlign w:val="bottom"/>
            <w:shd w:val="clear" w:color="auto" w:fill="E7F2F9"/>
          </w:tcPr>
          <w:p>
            <w:pPr>
              <w:jc w:val="center"/>
              <w:ind w:left="563"/>
              <w:spacing w:after="0"/>
              <w:rPr>
                <w:sz w:val="20"/>
                <w:szCs w:val="20"/>
                <w:color w:val="auto"/>
              </w:rPr>
            </w:pPr>
            <w:r>
              <w:rPr>
                <w:rFonts w:ascii="Arial" w:cs="Arial" w:eastAsia="Arial" w:hAnsi="Arial"/>
                <w:sz w:val="15"/>
                <w:szCs w:val="15"/>
                <w:color w:val="1383C6"/>
              </w:rPr>
              <w:t>3,046</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3,100</w:t>
            </w:r>
          </w:p>
        </w:tc>
      </w:tr>
      <w:tr>
        <w:trPr>
          <w:trHeight w:val="232"/>
        </w:trPr>
        <w:tc>
          <w:tcPr>
            <w:tcW w:w="8140" w:type="dxa"/>
            <w:vAlign w:val="bottom"/>
          </w:tcPr>
          <w:p>
            <w:pPr>
              <w:spacing w:after="0"/>
              <w:rPr>
                <w:sz w:val="20"/>
                <w:szCs w:val="20"/>
                <w:color w:val="auto"/>
              </w:rPr>
            </w:pPr>
            <w:r>
              <w:rPr>
                <w:rFonts w:ascii="Arial" w:cs="Arial" w:eastAsia="Arial" w:hAnsi="Arial"/>
                <w:sz w:val="15"/>
                <w:szCs w:val="15"/>
                <w:color w:val="auto"/>
              </w:rPr>
              <w:t>Additions charged to cost of product revenue</w:t>
            </w:r>
          </w:p>
        </w:tc>
        <w:tc>
          <w:tcPr>
            <w:tcW w:w="340" w:type="dxa"/>
            <w:vAlign w:val="bottom"/>
            <w:shd w:val="clear" w:color="auto" w:fill="E7F2F9"/>
          </w:tcPr>
          <w:p>
            <w:pPr>
              <w:spacing w:after="0"/>
              <w:rPr>
                <w:sz w:val="20"/>
                <w:szCs w:val="20"/>
                <w:color w:val="auto"/>
              </w:rPr>
            </w:pPr>
          </w:p>
        </w:tc>
        <w:tc>
          <w:tcPr>
            <w:tcW w:w="1160" w:type="dxa"/>
            <w:vAlign w:val="bottom"/>
            <w:shd w:val="clear" w:color="auto" w:fill="E7F2F9"/>
          </w:tcPr>
          <w:p>
            <w:pPr>
              <w:jc w:val="center"/>
              <w:ind w:left="563"/>
              <w:spacing w:after="0"/>
              <w:rPr>
                <w:sz w:val="20"/>
                <w:szCs w:val="20"/>
                <w:color w:val="auto"/>
              </w:rPr>
            </w:pPr>
            <w:r>
              <w:rPr>
                <w:rFonts w:ascii="Arial" w:cs="Arial" w:eastAsia="Arial" w:hAnsi="Arial"/>
                <w:sz w:val="15"/>
                <w:szCs w:val="15"/>
                <w:color w:val="1383C6"/>
              </w:rPr>
              <w:t>1,464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1,311</w:t>
            </w:r>
          </w:p>
        </w:tc>
      </w:tr>
      <w:tr>
        <w:trPr>
          <w:trHeight w:val="239"/>
        </w:trPr>
        <w:tc>
          <w:tcPr>
            <w:tcW w:w="8140" w:type="dxa"/>
            <w:vAlign w:val="bottom"/>
          </w:tcPr>
          <w:p>
            <w:pPr>
              <w:spacing w:after="0"/>
              <w:rPr>
                <w:sz w:val="20"/>
                <w:szCs w:val="20"/>
                <w:color w:val="auto"/>
              </w:rPr>
            </w:pPr>
            <w:r>
              <w:rPr>
                <w:rFonts w:ascii="Arial" w:cs="Arial" w:eastAsia="Arial" w:hAnsi="Arial"/>
                <w:sz w:val="15"/>
                <w:szCs w:val="15"/>
                <w:color w:val="auto"/>
              </w:rPr>
              <w:t>Repairs and replacements</w:t>
            </w:r>
          </w:p>
        </w:tc>
        <w:tc>
          <w:tcPr>
            <w:tcW w:w="340" w:type="dxa"/>
            <w:vAlign w:val="bottom"/>
            <w:tcBorders>
              <w:bottom w:val="single" w:sz="8" w:color="auto"/>
            </w:tcBorders>
            <w:shd w:val="clear" w:color="auto" w:fill="E7F2F9"/>
          </w:tcPr>
          <w:p>
            <w:pPr>
              <w:spacing w:after="0"/>
              <w:rPr>
                <w:sz w:val="20"/>
                <w:szCs w:val="20"/>
                <w:color w:val="auto"/>
              </w:rPr>
            </w:pPr>
          </w:p>
        </w:tc>
        <w:tc>
          <w:tcPr>
            <w:tcW w:w="1160" w:type="dxa"/>
            <w:vAlign w:val="bottom"/>
            <w:tcBorders>
              <w:bottom w:val="single" w:sz="8" w:color="auto"/>
            </w:tcBorders>
            <w:shd w:val="clear" w:color="auto" w:fill="E7F2F9"/>
          </w:tcPr>
          <w:p>
            <w:pPr>
              <w:jc w:val="center"/>
              <w:ind w:left="543"/>
              <w:spacing w:after="0"/>
              <w:rPr>
                <w:sz w:val="20"/>
                <w:szCs w:val="20"/>
                <w:color w:val="auto"/>
              </w:rPr>
            </w:pPr>
            <w:r>
              <w:rPr>
                <w:rFonts w:ascii="Arial" w:cs="Arial" w:eastAsia="Arial" w:hAnsi="Arial"/>
                <w:sz w:val="15"/>
                <w:szCs w:val="15"/>
                <w:color w:val="1383C6"/>
              </w:rPr>
              <w:t>(1,689)</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(1,552)</w:t>
            </w:r>
          </w:p>
        </w:tc>
      </w:tr>
      <w:tr>
        <w:trPr>
          <w:trHeight w:val="252"/>
        </w:trPr>
        <w:tc>
          <w:tcPr>
            <w:tcW w:w="8140" w:type="dxa"/>
            <w:vAlign w:val="bottom"/>
          </w:tcPr>
          <w:p>
            <w:pPr>
              <w:spacing w:after="0"/>
              <w:rPr>
                <w:sz w:val="20"/>
                <w:szCs w:val="20"/>
                <w:color w:val="auto"/>
              </w:rPr>
            </w:pPr>
            <w:r>
              <w:rPr>
                <w:rFonts w:ascii="Arial" w:cs="Arial" w:eastAsia="Arial" w:hAnsi="Arial"/>
                <w:sz w:val="15"/>
                <w:szCs w:val="15"/>
                <w:color w:val="auto"/>
              </w:rPr>
              <w:t>Balance at end of period</w:t>
            </w:r>
          </w:p>
        </w:tc>
        <w:tc>
          <w:tcPr>
            <w:tcW w:w="340" w:type="dxa"/>
            <w:vAlign w:val="bottom"/>
            <w:shd w:val="clear" w:color="auto" w:fill="E7F2F9"/>
          </w:tcPr>
          <w:p>
            <w:pPr>
              <w:jc w:val="right"/>
              <w:ind w:right="163"/>
              <w:spacing w:after="0"/>
              <w:rPr>
                <w:sz w:val="20"/>
                <w:szCs w:val="20"/>
                <w:color w:val="auto"/>
              </w:rPr>
            </w:pPr>
            <w:r>
              <w:rPr>
                <w:rFonts w:ascii="Arial" w:cs="Arial" w:eastAsia="Arial" w:hAnsi="Arial"/>
                <w:sz w:val="15"/>
                <w:szCs w:val="15"/>
                <w:color w:val="1383C6"/>
                <w:w w:val="95"/>
              </w:rPr>
              <w:t>$</w:t>
            </w:r>
          </w:p>
        </w:tc>
        <w:tc>
          <w:tcPr>
            <w:tcW w:w="1160" w:type="dxa"/>
            <w:vAlign w:val="bottom"/>
            <w:shd w:val="clear" w:color="auto" w:fill="E7F2F9"/>
          </w:tcPr>
          <w:p>
            <w:pPr>
              <w:jc w:val="center"/>
              <w:ind w:left="563"/>
              <w:spacing w:after="0"/>
              <w:rPr>
                <w:sz w:val="20"/>
                <w:szCs w:val="20"/>
                <w:color w:val="auto"/>
              </w:rPr>
            </w:pPr>
            <w:r>
              <w:rPr>
                <w:rFonts w:ascii="Arial" w:cs="Arial" w:eastAsia="Arial" w:hAnsi="Arial"/>
                <w:sz w:val="15"/>
                <w:szCs w:val="15"/>
                <w:color w:val="1383C6"/>
              </w:rPr>
              <w:t>2,821</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2,859</w:t>
            </w:r>
          </w:p>
        </w:tc>
      </w:tr>
      <w:tr>
        <w:trPr>
          <w:trHeight w:val="20"/>
        </w:trPr>
        <w:tc>
          <w:tcPr>
            <w:tcW w:w="8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245745</wp:posOffset>
            </wp:positionV>
            <wp:extent cx="71386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15</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-269240</wp:posOffset>
            </wp:positionV>
            <wp:extent cx="393065" cy="819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558800</wp:posOffset>
            </wp:positionV>
            <wp:extent cx="7138670" cy="2457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4. CONVERTIBLE SENIOR NOTES</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2029 Convertible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November 7, 2024, we entered into an exchange agreement with SB Northstar LP (“SBN”), a subsidiary of SoftBank Group Corp., pursuant to which we agreed to exchange the remaining approximately $459.0 million in aggregate principal amount of our previously held 1.50% Convertible Senior Notes due 2028 (the “2028 Notes”) outstanding for (i) $200.0 million aggregate principal amount of 1.50% Convertible Senior Notes due 2029 (the “2029 Notes”), (ii) 20,451,570 shares of common stock (the “Exchange Shares”) and (iii) $50.0 million of cash (the “2024 Exchange Transaction”). The Exchange Shares were issued on November 21, 2024 (the “Closing Date”). The 2029 Notes, the Exchange Shares, and shares of common stock issuable upon conversion of the 2029 Notes were subject to certain lock-up restrictions for a six-month period (the “Lock-Up Period”) beginning on the Closing Date of the 2024 Exchange Transaction.</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Additionally, on November 21, 2024, in connection with the issuance of the 2029 Notes, the Company and SBN entered into the Letter Agreement pursuant to which the Company and SBN agreed that, for so long as SBN and its affiliates hold at least $180 million aggregate principal amount of the 2029 Notes, the Company and its subsidiaries are subject to certain negative covenants that restrict the Company’s and its subsidiaries’ ability to incur additional indebtedness and create liens, in each case, subject to the exceptions set forth in the Letter Agreement, including exceptions which permit the Company to incur up to $75 million in aggregate principal amount of secured indebtedness pursuant to Credit Facilities (as defined</w:t>
      </w:r>
    </w:p>
    <w:p>
      <w:pPr>
        <w:spacing w:after="0" w:line="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Letter Agreement). In addition, the Letter Agreement restricts the ability of the Company and its subsidiaries from guaranteeing any indebtedness or incurring certain indebtedness outside of the ordinary course of business unless, in each case, the Company and its subsidiaries concurrently provide a guarantee of the Company’s obligations under the 2029 Notes.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Upon any conversion of the 2029 Notes, SBN will not be entitled to be issued a number of shares of the Company’s common stock which would cause SBN's beneficial ownership of common stock to exceed either 9.9% of the total number of issued and outstanding shares of common stock or 9.9% of the combined voting power of all of the securities of the Company, in each case, following such conversion.</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2029 Notes are governed by an indenture (the “2029 Indenture”) between the Company and U.S. Bank Trust Company, National Association, as trustee. The 2029 Notes bear interest at a rate of 1.50% per annum. Interest on the 2029 Notes is payable semi-annually in arrears on February 15 and August 15, commencing on February 15, 2025. The 2029 Notes will mature on August 15, 2029, subject to earlier conversion, redemption or repurchase.</w:t>
      </w:r>
    </w:p>
    <w:p>
      <w:pPr>
        <w:spacing w:after="0" w:line="6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2029 Notes are convertible at the option of the holder at any time from the expiration of the Lock-Up Period until the second scheduled trading day prior to the maturity date, including in connection with a redemption by the Company. The 2029 Notes are convertible into shares of our common stock based on an initial conversion rate of 204.5157 shares of common stock per $1,000 principal amount of the 2029 Notes (which is equal to an initial conversion price of approximately $4.89 per share of common stock), in each case subject to customary anti-dilution and other adjustments as a result of certain extraordinary transactions. Upon conversion of the 2029 Notes, we may elect to settle such conversion obligation in cash, shares of our common stock, or a combination of cash and shares of our common stock.</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or after August 20, 2027, and prior to the 31st scheduled trading day immediately preceding the maturity date, the 2029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2029 Notes, plus accrued and unpaid interest up to, but excluding, the redemption date.</w:t>
      </w:r>
    </w:p>
    <w:p>
      <w:pPr>
        <w:spacing w:after="0" w:line="68"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Upon the occurrence of a Fundamental Change (as defined in the 2029 Indenture), the holders of the 2029 Notes may require that we repurchase all or part of the principal amount of the 2029 Notes at a purchase price of par plus unpaid interest up to, but excluding, the maturity date.</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2029 Notes are subject to certain debt and lien covenants as well as springing guarantees, in each case, the terms of which are set forth in a second letter agreement between the Company and SBN entered into in connection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386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16</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2029 Indenture includes customary “events of default,” which may result in the acceleration of the maturity of the 2029 Notes under the 2029 Indenture. The 2029 Indenture also includes customary covenants for convertible notes of this type.</w:t>
      </w:r>
    </w:p>
    <w:p>
      <w:pPr>
        <w:spacing w:after="0" w:line="4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2029 Notes at a rate equal to (i) 0.25% per annum of the principal amount of the 2029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2029 Notes outstanding for each day from, and including, the 181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calendar day to, and including, the 360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day after the occurrence of such an event of default during which such event of default is continuing (or, if earlier, the date on which such event of default is cured or waived as provided for in the 2029 Indenture). On the 361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after such event of default (if the event of default relating to our failure to comply with its obligations is not cured or waived prior to such 361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the 2029 Notes shall be subject to acceleration as provided for in the 2029 Indenture.</w:t>
      </w:r>
    </w:p>
    <w:p>
      <w:pPr>
        <w:spacing w:after="0" w:line="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2029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2029 Notes is not accounted for as an embedded derivative because it is considered to be indexed to our common stock, and the 2029 Notes were not issued at a substantial premium; therefore, the 2029 Notes are accounted for in their entirety as a liability. Because we may elect to settle any conversions entirely in shares, and because settlement in shares is the default settlement method, the liability is classified as non-current.</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requirement to repurchase the 2029 Notes, including unpaid interest to the maturity date in the event of a Fundamental Change, is considered a put option for certain periods requiring bifurcation under ASC 815 –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However, given the low probability of such a Fundamental Change occurring during the applicable periods, the value of the embedded derivative is immaterial.</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6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The exchange qualified as a troubled debt restructuring under ASC 470-60 – </w:t>
      </w:r>
      <w:r>
        <w:rPr>
          <w:rFonts w:ascii="Arial" w:cs="Arial" w:eastAsia="Arial" w:hAnsi="Arial"/>
          <w:sz w:val="17"/>
          <w:szCs w:val="17"/>
          <w:i w:val="1"/>
          <w:iCs w:val="1"/>
          <w:color w:val="auto"/>
        </w:rPr>
        <w:t>Troubled Debt Restructurings by Debtors</w:t>
      </w:r>
      <w:r>
        <w:rPr>
          <w:rFonts w:ascii="Arial" w:cs="Arial" w:eastAsia="Arial" w:hAnsi="Arial"/>
          <w:sz w:val="17"/>
          <w:szCs w:val="17"/>
          <w:color w:val="auto"/>
        </w:rPr>
        <w:t>. Since the undiscounted cash flows of the 2029 Notes were less than the carrying amount of the exchanged 2028 Notes, the carrying value of the 2029 Notes was determined based on the total undiscounted cash flows. As a result, no interest expense will be recognized for the 2029 Notes. The Company recorded a gain on debt restructuring of $154.4 million, which resulted in a decrease of basic net loss per share of $0.56, during the year ended December 31, 2024 in our consolidated statements of operations and comprehensive loss. The gain was calculated as the difference between the carrying amount of the old debt and the carrying amount of the new debt, adjusted for debt issuance costs.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incurred issuance costs related to the 2029 Notes of approximately $3.1 million, including $0.2 million of lender fees, which were recorded as a reduction to the gain on debt restructuring in our condensed consolidated statements of operations and comprehensive loss. We also paid accrued but unpaid interest of $1.8 million on the 2028 Notes in connection with the 2024 Exchange Transaction.</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did not receive any cash proceeds from the 2024 Exchange Transaction. In exchange for issuing the 2029 Notes, Exchange Shares and paying $50.0 million of cash pursuant to the 2024 Exchange Transaction, we received and cancelled the exchanged 2028 Notes. Following the closing of the 2024 Exchange Transaction, no amounts were outstanding on the 2028 Notes.</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carrying amount of the liability for the 2029 Notes as of March 31, 2026 is $ 210.5 million, of which $207.5 million is included as convertible senior notes, net, non-current, and $3.0 million is included as accrued expenses on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386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17</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Changes to the 2029 Notes during the three months ended March 31, 2026 were as follows: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97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9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8"/>
        </w:trPr>
        <w:tc>
          <w:tcPr>
            <w:tcW w:w="9720" w:type="dxa"/>
            <w:vAlign w:val="bottom"/>
          </w:tcPr>
          <w:p>
            <w:pPr>
              <w:spacing w:after="0"/>
              <w:rPr>
                <w:sz w:val="20"/>
                <w:szCs w:val="20"/>
                <w:color w:val="auto"/>
              </w:rPr>
            </w:pPr>
            <w:r>
              <w:rPr>
                <w:rFonts w:ascii="Arial" w:cs="Arial" w:eastAsia="Arial" w:hAnsi="Arial"/>
                <w:sz w:val="15"/>
                <w:szCs w:val="15"/>
                <w:color w:val="auto"/>
              </w:rPr>
              <w:t>Carrying amount as of December 31, 2025</w:t>
            </w:r>
          </w:p>
        </w:tc>
        <w:tc>
          <w:tcPr>
            <w:tcW w:w="500" w:type="dxa"/>
            <w:vAlign w:val="bottom"/>
            <w:shd w:val="clear" w:color="auto" w:fill="E7F2F9"/>
          </w:tcPr>
          <w:p>
            <w:pPr>
              <w:jc w:val="right"/>
              <w:ind w:right="303"/>
              <w:spacing w:after="0"/>
              <w:rPr>
                <w:sz w:val="20"/>
                <w:szCs w:val="20"/>
                <w:color w:val="auto"/>
              </w:rPr>
            </w:pPr>
            <w:r>
              <w:rPr>
                <w:rFonts w:ascii="Arial" w:cs="Arial" w:eastAsia="Arial" w:hAnsi="Arial"/>
                <w:sz w:val="15"/>
                <w:szCs w:val="15"/>
                <w:color w:val="1383C6"/>
              </w:rPr>
              <w:t>$</w:t>
            </w:r>
          </w:p>
        </w:tc>
        <w:tc>
          <w:tcPr>
            <w:tcW w:w="10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212,000</w:t>
            </w:r>
          </w:p>
        </w:tc>
      </w:tr>
      <w:tr>
        <w:trPr>
          <w:trHeight w:val="239"/>
        </w:trPr>
        <w:tc>
          <w:tcPr>
            <w:tcW w:w="9720" w:type="dxa"/>
            <w:vAlign w:val="bottom"/>
          </w:tcPr>
          <w:p>
            <w:pPr>
              <w:spacing w:after="0"/>
              <w:rPr>
                <w:sz w:val="20"/>
                <w:szCs w:val="20"/>
                <w:color w:val="auto"/>
              </w:rPr>
            </w:pPr>
            <w:r>
              <w:rPr>
                <w:rFonts w:ascii="Arial" w:cs="Arial" w:eastAsia="Arial" w:hAnsi="Arial"/>
                <w:sz w:val="15"/>
                <w:szCs w:val="15"/>
                <w:color w:val="auto"/>
              </w:rPr>
              <w:t>Contractual interest expense</w:t>
            </w:r>
          </w:p>
        </w:tc>
        <w:tc>
          <w:tcPr>
            <w:tcW w:w="500" w:type="dxa"/>
            <w:vAlign w:val="bottom"/>
            <w:tcBorders>
              <w:bottom w:val="single" w:sz="8" w:color="auto"/>
            </w:tcBorders>
            <w:shd w:val="clear" w:color="auto" w:fill="E7F2F9"/>
          </w:tcPr>
          <w:p>
            <w:pPr>
              <w:spacing w:after="0"/>
              <w:rPr>
                <w:sz w:val="20"/>
                <w:szCs w:val="20"/>
                <w:color w:val="auto"/>
              </w:rPr>
            </w:pPr>
          </w:p>
        </w:tc>
        <w:tc>
          <w:tcPr>
            <w:tcW w:w="10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(1,500)</w:t>
            </w:r>
          </w:p>
        </w:tc>
      </w:tr>
      <w:tr>
        <w:trPr>
          <w:trHeight w:val="257"/>
        </w:trPr>
        <w:tc>
          <w:tcPr>
            <w:tcW w:w="9720" w:type="dxa"/>
            <w:vAlign w:val="bottom"/>
          </w:tcPr>
          <w:p>
            <w:pPr>
              <w:spacing w:after="0"/>
              <w:rPr>
                <w:sz w:val="20"/>
                <w:szCs w:val="20"/>
                <w:color w:val="auto"/>
              </w:rPr>
            </w:pPr>
            <w:r>
              <w:rPr>
                <w:rFonts w:ascii="Arial" w:cs="Arial" w:eastAsia="Arial" w:hAnsi="Arial"/>
                <w:sz w:val="15"/>
                <w:szCs w:val="15"/>
                <w:color w:val="auto"/>
              </w:rPr>
              <w:t>Carrying amount as of March 31, 2026</w:t>
            </w:r>
          </w:p>
        </w:tc>
        <w:tc>
          <w:tcPr>
            <w:tcW w:w="500" w:type="dxa"/>
            <w:vAlign w:val="bottom"/>
            <w:tcBorders>
              <w:bottom w:val="single" w:sz="8" w:color="auto"/>
            </w:tcBorders>
            <w:shd w:val="clear" w:color="auto" w:fill="E7F2F9"/>
          </w:tcPr>
          <w:p>
            <w:pPr>
              <w:jc w:val="right"/>
              <w:ind w:right="303"/>
              <w:spacing w:after="0"/>
              <w:rPr>
                <w:sz w:val="20"/>
                <w:szCs w:val="20"/>
                <w:color w:val="auto"/>
              </w:rPr>
            </w:pPr>
            <w:r>
              <w:rPr>
                <w:rFonts w:ascii="Arial" w:cs="Arial" w:eastAsia="Arial" w:hAnsi="Arial"/>
                <w:sz w:val="15"/>
                <w:szCs w:val="15"/>
                <w:color w:val="1383C6"/>
              </w:rPr>
              <w:t>$</w:t>
            </w:r>
          </w:p>
        </w:tc>
        <w:tc>
          <w:tcPr>
            <w:tcW w:w="10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210,500</w:t>
            </w:r>
          </w:p>
        </w:tc>
      </w:tr>
      <w:tr>
        <w:trPr>
          <w:trHeight w:val="20"/>
        </w:trPr>
        <w:tc>
          <w:tcPr>
            <w:tcW w:w="9720" w:type="dxa"/>
            <w:vAlign w:val="bottom"/>
          </w:tcPr>
          <w:p>
            <w:pPr>
              <w:spacing w:after="0" w:line="20" w:lineRule="exact"/>
              <w:rPr>
                <w:sz w:val="1"/>
                <w:szCs w:val="1"/>
                <w:color w:val="auto"/>
              </w:rPr>
            </w:pPr>
          </w:p>
        </w:tc>
        <w:tc>
          <w:tcPr>
            <w:tcW w:w="500" w:type="dxa"/>
            <w:vAlign w:val="bottom"/>
            <w:tcBorders>
              <w:top w:val="single" w:sz="8" w:color="E7F2F9"/>
              <w:bottom w:val="single" w:sz="8" w:color="auto"/>
            </w:tcBorders>
          </w:tcPr>
          <w:p>
            <w:pPr>
              <w:spacing w:after="0" w:line="20" w:lineRule="exact"/>
              <w:rPr>
                <w:sz w:val="1"/>
                <w:szCs w:val="1"/>
                <w:color w:val="auto"/>
              </w:rPr>
            </w:pPr>
          </w:p>
        </w:tc>
        <w:tc>
          <w:tcPr>
            <w:tcW w:w="1000" w:type="dxa"/>
            <w:vAlign w:val="bottom"/>
            <w:tcBorders>
              <w:top w:val="single" w:sz="8" w:color="E7F2F9"/>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of March 31, 2026, the estimated fair value (Level 2) of the 2029 Notes was $171.1 million. The fair value of the 2029 Notes is estimated using a binomial lattice model that is primarily affected by the trading price of our common stock, market interest rates and volatility.</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2030 Convertible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June 2023, we entered into a privately negotiated exchange agreement with a holder of our outstanding 2028 Notes, pursuant to which we issued $441.0 million in aggregate principal amount of our 1.375% Convertible Senior Notes due 2030 (the “2030 Notes” and together with the 2029 Notes, the “Notes”) in exchange for $441.0 million principal amount of the 2028 Notes (the “2023 Exchange Transaction”), pursuant to exemptions from registration under the Securities Act of 1933, as amended (the “Securities Act”), and the rules and regulations thereunder. The 2030 Notes were issued on June 30, 2023.</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2030 Notes are governed by an indenture (the “2030 Indenture”) between the Company and U.S. Bank Trust Company, National Association, as trustee. The 2030 Notes bear interest at a rate of 1.375% per annum. Interest on the 2030 Notes is payable semi-annually in arrears on June 15 and December 15, commencing on December 15, 2023. The 2030 Notes will mature on December 15, 2030, subject to earlier conversion, redemption or repurchase.</w:t>
      </w:r>
    </w:p>
    <w:p>
      <w:pPr>
        <w:spacing w:after="0" w:line="6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approximately $21.50 per share of common stock), in each case subject to customary anti-dilution and other adjustments as a result of certain extraordinary transactions. Upon conversion of the 2030 Notes, we may elect to settle such conversion obligation in cash, shares of our common stock, or a combination of cash and shares of our common stock.</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or after June 20, 2028, and prior to the 31st scheduled trading day immediately preceding the maturity date, the 2030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2030 Notes, plus accrued and unpaid interest up to, but excluding, the redemption date.</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Upon the occurrence of a Fundamental Change (as defined in the 2030 Indenture), the holders of the 2030 Notes may require that we repurchase all or part of the principal amount of the 2030 Notes at a purchase price equal to 100% of the principal amount of the notes to be repurchased, plus any accrued and unpaid interest up to, but excluding, the fundamental change repurchase date, and all unpaid interest from the fundamental change repurchase date thereon, but excluding, the maturity date.</w:t>
      </w:r>
    </w:p>
    <w:p>
      <w:pPr>
        <w:spacing w:after="0" w:line="6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2030 Indenture includes customary “events of default,” which may result in the acceleration of the maturity of the 2030 Notes under the 2030 Indenture. The 2030 Indenture also includes customary covenants for convertible notes of this type.</w:t>
      </w:r>
    </w:p>
    <w:p>
      <w:pPr>
        <w:spacing w:after="0" w:line="43"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2030 Notes at a rate equal to (i) 0.25% per annum of the principal amount of the 2030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2030 Notes outstanding for each day from, and including, the 181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calendar day to, and including, the 360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day after the occurrence of such an event of default during which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326390</wp:posOffset>
            </wp:positionV>
            <wp:extent cx="71386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18</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-269240</wp:posOffset>
            </wp:positionV>
            <wp:extent cx="393065" cy="819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of default is continuing (or, if earlier, the date on which such event of default is cured or waived as provided for in the 2030 Indenture). On the 361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after such event of default (if the event of default relating to our failure to comply with its obligations is not cured or waived prior to such 361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the 2030 Notes shall be subject to acceleration as provided for in the 2030 Indenture.</w:t>
      </w:r>
    </w:p>
    <w:p>
      <w:pPr>
        <w:spacing w:after="0" w:line="8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2030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2030 Notes is not accounted for as an embedded derivative because it is considered to be indexed to our common stock, and the 2030 Notes were not issued at a substantial premium; therefore, the 2030 Notes are accounted for in their entirety as a liability. Because we may elect to settle any conversions entirely in shares, and because settlement in shares is the default settlement method, the liability is classified as non-current.</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requirement to repurchase the 2030 Notes, including unpaid interest to the maturity date in the event of a Fundamental Change, is considered a put option for certain periods requiring bifurcation under ASC 815 –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However, given the low probability of such a Fundamental Change occurring during the applicable periods, the value of the embedded derivative is immaterial.</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incurred issuance costs related to the 2030 Notes of approximately $7.3 million, which were recorded as debt issuance costs and are presented as a reduction to the 2030 Notes on our condensed consolidated balance sheets. The debt issuance costs are amortized to interest expense using the effective interest method over the term of the 2030 Notes, resulting in an effective interest rate of 1.6%.</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did not receive any cash proceeds from the 2023 Exchange Transaction. In exchange for issuing the 2030 Notes pursuant to the 2023 Exchange Transaction, we received and cancelled the exchanged 2028 Notes. Following the closing of the 2023 Exchange Transaction, $459.0 million in aggregate principal amount of 2028 Notes remained outstanding with terms unchanged.</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net carrying amount of the liability for the 2030 Notes is included as convertible senior notes, net, non-current in the condensed consolidated balance sheets as follows:</w:t>
      </w:r>
    </w:p>
    <w:p>
      <w:pPr>
        <w:sectPr>
          <w:pgSz w:w="11900" w:h="16838" w:orient="portrait"/>
          <w:cols w:equalWidth="0" w:num="1">
            <w:col w:w="11240"/>
          </w:cols>
          <w:pgMar w:left="320" w:top="122" w:right="339" w:bottom="1440" w:gutter="0" w:footer="0" w:header="0"/>
        </w:sect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Principal amount</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Unamortized debt premium</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Unamortized debt issuance costs</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Net carrying amount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60" w:type="dxa"/>
            <w:vAlign w:val="bottom"/>
            <w:shd w:val="clear" w:color="auto" w:fill="E7F2F9"/>
          </w:tcPr>
          <w:p>
            <w:pPr>
              <w:spacing w:after="0"/>
              <w:rPr>
                <w:sz w:val="16"/>
                <w:szCs w:val="16"/>
                <w:color w:val="auto"/>
              </w:rPr>
            </w:pPr>
          </w:p>
        </w:tc>
        <w:tc>
          <w:tcPr>
            <w:tcW w:w="1240" w:type="dxa"/>
            <w:vAlign w:val="bottom"/>
            <w:shd w:val="clear" w:color="auto" w:fill="E7F2F9"/>
          </w:tcPr>
          <w:p>
            <w:pPr>
              <w:jc w:val="right"/>
              <w:ind w:right="323"/>
              <w:spacing w:after="0"/>
              <w:rPr>
                <w:sz w:val="20"/>
                <w:szCs w:val="20"/>
                <w:color w:val="auto"/>
              </w:rPr>
            </w:pPr>
            <w:r>
              <w:rPr>
                <w:rFonts w:ascii="Arial" w:cs="Arial" w:eastAsia="Arial" w:hAnsi="Arial"/>
                <w:sz w:val="15"/>
                <w:szCs w:val="15"/>
                <w:b w:val="1"/>
                <w:bCs w:val="1"/>
                <w:color w:val="1383C6"/>
              </w:rPr>
              <w:t>March 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163"/>
              <w:spacing w:after="0"/>
              <w:rPr>
                <w:sz w:val="20"/>
                <w:szCs w:val="20"/>
                <w:color w:val="auto"/>
              </w:rPr>
            </w:pPr>
            <w:r>
              <w:rPr>
                <w:rFonts w:ascii="Arial" w:cs="Arial" w:eastAsia="Arial" w:hAnsi="Arial"/>
                <w:sz w:val="15"/>
                <w:szCs w:val="15"/>
                <w:b w:val="1"/>
                <w:bCs w:val="1"/>
                <w:color w:val="auto"/>
              </w:rPr>
              <w:t>December 31,</w:t>
            </w:r>
          </w:p>
        </w:tc>
      </w:tr>
      <w:tr>
        <w:trPr>
          <w:trHeight w:val="226"/>
        </w:trPr>
        <w:tc>
          <w:tcPr>
            <w:tcW w:w="260" w:type="dxa"/>
            <w:vAlign w:val="bottom"/>
            <w:tcBorders>
              <w:bottom w:val="single" w:sz="8" w:color="auto"/>
            </w:tcBorders>
            <w:shd w:val="clear" w:color="auto" w:fill="E7F2F9"/>
          </w:tcPr>
          <w:p>
            <w:pPr>
              <w:spacing w:after="0"/>
              <w:rPr>
                <w:sz w:val="19"/>
                <w:szCs w:val="19"/>
                <w:color w:val="auto"/>
              </w:rPr>
            </w:pPr>
          </w:p>
        </w:tc>
        <w:tc>
          <w:tcPr>
            <w:tcW w:w="1240" w:type="dxa"/>
            <w:vAlign w:val="bottom"/>
            <w:tcBorders>
              <w:bottom w:val="single" w:sz="8" w:color="auto"/>
            </w:tcBorders>
            <w:shd w:val="clear" w:color="auto" w:fill="E7F2F9"/>
          </w:tcPr>
          <w:p>
            <w:pPr>
              <w:jc w:val="right"/>
              <w:ind w:right="503"/>
              <w:spacing w:after="0"/>
              <w:rPr>
                <w:sz w:val="20"/>
                <w:szCs w:val="20"/>
                <w:color w:val="auto"/>
              </w:rPr>
            </w:pPr>
            <w:r>
              <w:rPr>
                <w:rFonts w:ascii="Arial" w:cs="Arial" w:eastAsia="Arial" w:hAnsi="Arial"/>
                <w:sz w:val="15"/>
                <w:szCs w:val="15"/>
                <w:b w:val="1"/>
                <w:bCs w:val="1"/>
                <w:color w:val="1383C6"/>
              </w:rPr>
              <w:t>2026</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2025</w:t>
            </w:r>
          </w:p>
        </w:tc>
      </w:tr>
      <w:tr>
        <w:trPr>
          <w:trHeight w:val="218"/>
        </w:trPr>
        <w:tc>
          <w:tcPr>
            <w:tcW w:w="260" w:type="dxa"/>
            <w:vAlign w:val="bottom"/>
            <w:shd w:val="clear" w:color="auto" w:fill="E7F2F9"/>
          </w:tcPr>
          <w:p>
            <w:pPr>
              <w:jc w:val="right"/>
              <w:ind w:right="83"/>
              <w:spacing w:after="0"/>
              <w:rPr>
                <w:sz w:val="20"/>
                <w:szCs w:val="20"/>
                <w:color w:val="auto"/>
              </w:rPr>
            </w:pPr>
            <w:r>
              <w:rPr>
                <w:rFonts w:ascii="Arial" w:cs="Arial" w:eastAsia="Arial" w:hAnsi="Arial"/>
                <w:sz w:val="15"/>
                <w:szCs w:val="15"/>
                <w:color w:val="1383C6"/>
                <w:w w:val="95"/>
              </w:rPr>
              <w:t>$</w:t>
            </w:r>
          </w:p>
        </w:tc>
        <w:tc>
          <w:tcPr>
            <w:tcW w:w="12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441,000</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441,000</w:t>
            </w:r>
          </w:p>
        </w:tc>
      </w:tr>
      <w:tr>
        <w:trPr>
          <w:trHeight w:val="232"/>
        </w:trPr>
        <w:tc>
          <w:tcPr>
            <w:tcW w:w="260" w:type="dxa"/>
            <w:vAlign w:val="bottom"/>
            <w:shd w:val="clear" w:color="auto" w:fill="E7F2F9"/>
          </w:tcPr>
          <w:p>
            <w:pPr>
              <w:spacing w:after="0"/>
              <w:rPr>
                <w:sz w:val="20"/>
                <w:szCs w:val="20"/>
                <w:color w:val="auto"/>
              </w:rPr>
            </w:pPr>
          </w:p>
        </w:tc>
        <w:tc>
          <w:tcPr>
            <w:tcW w:w="12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361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379</w:t>
            </w:r>
          </w:p>
        </w:tc>
      </w:tr>
      <w:tr>
        <w:trPr>
          <w:trHeight w:val="239"/>
        </w:trPr>
        <w:tc>
          <w:tcPr>
            <w:tcW w:w="260" w:type="dxa"/>
            <w:vAlign w:val="bottom"/>
            <w:tcBorders>
              <w:bottom w:val="single" w:sz="8" w:color="auto"/>
            </w:tcBorders>
            <w:shd w:val="clear" w:color="auto" w:fill="E7F2F9"/>
          </w:tcPr>
          <w:p>
            <w:pPr>
              <w:spacing w:after="0"/>
              <w:rPr>
                <w:sz w:val="20"/>
                <w:szCs w:val="20"/>
                <w:color w:val="auto"/>
              </w:rPr>
            </w:pPr>
          </w:p>
        </w:tc>
        <w:tc>
          <w:tcPr>
            <w:tcW w:w="12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(4,754)</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(4,997)</w:t>
            </w:r>
          </w:p>
        </w:tc>
      </w:tr>
      <w:tr>
        <w:trPr>
          <w:trHeight w:val="245"/>
        </w:trPr>
        <w:tc>
          <w:tcPr>
            <w:tcW w:w="260" w:type="dxa"/>
            <w:vAlign w:val="bottom"/>
            <w:shd w:val="clear" w:color="auto" w:fill="E7F2F9"/>
          </w:tcPr>
          <w:p>
            <w:pPr>
              <w:jc w:val="right"/>
              <w:ind w:right="83"/>
              <w:spacing w:after="0"/>
              <w:rPr>
                <w:sz w:val="20"/>
                <w:szCs w:val="20"/>
                <w:color w:val="auto"/>
              </w:rPr>
            </w:pPr>
            <w:r>
              <w:rPr>
                <w:rFonts w:ascii="Arial" w:cs="Arial" w:eastAsia="Arial" w:hAnsi="Arial"/>
                <w:sz w:val="15"/>
                <w:szCs w:val="15"/>
                <w:color w:val="1383C6"/>
                <w:w w:val="95"/>
              </w:rPr>
              <w:t>$</w:t>
            </w:r>
          </w:p>
        </w:tc>
        <w:tc>
          <w:tcPr>
            <w:tcW w:w="12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436,607</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436,382</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40" w:space="720"/>
            <w:col w:w="3080"/>
          </w:cols>
          <w:pgMar w:left="320" w:top="122"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for the 2030 Notes was as follows:</w:t>
      </w:r>
    </w:p>
    <w:p>
      <w:pPr>
        <w:spacing w:after="0" w:line="117" w:lineRule="exact"/>
        <w:rPr>
          <w:sz w:val="20"/>
          <w:szCs w:val="20"/>
          <w:color w:val="auto"/>
        </w:rPr>
      </w:pPr>
    </w:p>
    <w:p>
      <w:pPr>
        <w:ind w:left="8560"/>
        <w:spacing w:after="0"/>
        <w:rPr>
          <w:sz w:val="20"/>
          <w:szCs w:val="20"/>
          <w:color w:val="auto"/>
        </w:rPr>
      </w:pPr>
      <w:r>
        <w:rPr>
          <w:rFonts w:ascii="Arial" w:cs="Arial" w:eastAsia="Arial" w:hAnsi="Arial"/>
          <w:sz w:val="15"/>
          <w:szCs w:val="15"/>
          <w:b w:val="1"/>
          <w:bCs w:val="1"/>
          <w:color w:val="auto"/>
        </w:rPr>
        <w:t>Three Months Ended March 31,</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shd w:val="clear" w:color="auto" w:fill="E7F2F9"/>
          </w:tcPr>
          <w:p>
            <w:pPr>
              <w:spacing w:after="0"/>
              <w:rPr>
                <w:sz w:val="19"/>
                <w:szCs w:val="19"/>
                <w:color w:val="auto"/>
              </w:rPr>
            </w:pPr>
          </w:p>
        </w:tc>
        <w:tc>
          <w:tcPr>
            <w:tcW w:w="1160" w:type="dxa"/>
            <w:vAlign w:val="bottom"/>
            <w:tcBorders>
              <w:top w:val="single" w:sz="8" w:color="auto"/>
              <w:bottom w:val="single" w:sz="8" w:color="auto"/>
            </w:tcBorders>
            <w:shd w:val="clear" w:color="auto" w:fill="E7F2F9"/>
          </w:tcPr>
          <w:p>
            <w:pPr>
              <w:jc w:val="right"/>
              <w:ind w:right="503"/>
              <w:spacing w:after="0"/>
              <w:rPr>
                <w:sz w:val="20"/>
                <w:szCs w:val="20"/>
                <w:color w:val="auto"/>
              </w:rPr>
            </w:pPr>
            <w:r>
              <w:rPr>
                <w:rFonts w:ascii="Arial" w:cs="Arial" w:eastAsia="Arial" w:hAnsi="Arial"/>
                <w:sz w:val="15"/>
                <w:szCs w:val="15"/>
                <w:b w:val="1"/>
                <w:bCs w:val="1"/>
                <w:color w:val="1383C6"/>
              </w:rPr>
              <w:t>2026</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2025</w:t>
            </w:r>
          </w:p>
        </w:tc>
      </w:tr>
      <w:tr>
        <w:trPr>
          <w:trHeight w:val="217"/>
        </w:trPr>
        <w:tc>
          <w:tcPr>
            <w:tcW w:w="8140" w:type="dxa"/>
            <w:vAlign w:val="bottom"/>
          </w:tcPr>
          <w:p>
            <w:pPr>
              <w:spacing w:after="0"/>
              <w:rPr>
                <w:sz w:val="20"/>
                <w:szCs w:val="20"/>
                <w:color w:val="auto"/>
              </w:rPr>
            </w:pPr>
            <w:r>
              <w:rPr>
                <w:rFonts w:ascii="Arial" w:cs="Arial" w:eastAsia="Arial" w:hAnsi="Arial"/>
                <w:sz w:val="15"/>
                <w:szCs w:val="15"/>
                <w:color w:val="auto"/>
              </w:rPr>
              <w:t>Contractual interest expense</w:t>
            </w:r>
          </w:p>
        </w:tc>
        <w:tc>
          <w:tcPr>
            <w:tcW w:w="340" w:type="dxa"/>
            <w:vAlign w:val="bottom"/>
            <w:shd w:val="clear" w:color="auto" w:fill="E7F2F9"/>
          </w:tcPr>
          <w:p>
            <w:pPr>
              <w:jc w:val="right"/>
              <w:ind w:right="163"/>
              <w:spacing w:after="0"/>
              <w:rPr>
                <w:sz w:val="20"/>
                <w:szCs w:val="20"/>
                <w:color w:val="auto"/>
              </w:rPr>
            </w:pPr>
            <w:r>
              <w:rPr>
                <w:rFonts w:ascii="Arial" w:cs="Arial" w:eastAsia="Arial" w:hAnsi="Arial"/>
                <w:sz w:val="15"/>
                <w:szCs w:val="15"/>
                <w:color w:val="1383C6"/>
                <w:w w:val="95"/>
              </w:rPr>
              <w:t>$</w:t>
            </w:r>
          </w:p>
        </w:tc>
        <w:tc>
          <w:tcPr>
            <w:tcW w:w="116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1,516</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1,516</w:t>
            </w:r>
          </w:p>
        </w:tc>
      </w:tr>
      <w:tr>
        <w:trPr>
          <w:trHeight w:val="239"/>
        </w:trPr>
        <w:tc>
          <w:tcPr>
            <w:tcW w:w="8140" w:type="dxa"/>
            <w:vAlign w:val="bottom"/>
          </w:tcPr>
          <w:p>
            <w:pPr>
              <w:spacing w:after="0"/>
              <w:rPr>
                <w:sz w:val="20"/>
                <w:szCs w:val="20"/>
                <w:color w:val="auto"/>
              </w:rPr>
            </w:pPr>
            <w:r>
              <w:rPr>
                <w:rFonts w:ascii="Arial" w:cs="Arial" w:eastAsia="Arial" w:hAnsi="Arial"/>
                <w:sz w:val="15"/>
                <w:szCs w:val="15"/>
                <w:color w:val="auto"/>
              </w:rPr>
              <w:t>Amortization of debt issuance costs</w:t>
            </w:r>
          </w:p>
        </w:tc>
        <w:tc>
          <w:tcPr>
            <w:tcW w:w="340" w:type="dxa"/>
            <w:vAlign w:val="bottom"/>
            <w:tcBorders>
              <w:bottom w:val="single" w:sz="8" w:color="auto"/>
            </w:tcBorders>
            <w:shd w:val="clear" w:color="auto" w:fill="E7F2F9"/>
          </w:tcPr>
          <w:p>
            <w:pPr>
              <w:spacing w:after="0"/>
              <w:rPr>
                <w:sz w:val="20"/>
                <w:szCs w:val="20"/>
                <w:color w:val="auto"/>
              </w:rPr>
            </w:pPr>
          </w:p>
        </w:tc>
        <w:tc>
          <w:tcPr>
            <w:tcW w:w="11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243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w:t>
            </w:r>
          </w:p>
        </w:tc>
      </w:tr>
      <w:tr>
        <w:trPr>
          <w:trHeight w:val="245"/>
        </w:trPr>
        <w:tc>
          <w:tcPr>
            <w:tcW w:w="8140" w:type="dxa"/>
            <w:vAlign w:val="bottom"/>
          </w:tcPr>
          <w:p>
            <w:pPr>
              <w:spacing w:after="0"/>
              <w:rPr>
                <w:sz w:val="20"/>
                <w:szCs w:val="20"/>
                <w:color w:val="auto"/>
              </w:rPr>
            </w:pPr>
            <w:r>
              <w:rPr>
                <w:rFonts w:ascii="Arial" w:cs="Arial" w:eastAsia="Arial" w:hAnsi="Arial"/>
                <w:sz w:val="15"/>
                <w:szCs w:val="15"/>
                <w:color w:val="auto"/>
              </w:rPr>
              <w:t>Total interest expense</w:t>
            </w:r>
          </w:p>
        </w:tc>
        <w:tc>
          <w:tcPr>
            <w:tcW w:w="340" w:type="dxa"/>
            <w:vAlign w:val="bottom"/>
            <w:shd w:val="clear" w:color="auto" w:fill="E7F2F9"/>
          </w:tcPr>
          <w:p>
            <w:pPr>
              <w:jc w:val="right"/>
              <w:ind w:right="163"/>
              <w:spacing w:after="0"/>
              <w:rPr>
                <w:sz w:val="20"/>
                <w:szCs w:val="20"/>
                <w:color w:val="auto"/>
              </w:rPr>
            </w:pPr>
            <w:r>
              <w:rPr>
                <w:rFonts w:ascii="Arial" w:cs="Arial" w:eastAsia="Arial" w:hAnsi="Arial"/>
                <w:sz w:val="15"/>
                <w:szCs w:val="15"/>
                <w:color w:val="1383C6"/>
                <w:w w:val="95"/>
              </w:rPr>
              <w:t>$</w:t>
            </w:r>
          </w:p>
        </w:tc>
        <w:tc>
          <w:tcPr>
            <w:tcW w:w="116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1,759</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1,755</w:t>
            </w:r>
          </w:p>
        </w:tc>
      </w:tr>
      <w:tr>
        <w:trPr>
          <w:trHeight w:val="20"/>
        </w:trPr>
        <w:tc>
          <w:tcPr>
            <w:tcW w:w="8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of March 31, 2026, the estimated fair value (Level 2) of the 2030 Notes was $313.2 million. The fair value of the 2030 Notes is estimated using a binomial lattice model that is primarily affected by the trading price of our common stock, market interest rates and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386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19</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-269240</wp:posOffset>
            </wp:positionV>
            <wp:extent cx="393065" cy="819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558800</wp:posOffset>
            </wp:positionV>
            <wp:extent cx="7138670" cy="2457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5. RESTRUCTURING</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2025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first quarter of 2025, we implemented an expense reduction initiative aimed at lowering our annualized run-rate operating expenses. These actions, which included workforce reductions and other cost-saving measures, were part of a broader strategic shift to prioritize the adoption of HiFi sequencing.</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pre-tax restructuring charges are as follows: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000" w:type="dxa"/>
            <w:vAlign w:val="bottom"/>
          </w:tcPr>
          <w:p>
            <w:pPr>
              <w:spacing w:after="0"/>
              <w:rPr>
                <w:sz w:val="17"/>
                <w:szCs w:val="17"/>
                <w:color w:val="auto"/>
              </w:rPr>
            </w:pPr>
          </w:p>
        </w:tc>
        <w:tc>
          <w:tcPr>
            <w:tcW w:w="100" w:type="dxa"/>
            <w:vAlign w:val="bottom"/>
            <w:shd w:val="clear" w:color="auto" w:fill="E7F2F9"/>
          </w:tcPr>
          <w:p>
            <w:pPr>
              <w:spacing w:after="0"/>
              <w:rPr>
                <w:sz w:val="17"/>
                <w:szCs w:val="17"/>
                <w:color w:val="auto"/>
              </w:rPr>
            </w:pPr>
          </w:p>
        </w:tc>
        <w:tc>
          <w:tcPr>
            <w:tcW w:w="2400" w:type="dxa"/>
            <w:vAlign w:val="bottom"/>
            <w:shd w:val="clear" w:color="auto" w:fill="E7F2F9"/>
          </w:tcPr>
          <w:p>
            <w:pPr>
              <w:jc w:val="center"/>
              <w:ind w:right="23"/>
              <w:spacing w:after="0"/>
              <w:rPr>
                <w:sz w:val="20"/>
                <w:szCs w:val="20"/>
                <w:color w:val="auto"/>
              </w:rPr>
            </w:pPr>
            <w:r>
              <w:rPr>
                <w:rFonts w:ascii="Arial" w:cs="Arial" w:eastAsia="Arial" w:hAnsi="Arial"/>
                <w:sz w:val="15"/>
                <w:szCs w:val="15"/>
                <w:b w:val="1"/>
                <w:bCs w:val="1"/>
                <w:color w:val="1383C6"/>
              </w:rPr>
              <w:t>Three Months Ended March 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jc w:val="right"/>
              <w:ind w:right="23"/>
              <w:spacing w:after="0"/>
              <w:rPr>
                <w:sz w:val="20"/>
                <w:szCs w:val="20"/>
                <w:color w:val="auto"/>
              </w:rPr>
            </w:pPr>
            <w:r>
              <w:rPr>
                <w:rFonts w:ascii="Arial" w:cs="Arial" w:eastAsia="Arial" w:hAnsi="Arial"/>
                <w:sz w:val="15"/>
                <w:szCs w:val="15"/>
                <w:b w:val="1"/>
                <w:bCs w:val="1"/>
                <w:color w:val="auto"/>
              </w:rPr>
              <w:t>Cumulative amount incurred to</w:t>
            </w:r>
          </w:p>
        </w:tc>
      </w:tr>
      <w:tr>
        <w:trPr>
          <w:trHeight w:val="217"/>
        </w:trPr>
        <w:tc>
          <w:tcPr>
            <w:tcW w:w="60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shd w:val="clear" w:color="auto" w:fill="E7F2F9"/>
          </w:tcPr>
          <w:p>
            <w:pPr>
              <w:spacing w:after="0"/>
              <w:rPr>
                <w:sz w:val="18"/>
                <w:szCs w:val="18"/>
                <w:color w:val="auto"/>
              </w:rPr>
            </w:pPr>
          </w:p>
        </w:tc>
        <w:tc>
          <w:tcPr>
            <w:tcW w:w="2400" w:type="dxa"/>
            <w:vAlign w:val="bottom"/>
            <w:tcBorders>
              <w:bottom w:val="single" w:sz="8" w:color="auto"/>
            </w:tcBorders>
            <w:shd w:val="clear" w:color="auto" w:fill="E7F2F9"/>
          </w:tcPr>
          <w:p>
            <w:pPr>
              <w:jc w:val="right"/>
              <w:ind w:right="1003"/>
              <w:spacing w:after="0"/>
              <w:rPr>
                <w:sz w:val="20"/>
                <w:szCs w:val="20"/>
                <w:color w:val="auto"/>
              </w:rPr>
            </w:pPr>
            <w:r>
              <w:rPr>
                <w:rFonts w:ascii="Arial" w:cs="Arial" w:eastAsia="Arial" w:hAnsi="Arial"/>
                <w:sz w:val="15"/>
                <w:szCs w:val="15"/>
                <w:b w:val="1"/>
                <w:bCs w:val="1"/>
                <w:color w:val="1383C6"/>
              </w:rPr>
              <w:t>2026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1023"/>
              <w:spacing w:after="0"/>
              <w:rPr>
                <w:sz w:val="20"/>
                <w:szCs w:val="20"/>
                <w:color w:val="auto"/>
              </w:rPr>
            </w:pPr>
            <w:r>
              <w:rPr>
                <w:rFonts w:ascii="Arial" w:cs="Arial" w:eastAsia="Arial" w:hAnsi="Arial"/>
                <w:sz w:val="15"/>
                <w:szCs w:val="15"/>
                <w:b w:val="1"/>
                <w:bCs w:val="1"/>
                <w:color w:val="auto"/>
              </w:rPr>
              <w:t>date</w:t>
            </w:r>
          </w:p>
        </w:tc>
      </w:tr>
      <w:tr>
        <w:trPr>
          <w:trHeight w:val="214"/>
        </w:trPr>
        <w:tc>
          <w:tcPr>
            <w:tcW w:w="6000" w:type="dxa"/>
            <w:vAlign w:val="bottom"/>
          </w:tcPr>
          <w:p>
            <w:pPr>
              <w:spacing w:after="0"/>
              <w:rPr>
                <w:sz w:val="20"/>
                <w:szCs w:val="20"/>
                <w:color w:val="auto"/>
              </w:rPr>
            </w:pPr>
            <w:r>
              <w:rPr>
                <w:rFonts w:ascii="Arial" w:cs="Arial" w:eastAsia="Arial" w:hAnsi="Arial"/>
                <w:sz w:val="15"/>
                <w:szCs w:val="15"/>
                <w:color w:val="auto"/>
              </w:rPr>
              <w:t>Employee separation costs</w:t>
            </w:r>
          </w:p>
        </w:tc>
        <w:tc>
          <w:tcPr>
            <w:tcW w:w="100" w:type="dxa"/>
            <w:vAlign w:val="bottom"/>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2400" w:type="dxa"/>
            <w:vAlign w:val="bottom"/>
            <w:shd w:val="clear" w:color="auto" w:fill="E7F2F9"/>
          </w:tcPr>
          <w:p>
            <w:pPr>
              <w:ind w:left="2180"/>
              <w:spacing w:after="0"/>
              <w:rPr>
                <w:sz w:val="20"/>
                <w:szCs w:val="20"/>
                <w:color w:val="auto"/>
              </w:rPr>
            </w:pPr>
            <w:r>
              <w:rPr>
                <w:rFonts w:ascii="Arial" w:cs="Arial" w:eastAsia="Arial" w:hAnsi="Arial"/>
                <w:sz w:val="15"/>
                <w:szCs w:val="15"/>
                <w:color w:val="1383C6"/>
              </w:rPr>
              <w:t>—</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0" w:type="dxa"/>
            <w:vAlign w:val="bottom"/>
          </w:tcPr>
          <w:p>
            <w:pPr>
              <w:jc w:val="right"/>
              <w:spacing w:after="0"/>
              <w:rPr>
                <w:sz w:val="20"/>
                <w:szCs w:val="20"/>
                <w:color w:val="auto"/>
              </w:rPr>
            </w:pPr>
            <w:r>
              <w:rPr>
                <w:rFonts w:ascii="Arial" w:cs="Arial" w:eastAsia="Arial" w:hAnsi="Arial"/>
                <w:sz w:val="15"/>
                <w:szCs w:val="15"/>
                <w:color w:val="auto"/>
              </w:rPr>
              <w:t>4,787</w:t>
            </w:r>
          </w:p>
        </w:tc>
      </w:tr>
      <w:tr>
        <w:trPr>
          <w:trHeight w:val="239"/>
        </w:trPr>
        <w:tc>
          <w:tcPr>
            <w:tcW w:w="6000" w:type="dxa"/>
            <w:vAlign w:val="bottom"/>
          </w:tcPr>
          <w:p>
            <w:pPr>
              <w:spacing w:after="0"/>
              <w:rPr>
                <w:sz w:val="20"/>
                <w:szCs w:val="20"/>
                <w:color w:val="auto"/>
              </w:rPr>
            </w:pPr>
            <w:r>
              <w:rPr>
                <w:rFonts w:ascii="Arial" w:cs="Arial" w:eastAsia="Arial" w:hAnsi="Arial"/>
                <w:sz w:val="15"/>
                <w:szCs w:val="15"/>
                <w:color w:val="auto"/>
              </w:rPr>
              <w:t>Other costs</w:t>
            </w:r>
          </w:p>
        </w:tc>
        <w:tc>
          <w:tcPr>
            <w:tcW w:w="100" w:type="dxa"/>
            <w:vAlign w:val="bottom"/>
            <w:tcBorders>
              <w:bottom w:val="single" w:sz="8" w:color="auto"/>
            </w:tcBorders>
            <w:shd w:val="clear" w:color="auto" w:fill="E7F2F9"/>
          </w:tcPr>
          <w:p>
            <w:pPr>
              <w:spacing w:after="0"/>
              <w:rPr>
                <w:sz w:val="20"/>
                <w:szCs w:val="20"/>
                <w:color w:val="auto"/>
              </w:rPr>
            </w:pPr>
          </w:p>
        </w:tc>
        <w:tc>
          <w:tcPr>
            <w:tcW w:w="2400" w:type="dxa"/>
            <w:vAlign w:val="bottom"/>
            <w:tcBorders>
              <w:bottom w:val="single" w:sz="8" w:color="auto"/>
            </w:tcBorders>
            <w:shd w:val="clear" w:color="auto" w:fill="E7F2F9"/>
          </w:tcPr>
          <w:p>
            <w:pPr>
              <w:ind w:left="2180"/>
              <w:spacing w:after="0"/>
              <w:rPr>
                <w:sz w:val="20"/>
                <w:szCs w:val="20"/>
                <w:color w:val="auto"/>
              </w:rPr>
            </w:pPr>
            <w:r>
              <w:rPr>
                <w:rFonts w:ascii="Arial" w:cs="Arial" w:eastAsia="Arial" w:hAnsi="Arial"/>
                <w:sz w:val="15"/>
                <w:szCs w:val="15"/>
                <w:color w:val="1383C6"/>
              </w:rPr>
              <w: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1,076</w:t>
            </w:r>
          </w:p>
        </w:tc>
      </w:tr>
      <w:tr>
        <w:trPr>
          <w:trHeight w:val="252"/>
        </w:trPr>
        <w:tc>
          <w:tcPr>
            <w:tcW w:w="6000" w:type="dxa"/>
            <w:vAlign w:val="bottom"/>
          </w:tcPr>
          <w:p>
            <w:pPr>
              <w:ind w:left="200"/>
              <w:spacing w:after="0"/>
              <w:rPr>
                <w:sz w:val="20"/>
                <w:szCs w:val="20"/>
                <w:color w:val="auto"/>
              </w:rPr>
            </w:pPr>
            <w:r>
              <w:rPr>
                <w:rFonts w:ascii="Arial" w:cs="Arial" w:eastAsia="Arial" w:hAnsi="Arial"/>
                <w:sz w:val="15"/>
                <w:szCs w:val="15"/>
                <w:color w:val="auto"/>
              </w:rPr>
              <w:t xml:space="preserve">Total restructuring charges </w:t>
            </w:r>
            <w:r>
              <w:rPr>
                <w:rFonts w:ascii="Arial" w:cs="Arial" w:eastAsia="Arial" w:hAnsi="Arial"/>
                <w:sz w:val="20"/>
                <w:szCs w:val="20"/>
                <w:color w:val="auto"/>
                <w:vertAlign w:val="superscript"/>
              </w:rPr>
              <w:t>(1)</w:t>
            </w:r>
          </w:p>
        </w:tc>
        <w:tc>
          <w:tcPr>
            <w:tcW w:w="100" w:type="dxa"/>
            <w:vAlign w:val="bottom"/>
            <w:shd w:val="clear" w:color="auto" w:fill="E7F2F9"/>
          </w:tcPr>
          <w:p>
            <w:pPr>
              <w:jc w:val="right"/>
              <w:spacing w:after="0"/>
              <w:rPr>
                <w:sz w:val="20"/>
                <w:szCs w:val="20"/>
                <w:color w:val="auto"/>
              </w:rPr>
            </w:pPr>
            <w:r>
              <w:rPr>
                <w:rFonts w:ascii="Arial" w:cs="Arial" w:eastAsia="Arial" w:hAnsi="Arial"/>
                <w:sz w:val="15"/>
                <w:szCs w:val="15"/>
                <w:color w:val="1383C6"/>
                <w:w w:val="95"/>
              </w:rPr>
              <w:t>$</w:t>
            </w:r>
          </w:p>
        </w:tc>
        <w:tc>
          <w:tcPr>
            <w:tcW w:w="2400" w:type="dxa"/>
            <w:vAlign w:val="bottom"/>
            <w:shd w:val="clear" w:color="auto" w:fill="E7F2F9"/>
          </w:tcPr>
          <w:p>
            <w:pPr>
              <w:ind w:left="2180"/>
              <w:spacing w:after="0"/>
              <w:rPr>
                <w:sz w:val="20"/>
                <w:szCs w:val="20"/>
                <w:color w:val="auto"/>
              </w:rPr>
            </w:pPr>
            <w:r>
              <w:rPr>
                <w:rFonts w:ascii="Arial" w:cs="Arial" w:eastAsia="Arial" w:hAnsi="Arial"/>
                <w:sz w:val="15"/>
                <w:szCs w:val="15"/>
                <w:color w:val="1383C6"/>
              </w:rPr>
              <w:t>—</w:t>
            </w:r>
          </w:p>
        </w:tc>
        <w:tc>
          <w:tcPr>
            <w:tcW w:w="3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400" w:type="dxa"/>
            <w:vAlign w:val="bottom"/>
          </w:tcPr>
          <w:p>
            <w:pPr>
              <w:jc w:val="right"/>
              <w:spacing w:after="0"/>
              <w:rPr>
                <w:sz w:val="20"/>
                <w:szCs w:val="20"/>
                <w:color w:val="auto"/>
              </w:rPr>
            </w:pPr>
            <w:r>
              <w:rPr>
                <w:rFonts w:ascii="Arial" w:cs="Arial" w:eastAsia="Arial" w:hAnsi="Arial"/>
                <w:sz w:val="15"/>
                <w:szCs w:val="15"/>
                <w:color w:val="auto"/>
              </w:rPr>
              <w:t>5,863</w:t>
            </w:r>
          </w:p>
        </w:tc>
      </w:tr>
      <w:tr>
        <w:trPr>
          <w:trHeight w:val="20"/>
        </w:trPr>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540" w:hanging="150"/>
        <w:spacing w:after="0"/>
        <w:tabs>
          <w:tab w:leader="none" w:pos="54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Cumulative charges incurred to date include $3.8 million in sales, general and administrative expense and $2.1 million in research and development expense.</w:t>
      </w:r>
    </w:p>
    <w:p>
      <w:pPr>
        <w:spacing w:after="0" w:line="13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Charges included employee separation costs comprised of approximately $2.5 million related to salaries, wages and other employee benefits paid to terminated employees pursuant to the Worker Adjustment and Retraining Notification (WARN) Act and approximately $2.3 million of severance costs.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Charges included in other costs are primarily related to legal expenses incurred in connection with employee separation matters.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In connection with the restructuring and strategic shift, we incurred an additional $389.9 million in costs. These include $359.3 million of accelerated amortization of certain intangible assets, $15.0 million of IPR&amp;D impairment charges, $8.1 million related to excess inventory due to decreased external demand and $3.9 million for estimated losses on purchase commitments tied to anticipated future excess inventory included in cost of revenue, and $3.1 million of accelerated depreciation of fixed assets. See </w:t>
      </w:r>
      <w:r>
        <w:rPr>
          <w:rFonts w:ascii="Arial" w:cs="Arial" w:eastAsia="Arial" w:hAnsi="Arial"/>
          <w:sz w:val="17"/>
          <w:szCs w:val="17"/>
          <w:i w:val="1"/>
          <w:iCs w:val="1"/>
          <w:u w:val="single" w:color="auto"/>
          <w:color w:val="0000FF"/>
        </w:rPr>
        <w:t>Note 3. Balance Sheet Components</w:t>
      </w:r>
      <w:r>
        <w:rPr>
          <w:rFonts w:ascii="Arial" w:cs="Arial" w:eastAsia="Arial" w:hAnsi="Arial"/>
          <w:sz w:val="17"/>
          <w:szCs w:val="17"/>
          <w:color w:val="auto"/>
        </w:rPr>
        <w:t xml:space="preserve"> for additional information on the IPR&amp;D impairment assessment and the change in estimated useful life of the intangible asset and accelerated amortization.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liabilities related to the restructuring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200" w:type="dxa"/>
            <w:vAlign w:val="bottom"/>
            <w:tcBorders>
              <w:bottom w:val="single" w:sz="8" w:color="E7F2F9"/>
            </w:tcBorders>
          </w:tcPr>
          <w:p>
            <w:pPr>
              <w:ind w:left="20"/>
              <w:spacing w:after="0"/>
              <w:rPr>
                <w:sz w:val="20"/>
                <w:szCs w:val="20"/>
                <w:color w:val="auto"/>
              </w:rPr>
            </w:pPr>
            <w:r>
              <w:rPr>
                <w:rFonts w:ascii="Arial" w:cs="Arial" w:eastAsia="Arial" w:hAnsi="Arial"/>
                <w:sz w:val="14"/>
                <w:szCs w:val="14"/>
                <w:i w:val="1"/>
                <w:iCs w:val="1"/>
                <w:color w:val="auto"/>
              </w:rPr>
              <w:t>(In thousands, excluding non-cash activities)</w:t>
            </w:r>
          </w:p>
        </w:tc>
        <w:tc>
          <w:tcPr>
            <w:tcW w:w="220" w:type="dxa"/>
            <w:vAlign w:val="bottom"/>
            <w:tcBorders>
              <w:bottom w:val="single" w:sz="8" w:color="E7F2F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Other Costs</w:t>
            </w:r>
          </w:p>
        </w:tc>
      </w:tr>
      <w:tr>
        <w:trPr>
          <w:trHeight w:val="240"/>
        </w:trPr>
        <w:tc>
          <w:tcPr>
            <w:tcW w:w="920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Amount recorded in current liabilities as of December 31, 2025</w:t>
            </w:r>
          </w:p>
        </w:tc>
        <w:tc>
          <w:tcPr>
            <w:tcW w:w="500" w:type="dxa"/>
            <w:vAlign w:val="bottom"/>
            <w:gridSpan w:val="2"/>
            <w:shd w:val="clear" w:color="auto" w:fill="E7F2F9"/>
          </w:tcPr>
          <w:p>
            <w:pPr>
              <w:jc w:val="right"/>
              <w:ind w:right="94"/>
              <w:spacing w:after="0"/>
              <w:rPr>
                <w:sz w:val="20"/>
                <w:szCs w:val="20"/>
                <w:color w:val="auto"/>
              </w:rPr>
            </w:pPr>
            <w:r>
              <w:rPr>
                <w:rFonts w:ascii="Arial" w:cs="Arial" w:eastAsia="Arial" w:hAnsi="Arial"/>
                <w:sz w:val="17"/>
                <w:szCs w:val="17"/>
                <w:color w:val="1383C6"/>
              </w:rPr>
              <w:t>$</w:t>
            </w:r>
          </w:p>
        </w:tc>
        <w:tc>
          <w:tcPr>
            <w:tcW w:w="1540" w:type="dxa"/>
            <w:vAlign w:val="bottom"/>
            <w:shd w:val="clear" w:color="auto" w:fill="E7F2F9"/>
          </w:tcPr>
          <w:p>
            <w:pPr>
              <w:jc w:val="right"/>
              <w:spacing w:after="0"/>
              <w:rPr>
                <w:sz w:val="20"/>
                <w:szCs w:val="20"/>
                <w:color w:val="auto"/>
              </w:rPr>
            </w:pPr>
            <w:r>
              <w:rPr>
                <w:rFonts w:ascii="Arial" w:cs="Arial" w:eastAsia="Arial" w:hAnsi="Arial"/>
                <w:sz w:val="17"/>
                <w:szCs w:val="17"/>
                <w:color w:val="1383C6"/>
              </w:rPr>
              <w:t>389</w:t>
            </w:r>
          </w:p>
        </w:tc>
      </w:tr>
      <w:tr>
        <w:trPr>
          <w:trHeight w:val="265"/>
        </w:trPr>
        <w:tc>
          <w:tcPr>
            <w:tcW w:w="920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5"/>
                <w:szCs w:val="15"/>
                <w:color w:val="1383C6"/>
              </w:rPr>
              <w:t>Cash paid during YTD 2026</w:t>
            </w:r>
          </w:p>
        </w:tc>
        <w:tc>
          <w:tcPr>
            <w:tcW w:w="220" w:type="dxa"/>
            <w:vAlign w:val="bottom"/>
            <w:tcBorders>
              <w:bottom w:val="single" w:sz="8" w:color="E7F2F9"/>
            </w:tcBorders>
            <w:shd w:val="clear" w:color="auto" w:fill="E7F2F9"/>
          </w:tcPr>
          <w:p>
            <w:pPr>
              <w:spacing w:after="0"/>
              <w:rPr>
                <w:sz w:val="23"/>
                <w:szCs w:val="23"/>
                <w:color w:val="auto"/>
              </w:rPr>
            </w:pPr>
          </w:p>
        </w:tc>
        <w:tc>
          <w:tcPr>
            <w:tcW w:w="280" w:type="dxa"/>
            <w:vAlign w:val="bottom"/>
            <w:tcBorders>
              <w:bottom w:val="single" w:sz="8" w:color="auto"/>
            </w:tcBorders>
            <w:shd w:val="clear" w:color="auto" w:fill="E7F2F9"/>
          </w:tcPr>
          <w:p>
            <w:pPr>
              <w:spacing w:after="0"/>
              <w:rPr>
                <w:sz w:val="23"/>
                <w:szCs w:val="23"/>
                <w:color w:val="auto"/>
              </w:rPr>
            </w:pPr>
          </w:p>
        </w:tc>
        <w:tc>
          <w:tcPr>
            <w:tcW w:w="15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7"/>
                <w:szCs w:val="17"/>
                <w:color w:val="1383C6"/>
              </w:rPr>
              <w:t>(389)</w:t>
            </w:r>
          </w:p>
        </w:tc>
      </w:tr>
      <w:tr>
        <w:trPr>
          <w:trHeight w:val="283"/>
        </w:trPr>
        <w:tc>
          <w:tcPr>
            <w:tcW w:w="920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5"/>
                <w:szCs w:val="15"/>
                <w:color w:val="1383C6"/>
              </w:rPr>
              <w:t>Amount recorded in current liabilities as of March 31, 2026</w:t>
            </w:r>
          </w:p>
        </w:tc>
        <w:tc>
          <w:tcPr>
            <w:tcW w:w="220" w:type="dxa"/>
            <w:vAlign w:val="bottom"/>
            <w:tcBorders>
              <w:bottom w:val="single" w:sz="8" w:color="E7F2F9"/>
            </w:tcBorders>
            <w:shd w:val="clear" w:color="auto" w:fill="E7F2F9"/>
          </w:tcPr>
          <w:p>
            <w:pPr>
              <w:spacing w:after="0"/>
              <w:rPr>
                <w:sz w:val="24"/>
                <w:szCs w:val="24"/>
                <w:color w:val="auto"/>
              </w:rPr>
            </w:pPr>
          </w:p>
        </w:tc>
        <w:tc>
          <w:tcPr>
            <w:tcW w:w="280" w:type="dxa"/>
            <w:vAlign w:val="bottom"/>
            <w:tcBorders>
              <w:bottom w:val="single" w:sz="8" w:color="auto"/>
            </w:tcBorders>
            <w:shd w:val="clear" w:color="auto" w:fill="E7F2F9"/>
          </w:tcPr>
          <w:p>
            <w:pPr>
              <w:jc w:val="right"/>
              <w:ind w:right="94"/>
              <w:spacing w:after="0"/>
              <w:rPr>
                <w:sz w:val="20"/>
                <w:szCs w:val="20"/>
                <w:color w:val="auto"/>
              </w:rPr>
            </w:pPr>
            <w:r>
              <w:rPr>
                <w:rFonts w:ascii="Arial" w:cs="Arial" w:eastAsia="Arial" w:hAnsi="Arial"/>
                <w:sz w:val="17"/>
                <w:szCs w:val="17"/>
                <w:color w:val="1383C6"/>
                <w:w w:val="84"/>
              </w:rPr>
              <w:t>$</w:t>
            </w:r>
          </w:p>
        </w:tc>
        <w:tc>
          <w:tcPr>
            <w:tcW w:w="154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7"/>
                <w:szCs w:val="17"/>
                <w:color w:val="1383C6"/>
              </w:rPr>
              <w:t>—</w:t>
            </w:r>
          </w:p>
        </w:tc>
      </w:tr>
      <w:tr>
        <w:trPr>
          <w:trHeight w:val="20"/>
        </w:trPr>
        <w:tc>
          <w:tcPr>
            <w:tcW w:w="9200" w:type="dxa"/>
            <w:vAlign w:val="bottom"/>
            <w:tcBorders>
              <w:top w:val="single" w:sz="8" w:color="E7F2F9"/>
            </w:tcBorders>
          </w:tcPr>
          <w:p>
            <w:pPr>
              <w:spacing w:after="0" w:line="20" w:lineRule="exact"/>
              <w:rPr>
                <w:sz w:val="1"/>
                <w:szCs w:val="1"/>
                <w:color w:val="auto"/>
              </w:rPr>
            </w:pPr>
          </w:p>
        </w:tc>
        <w:tc>
          <w:tcPr>
            <w:tcW w:w="220" w:type="dxa"/>
            <w:vAlign w:val="bottom"/>
            <w:tcBorders>
              <w:top w:val="single" w:sz="8" w:color="E7F2F9"/>
            </w:tcBorders>
          </w:tcPr>
          <w:p>
            <w:pPr>
              <w:spacing w:after="0" w:line="20" w:lineRule="exact"/>
              <w:rPr>
                <w:sz w:val="1"/>
                <w:szCs w:val="1"/>
                <w:color w:val="auto"/>
              </w:rPr>
            </w:pPr>
          </w:p>
        </w:tc>
        <w:tc>
          <w:tcPr>
            <w:tcW w:w="280" w:type="dxa"/>
            <w:vAlign w:val="bottom"/>
            <w:tcBorders>
              <w:top w:val="single" w:sz="8" w:color="E7F2F9"/>
              <w:bottom w:val="single" w:sz="8" w:color="auto"/>
            </w:tcBorders>
          </w:tcPr>
          <w:p>
            <w:pPr>
              <w:spacing w:after="0" w:line="20" w:lineRule="exact"/>
              <w:rPr>
                <w:sz w:val="1"/>
                <w:szCs w:val="1"/>
                <w:color w:val="auto"/>
              </w:rPr>
            </w:pPr>
          </w:p>
        </w:tc>
        <w:tc>
          <w:tcPr>
            <w:tcW w:w="1540" w:type="dxa"/>
            <w:vAlign w:val="bottom"/>
            <w:tcBorders>
              <w:top w:val="single" w:sz="8" w:color="E7F2F9"/>
              <w:bottom w:val="single" w:sz="8" w:color="auto"/>
            </w:tcBorders>
          </w:tcPr>
          <w:p>
            <w:pPr>
              <w:spacing w:after="0" w:line="20" w:lineRule="exact"/>
              <w:rPr>
                <w:sz w:val="1"/>
                <w:szCs w:val="1"/>
                <w:color w:val="auto"/>
              </w:rPr>
            </w:pPr>
          </w:p>
        </w:tc>
      </w:tr>
      <w:tr>
        <w:trPr>
          <w:trHeight w:val="358"/>
        </w:trPr>
        <w:tc>
          <w:tcPr>
            <w:tcW w:w="9200" w:type="dxa"/>
            <w:vAlign w:val="bottom"/>
          </w:tcPr>
          <w:p>
            <w:pPr>
              <w:ind w:left="20"/>
              <w:spacing w:after="0"/>
              <w:rPr>
                <w:sz w:val="20"/>
                <w:szCs w:val="20"/>
                <w:color w:val="auto"/>
              </w:rPr>
            </w:pPr>
            <w:r>
              <w:rPr>
                <w:rFonts w:ascii="Arial" w:cs="Arial" w:eastAsia="Arial" w:hAnsi="Arial"/>
                <w:sz w:val="15"/>
                <w:szCs w:val="15"/>
                <w:color w:val="auto"/>
              </w:rPr>
              <w:t>Estimated total restructuring costs to still be incurred</w:t>
            </w:r>
          </w:p>
        </w:tc>
        <w:tc>
          <w:tcPr>
            <w:tcW w:w="50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9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2024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the second quarter of 2024, we implemented an expense reduction initiative that included workforce reductions, the closing of our San Diego office, and other actions to reduce annualized run-rate operating expenses. We recognized approximately $1 million of expense related to the 2024 restructuring during the three months ended March 31, 2026. See Note 6 – Restructuring in Part II, Item 8 of the 2025 Annual Report for information regarding the 2024 restructuring initiative.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386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20</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558800</wp:posOffset>
            </wp:positionV>
            <wp:extent cx="7138670" cy="2457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6. COMMITMENTS AND CONTINGENCIES</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entered into various operating lease agreements, primarily relating to our corporate offices. See Note 7 – Commitments and Contingencies, subsection titled “Leases”, in Part II, Item 8 of the 2025 Annual Report for information regarding the Company’s maturity of lease liabilities under its lease agreements.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do not believe that the ultimate outcome of any such pending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Please see subsection titled </w:t>
      </w:r>
      <w:r>
        <w:rPr>
          <w:rFonts w:ascii="Arial" w:cs="Arial" w:eastAsia="Arial" w:hAnsi="Arial"/>
          <w:sz w:val="17"/>
          <w:szCs w:val="17"/>
          <w:u w:val="single" w:color="auto"/>
          <w:color w:val="0000FF"/>
        </w:rPr>
        <w:t>Legal Proceedings, in Part II, Item 1</w:t>
      </w:r>
      <w:r>
        <w:rPr>
          <w:rFonts w:ascii="Arial" w:cs="Arial" w:eastAsia="Arial" w:hAnsi="Arial"/>
          <w:sz w:val="17"/>
          <w:szCs w:val="17"/>
          <w:color w:val="auto"/>
        </w:rPr>
        <w:t xml:space="preserve"> of this Quarterly Report on Form 10-Q.</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March 31, 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7138670" cy="2457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7. EQUITY PLANS AND SHARE-BASED COMPENSATION</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Equity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March 31, 2026, the Company had share-based compensation awards outstanding under the 2020 Equity Incentive Plan (the “2020 Plan”), the 2020 Inducement Equity Incentive Plan (the “Inducement Plan”), the 2021 adopted Omniome Equity Incentive Plan of Pacific Biosciences of California, Inc. (the “Omniome Plan”) and the 2010 Employee Stock Purchase Plan, from which we issued equity awards and employee stock.</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March 31, 2026, we had 25.7 million shares remaining and available for future issuance under the 2020 Plan, Inducement Plan, and the Omniome Plan. Shares remaining and available for future issuance reflect shares that may become eligible to vest upon the achievement of maximum targets for certain equity awards.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i w:val="1"/>
          <w:iCs w:val="1"/>
          <w:color w:val="auto"/>
        </w:rPr>
        <w:t>Note 9 – Stockholders' Equity</w:t>
      </w:r>
      <w:r>
        <w:rPr>
          <w:rFonts w:ascii="Arial" w:cs="Arial" w:eastAsia="Arial" w:hAnsi="Arial"/>
          <w:sz w:val="17"/>
          <w:szCs w:val="17"/>
          <w:color w:val="auto"/>
        </w:rPr>
        <w:t>, in Part II, Item 8 of our 2025 Annual Report for more information on the Company's equity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213995</wp:posOffset>
            </wp:positionV>
            <wp:extent cx="71386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21</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for time-based awards: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83"/>
              <w:spacing w:after="0"/>
              <w:rPr>
                <w:sz w:val="20"/>
                <w:szCs w:val="20"/>
                <w:color w:val="auto"/>
              </w:rPr>
            </w:pPr>
            <w:r>
              <w:rPr>
                <w:rFonts w:ascii="Arial" w:cs="Arial" w:eastAsia="Arial" w:hAnsi="Arial"/>
                <w:sz w:val="15"/>
                <w:szCs w:val="15"/>
                <w:b w:val="1"/>
                <w:bCs w:val="1"/>
                <w:color w:val="auto"/>
              </w:rPr>
              <w:t>Weighted</w:t>
            </w:r>
          </w:p>
        </w:tc>
      </w:tr>
      <w:tr>
        <w:trPr>
          <w:trHeight w:val="180"/>
        </w:trPr>
        <w:tc>
          <w:tcPr>
            <w:tcW w:w="8180" w:type="dxa"/>
            <w:vAlign w:val="bottom"/>
          </w:tcPr>
          <w:p>
            <w:pPr>
              <w:spacing w:after="0"/>
              <w:rPr>
                <w:sz w:val="15"/>
                <w:szCs w:val="15"/>
                <w:color w:val="auto"/>
              </w:rPr>
            </w:pPr>
          </w:p>
        </w:tc>
        <w:tc>
          <w:tcPr>
            <w:tcW w:w="1480" w:type="dxa"/>
            <w:vAlign w:val="bottom"/>
          </w:tcPr>
          <w:p>
            <w:pPr>
              <w:jc w:val="right"/>
              <w:ind w:right="363"/>
              <w:spacing w:after="0"/>
              <w:rPr>
                <w:sz w:val="20"/>
                <w:szCs w:val="20"/>
                <w:color w:val="auto"/>
              </w:rPr>
            </w:pPr>
            <w:r>
              <w:rPr>
                <w:rFonts w:ascii="Arial" w:cs="Arial" w:eastAsia="Arial" w:hAnsi="Arial"/>
                <w:sz w:val="15"/>
                <w:szCs w:val="15"/>
                <w:b w:val="1"/>
                <w:bCs w:val="1"/>
                <w:color w:val="auto"/>
              </w:rPr>
              <w:t>Number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103"/>
              <w:spacing w:after="0"/>
              <w:rPr>
                <w:sz w:val="20"/>
                <w:szCs w:val="20"/>
                <w:color w:val="auto"/>
              </w:rPr>
            </w:pPr>
            <w:r>
              <w:rPr>
                <w:rFonts w:ascii="Arial" w:cs="Arial" w:eastAsia="Arial" w:hAnsi="Arial"/>
                <w:sz w:val="15"/>
                <w:szCs w:val="15"/>
                <w:b w:val="1"/>
                <w:bCs w:val="1"/>
                <w:color w:val="auto"/>
              </w:rPr>
              <w:t>average</w:t>
            </w:r>
          </w:p>
        </w:tc>
      </w:tr>
      <w:tr>
        <w:trPr>
          <w:trHeight w:val="226"/>
        </w:trPr>
        <w:tc>
          <w:tcPr>
            <w:tcW w:w="8180" w:type="dxa"/>
            <w:vAlign w:val="bottom"/>
          </w:tcPr>
          <w:p>
            <w:pPr>
              <w:ind w:left="20"/>
              <w:spacing w:after="0"/>
              <w:rPr>
                <w:sz w:val="20"/>
                <w:szCs w:val="20"/>
                <w:color w:val="auto"/>
              </w:rPr>
            </w:pPr>
            <w:r>
              <w:rPr>
                <w:rFonts w:ascii="Arial" w:cs="Arial" w:eastAsia="Arial" w:hAnsi="Arial"/>
                <w:sz w:val="15"/>
                <w:szCs w:val="15"/>
                <w:i w:val="1"/>
                <w:iCs w:val="1"/>
                <w:color w:val="auto"/>
              </w:rPr>
              <w:t>(shares in thousands)</w:t>
            </w:r>
          </w:p>
        </w:tc>
        <w:tc>
          <w:tcPr>
            <w:tcW w:w="14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of shares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rPr>
              <w:t>exercise price</w:t>
            </w:r>
          </w:p>
        </w:tc>
      </w:tr>
      <w:tr>
        <w:trPr>
          <w:trHeight w:val="225"/>
        </w:trPr>
        <w:tc>
          <w:tcPr>
            <w:tcW w:w="8180" w:type="dxa"/>
            <w:vAlign w:val="bottom"/>
          </w:tcPr>
          <w:p>
            <w:pPr>
              <w:ind w:left="20"/>
              <w:spacing w:after="0"/>
              <w:rPr>
                <w:sz w:val="20"/>
                <w:szCs w:val="20"/>
                <w:color w:val="auto"/>
              </w:rPr>
            </w:pPr>
            <w:r>
              <w:rPr>
                <w:rFonts w:ascii="Arial" w:cs="Arial" w:eastAsia="Arial" w:hAnsi="Arial"/>
                <w:sz w:val="15"/>
                <w:szCs w:val="15"/>
                <w:color w:val="auto"/>
              </w:rPr>
              <w:t>Outstanding at December 31, 2025</w:t>
            </w:r>
          </w:p>
        </w:tc>
        <w:tc>
          <w:tcPr>
            <w:tcW w:w="1480" w:type="dxa"/>
            <w:vAlign w:val="bottom"/>
          </w:tcPr>
          <w:p>
            <w:pPr>
              <w:jc w:val="right"/>
              <w:spacing w:after="0"/>
              <w:rPr>
                <w:sz w:val="20"/>
                <w:szCs w:val="20"/>
                <w:color w:val="auto"/>
              </w:rPr>
            </w:pPr>
            <w:r>
              <w:rPr>
                <w:rFonts w:ascii="Arial" w:cs="Arial" w:eastAsia="Arial" w:hAnsi="Arial"/>
                <w:sz w:val="15"/>
                <w:szCs w:val="15"/>
                <w:color w:val="auto"/>
              </w:rPr>
              <w:t>15,509</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6.40</w:t>
            </w:r>
          </w:p>
        </w:tc>
      </w:tr>
      <w:tr>
        <w:trPr>
          <w:trHeight w:val="225"/>
        </w:trPr>
        <w:tc>
          <w:tcPr>
            <w:tcW w:w="818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Granted</w:t>
            </w:r>
          </w:p>
        </w:tc>
        <w:tc>
          <w:tcPr>
            <w:tcW w:w="14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5,854</w:t>
            </w:r>
          </w:p>
        </w:tc>
        <w:tc>
          <w:tcPr>
            <w:tcW w:w="80" w:type="dxa"/>
            <w:vAlign w:val="bottom"/>
            <w:shd w:val="clear" w:color="auto" w:fill="E7F2F9"/>
          </w:tcPr>
          <w:p>
            <w:pPr>
              <w:spacing w:after="0"/>
              <w:rPr>
                <w:sz w:val="19"/>
                <w:szCs w:val="19"/>
                <w:color w:val="auto"/>
              </w:rPr>
            </w:pPr>
          </w:p>
        </w:tc>
        <w:tc>
          <w:tcPr>
            <w:tcW w:w="180" w:type="dxa"/>
            <w:vAlign w:val="bottom"/>
            <w:shd w:val="clear" w:color="auto" w:fill="E7F2F9"/>
          </w:tcPr>
          <w:p>
            <w:pPr>
              <w:spacing w:after="0"/>
              <w:rPr>
                <w:sz w:val="19"/>
                <w:szCs w:val="19"/>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1.69</w:t>
            </w:r>
          </w:p>
        </w:tc>
      </w:tr>
      <w:tr>
        <w:trPr>
          <w:trHeight w:val="232"/>
        </w:trPr>
        <w:tc>
          <w:tcPr>
            <w:tcW w:w="818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Exercised</w:t>
            </w:r>
          </w:p>
        </w:tc>
        <w:tc>
          <w:tcPr>
            <w:tcW w:w="14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(47)</w:t>
            </w:r>
          </w:p>
        </w:tc>
        <w:tc>
          <w:tcPr>
            <w:tcW w:w="80" w:type="dxa"/>
            <w:vAlign w:val="bottom"/>
            <w:shd w:val="clear" w:color="auto" w:fill="E7F2F9"/>
          </w:tcPr>
          <w:p>
            <w:pPr>
              <w:spacing w:after="0"/>
              <w:rPr>
                <w:sz w:val="20"/>
                <w:szCs w:val="20"/>
                <w:color w:val="auto"/>
              </w:rPr>
            </w:pPr>
          </w:p>
        </w:tc>
        <w:tc>
          <w:tcPr>
            <w:tcW w:w="18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1.25</w:t>
            </w:r>
          </w:p>
        </w:tc>
      </w:tr>
      <w:tr>
        <w:trPr>
          <w:trHeight w:val="232"/>
        </w:trPr>
        <w:tc>
          <w:tcPr>
            <w:tcW w:w="818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Canceled</w:t>
            </w:r>
          </w:p>
        </w:tc>
        <w:tc>
          <w:tcPr>
            <w:tcW w:w="14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(682)</w:t>
            </w:r>
          </w:p>
        </w:tc>
        <w:tc>
          <w:tcPr>
            <w:tcW w:w="80" w:type="dxa"/>
            <w:vAlign w:val="bottom"/>
            <w:shd w:val="clear" w:color="auto" w:fill="E7F2F9"/>
          </w:tcPr>
          <w:p>
            <w:pPr>
              <w:spacing w:after="0"/>
              <w:rPr>
                <w:sz w:val="20"/>
                <w:szCs w:val="20"/>
                <w:color w:val="auto"/>
              </w:rPr>
            </w:pPr>
          </w:p>
        </w:tc>
        <w:tc>
          <w:tcPr>
            <w:tcW w:w="180" w:type="dxa"/>
            <w:vAlign w:val="bottom"/>
            <w:shd w:val="clear" w:color="auto" w:fill="E7F2F9"/>
          </w:tcPr>
          <w:p>
            <w:pPr>
              <w:spacing w:after="0"/>
              <w:rPr>
                <w:sz w:val="20"/>
                <w:szCs w:val="20"/>
                <w:color w:val="auto"/>
              </w:rPr>
            </w:pPr>
          </w:p>
        </w:tc>
        <w:tc>
          <w:tcPr>
            <w:tcW w:w="132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2.79</w:t>
            </w:r>
          </w:p>
        </w:tc>
      </w:tr>
      <w:tr>
        <w:trPr>
          <w:trHeight w:val="239"/>
        </w:trPr>
        <w:tc>
          <w:tcPr>
            <w:tcW w:w="818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5"/>
                <w:szCs w:val="15"/>
                <w:color w:val="1383C6"/>
              </w:rPr>
              <w:t>Expired</w:t>
            </w:r>
          </w:p>
        </w:tc>
        <w:tc>
          <w:tcPr>
            <w:tcW w:w="14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(304)</w:t>
            </w:r>
          </w:p>
        </w:tc>
        <w:tc>
          <w:tcPr>
            <w:tcW w:w="80" w:type="dxa"/>
            <w:vAlign w:val="bottom"/>
            <w:tcBorders>
              <w:bottom w:val="single" w:sz="8" w:color="E7F2F9"/>
            </w:tcBorders>
            <w:shd w:val="clear" w:color="auto" w:fill="E7F2F9"/>
          </w:tcPr>
          <w:p>
            <w:pPr>
              <w:spacing w:after="0"/>
              <w:rPr>
                <w:sz w:val="20"/>
                <w:szCs w:val="20"/>
                <w:color w:val="auto"/>
              </w:rPr>
            </w:pPr>
          </w:p>
        </w:tc>
        <w:tc>
          <w:tcPr>
            <w:tcW w:w="180" w:type="dxa"/>
            <w:vAlign w:val="bottom"/>
            <w:tcBorders>
              <w:bottom w:val="single" w:sz="8" w:color="E7F2F9"/>
            </w:tcBorders>
            <w:shd w:val="clear" w:color="auto" w:fill="E7F2F9"/>
          </w:tcPr>
          <w:p>
            <w:pPr>
              <w:spacing w:after="0"/>
              <w:rPr>
                <w:sz w:val="20"/>
                <w:szCs w:val="20"/>
                <w:color w:val="auto"/>
              </w:rPr>
            </w:pPr>
          </w:p>
        </w:tc>
        <w:tc>
          <w:tcPr>
            <w:tcW w:w="132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5"/>
                <w:szCs w:val="15"/>
                <w:color w:val="1383C6"/>
              </w:rPr>
              <w:t>8.89</w:t>
            </w:r>
          </w:p>
        </w:tc>
      </w:tr>
      <w:tr>
        <w:trPr>
          <w:trHeight w:val="257"/>
        </w:trPr>
        <w:tc>
          <w:tcPr>
            <w:tcW w:w="8180" w:type="dxa"/>
            <w:vAlign w:val="bottom"/>
            <w:tcBorders>
              <w:bottom w:val="single" w:sz="8" w:color="E7F2F9"/>
            </w:tcBorders>
            <w:shd w:val="clear" w:color="auto" w:fill="E7F2F9"/>
          </w:tcPr>
          <w:p>
            <w:pPr>
              <w:ind w:left="20"/>
              <w:spacing w:after="0"/>
              <w:rPr>
                <w:sz w:val="20"/>
                <w:szCs w:val="20"/>
                <w:color w:val="auto"/>
              </w:rPr>
            </w:pPr>
            <w:r>
              <w:rPr>
                <w:rFonts w:ascii="Arial" w:cs="Arial" w:eastAsia="Arial" w:hAnsi="Arial"/>
                <w:sz w:val="15"/>
                <w:szCs w:val="15"/>
                <w:color w:val="1383C6"/>
              </w:rPr>
              <w:t>Outstanding at March 31, 2026</w:t>
            </w:r>
          </w:p>
        </w:tc>
        <w:tc>
          <w:tcPr>
            <w:tcW w:w="14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20,330</w:t>
            </w:r>
          </w:p>
        </w:tc>
        <w:tc>
          <w:tcPr>
            <w:tcW w:w="80" w:type="dxa"/>
            <w:vAlign w:val="bottom"/>
            <w:tcBorders>
              <w:bottom w:val="single" w:sz="8" w:color="E7F2F9"/>
            </w:tcBorders>
            <w:shd w:val="clear" w:color="auto" w:fill="E7F2F9"/>
          </w:tcPr>
          <w:p>
            <w:pPr>
              <w:spacing w:after="0"/>
              <w:rPr>
                <w:sz w:val="21"/>
                <w:szCs w:val="21"/>
                <w:color w:val="auto"/>
              </w:rPr>
            </w:pPr>
          </w:p>
        </w:tc>
        <w:tc>
          <w:tcPr>
            <w:tcW w:w="18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5"/>
                <w:szCs w:val="15"/>
                <w:color w:val="1383C6"/>
              </w:rPr>
              <w:t>$</w:t>
            </w:r>
          </w:p>
        </w:tc>
        <w:tc>
          <w:tcPr>
            <w:tcW w:w="1320" w:type="dxa"/>
            <w:vAlign w:val="bottom"/>
            <w:tcBorders>
              <w:bottom w:val="single" w:sz="8" w:color="E7F2F9"/>
            </w:tcBorders>
            <w:shd w:val="clear" w:color="auto" w:fill="E7F2F9"/>
          </w:tcPr>
          <w:p>
            <w:pPr>
              <w:jc w:val="right"/>
              <w:spacing w:after="0"/>
              <w:rPr>
                <w:sz w:val="20"/>
                <w:szCs w:val="20"/>
                <w:color w:val="auto"/>
              </w:rPr>
            </w:pPr>
            <w:r>
              <w:rPr>
                <w:rFonts w:ascii="Arial" w:cs="Arial" w:eastAsia="Arial" w:hAnsi="Arial"/>
                <w:sz w:val="15"/>
                <w:szCs w:val="15"/>
                <w:color w:val="1383C6"/>
              </w:rPr>
              <w:t>5.14</w:t>
            </w:r>
          </w:p>
        </w:tc>
      </w:tr>
      <w:tr>
        <w:trPr>
          <w:trHeight w:val="20"/>
        </w:trPr>
        <w:tc>
          <w:tcPr>
            <w:tcW w:w="8180" w:type="dxa"/>
            <w:vAlign w:val="bottom"/>
            <w:tcBorders>
              <w:top w:val="single" w:sz="8" w:color="E7F2F9"/>
            </w:tcBorders>
          </w:tcPr>
          <w:p>
            <w:pPr>
              <w:spacing w:after="0" w:line="20" w:lineRule="exact"/>
              <w:rPr>
                <w:sz w:val="1"/>
                <w:szCs w:val="1"/>
                <w:color w:val="auto"/>
              </w:rPr>
            </w:pPr>
          </w:p>
        </w:tc>
        <w:tc>
          <w:tcPr>
            <w:tcW w:w="1480" w:type="dxa"/>
            <w:vAlign w:val="bottom"/>
            <w:tcBorders>
              <w:top w:val="single" w:sz="8" w:color="E7F2F9"/>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80" w:type="dxa"/>
            <w:vAlign w:val="bottom"/>
            <w:tcBorders>
              <w:top w:val="single" w:sz="8" w:color="E7F2F9"/>
            </w:tcBorders>
          </w:tcPr>
          <w:p>
            <w:pPr>
              <w:spacing w:after="0" w:line="20" w:lineRule="exact"/>
              <w:rPr>
                <w:sz w:val="1"/>
                <w:szCs w:val="1"/>
                <w:color w:val="auto"/>
              </w:rPr>
            </w:pPr>
          </w:p>
        </w:tc>
        <w:tc>
          <w:tcPr>
            <w:tcW w:w="1320" w:type="dxa"/>
            <w:vAlign w:val="bottom"/>
            <w:tcBorders>
              <w:top w:val="single" w:sz="8" w:color="E7F2F9"/>
            </w:tcBorders>
          </w:tcPr>
          <w:p>
            <w:pPr>
              <w:spacing w:after="0" w:line="20" w:lineRule="exact"/>
              <w:rPr>
                <w:sz w:val="1"/>
                <w:szCs w:val="1"/>
                <w:color w:val="auto"/>
              </w:rPr>
            </w:pPr>
          </w:p>
        </w:tc>
      </w:tr>
    </w:tbl>
    <w:p>
      <w:pPr>
        <w:spacing w:after="0" w:line="21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Restricted Stock Units ("RSU") and Performance Stock Units ("PSU")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2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grant RSUs for which the respective shares vest when the requisite service period is achieved. We granted PSUs during the first quarter of 2023 for which the number of shares issuable is based on performance relative to specified revenue targets and continued employment through the vesting period. The PSUs were issuable following the third year of the performance period. Maximum achievement of the revenue goal under the PSUs would result in up to 200% of the target number of shares subject to the PSUs to become eligible to vest, while not meeting the minimum achievement of the revenue goal under the PSUs would result in no shares subject to the PSUs becoming eligible to vest. The performance period ended on December 31, 2025. Because threshold levels of achievement were not met, the PSUs were forfeited based on the determination by the Board of Directors in the first quarter of 2026. The following table summarizes the time-based RSUs and PSUs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403"/>
              <w:spacing w:after="0"/>
              <w:rPr>
                <w:sz w:val="20"/>
                <w:szCs w:val="20"/>
                <w:color w:val="auto"/>
              </w:rPr>
            </w:pPr>
            <w:r>
              <w:rPr>
                <w:rFonts w:ascii="Arial" w:cs="Arial" w:eastAsia="Arial" w:hAnsi="Arial"/>
                <w:sz w:val="15"/>
                <w:szCs w:val="15"/>
                <w:b w:val="1"/>
                <w:bCs w:val="1"/>
                <w:color w:val="auto"/>
              </w:rPr>
              <w:t>Weighted average grant date</w:t>
            </w:r>
          </w:p>
        </w:tc>
      </w:tr>
      <w:tr>
        <w:trPr>
          <w:trHeight w:val="220"/>
        </w:trPr>
        <w:tc>
          <w:tcPr>
            <w:tcW w:w="4820" w:type="dxa"/>
            <w:vAlign w:val="bottom"/>
          </w:tcPr>
          <w:p>
            <w:pPr>
              <w:spacing w:after="0"/>
              <w:rPr>
                <w:sz w:val="19"/>
                <w:szCs w:val="19"/>
                <w:color w:val="auto"/>
              </w:rPr>
            </w:pPr>
          </w:p>
        </w:tc>
        <w:tc>
          <w:tcPr>
            <w:tcW w:w="1600" w:type="dxa"/>
            <w:vAlign w:val="bottom"/>
          </w:tcPr>
          <w:p>
            <w:pPr>
              <w:jc w:val="right"/>
              <w:ind w:right="123"/>
              <w:spacing w:after="0"/>
              <w:rPr>
                <w:sz w:val="20"/>
                <w:szCs w:val="20"/>
                <w:color w:val="auto"/>
              </w:rPr>
            </w:pPr>
            <w:r>
              <w:rPr>
                <w:rFonts w:ascii="Arial" w:cs="Arial" w:eastAsia="Arial" w:hAnsi="Arial"/>
                <w:sz w:val="15"/>
                <w:szCs w:val="15"/>
                <w:b w:val="1"/>
                <w:bCs w:val="1"/>
                <w:color w:val="auto"/>
              </w:rPr>
              <w:t>Restricted Stock</w:t>
            </w:r>
          </w:p>
        </w:tc>
        <w:tc>
          <w:tcPr>
            <w:tcW w:w="80" w:type="dxa"/>
            <w:vAlign w:val="bottom"/>
          </w:tcPr>
          <w:p>
            <w:pPr>
              <w:spacing w:after="0"/>
              <w:rPr>
                <w:sz w:val="19"/>
                <w:szCs w:val="19"/>
                <w:color w:val="auto"/>
              </w:rPr>
            </w:pPr>
          </w:p>
        </w:tc>
        <w:tc>
          <w:tcPr>
            <w:tcW w:w="1580" w:type="dxa"/>
            <w:vAlign w:val="bottom"/>
          </w:tcPr>
          <w:p>
            <w:pPr>
              <w:jc w:val="right"/>
              <w:ind w:right="3"/>
              <w:spacing w:after="0"/>
              <w:rPr>
                <w:sz w:val="20"/>
                <w:szCs w:val="20"/>
                <w:color w:val="auto"/>
              </w:rPr>
            </w:pPr>
            <w:r>
              <w:rPr>
                <w:rFonts w:ascii="Arial" w:cs="Arial" w:eastAsia="Arial" w:hAnsi="Arial"/>
                <w:sz w:val="15"/>
                <w:szCs w:val="15"/>
                <w:b w:val="1"/>
                <w:bCs w:val="1"/>
                <w:color w:val="auto"/>
              </w:rPr>
              <w:t>Performance Stock</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5"/>
                <w:szCs w:val="15"/>
                <w:b w:val="1"/>
                <w:bCs w:val="1"/>
                <w:color w:val="auto"/>
              </w:rPr>
              <w:t>fair value</w:t>
            </w:r>
          </w:p>
        </w:tc>
        <w:tc>
          <w:tcPr>
            <w:tcW w:w="1040" w:type="dxa"/>
            <w:vAlign w:val="bottom"/>
            <w:tcBorders>
              <w:bottom w:val="single" w:sz="8" w:color="auto"/>
            </w:tcBorders>
          </w:tcPr>
          <w:p>
            <w:pPr>
              <w:spacing w:after="0"/>
              <w:rPr>
                <w:sz w:val="19"/>
                <w:szCs w:val="19"/>
                <w:color w:val="auto"/>
              </w:rPr>
            </w:pPr>
          </w:p>
        </w:tc>
      </w:tr>
      <w:tr>
        <w:trPr>
          <w:trHeight w:val="235"/>
        </w:trPr>
        <w:tc>
          <w:tcPr>
            <w:tcW w:w="4820" w:type="dxa"/>
            <w:vAlign w:val="bottom"/>
          </w:tcPr>
          <w:p>
            <w:pPr>
              <w:ind w:left="20"/>
              <w:spacing w:after="0"/>
              <w:rPr>
                <w:sz w:val="20"/>
                <w:szCs w:val="20"/>
                <w:color w:val="auto"/>
              </w:rPr>
            </w:pPr>
            <w:r>
              <w:rPr>
                <w:rFonts w:ascii="Arial" w:cs="Arial" w:eastAsia="Arial" w:hAnsi="Arial"/>
                <w:sz w:val="15"/>
                <w:szCs w:val="15"/>
                <w:i w:val="1"/>
                <w:iCs w:val="1"/>
                <w:color w:val="auto"/>
              </w:rPr>
              <w:t>(shares in thousands)</w:t>
            </w:r>
          </w:p>
        </w:tc>
        <w:tc>
          <w:tcPr>
            <w:tcW w:w="16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Units (RSU)</w:t>
            </w:r>
          </w:p>
        </w:tc>
        <w:tc>
          <w:tcPr>
            <w:tcW w:w="80" w:type="dxa"/>
            <w:vAlign w:val="bottom"/>
          </w:tcPr>
          <w:p>
            <w:pPr>
              <w:spacing w:after="0"/>
              <w:rPr>
                <w:sz w:val="20"/>
                <w:szCs w:val="20"/>
                <w:color w:val="auto"/>
              </w:rPr>
            </w:pPr>
          </w:p>
        </w:tc>
        <w:tc>
          <w:tcPr>
            <w:tcW w:w="15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Units (PSU)</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RSU</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PSU</w:t>
            </w:r>
          </w:p>
        </w:tc>
      </w:tr>
      <w:tr>
        <w:trPr>
          <w:trHeight w:val="221"/>
        </w:trPr>
        <w:tc>
          <w:tcPr>
            <w:tcW w:w="4820" w:type="dxa"/>
            <w:vAlign w:val="bottom"/>
          </w:tcPr>
          <w:p>
            <w:pPr>
              <w:ind w:left="20"/>
              <w:spacing w:after="0"/>
              <w:rPr>
                <w:sz w:val="20"/>
                <w:szCs w:val="20"/>
                <w:color w:val="auto"/>
              </w:rPr>
            </w:pPr>
            <w:r>
              <w:rPr>
                <w:rFonts w:ascii="Arial" w:cs="Arial" w:eastAsia="Arial" w:hAnsi="Arial"/>
                <w:sz w:val="15"/>
                <w:szCs w:val="15"/>
                <w:color w:val="auto"/>
              </w:rPr>
              <w:t>Outstanding at December 31, 2025</w:t>
            </w:r>
          </w:p>
        </w:tc>
        <w:tc>
          <w:tcPr>
            <w:tcW w:w="1600" w:type="dxa"/>
            <w:vAlign w:val="bottom"/>
          </w:tcPr>
          <w:p>
            <w:pPr>
              <w:jc w:val="right"/>
              <w:ind w:right="3"/>
              <w:spacing w:after="0"/>
              <w:rPr>
                <w:sz w:val="20"/>
                <w:szCs w:val="20"/>
                <w:color w:val="auto"/>
              </w:rPr>
            </w:pPr>
            <w:r>
              <w:rPr>
                <w:rFonts w:ascii="Arial" w:cs="Arial" w:eastAsia="Arial" w:hAnsi="Arial"/>
                <w:sz w:val="15"/>
                <w:szCs w:val="15"/>
                <w:color w:val="auto"/>
              </w:rPr>
              <w:t>17,551</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392</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3.50</w:t>
            </w:r>
          </w:p>
        </w:tc>
        <w:tc>
          <w:tcPr>
            <w:tcW w:w="80" w:type="dxa"/>
            <w:vAlign w:val="bottom"/>
          </w:tcPr>
          <w:p>
            <w:pPr>
              <w:spacing w:after="0"/>
              <w:rPr>
                <w:sz w:val="19"/>
                <w:szCs w:val="19"/>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9.43</w:t>
            </w:r>
          </w:p>
        </w:tc>
      </w:tr>
      <w:tr>
        <w:trPr>
          <w:trHeight w:val="225"/>
        </w:trPr>
        <w:tc>
          <w:tcPr>
            <w:tcW w:w="482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Granted</w:t>
            </w:r>
          </w:p>
        </w:tc>
        <w:tc>
          <w:tcPr>
            <w:tcW w:w="1600" w:type="dxa"/>
            <w:vAlign w:val="bottom"/>
            <w:shd w:val="clear" w:color="auto" w:fill="E7F2F9"/>
          </w:tcPr>
          <w:p>
            <w:pPr>
              <w:jc w:val="right"/>
              <w:ind w:right="3"/>
              <w:spacing w:after="0"/>
              <w:rPr>
                <w:sz w:val="20"/>
                <w:szCs w:val="20"/>
                <w:color w:val="auto"/>
              </w:rPr>
            </w:pPr>
            <w:r>
              <w:rPr>
                <w:rFonts w:ascii="Arial" w:cs="Arial" w:eastAsia="Arial" w:hAnsi="Arial"/>
                <w:sz w:val="15"/>
                <w:szCs w:val="15"/>
                <w:color w:val="1383C6"/>
              </w:rPr>
              <w:t>9,642</w:t>
            </w:r>
          </w:p>
        </w:tc>
        <w:tc>
          <w:tcPr>
            <w:tcW w:w="80" w:type="dxa"/>
            <w:vAlign w:val="bottom"/>
            <w:shd w:val="clear" w:color="auto" w:fill="E7F2F9"/>
          </w:tcPr>
          <w:p>
            <w:pPr>
              <w:spacing w:after="0"/>
              <w:rPr>
                <w:sz w:val="19"/>
                <w:szCs w:val="19"/>
                <w:color w:val="auto"/>
              </w:rPr>
            </w:pPr>
          </w:p>
        </w:tc>
        <w:tc>
          <w:tcPr>
            <w:tcW w:w="15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w:t>
            </w:r>
          </w:p>
        </w:tc>
        <w:tc>
          <w:tcPr>
            <w:tcW w:w="100" w:type="dxa"/>
            <w:vAlign w:val="bottom"/>
            <w:shd w:val="clear" w:color="auto" w:fill="E7F2F9"/>
          </w:tcPr>
          <w:p>
            <w:pPr>
              <w:spacing w:after="0"/>
              <w:rPr>
                <w:sz w:val="19"/>
                <w:szCs w:val="19"/>
                <w:color w:val="auto"/>
              </w:rPr>
            </w:pPr>
          </w:p>
        </w:tc>
        <w:tc>
          <w:tcPr>
            <w:tcW w:w="280" w:type="dxa"/>
            <w:vAlign w:val="bottom"/>
            <w:shd w:val="clear" w:color="auto" w:fill="E7F2F9"/>
          </w:tcPr>
          <w:p>
            <w:pPr>
              <w:spacing w:after="0"/>
              <w:rPr>
                <w:sz w:val="19"/>
                <w:szCs w:val="19"/>
                <w:color w:val="auto"/>
              </w:rPr>
            </w:pPr>
          </w:p>
        </w:tc>
        <w:tc>
          <w:tcPr>
            <w:tcW w:w="12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1.69</w:t>
            </w:r>
          </w:p>
        </w:tc>
        <w:tc>
          <w:tcPr>
            <w:tcW w:w="80" w:type="dxa"/>
            <w:vAlign w:val="bottom"/>
            <w:shd w:val="clear" w:color="auto" w:fill="E7F2F9"/>
          </w:tcPr>
          <w:p>
            <w:pPr>
              <w:spacing w:after="0"/>
              <w:rPr>
                <w:sz w:val="19"/>
                <w:szCs w:val="19"/>
                <w:color w:val="auto"/>
              </w:rPr>
            </w:pPr>
          </w:p>
        </w:tc>
        <w:tc>
          <w:tcPr>
            <w:tcW w:w="460" w:type="dxa"/>
            <w:vAlign w:val="bottom"/>
            <w:shd w:val="clear" w:color="auto" w:fill="E7F2F9"/>
          </w:tcPr>
          <w:p>
            <w:pPr>
              <w:spacing w:after="0"/>
              <w:rPr>
                <w:sz w:val="19"/>
                <w:szCs w:val="19"/>
                <w:color w:val="auto"/>
              </w:rPr>
            </w:pPr>
          </w:p>
        </w:tc>
        <w:tc>
          <w:tcPr>
            <w:tcW w:w="10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w:t>
            </w:r>
          </w:p>
        </w:tc>
      </w:tr>
      <w:tr>
        <w:trPr>
          <w:trHeight w:val="232"/>
        </w:trPr>
        <w:tc>
          <w:tcPr>
            <w:tcW w:w="482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Vested</w:t>
            </w:r>
          </w:p>
        </w:tc>
        <w:tc>
          <w:tcPr>
            <w:tcW w:w="16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(7,218)</w:t>
            </w:r>
          </w:p>
        </w:tc>
        <w:tc>
          <w:tcPr>
            <w:tcW w:w="80" w:type="dxa"/>
            <w:vAlign w:val="bottom"/>
            <w:shd w:val="clear" w:color="auto" w:fill="E7F2F9"/>
          </w:tcPr>
          <w:p>
            <w:pPr>
              <w:spacing w:after="0"/>
              <w:rPr>
                <w:sz w:val="20"/>
                <w:szCs w:val="20"/>
                <w:color w:val="auto"/>
              </w:rPr>
            </w:pPr>
          </w:p>
        </w:tc>
        <w:tc>
          <w:tcPr>
            <w:tcW w:w="15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w:t>
            </w:r>
          </w:p>
        </w:tc>
        <w:tc>
          <w:tcPr>
            <w:tcW w:w="100" w:type="dxa"/>
            <w:vAlign w:val="bottom"/>
            <w:shd w:val="clear" w:color="auto" w:fill="E7F2F9"/>
          </w:tcPr>
          <w:p>
            <w:pPr>
              <w:spacing w:after="0"/>
              <w:rPr>
                <w:sz w:val="20"/>
                <w:szCs w:val="20"/>
                <w:color w:val="auto"/>
              </w:rPr>
            </w:pPr>
          </w:p>
        </w:tc>
        <w:tc>
          <w:tcPr>
            <w:tcW w:w="280" w:type="dxa"/>
            <w:vAlign w:val="bottom"/>
            <w:shd w:val="clear" w:color="auto" w:fill="E7F2F9"/>
          </w:tcPr>
          <w:p>
            <w:pPr>
              <w:spacing w:after="0"/>
              <w:rPr>
                <w:sz w:val="20"/>
                <w:szCs w:val="20"/>
                <w:color w:val="auto"/>
              </w:rPr>
            </w:pPr>
          </w:p>
        </w:tc>
        <w:tc>
          <w:tcPr>
            <w:tcW w:w="12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3.56</w:t>
            </w:r>
          </w:p>
        </w:tc>
        <w:tc>
          <w:tcPr>
            <w:tcW w:w="80" w:type="dxa"/>
            <w:vAlign w:val="bottom"/>
            <w:shd w:val="clear" w:color="auto" w:fill="E7F2F9"/>
          </w:tcPr>
          <w:p>
            <w:pPr>
              <w:spacing w:after="0"/>
              <w:rPr>
                <w:sz w:val="20"/>
                <w:szCs w:val="20"/>
                <w:color w:val="auto"/>
              </w:rPr>
            </w:pPr>
          </w:p>
        </w:tc>
        <w:tc>
          <w:tcPr>
            <w:tcW w:w="460" w:type="dxa"/>
            <w:vAlign w:val="bottom"/>
            <w:shd w:val="clear" w:color="auto" w:fill="E7F2F9"/>
          </w:tcPr>
          <w:p>
            <w:pPr>
              <w:spacing w:after="0"/>
              <w:rPr>
                <w:sz w:val="20"/>
                <w:szCs w:val="20"/>
                <w:color w:val="auto"/>
              </w:rPr>
            </w:pPr>
          </w:p>
        </w:tc>
        <w:tc>
          <w:tcPr>
            <w:tcW w:w="10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w:t>
            </w:r>
          </w:p>
        </w:tc>
      </w:tr>
      <w:tr>
        <w:trPr>
          <w:trHeight w:val="239"/>
        </w:trPr>
        <w:tc>
          <w:tcPr>
            <w:tcW w:w="482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Forfeited</w:t>
            </w:r>
          </w:p>
        </w:tc>
        <w:tc>
          <w:tcPr>
            <w:tcW w:w="16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(749)</w:t>
            </w:r>
          </w:p>
        </w:tc>
        <w:tc>
          <w:tcPr>
            <w:tcW w:w="1660" w:type="dxa"/>
            <w:vAlign w:val="bottom"/>
            <w:gridSpan w:val="2"/>
            <w:shd w:val="clear" w:color="auto" w:fill="E7F2F9"/>
          </w:tcPr>
          <w:p>
            <w:pPr>
              <w:jc w:val="right"/>
              <w:spacing w:after="0"/>
              <w:rPr>
                <w:sz w:val="20"/>
                <w:szCs w:val="20"/>
                <w:color w:val="auto"/>
              </w:rPr>
            </w:pPr>
            <w:r>
              <w:rPr>
                <w:rFonts w:ascii="Arial" w:cs="Arial" w:eastAsia="Arial" w:hAnsi="Arial"/>
                <w:sz w:val="15"/>
                <w:szCs w:val="15"/>
                <w:color w:val="1383C6"/>
              </w:rPr>
              <w:t>(392)</w:t>
            </w:r>
          </w:p>
        </w:tc>
        <w:tc>
          <w:tcPr>
            <w:tcW w:w="100" w:type="dxa"/>
            <w:vAlign w:val="bottom"/>
            <w:shd w:val="clear" w:color="auto" w:fill="E7F2F9"/>
          </w:tcPr>
          <w:p>
            <w:pPr>
              <w:spacing w:after="0"/>
              <w:rPr>
                <w:sz w:val="20"/>
                <w:szCs w:val="20"/>
                <w:color w:val="auto"/>
              </w:rPr>
            </w:pPr>
          </w:p>
        </w:tc>
        <w:tc>
          <w:tcPr>
            <w:tcW w:w="280" w:type="dxa"/>
            <w:vAlign w:val="bottom"/>
            <w:shd w:val="clear" w:color="auto" w:fill="E7F2F9"/>
          </w:tcPr>
          <w:p>
            <w:pPr>
              <w:spacing w:after="0"/>
              <w:rPr>
                <w:sz w:val="20"/>
                <w:szCs w:val="20"/>
                <w:color w:val="auto"/>
              </w:rPr>
            </w:pPr>
          </w:p>
        </w:tc>
        <w:tc>
          <w:tcPr>
            <w:tcW w:w="12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2.56</w:t>
            </w:r>
          </w:p>
        </w:tc>
        <w:tc>
          <w:tcPr>
            <w:tcW w:w="80" w:type="dxa"/>
            <w:vAlign w:val="bottom"/>
            <w:shd w:val="clear" w:color="auto" w:fill="E7F2F9"/>
          </w:tcPr>
          <w:p>
            <w:pPr>
              <w:spacing w:after="0"/>
              <w:rPr>
                <w:sz w:val="20"/>
                <w:szCs w:val="20"/>
                <w:color w:val="auto"/>
              </w:rPr>
            </w:pPr>
          </w:p>
        </w:tc>
        <w:tc>
          <w:tcPr>
            <w:tcW w:w="460" w:type="dxa"/>
            <w:vAlign w:val="bottom"/>
            <w:shd w:val="clear" w:color="auto" w:fill="E7F2F9"/>
          </w:tcPr>
          <w:p>
            <w:pPr>
              <w:spacing w:after="0"/>
              <w:rPr>
                <w:sz w:val="20"/>
                <w:szCs w:val="20"/>
                <w:color w:val="auto"/>
              </w:rPr>
            </w:pPr>
          </w:p>
        </w:tc>
        <w:tc>
          <w:tcPr>
            <w:tcW w:w="10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9.43</w:t>
            </w:r>
          </w:p>
        </w:tc>
      </w:tr>
      <w:tr>
        <w:trPr>
          <w:trHeight w:val="257"/>
        </w:trPr>
        <w:tc>
          <w:tcPr>
            <w:tcW w:w="4820" w:type="dxa"/>
            <w:vAlign w:val="bottom"/>
            <w:tcBorders>
              <w:top w:val="single" w:sz="8" w:color="E7F2F9"/>
              <w:bottom w:val="single" w:sz="8" w:color="E7F2F9"/>
            </w:tcBorders>
            <w:shd w:val="clear" w:color="auto" w:fill="E7F2F9"/>
          </w:tcPr>
          <w:p>
            <w:pPr>
              <w:ind w:left="20"/>
              <w:spacing w:after="0"/>
              <w:rPr>
                <w:sz w:val="20"/>
                <w:szCs w:val="20"/>
                <w:color w:val="auto"/>
              </w:rPr>
            </w:pPr>
            <w:r>
              <w:rPr>
                <w:rFonts w:ascii="Arial" w:cs="Arial" w:eastAsia="Arial" w:hAnsi="Arial"/>
                <w:sz w:val="15"/>
                <w:szCs w:val="15"/>
                <w:color w:val="1383C6"/>
              </w:rPr>
              <w:t>Outstanding at March 31, 2026</w:t>
            </w:r>
          </w:p>
        </w:tc>
        <w:tc>
          <w:tcPr>
            <w:tcW w:w="1600" w:type="dxa"/>
            <w:vAlign w:val="bottom"/>
            <w:tcBorders>
              <w:top w:val="single" w:sz="8" w:color="auto"/>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19,226</w:t>
            </w:r>
          </w:p>
        </w:tc>
        <w:tc>
          <w:tcPr>
            <w:tcW w:w="80" w:type="dxa"/>
            <w:vAlign w:val="bottom"/>
            <w:tcBorders>
              <w:top w:val="single" w:sz="8" w:color="E7F2F9"/>
              <w:bottom w:val="single" w:sz="8" w:color="E7F2F9"/>
            </w:tcBorders>
            <w:shd w:val="clear" w:color="auto" w:fill="E7F2F9"/>
          </w:tcPr>
          <w:p>
            <w:pPr>
              <w:spacing w:after="0"/>
              <w:rPr>
                <w:sz w:val="21"/>
                <w:szCs w:val="21"/>
                <w:color w:val="auto"/>
              </w:rPr>
            </w:pPr>
          </w:p>
        </w:tc>
        <w:tc>
          <w:tcPr>
            <w:tcW w:w="1580" w:type="dxa"/>
            <w:vAlign w:val="bottom"/>
            <w:tcBorders>
              <w:top w:val="single" w:sz="8" w:color="auto"/>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w:t>
            </w:r>
          </w:p>
        </w:tc>
        <w:tc>
          <w:tcPr>
            <w:tcW w:w="380" w:type="dxa"/>
            <w:vAlign w:val="bottom"/>
            <w:tcBorders>
              <w:top w:val="single" w:sz="8" w:color="E7F2F9"/>
              <w:bottom w:val="single" w:sz="8" w:color="E7F2F9"/>
            </w:tcBorders>
            <w:gridSpan w:val="2"/>
            <w:shd w:val="clear" w:color="auto" w:fill="E7F2F9"/>
          </w:tcPr>
          <w:p>
            <w:pPr>
              <w:jc w:val="right"/>
              <w:ind w:right="180"/>
              <w:spacing w:after="0"/>
              <w:rPr>
                <w:sz w:val="20"/>
                <w:szCs w:val="20"/>
                <w:color w:val="auto"/>
              </w:rPr>
            </w:pPr>
            <w:r>
              <w:rPr>
                <w:rFonts w:ascii="Arial" w:cs="Arial" w:eastAsia="Arial" w:hAnsi="Arial"/>
                <w:sz w:val="15"/>
                <w:szCs w:val="15"/>
                <w:color w:val="1383C6"/>
              </w:rPr>
              <w:t>$</w:t>
            </w:r>
          </w:p>
        </w:tc>
        <w:tc>
          <w:tcPr>
            <w:tcW w:w="1200" w:type="dxa"/>
            <w:vAlign w:val="bottom"/>
            <w:tcBorders>
              <w:top w:val="single" w:sz="8" w:color="E7F2F9"/>
              <w:bottom w:val="single" w:sz="8" w:color="E7F2F9"/>
            </w:tcBorders>
            <w:shd w:val="clear" w:color="auto" w:fill="E7F2F9"/>
          </w:tcPr>
          <w:p>
            <w:pPr>
              <w:jc w:val="right"/>
              <w:spacing w:after="0"/>
              <w:rPr>
                <w:sz w:val="20"/>
                <w:szCs w:val="20"/>
                <w:color w:val="auto"/>
              </w:rPr>
            </w:pPr>
            <w:r>
              <w:rPr>
                <w:rFonts w:ascii="Arial" w:cs="Arial" w:eastAsia="Arial" w:hAnsi="Arial"/>
                <w:sz w:val="15"/>
                <w:szCs w:val="15"/>
                <w:color w:val="1383C6"/>
              </w:rPr>
              <w:t>2.60</w:t>
            </w:r>
          </w:p>
        </w:tc>
        <w:tc>
          <w:tcPr>
            <w:tcW w:w="80" w:type="dxa"/>
            <w:vAlign w:val="bottom"/>
            <w:tcBorders>
              <w:top w:val="single" w:sz="8" w:color="E7F2F9"/>
              <w:bottom w:val="single" w:sz="8" w:color="E7F2F9"/>
            </w:tcBorders>
            <w:shd w:val="clear" w:color="auto" w:fill="E7F2F9"/>
          </w:tcPr>
          <w:p>
            <w:pPr>
              <w:spacing w:after="0"/>
              <w:rPr>
                <w:sz w:val="21"/>
                <w:szCs w:val="21"/>
                <w:color w:val="auto"/>
              </w:rPr>
            </w:pPr>
          </w:p>
        </w:tc>
        <w:tc>
          <w:tcPr>
            <w:tcW w:w="460" w:type="dxa"/>
            <w:vAlign w:val="bottom"/>
            <w:tcBorders>
              <w:top w:val="single" w:sz="8" w:color="E7F2F9"/>
              <w:bottom w:val="single" w:sz="8" w:color="E7F2F9"/>
            </w:tcBorders>
            <w:shd w:val="clear" w:color="auto" w:fill="E7F2F9"/>
          </w:tcPr>
          <w:p>
            <w:pPr>
              <w:jc w:val="right"/>
              <w:ind w:right="263"/>
              <w:spacing w:after="0"/>
              <w:rPr>
                <w:sz w:val="20"/>
                <w:szCs w:val="20"/>
                <w:color w:val="auto"/>
              </w:rPr>
            </w:pPr>
            <w:r>
              <w:rPr>
                <w:rFonts w:ascii="Arial" w:cs="Arial" w:eastAsia="Arial" w:hAnsi="Arial"/>
                <w:sz w:val="15"/>
                <w:szCs w:val="15"/>
                <w:color w:val="1383C6"/>
              </w:rPr>
              <w:t>$</w:t>
            </w:r>
          </w:p>
        </w:tc>
        <w:tc>
          <w:tcPr>
            <w:tcW w:w="1040" w:type="dxa"/>
            <w:vAlign w:val="bottom"/>
            <w:tcBorders>
              <w:top w:val="single" w:sz="8" w:color="E7F2F9"/>
              <w:bottom w:val="single" w:sz="8" w:color="E7F2F9"/>
            </w:tcBorders>
            <w:shd w:val="clear" w:color="auto" w:fill="E7F2F9"/>
          </w:tcPr>
          <w:p>
            <w:pPr>
              <w:jc w:val="right"/>
              <w:spacing w:after="0"/>
              <w:rPr>
                <w:sz w:val="20"/>
                <w:szCs w:val="20"/>
                <w:color w:val="auto"/>
              </w:rPr>
            </w:pPr>
            <w:r>
              <w:rPr>
                <w:rFonts w:ascii="Arial" w:cs="Arial" w:eastAsia="Arial" w:hAnsi="Arial"/>
                <w:sz w:val="15"/>
                <w:szCs w:val="15"/>
                <w:color w:val="1383C6"/>
              </w:rPr>
              <w:t>—</w:t>
            </w:r>
          </w:p>
        </w:tc>
      </w:tr>
      <w:tr>
        <w:trPr>
          <w:trHeight w:val="20"/>
        </w:trPr>
        <w:tc>
          <w:tcPr>
            <w:tcW w:w="4820" w:type="dxa"/>
            <w:vAlign w:val="bottom"/>
            <w:tcBorders>
              <w:top w:val="single" w:sz="8" w:color="E7F2F9"/>
            </w:tcBorders>
          </w:tcPr>
          <w:p>
            <w:pPr>
              <w:spacing w:after="0" w:line="20" w:lineRule="exact"/>
              <w:rPr>
                <w:sz w:val="1"/>
                <w:szCs w:val="1"/>
                <w:color w:val="auto"/>
              </w:rPr>
            </w:pPr>
          </w:p>
        </w:tc>
        <w:tc>
          <w:tcPr>
            <w:tcW w:w="1600" w:type="dxa"/>
            <w:vAlign w:val="bottom"/>
            <w:tcBorders>
              <w:top w:val="single" w:sz="8" w:color="E7F2F9"/>
              <w:bottom w:val="single" w:sz="8" w:color="auto"/>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1580" w:type="dxa"/>
            <w:vAlign w:val="bottom"/>
            <w:tcBorders>
              <w:top w:val="single" w:sz="8" w:color="E7F2F9"/>
              <w:bottom w:val="single" w:sz="8" w:color="auto"/>
            </w:tcBorders>
          </w:tcPr>
          <w:p>
            <w:pPr>
              <w:spacing w:after="0" w:line="20" w:lineRule="exact"/>
              <w:rPr>
                <w:sz w:val="1"/>
                <w:szCs w:val="1"/>
                <w:color w:val="auto"/>
              </w:rPr>
            </w:pPr>
          </w:p>
        </w:tc>
        <w:tc>
          <w:tcPr>
            <w:tcW w:w="100" w:type="dxa"/>
            <w:vAlign w:val="bottom"/>
            <w:tcBorders>
              <w:top w:val="single" w:sz="8" w:color="E7F2F9"/>
            </w:tcBorders>
          </w:tcPr>
          <w:p>
            <w:pPr>
              <w:spacing w:after="0" w:line="20" w:lineRule="exact"/>
              <w:rPr>
                <w:sz w:val="1"/>
                <w:szCs w:val="1"/>
                <w:color w:val="auto"/>
              </w:rPr>
            </w:pPr>
          </w:p>
        </w:tc>
        <w:tc>
          <w:tcPr>
            <w:tcW w:w="280" w:type="dxa"/>
            <w:vAlign w:val="bottom"/>
            <w:tcBorders>
              <w:top w:val="single" w:sz="8" w:color="E7F2F9"/>
            </w:tcBorders>
          </w:tcPr>
          <w:p>
            <w:pPr>
              <w:spacing w:after="0" w:line="20" w:lineRule="exact"/>
              <w:rPr>
                <w:sz w:val="1"/>
                <w:szCs w:val="1"/>
                <w:color w:val="auto"/>
              </w:rPr>
            </w:pPr>
          </w:p>
        </w:tc>
        <w:tc>
          <w:tcPr>
            <w:tcW w:w="1200" w:type="dxa"/>
            <w:vAlign w:val="bottom"/>
            <w:tcBorders>
              <w:top w:val="single" w:sz="8" w:color="E7F2F9"/>
            </w:tcBorders>
          </w:tcPr>
          <w:p>
            <w:pPr>
              <w:spacing w:after="0" w:line="20" w:lineRule="exact"/>
              <w:rPr>
                <w:sz w:val="1"/>
                <w:szCs w:val="1"/>
                <w:color w:val="auto"/>
              </w:rPr>
            </w:pPr>
          </w:p>
        </w:tc>
        <w:tc>
          <w:tcPr>
            <w:tcW w:w="80" w:type="dxa"/>
            <w:vAlign w:val="bottom"/>
            <w:tcBorders>
              <w:top w:val="single" w:sz="8" w:color="E7F2F9"/>
            </w:tcBorders>
          </w:tcPr>
          <w:p>
            <w:pPr>
              <w:spacing w:after="0" w:line="20" w:lineRule="exact"/>
              <w:rPr>
                <w:sz w:val="1"/>
                <w:szCs w:val="1"/>
                <w:color w:val="auto"/>
              </w:rPr>
            </w:pPr>
          </w:p>
        </w:tc>
        <w:tc>
          <w:tcPr>
            <w:tcW w:w="460" w:type="dxa"/>
            <w:vAlign w:val="bottom"/>
            <w:tcBorders>
              <w:top w:val="single" w:sz="8" w:color="E7F2F9"/>
            </w:tcBorders>
          </w:tcPr>
          <w:p>
            <w:pPr>
              <w:spacing w:after="0" w:line="20" w:lineRule="exact"/>
              <w:rPr>
                <w:sz w:val="1"/>
                <w:szCs w:val="1"/>
                <w:color w:val="auto"/>
              </w:rPr>
            </w:pPr>
          </w:p>
        </w:tc>
        <w:tc>
          <w:tcPr>
            <w:tcW w:w="1040" w:type="dxa"/>
            <w:vAlign w:val="bottom"/>
            <w:tcBorders>
              <w:top w:val="single" w:sz="8" w:color="E7F2F9"/>
            </w:tcBorders>
          </w:tcPr>
          <w:p>
            <w:pPr>
              <w:spacing w:after="0" w:line="20" w:lineRule="exact"/>
              <w:rPr>
                <w:sz w:val="1"/>
                <w:szCs w:val="1"/>
                <w:color w:val="auto"/>
              </w:rPr>
            </w:pPr>
          </w:p>
        </w:tc>
      </w:tr>
    </w:tbl>
    <w:p>
      <w:pPr>
        <w:spacing w:after="0" w:line="27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Employee Stock Purchase Plan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Shares issued under our ESPP were 1,266,217 and 1,752,417 during the three months ended March 31, 2026 and 2025, respectively. In the first quarter of 2026, an additional 4.0 million shares were reserved under the ESPP. As of March 31, 2026, 17.9 million shares of our common stock remain available for issuance under our ESPP.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share-based compensation expense:</w:t>
      </w:r>
    </w:p>
    <w:p>
      <w:pPr>
        <w:spacing w:after="0" w:line="117" w:lineRule="exact"/>
        <w:rPr>
          <w:sz w:val="20"/>
          <w:szCs w:val="20"/>
          <w:color w:val="auto"/>
        </w:rPr>
      </w:pPr>
    </w:p>
    <w:p>
      <w:pPr>
        <w:ind w:left="8560"/>
        <w:spacing w:after="0"/>
        <w:rPr>
          <w:sz w:val="20"/>
          <w:szCs w:val="20"/>
          <w:color w:val="auto"/>
        </w:rPr>
      </w:pPr>
      <w:r>
        <w:rPr>
          <w:rFonts w:ascii="Arial" w:cs="Arial" w:eastAsia="Arial" w:hAnsi="Arial"/>
          <w:sz w:val="15"/>
          <w:szCs w:val="15"/>
          <w:b w:val="1"/>
          <w:bCs w:val="1"/>
          <w:color w:val="auto"/>
        </w:rPr>
        <w:t>Three Months Ended March 31,</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8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shd w:val="clear" w:color="auto" w:fill="E7F2F9"/>
          </w:tcPr>
          <w:p>
            <w:pPr>
              <w:spacing w:after="0"/>
              <w:rPr>
                <w:sz w:val="19"/>
                <w:szCs w:val="19"/>
                <w:color w:val="auto"/>
              </w:rPr>
            </w:pPr>
          </w:p>
        </w:tc>
        <w:tc>
          <w:tcPr>
            <w:tcW w:w="1160" w:type="dxa"/>
            <w:vAlign w:val="bottom"/>
            <w:tcBorders>
              <w:top w:val="single" w:sz="8" w:color="auto"/>
              <w:bottom w:val="single" w:sz="8" w:color="auto"/>
            </w:tcBorders>
            <w:shd w:val="clear" w:color="auto" w:fill="E7F2F9"/>
          </w:tcPr>
          <w:p>
            <w:pPr>
              <w:jc w:val="right"/>
              <w:ind w:right="503"/>
              <w:spacing w:after="0"/>
              <w:rPr>
                <w:sz w:val="20"/>
                <w:szCs w:val="20"/>
                <w:color w:val="auto"/>
              </w:rPr>
            </w:pPr>
            <w:r>
              <w:rPr>
                <w:rFonts w:ascii="Arial" w:cs="Arial" w:eastAsia="Arial" w:hAnsi="Arial"/>
                <w:sz w:val="15"/>
                <w:szCs w:val="15"/>
                <w:b w:val="1"/>
                <w:bCs w:val="1"/>
                <w:color w:val="1383C6"/>
              </w:rPr>
              <w:t>2026</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2025</w:t>
            </w:r>
          </w:p>
        </w:tc>
      </w:tr>
      <w:tr>
        <w:trPr>
          <w:trHeight w:val="214"/>
        </w:trPr>
        <w:tc>
          <w:tcPr>
            <w:tcW w:w="8140" w:type="dxa"/>
            <w:vAlign w:val="bottom"/>
          </w:tcPr>
          <w:p>
            <w:pPr>
              <w:spacing w:after="0"/>
              <w:rPr>
                <w:sz w:val="20"/>
                <w:szCs w:val="20"/>
                <w:color w:val="auto"/>
              </w:rPr>
            </w:pPr>
            <w:r>
              <w:rPr>
                <w:rFonts w:ascii="Arial" w:cs="Arial" w:eastAsia="Arial" w:hAnsi="Arial"/>
                <w:sz w:val="15"/>
                <w:szCs w:val="15"/>
                <w:color w:val="auto"/>
              </w:rPr>
              <w:t>Cost of revenue</w:t>
            </w:r>
          </w:p>
        </w:tc>
        <w:tc>
          <w:tcPr>
            <w:tcW w:w="340" w:type="dxa"/>
            <w:vAlign w:val="bottom"/>
            <w:shd w:val="clear" w:color="auto" w:fill="E7F2F9"/>
          </w:tcPr>
          <w:p>
            <w:pPr>
              <w:jc w:val="right"/>
              <w:ind w:right="163"/>
              <w:spacing w:after="0"/>
              <w:rPr>
                <w:sz w:val="20"/>
                <w:szCs w:val="20"/>
                <w:color w:val="auto"/>
              </w:rPr>
            </w:pPr>
            <w:r>
              <w:rPr>
                <w:rFonts w:ascii="Arial" w:cs="Arial" w:eastAsia="Arial" w:hAnsi="Arial"/>
                <w:sz w:val="15"/>
                <w:szCs w:val="15"/>
                <w:color w:val="1383C6"/>
                <w:w w:val="95"/>
              </w:rPr>
              <w:t>$</w:t>
            </w:r>
          </w:p>
        </w:tc>
        <w:tc>
          <w:tcPr>
            <w:tcW w:w="116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648</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1,165</w:t>
            </w:r>
          </w:p>
        </w:tc>
      </w:tr>
      <w:tr>
        <w:trPr>
          <w:trHeight w:val="232"/>
        </w:trPr>
        <w:tc>
          <w:tcPr>
            <w:tcW w:w="814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340" w:type="dxa"/>
            <w:vAlign w:val="bottom"/>
            <w:shd w:val="clear" w:color="auto" w:fill="E7F2F9"/>
          </w:tcPr>
          <w:p>
            <w:pPr>
              <w:spacing w:after="0"/>
              <w:rPr>
                <w:sz w:val="20"/>
                <w:szCs w:val="20"/>
                <w:color w:val="auto"/>
              </w:rPr>
            </w:pPr>
          </w:p>
        </w:tc>
        <w:tc>
          <w:tcPr>
            <w:tcW w:w="116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(772)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2,607</w:t>
            </w:r>
          </w:p>
        </w:tc>
      </w:tr>
      <w:tr>
        <w:trPr>
          <w:trHeight w:val="239"/>
        </w:trPr>
        <w:tc>
          <w:tcPr>
            <w:tcW w:w="8140" w:type="dxa"/>
            <w:vAlign w:val="bottom"/>
          </w:tcPr>
          <w:p>
            <w:pPr>
              <w:spacing w:after="0"/>
              <w:rPr>
                <w:sz w:val="20"/>
                <w:szCs w:val="20"/>
                <w:color w:val="auto"/>
              </w:rPr>
            </w:pPr>
            <w:r>
              <w:rPr>
                <w:rFonts w:ascii="Arial" w:cs="Arial" w:eastAsia="Arial" w:hAnsi="Arial"/>
                <w:sz w:val="15"/>
                <w:szCs w:val="15"/>
                <w:color w:val="auto"/>
              </w:rPr>
              <w:t>Sales, general and administrative</w:t>
            </w:r>
          </w:p>
        </w:tc>
        <w:tc>
          <w:tcPr>
            <w:tcW w:w="340" w:type="dxa"/>
            <w:vAlign w:val="bottom"/>
            <w:tcBorders>
              <w:bottom w:val="single" w:sz="8" w:color="auto"/>
            </w:tcBorders>
            <w:shd w:val="clear" w:color="auto" w:fill="E7F2F9"/>
          </w:tcPr>
          <w:p>
            <w:pPr>
              <w:spacing w:after="0"/>
              <w:rPr>
                <w:sz w:val="20"/>
                <w:szCs w:val="20"/>
                <w:color w:val="auto"/>
              </w:rPr>
            </w:pPr>
          </w:p>
        </w:tc>
        <w:tc>
          <w:tcPr>
            <w:tcW w:w="116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4,583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5,429</w:t>
            </w:r>
          </w:p>
        </w:tc>
      </w:tr>
      <w:tr>
        <w:trPr>
          <w:trHeight w:val="252"/>
        </w:trPr>
        <w:tc>
          <w:tcPr>
            <w:tcW w:w="8140" w:type="dxa"/>
            <w:vAlign w:val="bottom"/>
          </w:tcPr>
          <w:p>
            <w:pPr>
              <w:ind w:left="200"/>
              <w:spacing w:after="0"/>
              <w:rPr>
                <w:sz w:val="20"/>
                <w:szCs w:val="20"/>
                <w:color w:val="auto"/>
              </w:rPr>
            </w:pPr>
            <w:r>
              <w:rPr>
                <w:rFonts w:ascii="Arial" w:cs="Arial" w:eastAsia="Arial" w:hAnsi="Arial"/>
                <w:sz w:val="15"/>
                <w:szCs w:val="15"/>
                <w:color w:val="auto"/>
              </w:rPr>
              <w:t>Total share-based compensation expense</w:t>
            </w:r>
          </w:p>
        </w:tc>
        <w:tc>
          <w:tcPr>
            <w:tcW w:w="340" w:type="dxa"/>
            <w:vAlign w:val="bottom"/>
            <w:shd w:val="clear" w:color="auto" w:fill="E7F2F9"/>
          </w:tcPr>
          <w:p>
            <w:pPr>
              <w:jc w:val="right"/>
              <w:ind w:right="163"/>
              <w:spacing w:after="0"/>
              <w:rPr>
                <w:sz w:val="20"/>
                <w:szCs w:val="20"/>
                <w:color w:val="auto"/>
              </w:rPr>
            </w:pPr>
            <w:r>
              <w:rPr>
                <w:rFonts w:ascii="Arial" w:cs="Arial" w:eastAsia="Arial" w:hAnsi="Arial"/>
                <w:sz w:val="15"/>
                <w:szCs w:val="15"/>
                <w:color w:val="1383C6"/>
                <w:w w:val="95"/>
              </w:rPr>
              <w:t>$</w:t>
            </w:r>
          </w:p>
        </w:tc>
        <w:tc>
          <w:tcPr>
            <w:tcW w:w="116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4,459</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9,201</w:t>
            </w:r>
          </w:p>
        </w:tc>
      </w:tr>
      <w:tr>
        <w:trPr>
          <w:trHeight w:val="20"/>
        </w:trPr>
        <w:tc>
          <w:tcPr>
            <w:tcW w:w="8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254000</wp:posOffset>
            </wp:positionV>
            <wp:extent cx="71386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22</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Determining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estimate the fair value of stock options granted using the Black-Scholes valuation method and a single option award approach. When determining the current share prices underlying the stock options for calculating the grant-date fair value, we reference the observable market prices of our stock. This fair value is then amortized on a straight-line basis over the requisite service periods of the awards, which is generally the vesting period. The fair market value of RSUs and PSUs granted is the closing price of our shares on the date of grant and is generally recognized as compensation expense on a straight-line basis over the respective vesting period. For shares purchased under our ESPP, we estimate the grant-date fair value, and the resulting share-based compensation expense, using the Black-Scholes option-pricing model. We estimate forfeitures of stock options, RSUs and shares purchased under our ESPP which is utilized to determine the compensation expense to be recorded over the requisite service period.</w:t>
      </w:r>
    </w:p>
    <w:p>
      <w:pPr>
        <w:spacing w:after="0" w:line="282" w:lineRule="exact"/>
        <w:rPr>
          <w:sz w:val="20"/>
          <w:szCs w:val="20"/>
          <w:color w:val="auto"/>
        </w:rPr>
      </w:pPr>
    </w:p>
    <w:p>
      <w:pPr>
        <w:jc w:val="both"/>
        <w:ind w:left="620" w:hanging="307"/>
        <w:spacing w:after="0" w:line="271" w:lineRule="auto"/>
        <w:tabs>
          <w:tab w:leader="none" w:pos="616" w:val="left"/>
        </w:tabs>
        <w:numPr>
          <w:ilvl w:val="0"/>
          <w:numId w:val="3"/>
        </w:numPr>
        <w:rPr>
          <w:rFonts w:ascii="Arial" w:cs="Arial" w:eastAsia="Arial" w:hAnsi="Arial"/>
          <w:sz w:val="17"/>
          <w:szCs w:val="17"/>
          <w:b w:val="1"/>
          <w:bCs w:val="1"/>
          <w:color w:val="DF1995"/>
        </w:rPr>
      </w:pPr>
      <w:r>
        <w:rPr>
          <w:rFonts w:ascii="Arial" w:cs="Arial" w:eastAsia="Arial" w:hAnsi="Arial"/>
          <w:sz w:val="17"/>
          <w:szCs w:val="17"/>
          <w:color w:val="auto"/>
        </w:rPr>
        <w:t>Expected Term - The expected term used in the Black-Scholes valuation method represents the period that the stock options are expected to be outstanding and is determined based on historical experience of similar awards, considering the contractual terms of the stock options and vesting schedules.</w:t>
      </w:r>
    </w:p>
    <w:p>
      <w:pPr>
        <w:spacing w:after="0" w:line="59"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3"/>
        </w:numPr>
        <w:rPr>
          <w:rFonts w:ascii="Arial" w:cs="Arial" w:eastAsia="Arial" w:hAnsi="Arial"/>
          <w:sz w:val="17"/>
          <w:szCs w:val="17"/>
          <w:b w:val="1"/>
          <w:bCs w:val="1"/>
          <w:color w:val="DF1995"/>
        </w:rPr>
      </w:pPr>
      <w:r>
        <w:rPr>
          <w:rFonts w:ascii="Arial" w:cs="Arial" w:eastAsia="Arial" w:hAnsi="Arial"/>
          <w:sz w:val="17"/>
          <w:szCs w:val="17"/>
          <w:color w:val="auto"/>
        </w:rPr>
        <w:t>Expected Volatility - The expected volatility used in the Black-Scholes valuation method is derived from the implied volatility related to our share price over the expected term.</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3"/>
        </w:numPr>
        <w:rPr>
          <w:rFonts w:ascii="Arial" w:cs="Arial" w:eastAsia="Arial" w:hAnsi="Arial"/>
          <w:sz w:val="17"/>
          <w:szCs w:val="17"/>
          <w:b w:val="1"/>
          <w:bCs w:val="1"/>
          <w:color w:val="DF1995"/>
        </w:rPr>
      </w:pPr>
      <w:r>
        <w:rPr>
          <w:rFonts w:ascii="Arial" w:cs="Arial" w:eastAsia="Arial" w:hAnsi="Arial"/>
          <w:sz w:val="17"/>
          <w:szCs w:val="17"/>
          <w:color w:val="auto"/>
        </w:rPr>
        <w:t>Expected Dividend - We have never paid dividends on our shares and, accordingly, the dividend yield percentage is zero for all periods.</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3"/>
        </w:numPr>
        <w:rPr>
          <w:rFonts w:ascii="Arial" w:cs="Arial" w:eastAsia="Arial" w:hAnsi="Arial"/>
          <w:sz w:val="17"/>
          <w:szCs w:val="17"/>
          <w:b w:val="1"/>
          <w:bCs w:val="1"/>
          <w:color w:val="DF1995"/>
        </w:rPr>
      </w:pPr>
      <w:r>
        <w:rPr>
          <w:rFonts w:ascii="Arial" w:cs="Arial" w:eastAsia="Arial" w:hAnsi="Arial"/>
          <w:sz w:val="17"/>
          <w:szCs w:val="17"/>
          <w:color w:val="auto"/>
        </w:rPr>
        <w:t>Risk-Free Interest Rate - The risk-free interest rate used in the Black-Scholes valuation method is the implied yield currently available on U.S. Treasury constant maturities issued with a term equivalent to the expected terms.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employee stock options was estimated using the following assumptions: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740" w:type="dxa"/>
            <w:vAlign w:val="bottom"/>
          </w:tcPr>
          <w:p>
            <w:pPr>
              <w:spacing w:after="0"/>
              <w:rPr>
                <w:sz w:val="18"/>
                <w:szCs w:val="18"/>
                <w:color w:val="auto"/>
              </w:rPr>
            </w:pPr>
          </w:p>
        </w:tc>
        <w:tc>
          <w:tcPr>
            <w:tcW w:w="3480" w:type="dxa"/>
            <w:vAlign w:val="bottom"/>
            <w:tcBorders>
              <w:bottom w:val="single" w:sz="8" w:color="auto"/>
            </w:tcBorders>
            <w:gridSpan w:val="5"/>
          </w:tcPr>
          <w:p>
            <w:pPr>
              <w:ind w:left="600"/>
              <w:spacing w:after="0"/>
              <w:rPr>
                <w:sz w:val="20"/>
                <w:szCs w:val="20"/>
                <w:color w:val="auto"/>
              </w:rPr>
            </w:pPr>
            <w:r>
              <w:rPr>
                <w:rFonts w:ascii="Arial" w:cs="Arial" w:eastAsia="Arial" w:hAnsi="Arial"/>
                <w:sz w:val="15"/>
                <w:szCs w:val="15"/>
                <w:b w:val="1"/>
                <w:bCs w:val="1"/>
                <w:color w:val="auto"/>
              </w:rPr>
              <w:t>Three Months Ended March 31,</w:t>
            </w:r>
          </w:p>
        </w:tc>
      </w:tr>
      <w:tr>
        <w:trPr>
          <w:trHeight w:val="225"/>
        </w:trPr>
        <w:tc>
          <w:tcPr>
            <w:tcW w:w="7740" w:type="dxa"/>
            <w:vAlign w:val="bottom"/>
          </w:tcPr>
          <w:p>
            <w:pPr>
              <w:spacing w:after="0"/>
              <w:rPr>
                <w:sz w:val="19"/>
                <w:szCs w:val="19"/>
                <w:color w:val="auto"/>
              </w:rPr>
            </w:pPr>
          </w:p>
        </w:tc>
        <w:tc>
          <w:tcPr>
            <w:tcW w:w="1700" w:type="dxa"/>
            <w:vAlign w:val="bottom"/>
            <w:tcBorders>
              <w:bottom w:val="single" w:sz="8" w:color="auto"/>
            </w:tcBorders>
            <w:gridSpan w:val="3"/>
            <w:shd w:val="clear" w:color="auto" w:fill="E7F2F9"/>
          </w:tcPr>
          <w:p>
            <w:pPr>
              <w:jc w:val="center"/>
              <w:spacing w:after="0"/>
              <w:rPr>
                <w:sz w:val="20"/>
                <w:szCs w:val="20"/>
                <w:color w:val="auto"/>
              </w:rPr>
            </w:pPr>
            <w:r>
              <w:rPr>
                <w:rFonts w:ascii="Arial" w:cs="Arial" w:eastAsia="Arial" w:hAnsi="Arial"/>
                <w:sz w:val="15"/>
                <w:szCs w:val="15"/>
                <w:b w:val="1"/>
                <w:bCs w:val="1"/>
                <w:color w:val="1383C6"/>
              </w:rPr>
              <w:t>2026</w:t>
            </w:r>
          </w:p>
        </w:tc>
        <w:tc>
          <w:tcPr>
            <w:tcW w:w="1780" w:type="dxa"/>
            <w:vAlign w:val="bottom"/>
            <w:tcBorders>
              <w:bottom w:val="single" w:sz="8" w:color="auto"/>
            </w:tcBorders>
            <w:gridSpan w:val="2"/>
          </w:tcPr>
          <w:p>
            <w:pPr>
              <w:jc w:val="center"/>
              <w:ind w:left="3"/>
              <w:spacing w:after="0"/>
              <w:rPr>
                <w:sz w:val="20"/>
                <w:szCs w:val="20"/>
                <w:color w:val="auto"/>
              </w:rPr>
            </w:pPr>
            <w:r>
              <w:rPr>
                <w:rFonts w:ascii="Arial" w:cs="Arial" w:eastAsia="Arial" w:hAnsi="Arial"/>
                <w:sz w:val="15"/>
                <w:szCs w:val="15"/>
                <w:b w:val="1"/>
                <w:bCs w:val="1"/>
                <w:color w:val="auto"/>
              </w:rPr>
              <w:t>2025</w:t>
            </w:r>
          </w:p>
        </w:tc>
      </w:tr>
      <w:tr>
        <w:trPr>
          <w:trHeight w:val="214"/>
        </w:trPr>
        <w:tc>
          <w:tcPr>
            <w:tcW w:w="7740" w:type="dxa"/>
            <w:vAlign w:val="bottom"/>
          </w:tcPr>
          <w:p>
            <w:pPr>
              <w:spacing w:after="0"/>
              <w:rPr>
                <w:sz w:val="20"/>
                <w:szCs w:val="20"/>
                <w:color w:val="auto"/>
              </w:rPr>
            </w:pPr>
            <w:r>
              <w:rPr>
                <w:rFonts w:ascii="Arial" w:cs="Arial" w:eastAsia="Arial" w:hAnsi="Arial"/>
                <w:sz w:val="15"/>
                <w:szCs w:val="15"/>
                <w:color w:val="auto"/>
              </w:rPr>
              <w:t>Expected term in years</w:t>
            </w:r>
          </w:p>
        </w:tc>
        <w:tc>
          <w:tcPr>
            <w:tcW w:w="960" w:type="dxa"/>
            <w:vAlign w:val="bottom"/>
            <w:gridSpan w:val="2"/>
            <w:shd w:val="clear" w:color="auto" w:fill="E7F2F9"/>
          </w:tcPr>
          <w:p>
            <w:pPr>
              <w:jc w:val="center"/>
              <w:ind w:left="643"/>
              <w:spacing w:after="0"/>
              <w:rPr>
                <w:sz w:val="20"/>
                <w:szCs w:val="20"/>
                <w:color w:val="auto"/>
              </w:rPr>
            </w:pPr>
            <w:r>
              <w:rPr>
                <w:rFonts w:ascii="Arial" w:cs="Arial" w:eastAsia="Arial" w:hAnsi="Arial"/>
                <w:sz w:val="15"/>
                <w:szCs w:val="15"/>
                <w:color w:val="1383C6"/>
                <w:w w:val="95"/>
              </w:rPr>
              <w:t>4.9</w:t>
            </w:r>
          </w:p>
        </w:tc>
        <w:tc>
          <w:tcPr>
            <w:tcW w:w="740" w:type="dxa"/>
            <w:vAlign w:val="bottom"/>
            <w:shd w:val="clear" w:color="auto" w:fill="E7F2F9"/>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jc w:val="center"/>
              <w:ind w:right="663"/>
              <w:spacing w:after="0"/>
              <w:rPr>
                <w:sz w:val="20"/>
                <w:szCs w:val="20"/>
                <w:color w:val="auto"/>
              </w:rPr>
            </w:pPr>
            <w:r>
              <w:rPr>
                <w:rFonts w:ascii="Arial" w:cs="Arial" w:eastAsia="Arial" w:hAnsi="Arial"/>
                <w:sz w:val="15"/>
                <w:szCs w:val="15"/>
                <w:color w:val="auto"/>
              </w:rPr>
              <w:t>4.9</w:t>
            </w:r>
          </w:p>
        </w:tc>
      </w:tr>
      <w:tr>
        <w:trPr>
          <w:trHeight w:val="232"/>
        </w:trPr>
        <w:tc>
          <w:tcPr>
            <w:tcW w:w="7740" w:type="dxa"/>
            <w:vAlign w:val="bottom"/>
          </w:tcPr>
          <w:p>
            <w:pPr>
              <w:spacing w:after="0"/>
              <w:rPr>
                <w:sz w:val="20"/>
                <w:szCs w:val="20"/>
                <w:color w:val="auto"/>
              </w:rPr>
            </w:pPr>
            <w:r>
              <w:rPr>
                <w:rFonts w:ascii="Arial" w:cs="Arial" w:eastAsia="Arial" w:hAnsi="Arial"/>
                <w:sz w:val="15"/>
                <w:szCs w:val="15"/>
                <w:color w:val="auto"/>
              </w:rPr>
              <w:t>Expected volatility</w:t>
            </w:r>
          </w:p>
        </w:tc>
        <w:tc>
          <w:tcPr>
            <w:tcW w:w="76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96%</w:t>
            </w:r>
          </w:p>
        </w:tc>
        <w:tc>
          <w:tcPr>
            <w:tcW w:w="20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w:t>
            </w:r>
          </w:p>
        </w:tc>
        <w:tc>
          <w:tcPr>
            <w:tcW w:w="74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97%</w:t>
            </w:r>
          </w:p>
        </w:tc>
        <w:tc>
          <w:tcPr>
            <w:tcW w:w="820" w:type="dxa"/>
            <w:vAlign w:val="bottom"/>
          </w:tcPr>
          <w:p>
            <w:pPr>
              <w:jc w:val="right"/>
              <w:spacing w:after="0"/>
              <w:rPr>
                <w:sz w:val="20"/>
                <w:szCs w:val="20"/>
                <w:color w:val="auto"/>
              </w:rPr>
            </w:pPr>
            <w:r>
              <w:rPr>
                <w:rFonts w:ascii="Arial" w:cs="Arial" w:eastAsia="Arial" w:hAnsi="Arial"/>
                <w:sz w:val="15"/>
                <w:szCs w:val="15"/>
                <w:color w:val="auto"/>
              </w:rPr>
              <w:t>95%</w:t>
            </w:r>
          </w:p>
        </w:tc>
        <w:tc>
          <w:tcPr>
            <w:tcW w:w="960" w:type="dxa"/>
            <w:vAlign w:val="bottom"/>
          </w:tcPr>
          <w:p>
            <w:pPr>
              <w:ind w:left="40"/>
              <w:spacing w:after="0"/>
              <w:rPr>
                <w:sz w:val="20"/>
                <w:szCs w:val="20"/>
                <w:color w:val="auto"/>
              </w:rPr>
            </w:pPr>
            <w:r>
              <w:rPr>
                <w:rFonts w:ascii="Arial" w:cs="Arial" w:eastAsia="Arial" w:hAnsi="Arial"/>
                <w:sz w:val="15"/>
                <w:szCs w:val="15"/>
                <w:color w:val="auto"/>
              </w:rPr>
              <w:t>— 96%</w:t>
            </w:r>
          </w:p>
        </w:tc>
      </w:tr>
      <w:tr>
        <w:trPr>
          <w:trHeight w:val="232"/>
        </w:trPr>
        <w:tc>
          <w:tcPr>
            <w:tcW w:w="7740" w:type="dxa"/>
            <w:vAlign w:val="bottom"/>
          </w:tcPr>
          <w:p>
            <w:pPr>
              <w:spacing w:after="0"/>
              <w:rPr>
                <w:sz w:val="20"/>
                <w:szCs w:val="20"/>
                <w:color w:val="auto"/>
              </w:rPr>
            </w:pPr>
            <w:r>
              <w:rPr>
                <w:rFonts w:ascii="Arial" w:cs="Arial" w:eastAsia="Arial" w:hAnsi="Arial"/>
                <w:sz w:val="15"/>
                <w:szCs w:val="15"/>
                <w:color w:val="auto"/>
              </w:rPr>
              <w:t>Risk-free interest rate</w:t>
            </w:r>
          </w:p>
        </w:tc>
        <w:tc>
          <w:tcPr>
            <w:tcW w:w="76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3.48%</w:t>
            </w:r>
          </w:p>
        </w:tc>
        <w:tc>
          <w:tcPr>
            <w:tcW w:w="20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w:t>
            </w:r>
          </w:p>
        </w:tc>
        <w:tc>
          <w:tcPr>
            <w:tcW w:w="74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3.73%</w:t>
            </w:r>
          </w:p>
        </w:tc>
        <w:tc>
          <w:tcPr>
            <w:tcW w:w="820" w:type="dxa"/>
            <w:vAlign w:val="bottom"/>
          </w:tcPr>
          <w:p>
            <w:pPr>
              <w:jc w:val="right"/>
              <w:spacing w:after="0"/>
              <w:rPr>
                <w:sz w:val="20"/>
                <w:szCs w:val="20"/>
                <w:color w:val="auto"/>
              </w:rPr>
            </w:pPr>
            <w:r>
              <w:rPr>
                <w:rFonts w:ascii="Arial" w:cs="Arial" w:eastAsia="Arial" w:hAnsi="Arial"/>
                <w:sz w:val="15"/>
                <w:szCs w:val="15"/>
                <w:color w:val="auto"/>
              </w:rPr>
              <w:t>3.92%</w:t>
            </w:r>
          </w:p>
        </w:tc>
        <w:tc>
          <w:tcPr>
            <w:tcW w:w="960" w:type="dxa"/>
            <w:vAlign w:val="bottom"/>
          </w:tcPr>
          <w:p>
            <w:pPr>
              <w:ind w:left="40"/>
              <w:spacing w:after="0"/>
              <w:rPr>
                <w:sz w:val="20"/>
                <w:szCs w:val="20"/>
                <w:color w:val="auto"/>
              </w:rPr>
            </w:pPr>
            <w:r>
              <w:rPr>
                <w:rFonts w:ascii="Arial" w:cs="Arial" w:eastAsia="Arial" w:hAnsi="Arial"/>
                <w:sz w:val="15"/>
                <w:szCs w:val="15"/>
                <w:color w:val="auto"/>
              </w:rPr>
              <w:t>— 4.29%</w:t>
            </w:r>
          </w:p>
        </w:tc>
      </w:tr>
      <w:tr>
        <w:trPr>
          <w:trHeight w:val="232"/>
        </w:trPr>
        <w:tc>
          <w:tcPr>
            <w:tcW w:w="7740" w:type="dxa"/>
            <w:vAlign w:val="bottom"/>
          </w:tcPr>
          <w:p>
            <w:pPr>
              <w:spacing w:after="0"/>
              <w:rPr>
                <w:sz w:val="20"/>
                <w:szCs w:val="20"/>
                <w:color w:val="auto"/>
              </w:rPr>
            </w:pPr>
            <w:r>
              <w:rPr>
                <w:rFonts w:ascii="Arial" w:cs="Arial" w:eastAsia="Arial" w:hAnsi="Arial"/>
                <w:sz w:val="15"/>
                <w:szCs w:val="15"/>
                <w:color w:val="auto"/>
              </w:rPr>
              <w:t>Dividend yield</w:t>
            </w:r>
          </w:p>
        </w:tc>
        <w:tc>
          <w:tcPr>
            <w:tcW w:w="760" w:type="dxa"/>
            <w:vAlign w:val="bottom"/>
            <w:shd w:val="clear" w:color="auto" w:fill="E7F2F9"/>
          </w:tcPr>
          <w:p>
            <w:pPr>
              <w:spacing w:after="0"/>
              <w:rPr>
                <w:sz w:val="20"/>
                <w:szCs w:val="20"/>
                <w:color w:val="auto"/>
              </w:rPr>
            </w:pPr>
          </w:p>
        </w:tc>
        <w:tc>
          <w:tcPr>
            <w:tcW w:w="200" w:type="dxa"/>
            <w:vAlign w:val="bottom"/>
            <w:shd w:val="clear" w:color="auto" w:fill="E7F2F9"/>
          </w:tcPr>
          <w:p>
            <w:pPr>
              <w:jc w:val="center"/>
              <w:spacing w:after="0"/>
              <w:rPr>
                <w:sz w:val="20"/>
                <w:szCs w:val="20"/>
                <w:color w:val="auto"/>
              </w:rPr>
            </w:pPr>
            <w:r>
              <w:rPr>
                <w:rFonts w:ascii="Arial" w:cs="Arial" w:eastAsia="Arial" w:hAnsi="Arial"/>
                <w:sz w:val="15"/>
                <w:szCs w:val="15"/>
                <w:color w:val="1383C6"/>
              </w:rPr>
              <w:t>—</w:t>
            </w:r>
          </w:p>
        </w:tc>
        <w:tc>
          <w:tcPr>
            <w:tcW w:w="740" w:type="dxa"/>
            <w:vAlign w:val="bottom"/>
            <w:shd w:val="clear" w:color="auto" w:fill="E7F2F9"/>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jc w:val="center"/>
              <w:ind w:right="643"/>
              <w:spacing w:after="0"/>
              <w:rPr>
                <w:sz w:val="20"/>
                <w:szCs w:val="20"/>
                <w:color w:val="auto"/>
              </w:rPr>
            </w:pPr>
            <w:r>
              <w:rPr>
                <w:rFonts w:ascii="Arial" w:cs="Arial" w:eastAsia="Arial" w:hAnsi="Arial"/>
                <w:sz w:val="15"/>
                <w:szCs w:val="15"/>
                <w:color w:val="auto"/>
              </w:rPr>
              <w:t>—</w:t>
            </w:r>
          </w:p>
        </w:tc>
      </w:tr>
      <w:tr>
        <w:trPr>
          <w:trHeight w:val="247"/>
        </w:trPr>
        <w:tc>
          <w:tcPr>
            <w:tcW w:w="7740" w:type="dxa"/>
            <w:vAlign w:val="bottom"/>
          </w:tcPr>
          <w:p>
            <w:pPr>
              <w:spacing w:after="0"/>
              <w:rPr>
                <w:sz w:val="20"/>
                <w:szCs w:val="20"/>
                <w:color w:val="auto"/>
              </w:rPr>
            </w:pPr>
            <w:r>
              <w:rPr>
                <w:rFonts w:ascii="Arial" w:cs="Arial" w:eastAsia="Arial" w:hAnsi="Arial"/>
                <w:sz w:val="15"/>
                <w:szCs w:val="15"/>
                <w:color w:val="auto"/>
              </w:rPr>
              <w:t>Weighted average grant date fair value per share</w:t>
            </w:r>
          </w:p>
        </w:tc>
        <w:tc>
          <w:tcPr>
            <w:tcW w:w="1700" w:type="dxa"/>
            <w:vAlign w:val="bottom"/>
            <w:gridSpan w:val="3"/>
            <w:shd w:val="clear" w:color="auto" w:fill="E7F2F9"/>
          </w:tcPr>
          <w:p>
            <w:pPr>
              <w:jc w:val="center"/>
              <w:spacing w:after="0"/>
              <w:rPr>
                <w:sz w:val="20"/>
                <w:szCs w:val="20"/>
                <w:color w:val="auto"/>
              </w:rPr>
            </w:pPr>
            <w:r>
              <w:rPr>
                <w:rFonts w:ascii="Arial" w:cs="Arial" w:eastAsia="Arial" w:hAnsi="Arial"/>
                <w:sz w:val="15"/>
                <w:szCs w:val="15"/>
                <w:color w:val="1383C6"/>
              </w:rPr>
              <w:t>$1.24</w:t>
            </w:r>
          </w:p>
        </w:tc>
        <w:tc>
          <w:tcPr>
            <w:tcW w:w="1780" w:type="dxa"/>
            <w:vAlign w:val="bottom"/>
            <w:gridSpan w:val="2"/>
          </w:tcPr>
          <w:p>
            <w:pPr>
              <w:jc w:val="center"/>
              <w:ind w:left="3"/>
              <w:spacing w:after="0"/>
              <w:rPr>
                <w:sz w:val="20"/>
                <w:szCs w:val="20"/>
                <w:color w:val="auto"/>
              </w:rPr>
            </w:pPr>
            <w:r>
              <w:rPr>
                <w:rFonts w:ascii="Arial" w:cs="Arial" w:eastAsia="Arial" w:hAnsi="Arial"/>
                <w:sz w:val="15"/>
                <w:szCs w:val="15"/>
                <w:color w:val="auto"/>
              </w:rPr>
              <w:t>$0.91</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shares to be issued under the ESPP was estimated using the following assumptions: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740" w:type="dxa"/>
            <w:vAlign w:val="bottom"/>
          </w:tcPr>
          <w:p>
            <w:pPr>
              <w:spacing w:after="0"/>
              <w:rPr>
                <w:sz w:val="18"/>
                <w:szCs w:val="18"/>
                <w:color w:val="auto"/>
              </w:rPr>
            </w:pPr>
          </w:p>
        </w:tc>
        <w:tc>
          <w:tcPr>
            <w:tcW w:w="3480" w:type="dxa"/>
            <w:vAlign w:val="bottom"/>
            <w:tcBorders>
              <w:bottom w:val="single" w:sz="8" w:color="auto"/>
            </w:tcBorders>
            <w:gridSpan w:val="5"/>
          </w:tcPr>
          <w:p>
            <w:pPr>
              <w:ind w:left="600"/>
              <w:spacing w:after="0"/>
              <w:rPr>
                <w:sz w:val="20"/>
                <w:szCs w:val="20"/>
                <w:color w:val="auto"/>
              </w:rPr>
            </w:pPr>
            <w:r>
              <w:rPr>
                <w:rFonts w:ascii="Arial" w:cs="Arial" w:eastAsia="Arial" w:hAnsi="Arial"/>
                <w:sz w:val="15"/>
                <w:szCs w:val="15"/>
                <w:b w:val="1"/>
                <w:bCs w:val="1"/>
                <w:color w:val="auto"/>
              </w:rPr>
              <w:t>Three Months Ended March 31,</w:t>
            </w:r>
          </w:p>
        </w:tc>
      </w:tr>
      <w:tr>
        <w:trPr>
          <w:trHeight w:val="222"/>
        </w:trPr>
        <w:tc>
          <w:tcPr>
            <w:tcW w:w="7740" w:type="dxa"/>
            <w:vAlign w:val="bottom"/>
          </w:tcPr>
          <w:p>
            <w:pPr>
              <w:spacing w:after="0"/>
              <w:rPr>
                <w:sz w:val="19"/>
                <w:szCs w:val="19"/>
                <w:color w:val="auto"/>
              </w:rPr>
            </w:pPr>
          </w:p>
        </w:tc>
        <w:tc>
          <w:tcPr>
            <w:tcW w:w="1700" w:type="dxa"/>
            <w:vAlign w:val="bottom"/>
            <w:tcBorders>
              <w:bottom w:val="single" w:sz="8" w:color="auto"/>
            </w:tcBorders>
            <w:gridSpan w:val="2"/>
            <w:shd w:val="clear" w:color="auto" w:fill="E7F2F9"/>
          </w:tcPr>
          <w:p>
            <w:pPr>
              <w:jc w:val="center"/>
              <w:spacing w:after="0"/>
              <w:rPr>
                <w:sz w:val="20"/>
                <w:szCs w:val="20"/>
                <w:color w:val="auto"/>
              </w:rPr>
            </w:pPr>
            <w:r>
              <w:rPr>
                <w:rFonts w:ascii="Arial" w:cs="Arial" w:eastAsia="Arial" w:hAnsi="Arial"/>
                <w:sz w:val="15"/>
                <w:szCs w:val="15"/>
                <w:b w:val="1"/>
                <w:bCs w:val="1"/>
                <w:color w:val="1383C6"/>
              </w:rPr>
              <w:t>2026</w:t>
            </w:r>
          </w:p>
        </w:tc>
        <w:tc>
          <w:tcPr>
            <w:tcW w:w="80" w:type="dxa"/>
            <w:vAlign w:val="bottom"/>
          </w:tcPr>
          <w:p>
            <w:pPr>
              <w:spacing w:after="0"/>
              <w:rPr>
                <w:sz w:val="19"/>
                <w:szCs w:val="19"/>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2025</w:t>
            </w:r>
          </w:p>
        </w:tc>
      </w:tr>
      <w:tr>
        <w:trPr>
          <w:trHeight w:val="217"/>
        </w:trPr>
        <w:tc>
          <w:tcPr>
            <w:tcW w:w="7740" w:type="dxa"/>
            <w:vAlign w:val="bottom"/>
          </w:tcPr>
          <w:p>
            <w:pPr>
              <w:spacing w:after="0"/>
              <w:rPr>
                <w:sz w:val="20"/>
                <w:szCs w:val="20"/>
                <w:color w:val="auto"/>
              </w:rPr>
            </w:pPr>
            <w:r>
              <w:rPr>
                <w:rFonts w:ascii="Arial" w:cs="Arial" w:eastAsia="Arial" w:hAnsi="Arial"/>
                <w:sz w:val="15"/>
                <w:szCs w:val="15"/>
                <w:color w:val="auto"/>
              </w:rPr>
              <w:t>Expected term in years</w:t>
            </w:r>
          </w:p>
        </w:tc>
        <w:tc>
          <w:tcPr>
            <w:tcW w:w="7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0.5</w:t>
            </w:r>
          </w:p>
        </w:tc>
        <w:tc>
          <w:tcPr>
            <w:tcW w:w="96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 2.0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0.5</w:t>
            </w:r>
          </w:p>
        </w:tc>
        <w:tc>
          <w:tcPr>
            <w:tcW w:w="940" w:type="dxa"/>
            <w:vAlign w:val="bottom"/>
          </w:tcPr>
          <w:p>
            <w:pPr>
              <w:ind w:left="20"/>
              <w:spacing w:after="0"/>
              <w:rPr>
                <w:sz w:val="20"/>
                <w:szCs w:val="20"/>
                <w:color w:val="auto"/>
              </w:rPr>
            </w:pPr>
            <w:r>
              <w:rPr>
                <w:rFonts w:ascii="Arial" w:cs="Arial" w:eastAsia="Arial" w:hAnsi="Arial"/>
                <w:sz w:val="15"/>
                <w:szCs w:val="15"/>
                <w:color w:val="auto"/>
              </w:rPr>
              <w:t>— 2.0</w:t>
            </w:r>
          </w:p>
        </w:tc>
      </w:tr>
      <w:tr>
        <w:trPr>
          <w:trHeight w:val="232"/>
        </w:trPr>
        <w:tc>
          <w:tcPr>
            <w:tcW w:w="7740" w:type="dxa"/>
            <w:vAlign w:val="bottom"/>
          </w:tcPr>
          <w:p>
            <w:pPr>
              <w:spacing w:after="0"/>
              <w:rPr>
                <w:sz w:val="20"/>
                <w:szCs w:val="20"/>
                <w:color w:val="auto"/>
              </w:rPr>
            </w:pPr>
            <w:r>
              <w:rPr>
                <w:rFonts w:ascii="Arial" w:cs="Arial" w:eastAsia="Arial" w:hAnsi="Arial"/>
                <w:sz w:val="15"/>
                <w:szCs w:val="15"/>
                <w:color w:val="auto"/>
              </w:rPr>
              <w:t>Expected volatility</w:t>
            </w:r>
          </w:p>
        </w:tc>
        <w:tc>
          <w:tcPr>
            <w:tcW w:w="1700" w:type="dxa"/>
            <w:vAlign w:val="bottom"/>
            <w:gridSpan w:val="2"/>
            <w:shd w:val="clear" w:color="auto" w:fill="E7F2F9"/>
          </w:tcPr>
          <w:p>
            <w:pPr>
              <w:jc w:val="center"/>
              <w:spacing w:after="0"/>
              <w:rPr>
                <w:sz w:val="20"/>
                <w:szCs w:val="20"/>
                <w:color w:val="auto"/>
              </w:rPr>
            </w:pPr>
            <w:r>
              <w:rPr>
                <w:rFonts w:ascii="Arial" w:cs="Arial" w:eastAsia="Arial" w:hAnsi="Arial"/>
                <w:sz w:val="15"/>
                <w:szCs w:val="15"/>
                <w:color w:val="1383C6"/>
              </w:rPr>
              <w:t>97%</w:t>
            </w:r>
          </w:p>
        </w:tc>
        <w:tc>
          <w:tcPr>
            <w:tcW w:w="1780" w:type="dxa"/>
            <w:vAlign w:val="bottom"/>
            <w:gridSpan w:val="3"/>
          </w:tcPr>
          <w:p>
            <w:pPr>
              <w:jc w:val="center"/>
              <w:ind w:left="3"/>
              <w:spacing w:after="0"/>
              <w:rPr>
                <w:sz w:val="20"/>
                <w:szCs w:val="20"/>
                <w:color w:val="auto"/>
              </w:rPr>
            </w:pPr>
            <w:r>
              <w:rPr>
                <w:rFonts w:ascii="Arial" w:cs="Arial" w:eastAsia="Arial" w:hAnsi="Arial"/>
                <w:sz w:val="15"/>
                <w:szCs w:val="15"/>
                <w:color w:val="auto"/>
                <w:w w:val="98"/>
              </w:rPr>
              <w:t>113%</w:t>
            </w:r>
          </w:p>
        </w:tc>
      </w:tr>
      <w:tr>
        <w:trPr>
          <w:trHeight w:val="232"/>
        </w:trPr>
        <w:tc>
          <w:tcPr>
            <w:tcW w:w="7740" w:type="dxa"/>
            <w:vAlign w:val="bottom"/>
          </w:tcPr>
          <w:p>
            <w:pPr>
              <w:spacing w:after="0"/>
              <w:rPr>
                <w:sz w:val="20"/>
                <w:szCs w:val="20"/>
                <w:color w:val="auto"/>
              </w:rPr>
            </w:pPr>
            <w:r>
              <w:rPr>
                <w:rFonts w:ascii="Arial" w:cs="Arial" w:eastAsia="Arial" w:hAnsi="Arial"/>
                <w:sz w:val="15"/>
                <w:szCs w:val="15"/>
                <w:color w:val="auto"/>
              </w:rPr>
              <w:t>Risk-free interest rate</w:t>
            </w:r>
          </w:p>
        </w:tc>
        <w:tc>
          <w:tcPr>
            <w:tcW w:w="74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3.47%</w:t>
            </w:r>
          </w:p>
        </w:tc>
        <w:tc>
          <w:tcPr>
            <w:tcW w:w="960" w:type="dxa"/>
            <w:vAlign w:val="bottom"/>
            <w:shd w:val="clear" w:color="auto" w:fill="E7F2F9"/>
          </w:tcPr>
          <w:p>
            <w:pPr>
              <w:ind w:left="20"/>
              <w:spacing w:after="0"/>
              <w:rPr>
                <w:sz w:val="20"/>
                <w:szCs w:val="20"/>
                <w:color w:val="auto"/>
              </w:rPr>
            </w:pPr>
            <w:r>
              <w:rPr>
                <w:rFonts w:ascii="Arial" w:cs="Arial" w:eastAsia="Arial" w:hAnsi="Arial"/>
                <w:sz w:val="15"/>
                <w:szCs w:val="15"/>
                <w:color w:val="1383C6"/>
              </w:rPr>
              <w:t>— 3.68%</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3.96%</w:t>
            </w:r>
          </w:p>
        </w:tc>
        <w:tc>
          <w:tcPr>
            <w:tcW w:w="940" w:type="dxa"/>
            <w:vAlign w:val="bottom"/>
          </w:tcPr>
          <w:p>
            <w:pPr>
              <w:ind w:left="20"/>
              <w:spacing w:after="0"/>
              <w:rPr>
                <w:sz w:val="20"/>
                <w:szCs w:val="20"/>
                <w:color w:val="auto"/>
              </w:rPr>
            </w:pPr>
            <w:r>
              <w:rPr>
                <w:rFonts w:ascii="Arial" w:cs="Arial" w:eastAsia="Arial" w:hAnsi="Arial"/>
                <w:sz w:val="15"/>
                <w:szCs w:val="15"/>
                <w:color w:val="auto"/>
              </w:rPr>
              <w:t>— 4.31%</w:t>
            </w:r>
          </w:p>
        </w:tc>
      </w:tr>
      <w:tr>
        <w:trPr>
          <w:trHeight w:val="232"/>
        </w:trPr>
        <w:tc>
          <w:tcPr>
            <w:tcW w:w="7740" w:type="dxa"/>
            <w:vAlign w:val="bottom"/>
          </w:tcPr>
          <w:p>
            <w:pPr>
              <w:spacing w:after="0"/>
              <w:rPr>
                <w:sz w:val="20"/>
                <w:szCs w:val="20"/>
                <w:color w:val="auto"/>
              </w:rPr>
            </w:pPr>
            <w:r>
              <w:rPr>
                <w:rFonts w:ascii="Arial" w:cs="Arial" w:eastAsia="Arial" w:hAnsi="Arial"/>
                <w:sz w:val="15"/>
                <w:szCs w:val="15"/>
                <w:color w:val="auto"/>
              </w:rPr>
              <w:t>Dividend yield</w:t>
            </w:r>
          </w:p>
        </w:tc>
        <w:tc>
          <w:tcPr>
            <w:tcW w:w="740" w:type="dxa"/>
            <w:vAlign w:val="bottom"/>
            <w:shd w:val="clear" w:color="auto" w:fill="E7F2F9"/>
          </w:tcPr>
          <w:p>
            <w:pPr>
              <w:spacing w:after="0"/>
              <w:rPr>
                <w:sz w:val="20"/>
                <w:szCs w:val="20"/>
                <w:color w:val="auto"/>
              </w:rPr>
            </w:pPr>
          </w:p>
        </w:tc>
        <w:tc>
          <w:tcPr>
            <w:tcW w:w="960" w:type="dxa"/>
            <w:vAlign w:val="bottom"/>
            <w:shd w:val="clear" w:color="auto" w:fill="E7F2F9"/>
          </w:tcPr>
          <w:p>
            <w:pPr>
              <w:jc w:val="center"/>
              <w:ind w:right="683"/>
              <w:spacing w:after="0"/>
              <w:rPr>
                <w:sz w:val="20"/>
                <w:szCs w:val="20"/>
                <w:color w:val="auto"/>
              </w:rPr>
            </w:pPr>
            <w:r>
              <w:rPr>
                <w:rFonts w:ascii="Arial" w:cs="Arial" w:eastAsia="Arial" w:hAnsi="Arial"/>
                <w:sz w:val="15"/>
                <w:szCs w:val="15"/>
                <w:color w:val="1383C6"/>
              </w:rPr>
              <w:t>—</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jc w:val="center"/>
              <w:ind w:right="663"/>
              <w:spacing w:after="0"/>
              <w:rPr>
                <w:sz w:val="20"/>
                <w:szCs w:val="20"/>
                <w:color w:val="auto"/>
              </w:rPr>
            </w:pPr>
            <w:r>
              <w:rPr>
                <w:rFonts w:ascii="Arial" w:cs="Arial" w:eastAsia="Arial" w:hAnsi="Arial"/>
                <w:sz w:val="15"/>
                <w:szCs w:val="15"/>
                <w:color w:val="auto"/>
              </w:rPr>
              <w:t>—</w:t>
            </w:r>
          </w:p>
        </w:tc>
      </w:tr>
      <w:tr>
        <w:trPr>
          <w:trHeight w:val="247"/>
        </w:trPr>
        <w:tc>
          <w:tcPr>
            <w:tcW w:w="7740" w:type="dxa"/>
            <w:vAlign w:val="bottom"/>
          </w:tcPr>
          <w:p>
            <w:pPr>
              <w:spacing w:after="0"/>
              <w:rPr>
                <w:sz w:val="20"/>
                <w:szCs w:val="20"/>
                <w:color w:val="auto"/>
              </w:rPr>
            </w:pPr>
            <w:r>
              <w:rPr>
                <w:rFonts w:ascii="Arial" w:cs="Arial" w:eastAsia="Arial" w:hAnsi="Arial"/>
                <w:sz w:val="15"/>
                <w:szCs w:val="15"/>
                <w:color w:val="auto"/>
              </w:rPr>
              <w:t>Weighted average grant date fair value per share</w:t>
            </w:r>
          </w:p>
        </w:tc>
        <w:tc>
          <w:tcPr>
            <w:tcW w:w="1700" w:type="dxa"/>
            <w:vAlign w:val="bottom"/>
            <w:gridSpan w:val="2"/>
            <w:shd w:val="clear" w:color="auto" w:fill="E7F2F9"/>
          </w:tcPr>
          <w:p>
            <w:pPr>
              <w:jc w:val="center"/>
              <w:spacing w:after="0"/>
              <w:rPr>
                <w:sz w:val="20"/>
                <w:szCs w:val="20"/>
                <w:color w:val="auto"/>
              </w:rPr>
            </w:pPr>
            <w:r>
              <w:rPr>
                <w:rFonts w:ascii="Arial" w:cs="Arial" w:eastAsia="Arial" w:hAnsi="Arial"/>
                <w:sz w:val="15"/>
                <w:szCs w:val="15"/>
                <w:color w:val="1383C6"/>
              </w:rPr>
              <w:t>$0.90</w:t>
            </w:r>
          </w:p>
        </w:tc>
        <w:tc>
          <w:tcPr>
            <w:tcW w:w="1780" w:type="dxa"/>
            <w:vAlign w:val="bottom"/>
            <w:gridSpan w:val="3"/>
          </w:tcPr>
          <w:p>
            <w:pPr>
              <w:jc w:val="center"/>
              <w:ind w:left="3"/>
              <w:spacing w:after="0"/>
              <w:rPr>
                <w:sz w:val="20"/>
                <w:szCs w:val="20"/>
                <w:color w:val="auto"/>
              </w:rPr>
            </w:pPr>
            <w:r>
              <w:rPr>
                <w:rFonts w:ascii="Arial" w:cs="Arial" w:eastAsia="Arial" w:hAnsi="Arial"/>
                <w:sz w:val="15"/>
                <w:szCs w:val="15"/>
                <w:color w:val="auto"/>
              </w:rPr>
              <w:t>$0.93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7138670" cy="2457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8. NET LOSS PER SHARE</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Basic net loss per share is computed by dividing net loss by the weighted average number of shares of common stock outstanding during the period. Diluted net loss per share is computed using the weighted-average number of shares of common stock outstanding and potential shares assuming the dilutive effect of the Notes, using the if-converted method, and outstanding equity awards using the treasury stock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1386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23</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table presents the calculation of the basic and diluted net loss per share amounts presented in the condensed consolidated statements of operations and comprehensive loss: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4"/>
                <w:szCs w:val="14"/>
                <w:b w:val="1"/>
                <w:bCs w:val="1"/>
                <w:color w:val="auto"/>
              </w:rPr>
              <w:t>Three Months Ended March 31,</w:t>
            </w:r>
          </w:p>
        </w:tc>
      </w:tr>
      <w:tr>
        <w:trPr>
          <w:trHeight w:val="212"/>
        </w:trPr>
        <w:tc>
          <w:tcPr>
            <w:tcW w:w="8120" w:type="dxa"/>
            <w:vAlign w:val="bottom"/>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20" w:type="dxa"/>
            <w:vAlign w:val="bottom"/>
            <w:tcBorders>
              <w:bottom w:val="single" w:sz="8" w:color="auto"/>
            </w:tcBorders>
            <w:shd w:val="clear" w:color="auto" w:fill="E7F2F9"/>
          </w:tcPr>
          <w:p>
            <w:pPr>
              <w:spacing w:after="0"/>
              <w:rPr>
                <w:sz w:val="18"/>
                <w:szCs w:val="18"/>
                <w:color w:val="auto"/>
              </w:rPr>
            </w:pPr>
          </w:p>
        </w:tc>
        <w:tc>
          <w:tcPr>
            <w:tcW w:w="1180" w:type="dxa"/>
            <w:vAlign w:val="bottom"/>
            <w:tcBorders>
              <w:bottom w:val="single" w:sz="8" w:color="auto"/>
            </w:tcBorders>
            <w:shd w:val="clear" w:color="auto" w:fill="E7F2F9"/>
          </w:tcPr>
          <w:p>
            <w:pPr>
              <w:jc w:val="right"/>
              <w:ind w:right="525"/>
              <w:spacing w:after="0"/>
              <w:rPr>
                <w:sz w:val="20"/>
                <w:szCs w:val="20"/>
                <w:color w:val="auto"/>
              </w:rPr>
            </w:pPr>
            <w:r>
              <w:rPr>
                <w:rFonts w:ascii="Arial" w:cs="Arial" w:eastAsia="Arial" w:hAnsi="Arial"/>
                <w:sz w:val="14"/>
                <w:szCs w:val="14"/>
                <w:b w:val="1"/>
                <w:bCs w:val="1"/>
                <w:color w:val="1383C6"/>
              </w:rPr>
              <w:t>2026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2025</w:t>
            </w:r>
          </w:p>
        </w:tc>
      </w:tr>
      <w:tr>
        <w:trPr>
          <w:trHeight w:val="205"/>
        </w:trPr>
        <w:tc>
          <w:tcPr>
            <w:tcW w:w="8120" w:type="dxa"/>
            <w:vAlign w:val="bottom"/>
          </w:tcPr>
          <w:p>
            <w:pPr>
              <w:spacing w:after="0"/>
              <w:rPr>
                <w:sz w:val="20"/>
                <w:szCs w:val="20"/>
                <w:color w:val="auto"/>
              </w:rPr>
            </w:pPr>
            <w:r>
              <w:rPr>
                <w:rFonts w:ascii="Arial" w:cs="Arial" w:eastAsia="Arial" w:hAnsi="Arial"/>
                <w:sz w:val="15"/>
                <w:szCs w:val="15"/>
                <w:color w:val="auto"/>
              </w:rPr>
              <w:t>Numerator:</w:t>
            </w:r>
          </w:p>
        </w:tc>
        <w:tc>
          <w:tcPr>
            <w:tcW w:w="320" w:type="dxa"/>
            <w:vAlign w:val="bottom"/>
            <w:shd w:val="clear" w:color="auto" w:fill="E7F2F9"/>
          </w:tcPr>
          <w:p>
            <w:pPr>
              <w:spacing w:after="0"/>
              <w:rPr>
                <w:sz w:val="17"/>
                <w:szCs w:val="17"/>
                <w:color w:val="auto"/>
              </w:rPr>
            </w:pPr>
          </w:p>
        </w:tc>
        <w:tc>
          <w:tcPr>
            <w:tcW w:w="1180" w:type="dxa"/>
            <w:vAlign w:val="bottom"/>
            <w:shd w:val="clear" w:color="auto" w:fill="E7F2F9"/>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85"/>
        </w:trPr>
        <w:tc>
          <w:tcPr>
            <w:tcW w:w="8120" w:type="dxa"/>
            <w:vAlign w:val="bottom"/>
          </w:tcPr>
          <w:p>
            <w:pPr>
              <w:ind w:left="240"/>
              <w:spacing w:after="0"/>
              <w:rPr>
                <w:sz w:val="20"/>
                <w:szCs w:val="20"/>
                <w:color w:val="auto"/>
              </w:rPr>
            </w:pPr>
            <w:r>
              <w:rPr>
                <w:rFonts w:ascii="Arial" w:cs="Arial" w:eastAsia="Arial" w:hAnsi="Arial"/>
                <w:sz w:val="15"/>
                <w:szCs w:val="15"/>
                <w:color w:val="auto"/>
              </w:rPr>
              <w:t>Net loss</w:t>
            </w:r>
          </w:p>
        </w:tc>
        <w:tc>
          <w:tcPr>
            <w:tcW w:w="320" w:type="dxa"/>
            <w:vAlign w:val="bottom"/>
            <w:shd w:val="clear" w:color="auto" w:fill="E7F2F9"/>
          </w:tcPr>
          <w:p>
            <w:pPr>
              <w:jc w:val="right"/>
              <w:ind w:right="143"/>
              <w:spacing w:after="0"/>
              <w:rPr>
                <w:sz w:val="20"/>
                <w:szCs w:val="20"/>
                <w:color w:val="auto"/>
              </w:rPr>
            </w:pPr>
            <w:r>
              <w:rPr>
                <w:rFonts w:ascii="Arial" w:cs="Arial" w:eastAsia="Arial" w:hAnsi="Arial"/>
                <w:sz w:val="15"/>
                <w:szCs w:val="15"/>
                <w:color w:val="1383C6"/>
                <w:w w:val="95"/>
              </w:rPr>
              <w:t>$</w:t>
            </w: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(8,275)</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(426,075)</w:t>
            </w:r>
          </w:p>
        </w:tc>
      </w:tr>
      <w:tr>
        <w:trPr>
          <w:trHeight w:val="288"/>
        </w:trPr>
        <w:tc>
          <w:tcPr>
            <w:tcW w:w="8120" w:type="dxa"/>
            <w:vAlign w:val="bottom"/>
          </w:tcPr>
          <w:p>
            <w:pPr>
              <w:spacing w:after="0"/>
              <w:rPr>
                <w:sz w:val="20"/>
                <w:szCs w:val="20"/>
                <w:color w:val="auto"/>
              </w:rPr>
            </w:pPr>
            <w:r>
              <w:rPr>
                <w:rFonts w:ascii="Arial" w:cs="Arial" w:eastAsia="Arial" w:hAnsi="Arial"/>
                <w:sz w:val="15"/>
                <w:szCs w:val="15"/>
                <w:color w:val="auto"/>
              </w:rPr>
              <w:t>Denominator:</w:t>
            </w:r>
          </w:p>
        </w:tc>
        <w:tc>
          <w:tcPr>
            <w:tcW w:w="320" w:type="dxa"/>
            <w:vAlign w:val="bottom"/>
            <w:tcBorders>
              <w:top w:val="single" w:sz="8" w:color="auto"/>
            </w:tcBorders>
            <w:shd w:val="clear" w:color="auto" w:fill="E7F2F9"/>
          </w:tcPr>
          <w:p>
            <w:pPr>
              <w:spacing w:after="0"/>
              <w:rPr>
                <w:sz w:val="24"/>
                <w:szCs w:val="24"/>
                <w:color w:val="auto"/>
              </w:rPr>
            </w:pPr>
          </w:p>
        </w:tc>
        <w:tc>
          <w:tcPr>
            <w:tcW w:w="1180" w:type="dxa"/>
            <w:vAlign w:val="bottom"/>
            <w:tcBorders>
              <w:top w:val="single" w:sz="8" w:color="auto"/>
            </w:tcBorders>
            <w:shd w:val="clear" w:color="auto" w:fill="E7F2F9"/>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32"/>
        </w:trPr>
        <w:tc>
          <w:tcPr>
            <w:tcW w:w="8120" w:type="dxa"/>
            <w:vAlign w:val="bottom"/>
          </w:tcPr>
          <w:p>
            <w:pPr>
              <w:spacing w:after="0"/>
              <w:rPr>
                <w:sz w:val="20"/>
                <w:szCs w:val="20"/>
                <w:color w:val="auto"/>
              </w:rPr>
            </w:pPr>
            <w:r>
              <w:rPr>
                <w:rFonts w:ascii="Arial" w:cs="Arial" w:eastAsia="Arial" w:hAnsi="Arial"/>
                <w:sz w:val="15"/>
                <w:szCs w:val="15"/>
                <w:color w:val="auto"/>
              </w:rPr>
              <w:t>Basic</w:t>
            </w:r>
          </w:p>
        </w:tc>
        <w:tc>
          <w:tcPr>
            <w:tcW w:w="320" w:type="dxa"/>
            <w:vAlign w:val="bottom"/>
            <w:shd w:val="clear" w:color="auto" w:fill="E7F2F9"/>
          </w:tcPr>
          <w:p>
            <w:pPr>
              <w:spacing w:after="0"/>
              <w:rPr>
                <w:sz w:val="20"/>
                <w:szCs w:val="20"/>
                <w:color w:val="auto"/>
              </w:rPr>
            </w:pPr>
          </w:p>
        </w:tc>
        <w:tc>
          <w:tcPr>
            <w:tcW w:w="1180" w:type="dxa"/>
            <w:vAlign w:val="bottom"/>
            <w:shd w:val="clear" w:color="auto" w:fill="E7F2F9"/>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9"/>
        </w:trPr>
        <w:tc>
          <w:tcPr>
            <w:tcW w:w="8120" w:type="dxa"/>
            <w:vAlign w:val="bottom"/>
          </w:tcPr>
          <w:p>
            <w:pPr>
              <w:ind w:left="240"/>
              <w:spacing w:after="0"/>
              <w:rPr>
                <w:sz w:val="20"/>
                <w:szCs w:val="20"/>
                <w:color w:val="auto"/>
              </w:rPr>
            </w:pPr>
            <w:r>
              <w:rPr>
                <w:rFonts w:ascii="Arial" w:cs="Arial" w:eastAsia="Arial" w:hAnsi="Arial"/>
                <w:sz w:val="15"/>
                <w:szCs w:val="15"/>
                <w:color w:val="auto"/>
              </w:rPr>
              <w:t>Weighted average shares used in computing basic net loss per share</w:t>
            </w:r>
          </w:p>
        </w:tc>
        <w:tc>
          <w:tcPr>
            <w:tcW w:w="320" w:type="dxa"/>
            <w:vAlign w:val="bottom"/>
            <w:tcBorders>
              <w:bottom w:val="single" w:sz="8" w:color="auto"/>
            </w:tcBorders>
            <w:shd w:val="clear" w:color="auto" w:fill="E7F2F9"/>
          </w:tcPr>
          <w:p>
            <w:pPr>
              <w:spacing w:after="0"/>
              <w:rPr>
                <w:sz w:val="20"/>
                <w:szCs w:val="20"/>
                <w:color w:val="auto"/>
              </w:rPr>
            </w:pPr>
          </w:p>
        </w:tc>
        <w:tc>
          <w:tcPr>
            <w:tcW w:w="11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305,819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296,858</w:t>
            </w:r>
          </w:p>
        </w:tc>
      </w:tr>
      <w:tr>
        <w:trPr>
          <w:trHeight w:val="271"/>
        </w:trPr>
        <w:tc>
          <w:tcPr>
            <w:tcW w:w="8120" w:type="dxa"/>
            <w:vAlign w:val="bottom"/>
          </w:tcPr>
          <w:p>
            <w:pPr>
              <w:spacing w:after="0"/>
              <w:rPr>
                <w:sz w:val="20"/>
                <w:szCs w:val="20"/>
                <w:color w:val="auto"/>
              </w:rPr>
            </w:pPr>
            <w:r>
              <w:rPr>
                <w:rFonts w:ascii="Arial" w:cs="Arial" w:eastAsia="Arial" w:hAnsi="Arial"/>
                <w:sz w:val="15"/>
                <w:szCs w:val="15"/>
                <w:color w:val="auto"/>
              </w:rPr>
              <w:t>Basic net loss per share</w:t>
            </w:r>
          </w:p>
        </w:tc>
        <w:tc>
          <w:tcPr>
            <w:tcW w:w="320" w:type="dxa"/>
            <w:vAlign w:val="bottom"/>
            <w:shd w:val="clear" w:color="auto" w:fill="E7F2F9"/>
          </w:tcPr>
          <w:p>
            <w:pPr>
              <w:jc w:val="right"/>
              <w:ind w:right="143"/>
              <w:spacing w:after="0"/>
              <w:rPr>
                <w:sz w:val="20"/>
                <w:szCs w:val="20"/>
                <w:color w:val="auto"/>
              </w:rPr>
            </w:pPr>
            <w:r>
              <w:rPr>
                <w:rFonts w:ascii="Arial" w:cs="Arial" w:eastAsia="Arial" w:hAnsi="Arial"/>
                <w:sz w:val="15"/>
                <w:szCs w:val="15"/>
                <w:color w:val="1383C6"/>
                <w:w w:val="95"/>
              </w:rPr>
              <w:t>$</w:t>
            </w: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(0.03)</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(1.44)</w:t>
            </w:r>
          </w:p>
        </w:tc>
      </w:tr>
      <w:tr>
        <w:trPr>
          <w:trHeight w:val="288"/>
        </w:trPr>
        <w:tc>
          <w:tcPr>
            <w:tcW w:w="8120" w:type="dxa"/>
            <w:vAlign w:val="bottom"/>
          </w:tcPr>
          <w:p>
            <w:pPr>
              <w:spacing w:after="0"/>
              <w:rPr>
                <w:sz w:val="20"/>
                <w:szCs w:val="20"/>
                <w:color w:val="auto"/>
              </w:rPr>
            </w:pPr>
            <w:r>
              <w:rPr>
                <w:rFonts w:ascii="Arial" w:cs="Arial" w:eastAsia="Arial" w:hAnsi="Arial"/>
                <w:sz w:val="15"/>
                <w:szCs w:val="15"/>
                <w:color w:val="auto"/>
              </w:rPr>
              <w:t>Diluted</w:t>
            </w:r>
          </w:p>
        </w:tc>
        <w:tc>
          <w:tcPr>
            <w:tcW w:w="320" w:type="dxa"/>
            <w:vAlign w:val="bottom"/>
            <w:tcBorders>
              <w:top w:val="single" w:sz="8" w:color="auto"/>
            </w:tcBorders>
            <w:shd w:val="clear" w:color="auto" w:fill="E7F2F9"/>
          </w:tcPr>
          <w:p>
            <w:pPr>
              <w:spacing w:after="0"/>
              <w:rPr>
                <w:sz w:val="24"/>
                <w:szCs w:val="24"/>
                <w:color w:val="auto"/>
              </w:rPr>
            </w:pPr>
          </w:p>
        </w:tc>
        <w:tc>
          <w:tcPr>
            <w:tcW w:w="1180" w:type="dxa"/>
            <w:vAlign w:val="bottom"/>
            <w:tcBorders>
              <w:top w:val="single" w:sz="8" w:color="auto"/>
            </w:tcBorders>
            <w:shd w:val="clear" w:color="auto" w:fill="E7F2F9"/>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39"/>
        </w:trPr>
        <w:tc>
          <w:tcPr>
            <w:tcW w:w="8120" w:type="dxa"/>
            <w:vAlign w:val="bottom"/>
          </w:tcPr>
          <w:p>
            <w:pPr>
              <w:ind w:left="240"/>
              <w:spacing w:after="0"/>
              <w:rPr>
                <w:sz w:val="20"/>
                <w:szCs w:val="20"/>
                <w:color w:val="auto"/>
              </w:rPr>
            </w:pPr>
            <w:r>
              <w:rPr>
                <w:rFonts w:ascii="Arial" w:cs="Arial" w:eastAsia="Arial" w:hAnsi="Arial"/>
                <w:sz w:val="15"/>
                <w:szCs w:val="15"/>
                <w:color w:val="auto"/>
              </w:rPr>
              <w:t>Weighted average shares used in computing diluted net loss per share</w:t>
            </w:r>
          </w:p>
        </w:tc>
        <w:tc>
          <w:tcPr>
            <w:tcW w:w="320" w:type="dxa"/>
            <w:vAlign w:val="bottom"/>
            <w:tcBorders>
              <w:bottom w:val="single" w:sz="8" w:color="auto"/>
            </w:tcBorders>
            <w:shd w:val="clear" w:color="auto" w:fill="E7F2F9"/>
          </w:tcPr>
          <w:p>
            <w:pPr>
              <w:spacing w:after="0"/>
              <w:rPr>
                <w:sz w:val="20"/>
                <w:szCs w:val="20"/>
                <w:color w:val="auto"/>
              </w:rPr>
            </w:pPr>
          </w:p>
        </w:tc>
        <w:tc>
          <w:tcPr>
            <w:tcW w:w="11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305,819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296,858</w:t>
            </w:r>
          </w:p>
        </w:tc>
      </w:tr>
      <w:tr>
        <w:trPr>
          <w:trHeight w:val="245"/>
        </w:trPr>
        <w:tc>
          <w:tcPr>
            <w:tcW w:w="8120" w:type="dxa"/>
            <w:vAlign w:val="bottom"/>
          </w:tcPr>
          <w:p>
            <w:pPr>
              <w:spacing w:after="0"/>
              <w:rPr>
                <w:sz w:val="20"/>
                <w:szCs w:val="20"/>
                <w:color w:val="auto"/>
              </w:rPr>
            </w:pPr>
            <w:r>
              <w:rPr>
                <w:rFonts w:ascii="Arial" w:cs="Arial" w:eastAsia="Arial" w:hAnsi="Arial"/>
                <w:sz w:val="15"/>
                <w:szCs w:val="15"/>
                <w:color w:val="auto"/>
              </w:rPr>
              <w:t>Diluted net loss per share</w:t>
            </w:r>
          </w:p>
        </w:tc>
        <w:tc>
          <w:tcPr>
            <w:tcW w:w="320" w:type="dxa"/>
            <w:vAlign w:val="bottom"/>
            <w:shd w:val="clear" w:color="auto" w:fill="E7F2F9"/>
          </w:tcPr>
          <w:p>
            <w:pPr>
              <w:jc w:val="right"/>
              <w:ind w:right="143"/>
              <w:spacing w:after="0"/>
              <w:rPr>
                <w:sz w:val="20"/>
                <w:szCs w:val="20"/>
                <w:color w:val="auto"/>
              </w:rPr>
            </w:pPr>
            <w:r>
              <w:rPr>
                <w:rFonts w:ascii="Arial" w:cs="Arial" w:eastAsia="Arial" w:hAnsi="Arial"/>
                <w:sz w:val="15"/>
                <w:szCs w:val="15"/>
                <w:color w:val="1383C6"/>
                <w:w w:val="95"/>
              </w:rPr>
              <w:t>$</w:t>
            </w: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(0.03)</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(1.44)</w:t>
            </w:r>
          </w:p>
        </w:tc>
      </w:tr>
      <w:tr>
        <w:trPr>
          <w:trHeight w:val="20"/>
        </w:trPr>
        <w:tc>
          <w:tcPr>
            <w:tcW w:w="8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shares issuable upon conversion of the Notes and outstanding equity awards were excluded from the computation of diluted net loss per share for the periods presented because the effect of including such shares would have been antidilutive:</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08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12"/>
        </w:trPr>
        <w:tc>
          <w:tcPr>
            <w:tcW w:w="8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tcBorders>
              <w:bottom w:val="single" w:sz="8" w:color="auto"/>
            </w:tcBorders>
            <w:shd w:val="clear" w:color="auto" w:fill="E7F2F9"/>
          </w:tcPr>
          <w:p>
            <w:pPr>
              <w:jc w:val="right"/>
              <w:ind w:right="527"/>
              <w:spacing w:after="0"/>
              <w:rPr>
                <w:sz w:val="20"/>
                <w:szCs w:val="20"/>
                <w:color w:val="auto"/>
              </w:rPr>
            </w:pPr>
            <w:r>
              <w:rPr>
                <w:rFonts w:ascii="Arial" w:cs="Arial" w:eastAsia="Arial" w:hAnsi="Arial"/>
                <w:sz w:val="14"/>
                <w:szCs w:val="14"/>
                <w:b w:val="1"/>
                <w:bCs w:val="1"/>
                <w:color w:val="1383C6"/>
              </w:rPr>
              <w:t>2026</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r>
      <w:tr>
        <w:trPr>
          <w:trHeight w:val="218"/>
        </w:trPr>
        <w:tc>
          <w:tcPr>
            <w:tcW w:w="8140" w:type="dxa"/>
            <w:vAlign w:val="bottom"/>
          </w:tcPr>
          <w:p>
            <w:pPr>
              <w:spacing w:after="0"/>
              <w:rPr>
                <w:sz w:val="20"/>
                <w:szCs w:val="20"/>
                <w:color w:val="auto"/>
              </w:rPr>
            </w:pPr>
            <w:r>
              <w:rPr>
                <w:rFonts w:ascii="Arial" w:cs="Arial" w:eastAsia="Arial" w:hAnsi="Arial"/>
                <w:sz w:val="15"/>
                <w:szCs w:val="15"/>
                <w:color w:val="auto"/>
              </w:rPr>
              <w:t>Shares issuable upon conversion of convertible senior notes</w:t>
            </w:r>
          </w:p>
        </w:tc>
        <w:tc>
          <w:tcPr>
            <w:tcW w:w="15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61,415</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61,415</w:t>
            </w:r>
          </w:p>
        </w:tc>
      </w:tr>
      <w:tr>
        <w:trPr>
          <w:trHeight w:val="247"/>
        </w:trPr>
        <w:tc>
          <w:tcPr>
            <w:tcW w:w="8140" w:type="dxa"/>
            <w:vAlign w:val="bottom"/>
          </w:tcPr>
          <w:p>
            <w:pPr>
              <w:spacing w:after="0"/>
              <w:rPr>
                <w:sz w:val="20"/>
                <w:szCs w:val="20"/>
                <w:color w:val="auto"/>
              </w:rPr>
            </w:pPr>
            <w:r>
              <w:rPr>
                <w:rFonts w:ascii="Arial" w:cs="Arial" w:eastAsia="Arial" w:hAnsi="Arial"/>
                <w:sz w:val="15"/>
                <w:szCs w:val="15"/>
                <w:color w:val="auto"/>
              </w:rPr>
              <w:t>Equity awards</w:t>
            </w:r>
          </w:p>
        </w:tc>
        <w:tc>
          <w:tcPr>
            <w:tcW w:w="15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45,219</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47,133</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u w:val="single" w:color="auto"/>
          <w:color w:val="0000FF"/>
        </w:rPr>
        <w:t>Note 7. Equity Plans and Share-Based Compensation</w:t>
      </w:r>
      <w:r>
        <w:rPr>
          <w:rFonts w:ascii="Arial" w:cs="Arial" w:eastAsia="Arial" w:hAnsi="Arial"/>
          <w:sz w:val="17"/>
          <w:szCs w:val="17"/>
          <w:color w:val="auto"/>
        </w:rPr>
        <w:t xml:space="preserve"> for detailed information on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7138670" cy="2457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NOTE 9. SEGMENT AND GEOGRAPHIC INFORMATION</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organized as, and operate in, one reportable segment: the development, manufacturing, and marketing of integrated platforms for genetic analysis. Our chief operating decision-maker ("CODM") is our Chief Executive Officer. Our CODM reviews financial information presented on a consolidated basis for the purposes of evaluating financial performance and allocating resources.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On a regular basis, our CODM reviews:</w:t>
      </w:r>
    </w:p>
    <w:p>
      <w:pPr>
        <w:spacing w:after="0" w:line="114"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b w:val="1"/>
          <w:bCs w:val="1"/>
          <w:color w:val="DF1995"/>
        </w:rPr>
      </w:pPr>
      <w:r>
        <w:rPr>
          <w:rFonts w:ascii="Arial" w:cs="Arial" w:eastAsia="Arial" w:hAnsi="Arial"/>
          <w:sz w:val="17"/>
          <w:szCs w:val="17"/>
          <w:color w:val="auto"/>
        </w:rPr>
        <w:t>total revenues by category</w:t>
      </w:r>
    </w:p>
    <w:p>
      <w:pPr>
        <w:spacing w:after="0" w:line="62" w:lineRule="exact"/>
        <w:rPr>
          <w:rFonts w:ascii="Arial" w:cs="Arial" w:eastAsia="Arial" w:hAnsi="Arial"/>
          <w:sz w:val="17"/>
          <w:szCs w:val="17"/>
          <w:b w:val="1"/>
          <w:bCs w:val="1"/>
          <w:color w:val="DF1995"/>
        </w:rPr>
      </w:pPr>
    </w:p>
    <w:p>
      <w:pPr>
        <w:ind w:left="620" w:hanging="307"/>
        <w:spacing w:after="0" w:line="283" w:lineRule="auto"/>
        <w:tabs>
          <w:tab w:leader="none" w:pos="616" w:val="left"/>
        </w:tabs>
        <w:numPr>
          <w:ilvl w:val="0"/>
          <w:numId w:val="4"/>
        </w:numPr>
        <w:rPr>
          <w:rFonts w:ascii="Arial" w:cs="Arial" w:eastAsia="Arial" w:hAnsi="Arial"/>
          <w:sz w:val="17"/>
          <w:szCs w:val="17"/>
          <w:b w:val="1"/>
          <w:bCs w:val="1"/>
          <w:color w:val="DF1995"/>
        </w:rPr>
      </w:pPr>
      <w:r>
        <w:rPr>
          <w:rFonts w:ascii="Arial" w:cs="Arial" w:eastAsia="Arial" w:hAnsi="Arial"/>
          <w:sz w:val="17"/>
          <w:szCs w:val="17"/>
          <w:color w:val="auto"/>
        </w:rPr>
        <w:t>total expenses and expenses by function, including sales and marketing and general and administrative, which include depreciation and share-based compensation</w:t>
      </w:r>
    </w:p>
    <w:p>
      <w:pPr>
        <w:spacing w:after="0" w:line="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4"/>
        </w:numPr>
        <w:rPr>
          <w:rFonts w:ascii="Arial" w:cs="Arial" w:eastAsia="Arial" w:hAnsi="Arial"/>
          <w:sz w:val="17"/>
          <w:szCs w:val="17"/>
          <w:b w:val="1"/>
          <w:bCs w:val="1"/>
          <w:color w:val="DF1995"/>
        </w:rPr>
      </w:pPr>
      <w:r>
        <w:rPr>
          <w:rFonts w:ascii="Arial" w:cs="Arial" w:eastAsia="Arial" w:hAnsi="Arial"/>
          <w:sz w:val="17"/>
          <w:szCs w:val="17"/>
          <w:color w:val="auto"/>
        </w:rPr>
        <w:t>net loss per share</w:t>
      </w:r>
    </w:p>
    <w:p>
      <w:pPr>
        <w:spacing w:after="0" w:line="11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Our assets are primarily located in the United States of America and not allocated to any specific region, and we do not measure the performance of geographic regions based upon asset-based metrics. Therefore, geographic information is presented only for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386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24</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segment profit or loss, including significant segment expenses is as follows: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08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4"/>
                <w:szCs w:val="14"/>
                <w:b w:val="1"/>
                <w:bCs w:val="1"/>
                <w:color w:val="auto"/>
              </w:rPr>
              <w:t>Three Months Ended March 31,</w:t>
            </w:r>
          </w:p>
        </w:tc>
      </w:tr>
      <w:tr>
        <w:trPr>
          <w:trHeight w:val="212"/>
        </w:trPr>
        <w:tc>
          <w:tcPr>
            <w:tcW w:w="8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tcBorders>
              <w:bottom w:val="single" w:sz="8" w:color="auto"/>
            </w:tcBorders>
            <w:shd w:val="clear" w:color="auto" w:fill="E7F2F9"/>
          </w:tcPr>
          <w:p>
            <w:pPr>
              <w:jc w:val="right"/>
              <w:ind w:right="524"/>
              <w:spacing w:after="0"/>
              <w:rPr>
                <w:sz w:val="20"/>
                <w:szCs w:val="20"/>
                <w:color w:val="auto"/>
              </w:rPr>
            </w:pPr>
            <w:r>
              <w:rPr>
                <w:rFonts w:ascii="Arial" w:cs="Arial" w:eastAsia="Arial" w:hAnsi="Arial"/>
                <w:sz w:val="14"/>
                <w:szCs w:val="14"/>
                <w:b w:val="1"/>
                <w:bCs w:val="1"/>
                <w:color w:val="1383C6"/>
              </w:rPr>
              <w:t>2026</w:t>
            </w:r>
          </w:p>
        </w:tc>
        <w:tc>
          <w:tcPr>
            <w:tcW w:w="80" w:type="dxa"/>
            <w:vAlign w:val="bottom"/>
          </w:tcPr>
          <w:p>
            <w:pPr>
              <w:spacing w:after="0"/>
              <w:rPr>
                <w:sz w:val="18"/>
                <w:szCs w:val="18"/>
                <w:color w:val="auto"/>
              </w:rPr>
            </w:pPr>
          </w:p>
        </w:tc>
        <w:tc>
          <w:tcPr>
            <w:tcW w:w="150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2025</w:t>
            </w:r>
          </w:p>
        </w:tc>
      </w:tr>
      <w:tr>
        <w:trPr>
          <w:trHeight w:val="218"/>
        </w:trPr>
        <w:tc>
          <w:tcPr>
            <w:tcW w:w="8140" w:type="dxa"/>
            <w:vAlign w:val="bottom"/>
          </w:tcPr>
          <w:p>
            <w:pPr>
              <w:spacing w:after="0"/>
              <w:rPr>
                <w:sz w:val="20"/>
                <w:szCs w:val="20"/>
                <w:color w:val="auto"/>
              </w:rPr>
            </w:pPr>
            <w:r>
              <w:rPr>
                <w:rFonts w:ascii="Arial" w:cs="Arial" w:eastAsia="Arial" w:hAnsi="Arial"/>
                <w:sz w:val="15"/>
                <w:szCs w:val="15"/>
                <w:color w:val="auto"/>
              </w:rPr>
              <w:t>Total revenue</w:t>
            </w:r>
          </w:p>
        </w:tc>
        <w:tc>
          <w:tcPr>
            <w:tcW w:w="15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37,178</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37,153</w:t>
            </w:r>
          </w:p>
        </w:tc>
      </w:tr>
      <w:tr>
        <w:trPr>
          <w:trHeight w:val="232"/>
        </w:trPr>
        <w:tc>
          <w:tcPr>
            <w:tcW w:w="8140" w:type="dxa"/>
            <w:vAlign w:val="bottom"/>
          </w:tcPr>
          <w:p>
            <w:pPr>
              <w:spacing w:after="0"/>
              <w:rPr>
                <w:sz w:val="20"/>
                <w:szCs w:val="20"/>
                <w:color w:val="auto"/>
              </w:rPr>
            </w:pPr>
            <w:r>
              <w:rPr>
                <w:rFonts w:ascii="Arial" w:cs="Arial" w:eastAsia="Arial" w:hAnsi="Arial"/>
                <w:sz w:val="15"/>
                <w:szCs w:val="15"/>
                <w:color w:val="auto"/>
              </w:rPr>
              <w:t>Less:</w:t>
            </w:r>
          </w:p>
        </w:tc>
        <w:tc>
          <w:tcPr>
            <w:tcW w:w="1500" w:type="dxa"/>
            <w:vAlign w:val="bottom"/>
            <w:shd w:val="clear" w:color="auto" w:fill="E7F2F9"/>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2"/>
        </w:trPr>
        <w:tc>
          <w:tcPr>
            <w:tcW w:w="8140" w:type="dxa"/>
            <w:vAlign w:val="bottom"/>
          </w:tcPr>
          <w:p>
            <w:pPr>
              <w:ind w:left="200"/>
              <w:spacing w:after="0"/>
              <w:rPr>
                <w:sz w:val="20"/>
                <w:szCs w:val="20"/>
                <w:color w:val="auto"/>
              </w:rPr>
            </w:pPr>
            <w:r>
              <w:rPr>
                <w:rFonts w:ascii="Arial" w:cs="Arial" w:eastAsia="Arial" w:hAnsi="Arial"/>
                <w:sz w:val="15"/>
                <w:szCs w:val="15"/>
                <w:color w:val="auto"/>
              </w:rPr>
              <w:t>Cost of revenue</w:t>
            </w:r>
          </w:p>
        </w:tc>
        <w:tc>
          <w:tcPr>
            <w:tcW w:w="15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24,337</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38,524</w:t>
            </w:r>
          </w:p>
        </w:tc>
      </w:tr>
      <w:tr>
        <w:trPr>
          <w:trHeight w:val="232"/>
        </w:trPr>
        <w:tc>
          <w:tcPr>
            <w:tcW w:w="8140" w:type="dxa"/>
            <w:vAlign w:val="bottom"/>
          </w:tcPr>
          <w:p>
            <w:pPr>
              <w:ind w:left="200"/>
              <w:spacing w:after="0"/>
              <w:rPr>
                <w:sz w:val="20"/>
                <w:szCs w:val="20"/>
                <w:color w:val="auto"/>
              </w:rPr>
            </w:pPr>
            <w:r>
              <w:rPr>
                <w:rFonts w:ascii="Arial" w:cs="Arial" w:eastAsia="Arial" w:hAnsi="Arial"/>
                <w:sz w:val="15"/>
                <w:szCs w:val="15"/>
                <w:color w:val="auto"/>
              </w:rPr>
              <w:t>Research and development</w:t>
            </w:r>
          </w:p>
        </w:tc>
        <w:tc>
          <w:tcPr>
            <w:tcW w:w="15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19,608</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29,053</w:t>
            </w:r>
          </w:p>
        </w:tc>
      </w:tr>
      <w:tr>
        <w:trPr>
          <w:trHeight w:val="232"/>
        </w:trPr>
        <w:tc>
          <w:tcPr>
            <w:tcW w:w="8140" w:type="dxa"/>
            <w:vAlign w:val="bottom"/>
          </w:tcPr>
          <w:p>
            <w:pPr>
              <w:ind w:left="200"/>
              <w:spacing w:after="0"/>
              <w:rPr>
                <w:sz w:val="20"/>
                <w:szCs w:val="20"/>
                <w:color w:val="auto"/>
              </w:rPr>
            </w:pPr>
            <w:r>
              <w:rPr>
                <w:rFonts w:ascii="Arial" w:cs="Arial" w:eastAsia="Arial" w:hAnsi="Arial"/>
                <w:sz w:val="15"/>
                <w:szCs w:val="15"/>
                <w:color w:val="auto"/>
              </w:rPr>
              <w:t>Sales and marketing</w:t>
            </w:r>
          </w:p>
        </w:tc>
        <w:tc>
          <w:tcPr>
            <w:tcW w:w="15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15,778</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20,076</w:t>
            </w:r>
          </w:p>
        </w:tc>
      </w:tr>
      <w:tr>
        <w:trPr>
          <w:trHeight w:val="232"/>
        </w:trPr>
        <w:tc>
          <w:tcPr>
            <w:tcW w:w="8140" w:type="dxa"/>
            <w:vAlign w:val="bottom"/>
          </w:tcPr>
          <w:p>
            <w:pPr>
              <w:ind w:left="200"/>
              <w:spacing w:after="0"/>
              <w:rPr>
                <w:sz w:val="20"/>
                <w:szCs w:val="20"/>
                <w:color w:val="auto"/>
              </w:rPr>
            </w:pPr>
            <w:r>
              <w:rPr>
                <w:rFonts w:ascii="Arial" w:cs="Arial" w:eastAsia="Arial" w:hAnsi="Arial"/>
                <w:sz w:val="15"/>
                <w:szCs w:val="15"/>
                <w:color w:val="auto"/>
              </w:rPr>
              <w:t>General and administrative</w:t>
            </w:r>
          </w:p>
        </w:tc>
        <w:tc>
          <w:tcPr>
            <w:tcW w:w="15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15,375</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20,092</w:t>
            </w:r>
          </w:p>
        </w:tc>
      </w:tr>
      <w:tr>
        <w:trPr>
          <w:trHeight w:val="232"/>
        </w:trPr>
        <w:tc>
          <w:tcPr>
            <w:tcW w:w="8140" w:type="dxa"/>
            <w:vAlign w:val="bottom"/>
          </w:tcPr>
          <w:p>
            <w:pPr>
              <w:ind w:left="200"/>
              <w:spacing w:after="0"/>
              <w:rPr>
                <w:sz w:val="20"/>
                <w:szCs w:val="20"/>
                <w:color w:val="auto"/>
              </w:rPr>
            </w:pPr>
            <w:r>
              <w:rPr>
                <w:rFonts w:ascii="Arial" w:cs="Arial" w:eastAsia="Arial" w:hAnsi="Arial"/>
                <w:sz w:val="15"/>
                <w:szCs w:val="15"/>
                <w:color w:val="auto"/>
              </w:rPr>
              <w:t>Impairment charges</w:t>
            </w:r>
          </w:p>
        </w:tc>
        <w:tc>
          <w:tcPr>
            <w:tcW w:w="15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15,000</w:t>
            </w:r>
          </w:p>
        </w:tc>
      </w:tr>
      <w:tr>
        <w:trPr>
          <w:trHeight w:val="232"/>
        </w:trPr>
        <w:tc>
          <w:tcPr>
            <w:tcW w:w="8140" w:type="dxa"/>
            <w:vAlign w:val="bottom"/>
          </w:tcPr>
          <w:p>
            <w:pPr>
              <w:ind w:left="200"/>
              <w:spacing w:after="0"/>
              <w:rPr>
                <w:sz w:val="20"/>
                <w:szCs w:val="20"/>
                <w:color w:val="auto"/>
              </w:rPr>
            </w:pPr>
            <w:r>
              <w:rPr>
                <w:rFonts w:ascii="Arial" w:cs="Arial" w:eastAsia="Arial" w:hAnsi="Arial"/>
                <w:sz w:val="15"/>
                <w:szCs w:val="15"/>
                <w:color w:val="auto"/>
              </w:rPr>
              <w:t>Settlement charges</w:t>
            </w:r>
          </w:p>
        </w:tc>
        <w:tc>
          <w:tcPr>
            <w:tcW w:w="15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15,400</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8140" w:type="dxa"/>
            <w:vAlign w:val="bottom"/>
          </w:tcPr>
          <w:p>
            <w:pPr>
              <w:ind w:left="200"/>
              <w:spacing w:after="0"/>
              <w:rPr>
                <w:sz w:val="20"/>
                <w:szCs w:val="20"/>
                <w:color w:val="auto"/>
              </w:rPr>
            </w:pPr>
            <w:r>
              <w:rPr>
                <w:rFonts w:ascii="Arial" w:cs="Arial" w:eastAsia="Arial" w:hAnsi="Arial"/>
                <w:sz w:val="15"/>
                <w:szCs w:val="15"/>
                <w:color w:val="auto"/>
              </w:rPr>
              <w:t>Gain on disposal of assets</w:t>
            </w:r>
          </w:p>
        </w:tc>
        <w:tc>
          <w:tcPr>
            <w:tcW w:w="15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(45,796)</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32"/>
        </w:trPr>
        <w:tc>
          <w:tcPr>
            <w:tcW w:w="8140" w:type="dxa"/>
            <w:vAlign w:val="bottom"/>
          </w:tcPr>
          <w:p>
            <w:pPr>
              <w:ind w:left="200"/>
              <w:spacing w:after="0"/>
              <w:rPr>
                <w:sz w:val="20"/>
                <w:szCs w:val="20"/>
                <w:color w:val="auto"/>
              </w:rPr>
            </w:pPr>
            <w:r>
              <w:rPr>
                <w:rFonts w:ascii="Arial" w:cs="Arial" w:eastAsia="Arial" w:hAnsi="Arial"/>
                <w:sz w:val="15"/>
                <w:szCs w:val="15"/>
                <w:color w:val="auto"/>
              </w:rPr>
              <w:t>Change in fair value of contingent consideration</w:t>
            </w:r>
          </w:p>
        </w:tc>
        <w:tc>
          <w:tcPr>
            <w:tcW w:w="15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(18,700)</w:t>
            </w:r>
          </w:p>
        </w:tc>
      </w:tr>
      <w:tr>
        <w:trPr>
          <w:trHeight w:val="232"/>
        </w:trPr>
        <w:tc>
          <w:tcPr>
            <w:tcW w:w="8140" w:type="dxa"/>
            <w:vAlign w:val="bottom"/>
          </w:tcPr>
          <w:p>
            <w:pPr>
              <w:ind w:left="200"/>
              <w:spacing w:after="0"/>
              <w:rPr>
                <w:sz w:val="20"/>
                <w:szCs w:val="20"/>
                <w:color w:val="auto"/>
              </w:rPr>
            </w:pPr>
            <w:r>
              <w:rPr>
                <w:rFonts w:ascii="Arial" w:cs="Arial" w:eastAsia="Arial" w:hAnsi="Arial"/>
                <w:sz w:val="15"/>
                <w:szCs w:val="15"/>
                <w:color w:val="auto"/>
              </w:rPr>
              <w:t>Amortization of acquired intangible assets</w:t>
            </w:r>
          </w:p>
        </w:tc>
        <w:tc>
          <w:tcPr>
            <w:tcW w:w="15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833</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362,042</w:t>
            </w:r>
          </w:p>
        </w:tc>
      </w:tr>
      <w:tr>
        <w:trPr>
          <w:trHeight w:val="232"/>
        </w:trPr>
        <w:tc>
          <w:tcPr>
            <w:tcW w:w="8140" w:type="dxa"/>
            <w:vAlign w:val="bottom"/>
          </w:tcPr>
          <w:p>
            <w:pPr>
              <w:spacing w:after="0"/>
              <w:rPr>
                <w:sz w:val="20"/>
                <w:szCs w:val="20"/>
                <w:color w:val="auto"/>
              </w:rPr>
            </w:pPr>
            <w:r>
              <w:rPr>
                <w:rFonts w:ascii="Arial" w:cs="Arial" w:eastAsia="Arial" w:hAnsi="Arial"/>
                <w:sz w:val="15"/>
                <w:szCs w:val="15"/>
                <w:color w:val="auto"/>
              </w:rPr>
              <w:t>Other income, net</w:t>
            </w:r>
          </w:p>
        </w:tc>
        <w:tc>
          <w:tcPr>
            <w:tcW w:w="15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266</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2,557</w:t>
            </w:r>
          </w:p>
        </w:tc>
      </w:tr>
      <w:tr>
        <w:trPr>
          <w:trHeight w:val="239"/>
        </w:trPr>
        <w:tc>
          <w:tcPr>
            <w:tcW w:w="8140" w:type="dxa"/>
            <w:vAlign w:val="bottom"/>
          </w:tcPr>
          <w:p>
            <w:pPr>
              <w:spacing w:after="0"/>
              <w:rPr>
                <w:sz w:val="20"/>
                <w:szCs w:val="20"/>
                <w:color w:val="auto"/>
              </w:rPr>
            </w:pPr>
            <w:r>
              <w:rPr>
                <w:rFonts w:ascii="Arial" w:cs="Arial" w:eastAsia="Arial" w:hAnsi="Arial"/>
                <w:sz w:val="15"/>
                <w:szCs w:val="15"/>
                <w:color w:val="auto"/>
              </w:rPr>
              <w:t>Income tax provision (benefit)</w:t>
            </w:r>
          </w:p>
        </w:tc>
        <w:tc>
          <w:tcPr>
            <w:tcW w:w="150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184</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w:t>
            </w:r>
          </w:p>
        </w:tc>
      </w:tr>
      <w:tr>
        <w:trPr>
          <w:trHeight w:val="252"/>
        </w:trPr>
        <w:tc>
          <w:tcPr>
            <w:tcW w:w="8140" w:type="dxa"/>
            <w:vAlign w:val="bottom"/>
          </w:tcPr>
          <w:p>
            <w:pPr>
              <w:spacing w:after="0"/>
              <w:rPr>
                <w:sz w:val="20"/>
                <w:szCs w:val="20"/>
                <w:color w:val="auto"/>
              </w:rPr>
            </w:pPr>
            <w:r>
              <w:rPr>
                <w:rFonts w:ascii="Arial" w:cs="Arial" w:eastAsia="Arial" w:hAnsi="Arial"/>
                <w:sz w:val="15"/>
                <w:szCs w:val="15"/>
                <w:color w:val="auto"/>
              </w:rPr>
              <w:t>Consolidated net loss</w:t>
            </w:r>
          </w:p>
        </w:tc>
        <w:tc>
          <w:tcPr>
            <w:tcW w:w="150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(8,275)</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(426,075)</w:t>
            </w:r>
          </w:p>
        </w:tc>
      </w:tr>
      <w:tr>
        <w:trPr>
          <w:trHeight w:val="20"/>
        </w:trPr>
        <w:tc>
          <w:tcPr>
            <w:tcW w:w="81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revenue by geographic location is as follows: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4"/>
                <w:szCs w:val="14"/>
                <w:b w:val="1"/>
                <w:bCs w:val="1"/>
                <w:color w:val="auto"/>
              </w:rPr>
              <w:t>Three Months Ended March 31,</w:t>
            </w:r>
          </w:p>
        </w:tc>
      </w:tr>
      <w:tr>
        <w:trPr>
          <w:trHeight w:val="212"/>
        </w:trPr>
        <w:tc>
          <w:tcPr>
            <w:tcW w:w="81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shd w:val="clear" w:color="auto" w:fill="E7F2F9"/>
          </w:tcPr>
          <w:p>
            <w:pPr>
              <w:spacing w:after="0"/>
              <w:rPr>
                <w:sz w:val="18"/>
                <w:szCs w:val="18"/>
                <w:color w:val="auto"/>
              </w:rPr>
            </w:pPr>
          </w:p>
        </w:tc>
        <w:tc>
          <w:tcPr>
            <w:tcW w:w="1180" w:type="dxa"/>
            <w:vAlign w:val="bottom"/>
            <w:tcBorders>
              <w:bottom w:val="single" w:sz="8" w:color="auto"/>
            </w:tcBorders>
            <w:shd w:val="clear" w:color="auto" w:fill="E7F2F9"/>
          </w:tcPr>
          <w:p>
            <w:pPr>
              <w:jc w:val="right"/>
              <w:ind w:right="526"/>
              <w:spacing w:after="0"/>
              <w:rPr>
                <w:sz w:val="20"/>
                <w:szCs w:val="20"/>
                <w:color w:val="auto"/>
              </w:rPr>
            </w:pPr>
            <w:r>
              <w:rPr>
                <w:rFonts w:ascii="Arial" w:cs="Arial" w:eastAsia="Arial" w:hAnsi="Arial"/>
                <w:sz w:val="14"/>
                <w:szCs w:val="14"/>
                <w:b w:val="1"/>
                <w:bCs w:val="1"/>
                <w:color w:val="1383C6"/>
              </w:rPr>
              <w:t>2026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2025</w:t>
            </w:r>
          </w:p>
        </w:tc>
      </w:tr>
      <w:tr>
        <w:trPr>
          <w:trHeight w:val="218"/>
        </w:trPr>
        <w:tc>
          <w:tcPr>
            <w:tcW w:w="8120" w:type="dxa"/>
            <w:vAlign w:val="bottom"/>
          </w:tcPr>
          <w:p>
            <w:pPr>
              <w:spacing w:after="0"/>
              <w:rPr>
                <w:sz w:val="20"/>
                <w:szCs w:val="20"/>
                <w:color w:val="auto"/>
              </w:rPr>
            </w:pPr>
            <w:r>
              <w:rPr>
                <w:rFonts w:ascii="Arial" w:cs="Arial" w:eastAsia="Arial" w:hAnsi="Arial"/>
                <w:sz w:val="15"/>
                <w:szCs w:val="15"/>
                <w:color w:val="auto"/>
              </w:rPr>
              <w:t>Americas</w:t>
            </w:r>
          </w:p>
        </w:tc>
        <w:tc>
          <w:tcPr>
            <w:tcW w:w="320" w:type="dxa"/>
            <w:vAlign w:val="bottom"/>
            <w:shd w:val="clear" w:color="auto" w:fill="E7F2F9"/>
          </w:tcPr>
          <w:p>
            <w:pPr>
              <w:jc w:val="right"/>
              <w:ind w:right="143"/>
              <w:spacing w:after="0"/>
              <w:rPr>
                <w:sz w:val="20"/>
                <w:szCs w:val="20"/>
                <w:color w:val="auto"/>
              </w:rPr>
            </w:pPr>
            <w:r>
              <w:rPr>
                <w:rFonts w:ascii="Arial" w:cs="Arial" w:eastAsia="Arial" w:hAnsi="Arial"/>
                <w:sz w:val="15"/>
                <w:szCs w:val="15"/>
                <w:color w:val="1383C6"/>
                <w:w w:val="95"/>
              </w:rPr>
              <w:t>$</w:t>
            </w: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16,685</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16,303</w:t>
            </w:r>
          </w:p>
        </w:tc>
      </w:tr>
      <w:tr>
        <w:trPr>
          <w:trHeight w:val="232"/>
        </w:trPr>
        <w:tc>
          <w:tcPr>
            <w:tcW w:w="8120" w:type="dxa"/>
            <w:vAlign w:val="bottom"/>
          </w:tcPr>
          <w:p>
            <w:pPr>
              <w:spacing w:after="0"/>
              <w:rPr>
                <w:sz w:val="20"/>
                <w:szCs w:val="20"/>
                <w:color w:val="auto"/>
              </w:rPr>
            </w:pPr>
            <w:r>
              <w:rPr>
                <w:rFonts w:ascii="Arial" w:cs="Arial" w:eastAsia="Arial" w:hAnsi="Arial"/>
                <w:sz w:val="15"/>
                <w:szCs w:val="15"/>
                <w:color w:val="auto"/>
              </w:rPr>
              <w:t>Europe, Middle East and Africa</w:t>
            </w:r>
          </w:p>
        </w:tc>
        <w:tc>
          <w:tcPr>
            <w:tcW w:w="320" w:type="dxa"/>
            <w:vAlign w:val="bottom"/>
            <w:shd w:val="clear" w:color="auto" w:fill="E7F2F9"/>
          </w:tcPr>
          <w:p>
            <w:pPr>
              <w:spacing w:after="0"/>
              <w:rPr>
                <w:sz w:val="20"/>
                <w:szCs w:val="20"/>
                <w:color w:val="auto"/>
              </w:rPr>
            </w:pP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10,769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9,240</w:t>
            </w:r>
          </w:p>
        </w:tc>
      </w:tr>
      <w:tr>
        <w:trPr>
          <w:trHeight w:val="239"/>
        </w:trPr>
        <w:tc>
          <w:tcPr>
            <w:tcW w:w="8120" w:type="dxa"/>
            <w:vAlign w:val="bottom"/>
          </w:tcPr>
          <w:p>
            <w:pPr>
              <w:spacing w:after="0"/>
              <w:rPr>
                <w:sz w:val="20"/>
                <w:szCs w:val="20"/>
                <w:color w:val="auto"/>
              </w:rPr>
            </w:pPr>
            <w:r>
              <w:rPr>
                <w:rFonts w:ascii="Arial" w:cs="Arial" w:eastAsia="Arial" w:hAnsi="Arial"/>
                <w:sz w:val="15"/>
                <w:szCs w:val="15"/>
                <w:color w:val="auto"/>
              </w:rPr>
              <w:t>Asia-Pacific</w:t>
            </w:r>
          </w:p>
        </w:tc>
        <w:tc>
          <w:tcPr>
            <w:tcW w:w="320" w:type="dxa"/>
            <w:vAlign w:val="bottom"/>
            <w:tcBorders>
              <w:bottom w:val="single" w:sz="8" w:color="auto"/>
            </w:tcBorders>
            <w:shd w:val="clear" w:color="auto" w:fill="E7F2F9"/>
          </w:tcPr>
          <w:p>
            <w:pPr>
              <w:spacing w:after="0"/>
              <w:rPr>
                <w:sz w:val="20"/>
                <w:szCs w:val="20"/>
                <w:color w:val="auto"/>
              </w:rPr>
            </w:pPr>
          </w:p>
        </w:tc>
        <w:tc>
          <w:tcPr>
            <w:tcW w:w="11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9,724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11,610</w:t>
            </w:r>
          </w:p>
        </w:tc>
      </w:tr>
      <w:tr>
        <w:trPr>
          <w:trHeight w:val="245"/>
        </w:trPr>
        <w:tc>
          <w:tcPr>
            <w:tcW w:w="8120" w:type="dxa"/>
            <w:vAlign w:val="bottom"/>
          </w:tcPr>
          <w:p>
            <w:pPr>
              <w:ind w:left="240"/>
              <w:spacing w:after="0"/>
              <w:rPr>
                <w:sz w:val="20"/>
                <w:szCs w:val="20"/>
                <w:color w:val="auto"/>
              </w:rPr>
            </w:pPr>
            <w:r>
              <w:rPr>
                <w:rFonts w:ascii="Arial" w:cs="Arial" w:eastAsia="Arial" w:hAnsi="Arial"/>
                <w:sz w:val="15"/>
                <w:szCs w:val="15"/>
                <w:color w:val="auto"/>
              </w:rPr>
              <w:t>Total revenue</w:t>
            </w:r>
          </w:p>
        </w:tc>
        <w:tc>
          <w:tcPr>
            <w:tcW w:w="320" w:type="dxa"/>
            <w:vAlign w:val="bottom"/>
            <w:shd w:val="clear" w:color="auto" w:fill="E7F2F9"/>
          </w:tcPr>
          <w:p>
            <w:pPr>
              <w:jc w:val="right"/>
              <w:ind w:right="143"/>
              <w:spacing w:after="0"/>
              <w:rPr>
                <w:sz w:val="20"/>
                <w:szCs w:val="20"/>
                <w:color w:val="auto"/>
              </w:rPr>
            </w:pPr>
            <w:r>
              <w:rPr>
                <w:rFonts w:ascii="Arial" w:cs="Arial" w:eastAsia="Arial" w:hAnsi="Arial"/>
                <w:sz w:val="15"/>
                <w:szCs w:val="15"/>
                <w:color w:val="1383C6"/>
                <w:w w:val="95"/>
              </w:rPr>
              <w:t>$</w:t>
            </w: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37,178</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37,153</w:t>
            </w:r>
          </w:p>
        </w:tc>
      </w:tr>
      <w:tr>
        <w:trPr>
          <w:trHeight w:val="20"/>
        </w:trPr>
        <w:tc>
          <w:tcPr>
            <w:tcW w:w="8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revenue by category is as follows: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4"/>
                <w:szCs w:val="14"/>
                <w:b w:val="1"/>
                <w:bCs w:val="1"/>
                <w:color w:val="auto"/>
              </w:rPr>
              <w:t>Three Months Ended March 31,</w:t>
            </w:r>
          </w:p>
        </w:tc>
      </w:tr>
      <w:tr>
        <w:trPr>
          <w:trHeight w:val="212"/>
        </w:trPr>
        <w:tc>
          <w:tcPr>
            <w:tcW w:w="81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shd w:val="clear" w:color="auto" w:fill="E7F2F9"/>
          </w:tcPr>
          <w:p>
            <w:pPr>
              <w:spacing w:after="0"/>
              <w:rPr>
                <w:sz w:val="18"/>
                <w:szCs w:val="18"/>
                <w:color w:val="auto"/>
              </w:rPr>
            </w:pPr>
          </w:p>
        </w:tc>
        <w:tc>
          <w:tcPr>
            <w:tcW w:w="1180" w:type="dxa"/>
            <w:vAlign w:val="bottom"/>
            <w:tcBorders>
              <w:bottom w:val="single" w:sz="8" w:color="auto"/>
            </w:tcBorders>
            <w:shd w:val="clear" w:color="auto" w:fill="E7F2F9"/>
          </w:tcPr>
          <w:p>
            <w:pPr>
              <w:jc w:val="right"/>
              <w:ind w:right="525"/>
              <w:spacing w:after="0"/>
              <w:rPr>
                <w:sz w:val="20"/>
                <w:szCs w:val="20"/>
                <w:color w:val="auto"/>
              </w:rPr>
            </w:pPr>
            <w:r>
              <w:rPr>
                <w:rFonts w:ascii="Arial" w:cs="Arial" w:eastAsia="Arial" w:hAnsi="Arial"/>
                <w:sz w:val="14"/>
                <w:szCs w:val="14"/>
                <w:b w:val="1"/>
                <w:bCs w:val="1"/>
                <w:color w:val="1383C6"/>
              </w:rPr>
              <w:t>2026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2025</w:t>
            </w:r>
          </w:p>
        </w:tc>
      </w:tr>
      <w:tr>
        <w:trPr>
          <w:trHeight w:val="218"/>
        </w:trPr>
        <w:tc>
          <w:tcPr>
            <w:tcW w:w="8120" w:type="dxa"/>
            <w:vAlign w:val="bottom"/>
          </w:tcPr>
          <w:p>
            <w:pPr>
              <w:spacing w:after="0"/>
              <w:rPr>
                <w:sz w:val="20"/>
                <w:szCs w:val="20"/>
                <w:color w:val="auto"/>
              </w:rPr>
            </w:pPr>
            <w:r>
              <w:rPr>
                <w:rFonts w:ascii="Arial" w:cs="Arial" w:eastAsia="Arial" w:hAnsi="Arial"/>
                <w:sz w:val="15"/>
                <w:szCs w:val="15"/>
                <w:color w:val="auto"/>
              </w:rPr>
              <w:t>Instrument revenue</w:t>
            </w:r>
          </w:p>
        </w:tc>
        <w:tc>
          <w:tcPr>
            <w:tcW w:w="320" w:type="dxa"/>
            <w:vAlign w:val="bottom"/>
            <w:shd w:val="clear" w:color="auto" w:fill="E7F2F9"/>
          </w:tcPr>
          <w:p>
            <w:pPr>
              <w:jc w:val="right"/>
              <w:ind w:right="143"/>
              <w:spacing w:after="0"/>
              <w:rPr>
                <w:sz w:val="20"/>
                <w:szCs w:val="20"/>
                <w:color w:val="auto"/>
              </w:rPr>
            </w:pPr>
            <w:r>
              <w:rPr>
                <w:rFonts w:ascii="Arial" w:cs="Arial" w:eastAsia="Arial" w:hAnsi="Arial"/>
                <w:sz w:val="15"/>
                <w:szCs w:val="15"/>
                <w:color w:val="1383C6"/>
                <w:w w:val="95"/>
              </w:rPr>
              <w:t>$</w:t>
            </w: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9,721</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11,016</w:t>
            </w:r>
          </w:p>
        </w:tc>
      </w:tr>
      <w:tr>
        <w:trPr>
          <w:trHeight w:val="232"/>
        </w:trPr>
        <w:tc>
          <w:tcPr>
            <w:tcW w:w="8120" w:type="dxa"/>
            <w:vAlign w:val="bottom"/>
          </w:tcPr>
          <w:p>
            <w:pPr>
              <w:spacing w:after="0"/>
              <w:rPr>
                <w:sz w:val="20"/>
                <w:szCs w:val="20"/>
                <w:color w:val="auto"/>
              </w:rPr>
            </w:pPr>
            <w:r>
              <w:rPr>
                <w:rFonts w:ascii="Arial" w:cs="Arial" w:eastAsia="Arial" w:hAnsi="Arial"/>
                <w:sz w:val="15"/>
                <w:szCs w:val="15"/>
                <w:color w:val="auto"/>
              </w:rPr>
              <w:t>Consumable revenue</w:t>
            </w:r>
          </w:p>
        </w:tc>
        <w:tc>
          <w:tcPr>
            <w:tcW w:w="320" w:type="dxa"/>
            <w:vAlign w:val="bottom"/>
            <w:shd w:val="clear" w:color="auto" w:fill="E7F2F9"/>
          </w:tcPr>
          <w:p>
            <w:pPr>
              <w:spacing w:after="0"/>
              <w:rPr>
                <w:sz w:val="20"/>
                <w:szCs w:val="20"/>
                <w:color w:val="auto"/>
              </w:rPr>
            </w:pP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21,813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20,097</w:t>
            </w:r>
          </w:p>
        </w:tc>
      </w:tr>
      <w:tr>
        <w:trPr>
          <w:trHeight w:val="232"/>
        </w:trPr>
        <w:tc>
          <w:tcPr>
            <w:tcW w:w="8120" w:type="dxa"/>
            <w:vAlign w:val="bottom"/>
          </w:tcPr>
          <w:p>
            <w:pPr>
              <w:ind w:left="80"/>
              <w:spacing w:after="0"/>
              <w:rPr>
                <w:sz w:val="20"/>
                <w:szCs w:val="20"/>
                <w:color w:val="auto"/>
              </w:rPr>
            </w:pPr>
            <w:r>
              <w:rPr>
                <w:rFonts w:ascii="Arial" w:cs="Arial" w:eastAsia="Arial" w:hAnsi="Arial"/>
                <w:sz w:val="15"/>
                <w:szCs w:val="15"/>
                <w:color w:val="auto"/>
              </w:rPr>
              <w:t>Product revenue</w:t>
            </w:r>
          </w:p>
        </w:tc>
        <w:tc>
          <w:tcPr>
            <w:tcW w:w="320" w:type="dxa"/>
            <w:vAlign w:val="bottom"/>
            <w:shd w:val="clear" w:color="auto" w:fill="E7F2F9"/>
          </w:tcPr>
          <w:p>
            <w:pPr>
              <w:spacing w:after="0"/>
              <w:rPr>
                <w:sz w:val="20"/>
                <w:szCs w:val="20"/>
                <w:color w:val="auto"/>
              </w:rPr>
            </w:pP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31,534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31,113</w:t>
            </w:r>
          </w:p>
        </w:tc>
      </w:tr>
      <w:tr>
        <w:trPr>
          <w:trHeight w:val="239"/>
        </w:trPr>
        <w:tc>
          <w:tcPr>
            <w:tcW w:w="8120" w:type="dxa"/>
            <w:vAlign w:val="bottom"/>
          </w:tcPr>
          <w:p>
            <w:pPr>
              <w:spacing w:after="0"/>
              <w:rPr>
                <w:sz w:val="20"/>
                <w:szCs w:val="20"/>
                <w:color w:val="auto"/>
              </w:rPr>
            </w:pPr>
            <w:r>
              <w:rPr>
                <w:rFonts w:ascii="Arial" w:cs="Arial" w:eastAsia="Arial" w:hAnsi="Arial"/>
                <w:sz w:val="15"/>
                <w:szCs w:val="15"/>
                <w:color w:val="auto"/>
              </w:rPr>
              <w:t>Service and other revenue</w:t>
            </w:r>
          </w:p>
        </w:tc>
        <w:tc>
          <w:tcPr>
            <w:tcW w:w="320" w:type="dxa"/>
            <w:vAlign w:val="bottom"/>
            <w:tcBorders>
              <w:bottom w:val="single" w:sz="8" w:color="auto"/>
            </w:tcBorders>
            <w:shd w:val="clear" w:color="auto" w:fill="E7F2F9"/>
          </w:tcPr>
          <w:p>
            <w:pPr>
              <w:spacing w:after="0"/>
              <w:rPr>
                <w:sz w:val="20"/>
                <w:szCs w:val="20"/>
                <w:color w:val="auto"/>
              </w:rPr>
            </w:pPr>
          </w:p>
        </w:tc>
        <w:tc>
          <w:tcPr>
            <w:tcW w:w="11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5,644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6,040</w:t>
            </w:r>
          </w:p>
        </w:tc>
      </w:tr>
      <w:tr>
        <w:trPr>
          <w:trHeight w:val="245"/>
        </w:trPr>
        <w:tc>
          <w:tcPr>
            <w:tcW w:w="8120" w:type="dxa"/>
            <w:vAlign w:val="bottom"/>
          </w:tcPr>
          <w:p>
            <w:pPr>
              <w:ind w:left="240"/>
              <w:spacing w:after="0"/>
              <w:rPr>
                <w:sz w:val="20"/>
                <w:szCs w:val="20"/>
                <w:color w:val="auto"/>
              </w:rPr>
            </w:pPr>
            <w:r>
              <w:rPr>
                <w:rFonts w:ascii="Arial" w:cs="Arial" w:eastAsia="Arial" w:hAnsi="Arial"/>
                <w:sz w:val="15"/>
                <w:szCs w:val="15"/>
                <w:color w:val="auto"/>
              </w:rPr>
              <w:t>Total revenue</w:t>
            </w:r>
          </w:p>
        </w:tc>
        <w:tc>
          <w:tcPr>
            <w:tcW w:w="320" w:type="dxa"/>
            <w:vAlign w:val="bottom"/>
            <w:shd w:val="clear" w:color="auto" w:fill="E7F2F9"/>
          </w:tcPr>
          <w:p>
            <w:pPr>
              <w:jc w:val="right"/>
              <w:ind w:right="143"/>
              <w:spacing w:after="0"/>
              <w:rPr>
                <w:sz w:val="20"/>
                <w:szCs w:val="20"/>
                <w:color w:val="auto"/>
              </w:rPr>
            </w:pPr>
            <w:r>
              <w:rPr>
                <w:rFonts w:ascii="Arial" w:cs="Arial" w:eastAsia="Arial" w:hAnsi="Arial"/>
                <w:sz w:val="15"/>
                <w:szCs w:val="15"/>
                <w:color w:val="1383C6"/>
                <w:w w:val="95"/>
              </w:rPr>
              <w:t>$</w:t>
            </w: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37,178</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37,153</w:t>
            </w:r>
          </w:p>
        </w:tc>
      </w:tr>
      <w:tr>
        <w:trPr>
          <w:trHeight w:val="20"/>
        </w:trPr>
        <w:tc>
          <w:tcPr>
            <w:tcW w:w="8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254000</wp:posOffset>
            </wp:positionV>
            <wp:extent cx="71386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25</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525780</wp:posOffset>
            </wp:positionV>
            <wp:extent cx="71386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80" w:right="1240" w:hanging="850"/>
        <w:spacing w:after="0" w:line="284" w:lineRule="auto"/>
        <w:rPr>
          <w:sz w:val="20"/>
          <w:szCs w:val="20"/>
          <w:color w:val="auto"/>
        </w:rPr>
      </w:pPr>
      <w:r>
        <w:rPr>
          <w:rFonts w:ascii="Arial" w:cs="Arial" w:eastAsia="Arial" w:hAnsi="Arial"/>
          <w:sz w:val="21"/>
          <w:szCs w:val="21"/>
          <w:b w:val="1"/>
          <w:bCs w:val="1"/>
          <w:color w:val="DF1995"/>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71386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(i) our unaudited condensed consolidated financial statements and related notes that are included elsewhere in this Quarterly Report on Form 10-Q and (ii) our 2025 Annual Report filed with the U.S. Securities and Exchange Commission, or the SEC, on February 25, 2026. This discussion contains forward-looking statements based upon current plans, expectations and beliefs that involve risks and uncertainties.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Our actual results may differ materially from those anticipated in these forward-looking statements as a result of various factors, including, but not limited to, those discussed in the section entitled “Risk Factors” and elsewhere in this Quarterly Report on Form 10-Q, and you should not place undue reliance on our forward-looking statements. We do not assume any obligation to update any forward-looking statements. In preparing this Management's Discussion and Analysis ("MD&amp;A"), we presume that readers have access to and have read the MD&amp;A in our 2025 Annual Report on Form 10-K, pursuant to Instruction 2 to paragraph (b) of Item 303 of Regulation S-K.</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Our MD&amp;A is organized into the following sections:</w:t>
      </w:r>
    </w:p>
    <w:p>
      <w:pPr>
        <w:spacing w:after="0" w:line="114" w:lineRule="exact"/>
        <w:rPr>
          <w:sz w:val="20"/>
          <w:szCs w:val="20"/>
          <w:color w:val="auto"/>
        </w:rPr>
      </w:pPr>
    </w:p>
    <w:p>
      <w:pPr>
        <w:ind w:left="620" w:hanging="307"/>
        <w:spacing w:after="0"/>
        <w:tabs>
          <w:tab w:leader="none" w:pos="620" w:val="left"/>
        </w:tabs>
        <w:numPr>
          <w:ilvl w:val="0"/>
          <w:numId w:val="5"/>
        </w:numPr>
        <w:rPr>
          <w:rFonts w:ascii="Arial" w:cs="Arial" w:eastAsia="Arial" w:hAnsi="Arial"/>
          <w:sz w:val="17"/>
          <w:szCs w:val="17"/>
          <w:b w:val="1"/>
          <w:bCs w:val="1"/>
          <w:color w:val="DF1995"/>
        </w:rPr>
      </w:pPr>
      <w:r>
        <w:rPr>
          <w:rFonts w:ascii="Arial" w:cs="Arial" w:eastAsia="Arial" w:hAnsi="Arial"/>
          <w:sz w:val="17"/>
          <w:szCs w:val="17"/>
          <w:color w:val="auto"/>
        </w:rPr>
        <w:t>Overview and Outlook</w:t>
      </w:r>
    </w:p>
    <w:p>
      <w:pPr>
        <w:spacing w:after="0" w:line="62" w:lineRule="exact"/>
        <w:rPr>
          <w:rFonts w:ascii="Arial" w:cs="Arial" w:eastAsia="Arial" w:hAnsi="Arial"/>
          <w:sz w:val="17"/>
          <w:szCs w:val="17"/>
          <w:b w:val="1"/>
          <w:bCs w:val="1"/>
          <w:color w:val="DF1995"/>
        </w:rPr>
      </w:pPr>
    </w:p>
    <w:p>
      <w:pPr>
        <w:ind w:left="620" w:hanging="307"/>
        <w:spacing w:after="0"/>
        <w:tabs>
          <w:tab w:leader="none" w:pos="620" w:val="left"/>
        </w:tabs>
        <w:numPr>
          <w:ilvl w:val="0"/>
          <w:numId w:val="5"/>
        </w:numPr>
        <w:rPr>
          <w:rFonts w:ascii="Arial" w:cs="Arial" w:eastAsia="Arial" w:hAnsi="Arial"/>
          <w:sz w:val="17"/>
          <w:szCs w:val="17"/>
          <w:b w:val="1"/>
          <w:bCs w:val="1"/>
          <w:color w:val="DF1995"/>
        </w:rPr>
      </w:pPr>
      <w:r>
        <w:rPr>
          <w:rFonts w:ascii="Arial" w:cs="Arial" w:eastAsia="Arial" w:hAnsi="Arial"/>
          <w:sz w:val="17"/>
          <w:szCs w:val="17"/>
          <w:color w:val="auto"/>
        </w:rPr>
        <w:t>Results of Operations</w:t>
      </w:r>
    </w:p>
    <w:p>
      <w:pPr>
        <w:spacing w:after="0" w:line="62" w:lineRule="exact"/>
        <w:rPr>
          <w:rFonts w:ascii="Arial" w:cs="Arial" w:eastAsia="Arial" w:hAnsi="Arial"/>
          <w:sz w:val="17"/>
          <w:szCs w:val="17"/>
          <w:b w:val="1"/>
          <w:bCs w:val="1"/>
          <w:color w:val="DF1995"/>
        </w:rPr>
      </w:pPr>
    </w:p>
    <w:p>
      <w:pPr>
        <w:ind w:left="620" w:hanging="307"/>
        <w:spacing w:after="0"/>
        <w:tabs>
          <w:tab w:leader="none" w:pos="620" w:val="left"/>
        </w:tabs>
        <w:numPr>
          <w:ilvl w:val="0"/>
          <w:numId w:val="5"/>
        </w:numPr>
        <w:rPr>
          <w:rFonts w:ascii="Arial" w:cs="Arial" w:eastAsia="Arial" w:hAnsi="Arial"/>
          <w:sz w:val="17"/>
          <w:szCs w:val="17"/>
          <w:b w:val="1"/>
          <w:bCs w:val="1"/>
          <w:color w:val="DF1995"/>
        </w:rPr>
      </w:pPr>
      <w:r>
        <w:rPr>
          <w:rFonts w:ascii="Arial" w:cs="Arial" w:eastAsia="Arial" w:hAnsi="Arial"/>
          <w:sz w:val="17"/>
          <w:szCs w:val="17"/>
          <w:color w:val="auto"/>
        </w:rPr>
        <w:t>Liquidity and Capital Resources</w:t>
      </w:r>
    </w:p>
    <w:p>
      <w:pPr>
        <w:spacing w:after="0" w:line="62" w:lineRule="exact"/>
        <w:rPr>
          <w:rFonts w:ascii="Arial" w:cs="Arial" w:eastAsia="Arial" w:hAnsi="Arial"/>
          <w:sz w:val="17"/>
          <w:szCs w:val="17"/>
          <w:b w:val="1"/>
          <w:bCs w:val="1"/>
          <w:color w:val="DF1995"/>
        </w:rPr>
      </w:pPr>
    </w:p>
    <w:p>
      <w:pPr>
        <w:ind w:left="620" w:hanging="307"/>
        <w:spacing w:after="0"/>
        <w:tabs>
          <w:tab w:leader="none" w:pos="620" w:val="left"/>
        </w:tabs>
        <w:numPr>
          <w:ilvl w:val="0"/>
          <w:numId w:val="5"/>
        </w:numPr>
        <w:rPr>
          <w:rFonts w:ascii="Arial" w:cs="Arial" w:eastAsia="Arial" w:hAnsi="Arial"/>
          <w:sz w:val="17"/>
          <w:szCs w:val="17"/>
          <w:b w:val="1"/>
          <w:bCs w:val="1"/>
          <w:color w:val="DF1995"/>
        </w:rPr>
      </w:pPr>
      <w:r>
        <w:rPr>
          <w:rFonts w:ascii="Arial" w:cs="Arial" w:eastAsia="Arial" w:hAnsi="Arial"/>
          <w:sz w:val="17"/>
          <w:szCs w:val="17"/>
          <w:color w:val="auto"/>
        </w:rPr>
        <w:t>Critical Accounting Policies and Estimates</w:t>
      </w:r>
    </w:p>
    <w:p>
      <w:pPr>
        <w:spacing w:after="0" w:line="62" w:lineRule="exact"/>
        <w:rPr>
          <w:rFonts w:ascii="Arial" w:cs="Arial" w:eastAsia="Arial" w:hAnsi="Arial"/>
          <w:sz w:val="17"/>
          <w:szCs w:val="17"/>
          <w:b w:val="1"/>
          <w:bCs w:val="1"/>
          <w:color w:val="DF1995"/>
        </w:rPr>
      </w:pPr>
    </w:p>
    <w:p>
      <w:pPr>
        <w:ind w:left="620" w:hanging="307"/>
        <w:spacing w:after="0"/>
        <w:tabs>
          <w:tab w:leader="none" w:pos="620" w:val="left"/>
        </w:tabs>
        <w:numPr>
          <w:ilvl w:val="0"/>
          <w:numId w:val="5"/>
        </w:numPr>
        <w:rPr>
          <w:rFonts w:ascii="Arial" w:cs="Arial" w:eastAsia="Arial" w:hAnsi="Arial"/>
          <w:sz w:val="17"/>
          <w:szCs w:val="17"/>
          <w:b w:val="1"/>
          <w:bCs w:val="1"/>
          <w:color w:val="DF1995"/>
        </w:rPr>
      </w:pPr>
      <w:r>
        <w:rPr>
          <w:rFonts w:ascii="Arial" w:cs="Arial" w:eastAsia="Arial" w:hAnsi="Arial"/>
          <w:sz w:val="17"/>
          <w:szCs w:val="17"/>
          <w:color w:val="auto"/>
        </w:rPr>
        <w:t>Recent Accounting Pronouncements</w:t>
      </w:r>
    </w:p>
    <w:p>
      <w:pPr>
        <w:spacing w:after="0" w:line="62" w:lineRule="exact"/>
        <w:rPr>
          <w:rFonts w:ascii="Arial" w:cs="Arial" w:eastAsia="Arial" w:hAnsi="Arial"/>
          <w:sz w:val="17"/>
          <w:szCs w:val="17"/>
          <w:b w:val="1"/>
          <w:bCs w:val="1"/>
          <w:color w:val="DF1995"/>
        </w:rPr>
      </w:pPr>
    </w:p>
    <w:p>
      <w:pPr>
        <w:ind w:left="620" w:hanging="307"/>
        <w:spacing w:after="0"/>
        <w:tabs>
          <w:tab w:leader="none" w:pos="620" w:val="left"/>
        </w:tabs>
        <w:numPr>
          <w:ilvl w:val="0"/>
          <w:numId w:val="5"/>
        </w:numPr>
        <w:rPr>
          <w:rFonts w:ascii="Arial" w:cs="Arial" w:eastAsia="Arial" w:hAnsi="Arial"/>
          <w:sz w:val="17"/>
          <w:szCs w:val="17"/>
          <w:b w:val="1"/>
          <w:bCs w:val="1"/>
          <w:color w:val="DF1995"/>
        </w:rPr>
      </w:pPr>
      <w:r>
        <w:rPr>
          <w:rFonts w:ascii="Arial" w:cs="Arial" w:eastAsia="Arial" w:hAnsi="Arial"/>
          <w:sz w:val="17"/>
          <w:szCs w:val="17"/>
          <w:color w:val="auto"/>
        </w:rPr>
        <w:t>Off 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138670" cy="2457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OVERVIEW AND OUTLOOK</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About PacBio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are a premier life science technology company that designs, develops, and manufactures advanced sequencing solutions that enable scientists and clinical researchers to improve their understanding of the genome and ultimately, resolve genetically complex problems.</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products and technology, which primarily consist of our HiFi long-read sequencing systems, address a broad set of applications including human germline sequencing, plant and animal sciences, infectious disease and microbiology, oncology, and other emerging applications.</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focus is on creating some of the world's most advanced sequencing systems to provide our customers with the most complete and accurate view of genomes, transcriptomes, and epigenomes.</w:t>
      </w:r>
    </w:p>
    <w:p>
      <w:pPr>
        <w:spacing w:after="0" w:line="4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71386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26</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2026 main objectives are to grow revenue and expand gross margins through the following five activities. These initiatives are designed to improve the economics of HiFi sequencing, expand adoption across clinical and research markets, and drive durable growth across our platform portfolio.</w:t>
      </w:r>
    </w:p>
    <w:p>
      <w:pPr>
        <w:spacing w:after="0" w:line="58" w:lineRule="exact"/>
        <w:rPr>
          <w:sz w:val="20"/>
          <w:szCs w:val="20"/>
          <w:color w:val="auto"/>
        </w:rPr>
      </w:pPr>
    </w:p>
    <w:p>
      <w:pPr>
        <w:jc w:val="both"/>
        <w:ind w:left="620" w:hanging="307"/>
        <w:spacing w:after="0" w:line="272" w:lineRule="auto"/>
        <w:tabs>
          <w:tab w:leader="none" w:pos="616" w:val="left"/>
        </w:tabs>
        <w:numPr>
          <w:ilvl w:val="0"/>
          <w:numId w:val="6"/>
        </w:numPr>
        <w:rPr>
          <w:rFonts w:ascii="Arial" w:cs="Arial" w:eastAsia="Arial" w:hAnsi="Arial"/>
          <w:sz w:val="17"/>
          <w:szCs w:val="17"/>
          <w:b w:val="1"/>
          <w:bCs w:val="1"/>
          <w:color w:val="DF1995"/>
        </w:rPr>
      </w:pPr>
      <w:r>
        <w:rPr>
          <w:rFonts w:ascii="Arial" w:cs="Arial" w:eastAsia="Arial" w:hAnsi="Arial"/>
          <w:sz w:val="17"/>
          <w:szCs w:val="17"/>
          <w:b w:val="1"/>
          <w:bCs w:val="1"/>
          <w:color w:val="DF1995"/>
        </w:rPr>
        <w:t xml:space="preserve">Accelerate samples onto the Revio platform through SPRQ-Nx chemistry and application kits. </w:t>
      </w:r>
      <w:r>
        <w:rPr>
          <w:rFonts w:ascii="Arial" w:cs="Arial" w:eastAsia="Arial" w:hAnsi="Arial"/>
          <w:sz w:val="17"/>
          <w:szCs w:val="17"/>
          <w:color w:val="000000"/>
        </w:rPr>
        <w:t>SPRQ-Nx is designed to lower the</w:t>
      </w:r>
      <w:r>
        <w:rPr>
          <w:rFonts w:ascii="Arial" w:cs="Arial" w:eastAsia="Arial" w:hAnsi="Arial"/>
          <w:sz w:val="17"/>
          <w:szCs w:val="17"/>
          <w:b w:val="1"/>
          <w:bCs w:val="1"/>
          <w:color w:val="DF1995"/>
        </w:rPr>
        <w:t xml:space="preserve"> </w:t>
      </w:r>
      <w:r>
        <w:rPr>
          <w:rFonts w:ascii="Arial" w:cs="Arial" w:eastAsia="Arial" w:hAnsi="Arial"/>
          <w:sz w:val="17"/>
          <w:szCs w:val="17"/>
          <w:color w:val="000000"/>
        </w:rPr>
        <w:t>cost of sequencing and improve sequencing efficiency, which we believe will support higher throughput, increased sample volumes, and broader adoption of HiFi sequencing in large-scale research studies and clinical applications.</w:t>
      </w:r>
    </w:p>
    <w:p>
      <w:pPr>
        <w:spacing w:after="0" w:line="96" w:lineRule="exact"/>
        <w:rPr>
          <w:rFonts w:ascii="Arial" w:cs="Arial" w:eastAsia="Arial" w:hAnsi="Arial"/>
          <w:sz w:val="17"/>
          <w:szCs w:val="17"/>
          <w:b w:val="1"/>
          <w:bCs w:val="1"/>
          <w:color w:val="DF1995"/>
        </w:rPr>
      </w:pPr>
    </w:p>
    <w:p>
      <w:pPr>
        <w:jc w:val="both"/>
        <w:ind w:left="620" w:hanging="307"/>
        <w:spacing w:after="0" w:line="244" w:lineRule="auto"/>
        <w:tabs>
          <w:tab w:leader="none" w:pos="615" w:val="left"/>
        </w:tabs>
        <w:numPr>
          <w:ilvl w:val="0"/>
          <w:numId w:val="6"/>
        </w:numPr>
        <w:rPr>
          <w:rFonts w:ascii="Arial" w:cs="Arial" w:eastAsia="Arial" w:hAnsi="Arial"/>
          <w:sz w:val="21"/>
          <w:szCs w:val="21"/>
          <w:color w:val="DF1995"/>
        </w:rPr>
      </w:pPr>
      <w:r>
        <w:rPr>
          <w:rFonts w:ascii="Arial" w:cs="Arial" w:eastAsia="Arial" w:hAnsi="Arial"/>
          <w:sz w:val="17"/>
          <w:szCs w:val="17"/>
          <w:b w:val="1"/>
          <w:bCs w:val="1"/>
          <w:color w:val="DF1995"/>
        </w:rPr>
        <w:t xml:space="preserve">Expand the capabilities of the Vega benchtop platform to broaden our market reach. </w:t>
      </w:r>
      <w:r>
        <w:rPr>
          <w:rFonts w:ascii="Arial" w:cs="Arial" w:eastAsia="Arial" w:hAnsi="Arial"/>
          <w:sz w:val="17"/>
          <w:szCs w:val="17"/>
          <w:color w:val="000000"/>
        </w:rPr>
        <w:t>We plan to enable faster run times and</w:t>
      </w:r>
      <w:r>
        <w:rPr>
          <w:rFonts w:ascii="Arial" w:cs="Arial" w:eastAsia="Arial" w:hAnsi="Arial"/>
          <w:sz w:val="17"/>
          <w:szCs w:val="17"/>
          <w:b w:val="1"/>
          <w:bCs w:val="1"/>
          <w:color w:val="DF1995"/>
        </w:rPr>
        <w:t xml:space="preserve"> </w:t>
      </w:r>
      <w:r>
        <w:rPr>
          <w:rFonts w:ascii="Arial" w:cs="Arial" w:eastAsia="Arial" w:hAnsi="Arial"/>
          <w:sz w:val="17"/>
          <w:szCs w:val="17"/>
          <w:color w:val="000000"/>
        </w:rPr>
        <w:t>enhanced user experience through software improvements, which are intended to support broader adoption and improve the overall economics of HiFi sequencing.</w:t>
      </w:r>
    </w:p>
    <w:p>
      <w:pPr>
        <w:spacing w:after="0" w:line="91" w:lineRule="exact"/>
        <w:rPr>
          <w:rFonts w:ascii="Arial" w:cs="Arial" w:eastAsia="Arial" w:hAnsi="Arial"/>
          <w:sz w:val="21"/>
          <w:szCs w:val="21"/>
          <w:color w:val="DF1995"/>
        </w:rPr>
      </w:pPr>
    </w:p>
    <w:p>
      <w:pPr>
        <w:jc w:val="both"/>
        <w:ind w:left="620" w:hanging="307"/>
        <w:spacing w:after="0" w:line="256" w:lineRule="auto"/>
        <w:tabs>
          <w:tab w:leader="none" w:pos="609" w:val="left"/>
        </w:tabs>
        <w:numPr>
          <w:ilvl w:val="0"/>
          <w:numId w:val="6"/>
        </w:numPr>
        <w:rPr>
          <w:rFonts w:ascii="Arial" w:cs="Arial" w:eastAsia="Arial" w:hAnsi="Arial"/>
          <w:sz w:val="19"/>
          <w:szCs w:val="19"/>
          <w:color w:val="DF1995"/>
        </w:rPr>
      </w:pPr>
      <w:r>
        <w:rPr>
          <w:rFonts w:ascii="Arial" w:cs="Arial" w:eastAsia="Arial" w:hAnsi="Arial"/>
          <w:sz w:val="17"/>
          <w:szCs w:val="17"/>
          <w:b w:val="1"/>
          <w:bCs w:val="1"/>
          <w:color w:val="DF1995"/>
        </w:rPr>
        <w:t xml:space="preserve">Progress our clinical strategy to improve outcomes and create durability. </w:t>
      </w:r>
      <w:r>
        <w:rPr>
          <w:rFonts w:ascii="Arial" w:cs="Arial" w:eastAsia="Arial" w:hAnsi="Arial"/>
          <w:sz w:val="17"/>
          <w:szCs w:val="17"/>
          <w:color w:val="000000"/>
        </w:rPr>
        <w:t>Revio is increasingly being adopted in laboratory-developed</w:t>
      </w:r>
      <w:r>
        <w:rPr>
          <w:rFonts w:ascii="Arial" w:cs="Arial" w:eastAsia="Arial" w:hAnsi="Arial"/>
          <w:sz w:val="17"/>
          <w:szCs w:val="17"/>
          <w:b w:val="1"/>
          <w:bCs w:val="1"/>
          <w:color w:val="DF1995"/>
        </w:rPr>
        <w:t xml:space="preserve"> </w:t>
      </w:r>
      <w:r>
        <w:rPr>
          <w:rFonts w:ascii="Arial" w:cs="Arial" w:eastAsia="Arial" w:hAnsi="Arial"/>
          <w:sz w:val="17"/>
          <w:szCs w:val="17"/>
          <w:color w:val="000000"/>
        </w:rPr>
        <w:t>test ("LDT") and clinical research settings, supporting consolidation of multiple tests, addressing complex genetic challenges, and driving sustained utilization of HiFi sequencing. This includes in the Americas, where we continue to aggressively shift our strategy to clinical and commercial accounts where we believe the funding dynamics are more favorable.</w:t>
      </w:r>
    </w:p>
    <w:p>
      <w:pPr>
        <w:spacing w:after="0" w:line="108" w:lineRule="exact"/>
        <w:rPr>
          <w:rFonts w:ascii="Arial" w:cs="Arial" w:eastAsia="Arial" w:hAnsi="Arial"/>
          <w:sz w:val="19"/>
          <w:szCs w:val="19"/>
          <w:color w:val="DF1995"/>
        </w:rPr>
      </w:pPr>
    </w:p>
    <w:p>
      <w:pPr>
        <w:jc w:val="both"/>
        <w:ind w:left="620" w:hanging="307"/>
        <w:spacing w:after="0" w:line="251" w:lineRule="auto"/>
        <w:tabs>
          <w:tab w:leader="none" w:pos="615" w:val="left"/>
        </w:tabs>
        <w:numPr>
          <w:ilvl w:val="0"/>
          <w:numId w:val="6"/>
        </w:numPr>
        <w:rPr>
          <w:rFonts w:ascii="Arial" w:cs="Arial" w:eastAsia="Arial" w:hAnsi="Arial"/>
          <w:sz w:val="21"/>
          <w:szCs w:val="21"/>
          <w:color w:val="DF1995"/>
        </w:rPr>
      </w:pPr>
      <w:r>
        <w:rPr>
          <w:rFonts w:ascii="Arial" w:cs="Arial" w:eastAsia="Arial" w:hAnsi="Arial"/>
          <w:sz w:val="17"/>
          <w:szCs w:val="17"/>
          <w:b w:val="1"/>
          <w:bCs w:val="1"/>
          <w:color w:val="DF1995"/>
        </w:rPr>
        <w:t xml:space="preserve">Advance data-driven interpretation through scalable HiFi datasets and analytics. </w:t>
      </w:r>
      <w:r>
        <w:rPr>
          <w:rFonts w:ascii="Arial" w:cs="Arial" w:eastAsia="Arial" w:hAnsi="Arial"/>
          <w:sz w:val="17"/>
          <w:szCs w:val="17"/>
          <w:color w:val="000000"/>
        </w:rPr>
        <w:t>We are focused on leveraging the accuracy of HiFi</w:t>
      </w:r>
      <w:r>
        <w:rPr>
          <w:rFonts w:ascii="Arial" w:cs="Arial" w:eastAsia="Arial" w:hAnsi="Arial"/>
          <w:sz w:val="17"/>
          <w:szCs w:val="17"/>
          <w:b w:val="1"/>
          <w:bCs w:val="1"/>
          <w:color w:val="DF1995"/>
        </w:rPr>
        <w:t xml:space="preserve"> </w:t>
      </w:r>
      <w:r>
        <w:rPr>
          <w:rFonts w:ascii="Arial" w:cs="Arial" w:eastAsia="Arial" w:hAnsi="Arial"/>
          <w:sz w:val="17"/>
          <w:szCs w:val="17"/>
          <w:color w:val="000000"/>
        </w:rPr>
        <w:t>sequencing and growing datasets to support advanced data analysis and AI-assisted interpretation approaches. Collaborative initiatives such as the HiFi Solves Global Consortium are designed to aggregate large, well-characterized HiFi datasets, which we believe can support improved understanding of complex genetic variation and disease biology while maintaining expert oversight.</w:t>
      </w:r>
    </w:p>
    <w:p>
      <w:pPr>
        <w:spacing w:after="0" w:line="113" w:lineRule="exact"/>
        <w:rPr>
          <w:rFonts w:ascii="Arial" w:cs="Arial" w:eastAsia="Arial" w:hAnsi="Arial"/>
          <w:sz w:val="21"/>
          <w:szCs w:val="21"/>
          <w:color w:val="DF1995"/>
        </w:rPr>
      </w:pPr>
    </w:p>
    <w:p>
      <w:pPr>
        <w:jc w:val="both"/>
        <w:ind w:left="620" w:hanging="307"/>
        <w:spacing w:after="0" w:line="244" w:lineRule="auto"/>
        <w:tabs>
          <w:tab w:leader="none" w:pos="615" w:val="left"/>
        </w:tabs>
        <w:numPr>
          <w:ilvl w:val="0"/>
          <w:numId w:val="6"/>
        </w:numPr>
        <w:rPr>
          <w:rFonts w:ascii="Arial" w:cs="Arial" w:eastAsia="Arial" w:hAnsi="Arial"/>
          <w:sz w:val="21"/>
          <w:szCs w:val="21"/>
          <w:color w:val="DF1995"/>
        </w:rPr>
      </w:pPr>
      <w:r>
        <w:rPr>
          <w:rFonts w:ascii="Arial" w:cs="Arial" w:eastAsia="Arial" w:hAnsi="Arial"/>
          <w:sz w:val="17"/>
          <w:szCs w:val="17"/>
          <w:b w:val="1"/>
          <w:bCs w:val="1"/>
          <w:color w:val="DF1995"/>
        </w:rPr>
        <w:t xml:space="preserve">Invest in future product launches to drive platform innovation. </w:t>
      </w:r>
      <w:r>
        <w:rPr>
          <w:rFonts w:ascii="Arial" w:cs="Arial" w:eastAsia="Arial" w:hAnsi="Arial"/>
          <w:sz w:val="17"/>
          <w:szCs w:val="17"/>
          <w:color w:val="000000"/>
        </w:rPr>
        <w:t>We continue to develop sequencing solutions designed to increase</w:t>
      </w:r>
      <w:r>
        <w:rPr>
          <w:rFonts w:ascii="Arial" w:cs="Arial" w:eastAsia="Arial" w:hAnsi="Arial"/>
          <w:sz w:val="17"/>
          <w:szCs w:val="17"/>
          <w:b w:val="1"/>
          <w:bCs w:val="1"/>
          <w:color w:val="DF1995"/>
        </w:rPr>
        <w:t xml:space="preserve"> </w:t>
      </w:r>
      <w:r>
        <w:rPr>
          <w:rFonts w:ascii="Arial" w:cs="Arial" w:eastAsia="Arial" w:hAnsi="Arial"/>
          <w:sz w:val="17"/>
          <w:szCs w:val="17"/>
          <w:color w:val="000000"/>
        </w:rPr>
        <w:t>throughput, simplify workflows, lower the cost to sequence a genome, and enhance downstream data analysis and interpretation capabilities, which we believe will allow us to address a larger portion of the market.</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continue to believe that with the capabilities of our technology, we can be a market leader in whole-genome clinical sequencing. Leading institutions have adopted our products to study rare and inherited disease. We believe the market opportunity for clinical sequencing is significant and could drive substantial revenue growth for the Company. We plan to continue to pursue partner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429895</wp:posOffset>
            </wp:positionV>
            <wp:extent cx="71386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27</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Financial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53701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70195"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Key highlights of the three months ended March 31, 2026 consolidated financial results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99695</wp:posOffset>
            </wp:positionV>
            <wp:extent cx="5255895" cy="8921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55895" cy="892175"/>
                    </a:xfrm>
                    <a:prstGeom prst="rect">
                      <a:avLst/>
                    </a:prstGeom>
                    <a:noFill/>
                  </pic:spPr>
                </pic:pic>
              </a:graphicData>
            </a:graphic>
          </wp:anchor>
        </w:drawing>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26"/>
        </w:trPr>
        <w:tc>
          <w:tcPr>
            <w:tcW w:w="1820" w:type="dxa"/>
            <w:vAlign w:val="bottom"/>
          </w:tcPr>
          <w:p>
            <w:pPr>
              <w:spacing w:after="0"/>
              <w:rPr>
                <w:sz w:val="20"/>
                <w:szCs w:val="20"/>
                <w:color w:val="auto"/>
              </w:rPr>
            </w:pPr>
            <w:r>
              <w:rPr>
                <w:rFonts w:ascii="Arial" w:cs="Arial" w:eastAsia="Arial" w:hAnsi="Arial"/>
                <w:sz w:val="17"/>
                <w:szCs w:val="17"/>
                <w:color w:val="FFFFFF"/>
              </w:rPr>
              <w:t>Revenue of</w:t>
            </w:r>
          </w:p>
        </w:tc>
        <w:tc>
          <w:tcPr>
            <w:tcW w:w="2920" w:type="dxa"/>
            <w:vAlign w:val="bottom"/>
          </w:tcPr>
          <w:p>
            <w:pPr>
              <w:ind w:left="960"/>
              <w:spacing w:after="0"/>
              <w:rPr>
                <w:sz w:val="20"/>
                <w:szCs w:val="20"/>
                <w:color w:val="auto"/>
              </w:rPr>
            </w:pPr>
            <w:r>
              <w:rPr>
                <w:rFonts w:ascii="Arial" w:cs="Arial" w:eastAsia="Arial" w:hAnsi="Arial"/>
                <w:sz w:val="17"/>
                <w:szCs w:val="17"/>
                <w:color w:val="FFFFFF"/>
              </w:rPr>
              <w:t>Gross profit of</w:t>
            </w:r>
          </w:p>
        </w:tc>
        <w:tc>
          <w:tcPr>
            <w:tcW w:w="2180" w:type="dxa"/>
            <w:vAlign w:val="bottom"/>
          </w:tcPr>
          <w:p>
            <w:pPr>
              <w:ind w:left="880"/>
              <w:spacing w:after="0"/>
              <w:rPr>
                <w:sz w:val="20"/>
                <w:szCs w:val="20"/>
                <w:color w:val="auto"/>
              </w:rPr>
            </w:pPr>
            <w:r>
              <w:rPr>
                <w:rFonts w:ascii="Arial" w:cs="Arial" w:eastAsia="Arial" w:hAnsi="Arial"/>
                <w:sz w:val="17"/>
                <w:szCs w:val="17"/>
                <w:color w:val="FFFFFF"/>
                <w:w w:val="99"/>
              </w:rPr>
              <w:t>Operating loss of</w:t>
            </w:r>
          </w:p>
        </w:tc>
      </w:tr>
    </w:tbl>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428"/>
        </w:trPr>
        <w:tc>
          <w:tcPr>
            <w:tcW w:w="2640" w:type="dxa"/>
            <w:vAlign w:val="bottom"/>
            <w:tcBorders>
              <w:bottom w:val="single" w:sz="8" w:color="009CA2"/>
            </w:tcBorders>
          </w:tcPr>
          <w:p>
            <w:pPr>
              <w:ind w:left="40"/>
              <w:spacing w:after="0"/>
              <w:rPr>
                <w:sz w:val="20"/>
                <w:szCs w:val="20"/>
                <w:color w:val="auto"/>
              </w:rPr>
            </w:pPr>
            <w:r>
              <w:rPr>
                <w:rFonts w:ascii="Arial" w:cs="Arial" w:eastAsia="Arial" w:hAnsi="Arial"/>
                <w:sz w:val="31"/>
                <w:szCs w:val="31"/>
                <w:b w:val="1"/>
                <w:bCs w:val="1"/>
                <w:color w:val="FFFFFF"/>
              </w:rPr>
              <w:t>$37.2 M</w:t>
            </w:r>
          </w:p>
        </w:tc>
        <w:tc>
          <w:tcPr>
            <w:tcW w:w="160" w:type="dxa"/>
            <w:vAlign w:val="bottom"/>
          </w:tcPr>
          <w:p>
            <w:pPr>
              <w:spacing w:after="0"/>
              <w:rPr>
                <w:sz w:val="24"/>
                <w:szCs w:val="24"/>
                <w:color w:val="auto"/>
              </w:rPr>
            </w:pPr>
          </w:p>
        </w:tc>
        <w:tc>
          <w:tcPr>
            <w:tcW w:w="2660" w:type="dxa"/>
            <w:vAlign w:val="bottom"/>
            <w:tcBorders>
              <w:bottom w:val="single" w:sz="8" w:color="009CA2"/>
            </w:tcBorders>
          </w:tcPr>
          <w:p>
            <w:pPr>
              <w:ind w:left="20"/>
              <w:spacing w:after="0"/>
              <w:rPr>
                <w:sz w:val="20"/>
                <w:szCs w:val="20"/>
                <w:color w:val="auto"/>
              </w:rPr>
            </w:pPr>
            <w:r>
              <w:rPr>
                <w:rFonts w:ascii="Arial" w:cs="Arial" w:eastAsia="Arial" w:hAnsi="Arial"/>
                <w:sz w:val="31"/>
                <w:szCs w:val="31"/>
                <w:b w:val="1"/>
                <w:bCs w:val="1"/>
                <w:color w:val="FFFFFF"/>
              </w:rPr>
              <w:t>$12.8 M</w:t>
            </w:r>
          </w:p>
        </w:tc>
        <w:tc>
          <w:tcPr>
            <w:tcW w:w="160" w:type="dxa"/>
            <w:vAlign w:val="bottom"/>
          </w:tcPr>
          <w:p>
            <w:pPr>
              <w:spacing w:after="0"/>
              <w:rPr>
                <w:sz w:val="24"/>
                <w:szCs w:val="24"/>
                <w:color w:val="auto"/>
              </w:rPr>
            </w:pPr>
          </w:p>
        </w:tc>
        <w:tc>
          <w:tcPr>
            <w:tcW w:w="2660" w:type="dxa"/>
            <w:vAlign w:val="bottom"/>
            <w:tcBorders>
              <w:bottom w:val="single" w:sz="8" w:color="009CA2"/>
            </w:tcBorders>
          </w:tcPr>
          <w:p>
            <w:pPr>
              <w:ind w:left="40"/>
              <w:spacing w:after="0"/>
              <w:rPr>
                <w:sz w:val="20"/>
                <w:szCs w:val="20"/>
                <w:color w:val="auto"/>
              </w:rPr>
            </w:pPr>
            <w:r>
              <w:rPr>
                <w:rFonts w:ascii="Arial" w:cs="Arial" w:eastAsia="Arial" w:hAnsi="Arial"/>
                <w:sz w:val="31"/>
                <w:szCs w:val="31"/>
                <w:b w:val="1"/>
                <w:bCs w:val="1"/>
                <w:color w:val="FFFFFF"/>
              </w:rPr>
              <w:t>$8.4 M</w:t>
            </w:r>
          </w:p>
        </w:tc>
      </w:tr>
      <w:tr>
        <w:trPr>
          <w:trHeight w:val="208"/>
        </w:trPr>
        <w:tc>
          <w:tcPr>
            <w:tcW w:w="2800" w:type="dxa"/>
            <w:vAlign w:val="bottom"/>
            <w:gridSpan w:val="2"/>
          </w:tcPr>
          <w:p>
            <w:pPr>
              <w:ind w:left="40"/>
              <w:spacing w:after="0"/>
              <w:rPr>
                <w:sz w:val="20"/>
                <w:szCs w:val="20"/>
                <w:color w:val="auto"/>
              </w:rPr>
            </w:pPr>
            <w:r>
              <w:rPr>
                <w:rFonts w:ascii="Arial" w:cs="Arial" w:eastAsia="Arial" w:hAnsi="Arial"/>
                <w:sz w:val="17"/>
                <w:szCs w:val="17"/>
                <w:color w:val="FFFFFF"/>
              </w:rPr>
              <w:t>compared to $37.2 M during the</w:t>
            </w:r>
          </w:p>
        </w:tc>
        <w:tc>
          <w:tcPr>
            <w:tcW w:w="2820" w:type="dxa"/>
            <w:vAlign w:val="bottom"/>
            <w:gridSpan w:val="2"/>
          </w:tcPr>
          <w:p>
            <w:pPr>
              <w:ind w:left="20"/>
              <w:spacing w:after="0"/>
              <w:rPr>
                <w:sz w:val="20"/>
                <w:szCs w:val="20"/>
                <w:color w:val="auto"/>
              </w:rPr>
            </w:pPr>
            <w:r>
              <w:rPr>
                <w:rFonts w:ascii="Arial" w:cs="Arial" w:eastAsia="Arial" w:hAnsi="Arial"/>
                <w:sz w:val="17"/>
                <w:szCs w:val="17"/>
                <w:color w:val="FFFFFF"/>
              </w:rPr>
              <w:t>compared to gross loss of $1.4 M</w:t>
            </w:r>
          </w:p>
        </w:tc>
        <w:tc>
          <w:tcPr>
            <w:tcW w:w="2660" w:type="dxa"/>
            <w:vAlign w:val="bottom"/>
          </w:tcPr>
          <w:p>
            <w:pPr>
              <w:ind w:left="40"/>
              <w:spacing w:after="0"/>
              <w:rPr>
                <w:sz w:val="20"/>
                <w:szCs w:val="20"/>
                <w:color w:val="auto"/>
              </w:rPr>
            </w:pPr>
            <w:r>
              <w:rPr>
                <w:rFonts w:ascii="Arial" w:cs="Arial" w:eastAsia="Arial" w:hAnsi="Arial"/>
                <w:sz w:val="17"/>
                <w:szCs w:val="17"/>
                <w:color w:val="FFFFFF"/>
              </w:rPr>
              <w:t>compared to $428.9 M during the</w:t>
            </w:r>
          </w:p>
        </w:tc>
      </w:tr>
      <w:tr>
        <w:trPr>
          <w:trHeight w:val="226"/>
        </w:trPr>
        <w:tc>
          <w:tcPr>
            <w:tcW w:w="2800" w:type="dxa"/>
            <w:vAlign w:val="bottom"/>
            <w:gridSpan w:val="2"/>
          </w:tcPr>
          <w:p>
            <w:pPr>
              <w:ind w:left="40"/>
              <w:spacing w:after="0"/>
              <w:rPr>
                <w:sz w:val="20"/>
                <w:szCs w:val="20"/>
                <w:color w:val="auto"/>
              </w:rPr>
            </w:pPr>
            <w:r>
              <w:rPr>
                <w:rFonts w:ascii="Arial" w:cs="Arial" w:eastAsia="Arial" w:hAnsi="Arial"/>
                <w:sz w:val="17"/>
                <w:szCs w:val="17"/>
                <w:color w:val="FFFFFF"/>
              </w:rPr>
              <w:t>same period of 2025</w:t>
            </w:r>
          </w:p>
        </w:tc>
        <w:tc>
          <w:tcPr>
            <w:tcW w:w="2820" w:type="dxa"/>
            <w:vAlign w:val="bottom"/>
            <w:gridSpan w:val="2"/>
          </w:tcPr>
          <w:p>
            <w:pPr>
              <w:ind w:left="20"/>
              <w:spacing w:after="0"/>
              <w:rPr>
                <w:sz w:val="20"/>
                <w:szCs w:val="20"/>
                <w:color w:val="auto"/>
              </w:rPr>
            </w:pPr>
            <w:r>
              <w:rPr>
                <w:rFonts w:ascii="Arial" w:cs="Arial" w:eastAsia="Arial" w:hAnsi="Arial"/>
                <w:sz w:val="17"/>
                <w:szCs w:val="17"/>
                <w:color w:val="FFFFFF"/>
              </w:rPr>
              <w:t>during the same period of 2025</w:t>
            </w:r>
          </w:p>
        </w:tc>
        <w:tc>
          <w:tcPr>
            <w:tcW w:w="2660" w:type="dxa"/>
            <w:vAlign w:val="bottom"/>
          </w:tcPr>
          <w:p>
            <w:pPr>
              <w:ind w:left="40"/>
              <w:spacing w:after="0"/>
              <w:rPr>
                <w:sz w:val="20"/>
                <w:szCs w:val="20"/>
                <w:color w:val="auto"/>
              </w:rPr>
            </w:pPr>
            <w:r>
              <w:rPr>
                <w:rFonts w:ascii="Arial" w:cs="Arial" w:eastAsia="Arial" w:hAnsi="Arial"/>
                <w:sz w:val="17"/>
                <w:szCs w:val="17"/>
                <w:color w:val="FFFFFF"/>
              </w:rPr>
              <w:t>same period of 2025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20"/>
        <w:spacing w:after="0" w:line="285" w:lineRule="auto"/>
        <w:rPr>
          <w:sz w:val="20"/>
          <w:szCs w:val="20"/>
          <w:color w:val="auto"/>
        </w:rPr>
      </w:pPr>
      <w:r>
        <w:rPr>
          <w:rFonts w:ascii="Arial" w:cs="Arial" w:eastAsia="Arial" w:hAnsi="Arial"/>
          <w:sz w:val="17"/>
          <w:szCs w:val="17"/>
          <w:color w:val="FFFFFF"/>
        </w:rPr>
        <w:t>Cash, cash equivalents, and investments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-652145</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-652145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-652145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-652145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-652145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-652145</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-652145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-652145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-652145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-652145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-652145</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-652145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-652145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-652145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-652145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-652145</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-652145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-652145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-652145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255905</wp:posOffset>
            </wp:positionH>
            <wp:positionV relativeFrom="paragraph">
              <wp:posOffset>-652145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272415</wp:posOffset>
            </wp:positionH>
            <wp:positionV relativeFrom="paragraph">
              <wp:posOffset>-652145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288925</wp:posOffset>
            </wp:positionH>
            <wp:positionV relativeFrom="paragraph">
              <wp:posOffset>-652145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-652145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321310</wp:posOffset>
            </wp:positionH>
            <wp:positionV relativeFrom="paragraph">
              <wp:posOffset>-652145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-652145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wp:posOffset>
            </wp:positionH>
            <wp:positionV relativeFrom="paragraph">
              <wp:posOffset>-652145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370205</wp:posOffset>
            </wp:positionH>
            <wp:positionV relativeFrom="paragraph">
              <wp:posOffset>-652145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386715</wp:posOffset>
            </wp:positionH>
            <wp:positionV relativeFrom="paragraph">
              <wp:posOffset>-652145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-652145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wp:posOffset>
            </wp:positionH>
            <wp:positionV relativeFrom="paragraph">
              <wp:posOffset>-652145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-652145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452120</wp:posOffset>
            </wp:positionH>
            <wp:positionV relativeFrom="paragraph">
              <wp:posOffset>-652145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468630</wp:posOffset>
            </wp:positionH>
            <wp:positionV relativeFrom="paragraph">
              <wp:posOffset>-652145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-652145</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-652145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518160</wp:posOffset>
            </wp:positionH>
            <wp:positionV relativeFrom="paragraph">
              <wp:posOffset>-652145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534035</wp:posOffset>
            </wp:positionH>
            <wp:positionV relativeFrom="paragraph">
              <wp:posOffset>-652145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-652145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567055</wp:posOffset>
            </wp:positionH>
            <wp:positionV relativeFrom="paragraph">
              <wp:posOffset>-652145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-652145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599440</wp:posOffset>
            </wp:positionH>
            <wp:positionV relativeFrom="paragraph">
              <wp:posOffset>-652145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615950</wp:posOffset>
            </wp:positionH>
            <wp:positionV relativeFrom="paragraph">
              <wp:posOffset>-652145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632460</wp:posOffset>
            </wp:positionH>
            <wp:positionV relativeFrom="paragraph">
              <wp:posOffset>-652145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-652145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-652145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-652145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-652145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714375</wp:posOffset>
            </wp:positionH>
            <wp:positionV relativeFrom="paragraph">
              <wp:posOffset>-652145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-652145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-652145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-652145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779780</wp:posOffset>
            </wp:positionH>
            <wp:positionV relativeFrom="paragraph">
              <wp:posOffset>-652145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-652145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812800</wp:posOffset>
            </wp:positionH>
            <wp:positionV relativeFrom="paragraph">
              <wp:posOffset>-652145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-652145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-652145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-652145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-652145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894715</wp:posOffset>
            </wp:positionH>
            <wp:positionV relativeFrom="paragraph">
              <wp:posOffset>-652145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910590</wp:posOffset>
            </wp:positionH>
            <wp:positionV relativeFrom="paragraph">
              <wp:posOffset>-652145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-652145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-652145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-652145</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-652145</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992505</wp:posOffset>
            </wp:positionH>
            <wp:positionV relativeFrom="paragraph">
              <wp:posOffset>-652145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-652145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-652145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-652145</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-652145</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-652145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1090930</wp:posOffset>
            </wp:positionH>
            <wp:positionV relativeFrom="paragraph">
              <wp:posOffset>-652145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-652145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1123950</wp:posOffset>
            </wp:positionH>
            <wp:positionV relativeFrom="paragraph">
              <wp:posOffset>-652145</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1139825</wp:posOffset>
            </wp:positionH>
            <wp:positionV relativeFrom="paragraph">
              <wp:posOffset>-652145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-652145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1172845</wp:posOffset>
            </wp:positionH>
            <wp:positionV relativeFrom="paragraph">
              <wp:posOffset>-652145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1189355</wp:posOffset>
            </wp:positionH>
            <wp:positionV relativeFrom="paragraph">
              <wp:posOffset>-652145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-652145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-652145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-652145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1254760</wp:posOffset>
            </wp:positionH>
            <wp:positionV relativeFrom="paragraph">
              <wp:posOffset>-652145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-652145</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1287145</wp:posOffset>
            </wp:positionH>
            <wp:positionV relativeFrom="paragraph">
              <wp:posOffset>-652145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1303655</wp:posOffset>
            </wp:positionH>
            <wp:positionV relativeFrom="paragraph">
              <wp:posOffset>-652145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1320165</wp:posOffset>
            </wp:positionH>
            <wp:positionV relativeFrom="paragraph">
              <wp:posOffset>-652145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1336675</wp:posOffset>
            </wp:positionH>
            <wp:positionV relativeFrom="paragraph">
              <wp:posOffset>-652145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1353185</wp:posOffset>
            </wp:positionH>
            <wp:positionV relativeFrom="paragraph">
              <wp:posOffset>-652145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1369060</wp:posOffset>
            </wp:positionH>
            <wp:positionV relativeFrom="paragraph">
              <wp:posOffset>-652145</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-652145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-652145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1418590</wp:posOffset>
            </wp:positionH>
            <wp:positionV relativeFrom="paragraph">
              <wp:posOffset>-652145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1434465</wp:posOffset>
            </wp:positionH>
            <wp:positionV relativeFrom="paragraph">
              <wp:posOffset>-652145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-652145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-652145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1483995</wp:posOffset>
            </wp:positionH>
            <wp:positionV relativeFrom="paragraph">
              <wp:posOffset>-652145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-652145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-652145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-652145</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1549400</wp:posOffset>
            </wp:positionH>
            <wp:positionV relativeFrom="paragraph">
              <wp:posOffset>-652145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-652145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-652145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1598295</wp:posOffset>
            </wp:positionH>
            <wp:positionV relativeFrom="paragraph">
              <wp:posOffset>-652145</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1614805</wp:posOffset>
            </wp:positionH>
            <wp:positionV relativeFrom="paragraph">
              <wp:posOffset>-652145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-652145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1647825</wp:posOffset>
            </wp:positionH>
            <wp:positionV relativeFrom="paragraph">
              <wp:posOffset>-652145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1663700</wp:posOffset>
            </wp:positionH>
            <wp:positionV relativeFrom="paragraph">
              <wp:posOffset>-652145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1680210</wp:posOffset>
            </wp:positionH>
            <wp:positionV relativeFrom="paragraph">
              <wp:posOffset>-652145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1696720</wp:posOffset>
            </wp:positionH>
            <wp:positionV relativeFrom="paragraph">
              <wp:posOffset>-652145</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-307975</wp:posOffset>
            </wp:positionV>
            <wp:extent cx="1686560" cy="8921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686560" cy="892175"/>
                    </a:xfrm>
                    <a:prstGeom prst="rect">
                      <a:avLst/>
                    </a:prstGeom>
                    <a:noFill/>
                  </pic:spPr>
                </pic:pic>
              </a:graphicData>
            </a:graphic>
          </wp:anchor>
        </w:drawing>
      </w:r>
    </w:p>
    <w:p>
      <w:pPr>
        <w:spacing w:after="0"/>
        <w:rPr>
          <w:sz w:val="20"/>
          <w:szCs w:val="20"/>
          <w:color w:val="auto"/>
        </w:rPr>
      </w:pPr>
      <w:r>
        <w:rPr>
          <w:rFonts w:ascii="Arial" w:cs="Arial" w:eastAsia="Arial" w:hAnsi="Arial"/>
          <w:sz w:val="31"/>
          <w:szCs w:val="31"/>
          <w:b w:val="1"/>
          <w:bCs w:val="1"/>
          <w:color w:val="FFFFFF"/>
        </w:rPr>
        <w:t>$276.0 M</w:t>
      </w:r>
    </w:p>
    <w:p>
      <w:pPr>
        <w:spacing w:after="0" w:line="93" w:lineRule="exact"/>
        <w:rPr>
          <w:sz w:val="20"/>
          <w:szCs w:val="20"/>
          <w:color w:val="auto"/>
        </w:rPr>
      </w:pPr>
    </w:p>
    <w:p>
      <w:pPr>
        <w:ind w:right="780"/>
        <w:spacing w:after="0" w:line="290" w:lineRule="auto"/>
        <w:rPr>
          <w:sz w:val="20"/>
          <w:szCs w:val="20"/>
          <w:color w:val="auto"/>
        </w:rPr>
      </w:pPr>
      <w:r>
        <w:rPr>
          <w:rFonts w:ascii="Arial" w:cs="Arial" w:eastAsia="Arial" w:hAnsi="Arial"/>
          <w:sz w:val="17"/>
          <w:szCs w:val="17"/>
          <w:color w:val="FFFFFF"/>
        </w:rPr>
        <w:t>compared to $ 279.5 M at December 31, 2025</w:t>
      </w:r>
    </w:p>
    <w:p>
      <w:pPr>
        <w:spacing w:after="0" w:line="159" w:lineRule="exact"/>
        <w:rPr>
          <w:sz w:val="20"/>
          <w:szCs w:val="20"/>
          <w:color w:val="auto"/>
        </w:rPr>
      </w:pPr>
    </w:p>
    <w:p>
      <w:pPr>
        <w:sectPr>
          <w:pgSz w:w="11900" w:h="16838" w:orient="portrait"/>
          <w:cols w:equalWidth="0" w:num="2">
            <w:col w:w="8360" w:space="200"/>
            <w:col w:w="2680"/>
          </w:cols>
          <w:pgMar w:left="320" w:top="121" w:right="339" w:bottom="1440" w:gutter="0" w:footer="0" w:header="0"/>
          <w:type w:val="continuous"/>
        </w:sectPr>
      </w:pPr>
    </w:p>
    <w:p>
      <w:pPr>
        <w:jc w:val="both"/>
        <w:ind w:left="380" w:hanging="222"/>
        <w:spacing w:after="0" w:line="265" w:lineRule="auto"/>
        <w:tabs>
          <w:tab w:leader="none" w:pos="376" w:val="left"/>
        </w:tabs>
        <w:numPr>
          <w:ilvl w:val="0"/>
          <w:numId w:val="7"/>
        </w:numPr>
        <w:rPr>
          <w:rFonts w:ascii="Arial" w:cs="Arial" w:eastAsia="Arial" w:hAnsi="Arial"/>
          <w:sz w:val="17"/>
          <w:szCs w:val="17"/>
          <w:b w:val="1"/>
          <w:bCs w:val="1"/>
          <w:color w:val="DF1995"/>
        </w:rPr>
      </w:pPr>
      <w:r>
        <w:rPr>
          <w:rFonts w:ascii="Arial" w:cs="Arial" w:eastAsia="Arial" w:hAnsi="Arial"/>
          <w:sz w:val="17"/>
          <w:szCs w:val="17"/>
          <w:color w:val="auto"/>
        </w:rPr>
        <w:t>Revenue was comprised of $9.7 million in instrument revenue, $21.8 million in consumables revenue and $5.6 million in service and other revenue during the three months ended March 31, 2026. Revenue was comprised of $11.0 million in instrument revenue, $20.1 million in consumables revenue and $6.0 million in service and other revenue during the three months ended March 31, 2025. An increase in Consumable revenue and higher Revio unit sales were offset by lower Vega unit sales and a decrease in service and other revenue.</w:t>
      </w:r>
    </w:p>
    <w:p>
      <w:pPr>
        <w:spacing w:after="0" w:line="77" w:lineRule="exact"/>
        <w:rPr>
          <w:rFonts w:ascii="Arial" w:cs="Arial" w:eastAsia="Arial" w:hAnsi="Arial"/>
          <w:sz w:val="17"/>
          <w:szCs w:val="17"/>
          <w:b w:val="1"/>
          <w:bCs w:val="1"/>
          <w:color w:val="DF1995"/>
        </w:rPr>
      </w:pPr>
    </w:p>
    <w:p>
      <w:pPr>
        <w:jc w:val="both"/>
        <w:ind w:left="380" w:hanging="222"/>
        <w:spacing w:after="0" w:line="266" w:lineRule="auto"/>
        <w:tabs>
          <w:tab w:leader="none" w:pos="376" w:val="left"/>
        </w:tabs>
        <w:numPr>
          <w:ilvl w:val="0"/>
          <w:numId w:val="7"/>
        </w:numPr>
        <w:rPr>
          <w:rFonts w:ascii="Arial" w:cs="Arial" w:eastAsia="Arial" w:hAnsi="Arial"/>
          <w:sz w:val="17"/>
          <w:szCs w:val="17"/>
          <w:b w:val="1"/>
          <w:bCs w:val="1"/>
          <w:color w:val="DF1995"/>
        </w:rPr>
      </w:pPr>
      <w:r>
        <w:rPr>
          <w:rFonts w:ascii="Arial" w:cs="Arial" w:eastAsia="Arial" w:hAnsi="Arial"/>
          <w:sz w:val="17"/>
          <w:szCs w:val="17"/>
          <w:color w:val="auto"/>
        </w:rPr>
        <w:t xml:space="preserve">We recorded a gross profit of $12.8 million during the three months ended March 31, 2026 compared to a gross loss of $1.4 million during the same period of 2025. We recorded approximately $12.0 million of restructuring charges during the three months ended March 31, 2025. See </w:t>
      </w:r>
      <w:r>
        <w:rPr>
          <w:rFonts w:ascii="Arial" w:cs="Arial" w:eastAsia="Arial" w:hAnsi="Arial"/>
          <w:sz w:val="17"/>
          <w:szCs w:val="17"/>
          <w:i w:val="1"/>
          <w:iCs w:val="1"/>
          <w:u w:val="single" w:color="auto"/>
          <w:color w:val="0000FF"/>
        </w:rPr>
        <w:t>Note 5. Restructuring</w:t>
      </w:r>
      <w:r>
        <w:rPr>
          <w:rFonts w:ascii="Arial" w:cs="Arial" w:eastAsia="Arial" w:hAnsi="Arial"/>
          <w:sz w:val="17"/>
          <w:szCs w:val="17"/>
          <w:i w:val="1"/>
          <w:iCs w:val="1"/>
          <w:color w:val="0000FF"/>
        </w:rPr>
        <w:t xml:space="preserve"> </w:t>
      </w:r>
      <w:r>
        <w:rPr>
          <w:rFonts w:ascii="Arial" w:cs="Arial" w:eastAsia="Arial" w:hAnsi="Arial"/>
          <w:sz w:val="17"/>
          <w:szCs w:val="17"/>
          <w:color w:val="000000"/>
        </w:rPr>
        <w:t>in Part I, Item 1 of this Quarterly Report on Form 10-Q for additional information. Gross margins may be affected by</w:t>
      </w:r>
      <w:r>
        <w:rPr>
          <w:rFonts w:ascii="Arial" w:cs="Arial" w:eastAsia="Arial" w:hAnsi="Arial"/>
          <w:sz w:val="17"/>
          <w:szCs w:val="17"/>
          <w:i w:val="1"/>
          <w:iCs w:val="1"/>
          <w:color w:val="0000FF"/>
        </w:rPr>
        <w:t xml:space="preserve"> </w:t>
      </w:r>
      <w:r>
        <w:rPr>
          <w:rFonts w:ascii="Arial" w:cs="Arial" w:eastAsia="Arial" w:hAnsi="Arial"/>
          <w:sz w:val="17"/>
          <w:szCs w:val="17"/>
          <w:color w:val="000000"/>
        </w:rPr>
        <w:t>product mix, manufacturing efficiencies, changes in warranty costs, average selling price fluctuations, product promotions, future product launches, changes to inventory reserves, costs of raw materials, computing costs, specifically memory, and tariffs.</w:t>
      </w:r>
    </w:p>
    <w:p>
      <w:pPr>
        <w:spacing w:after="0" w:line="64" w:lineRule="exact"/>
        <w:rPr>
          <w:rFonts w:ascii="Arial" w:cs="Arial" w:eastAsia="Arial" w:hAnsi="Arial"/>
          <w:sz w:val="17"/>
          <w:szCs w:val="17"/>
          <w:b w:val="1"/>
          <w:bCs w:val="1"/>
          <w:color w:val="DF1995"/>
        </w:rPr>
      </w:pPr>
    </w:p>
    <w:p>
      <w:pPr>
        <w:jc w:val="both"/>
        <w:ind w:left="380" w:hanging="222"/>
        <w:spacing w:after="0" w:line="258" w:lineRule="auto"/>
        <w:tabs>
          <w:tab w:leader="none" w:pos="376" w:val="left"/>
        </w:tabs>
        <w:numPr>
          <w:ilvl w:val="0"/>
          <w:numId w:val="7"/>
        </w:numPr>
        <w:rPr>
          <w:rFonts w:ascii="Arial" w:cs="Arial" w:eastAsia="Arial" w:hAnsi="Arial"/>
          <w:sz w:val="17"/>
          <w:szCs w:val="17"/>
          <w:b w:val="1"/>
          <w:bCs w:val="1"/>
          <w:color w:val="DF1995"/>
        </w:rPr>
      </w:pPr>
      <w:r>
        <w:rPr>
          <w:rFonts w:ascii="Arial" w:cs="Arial" w:eastAsia="Arial" w:hAnsi="Arial"/>
          <w:sz w:val="17"/>
          <w:szCs w:val="17"/>
          <w:color w:val="auto"/>
        </w:rPr>
        <w:t xml:space="preserve">Loss from operations decreased $420.6 million during the three months ended March 31, 2026, compared with the same period of 2025, primarily due to a $406.4 million decrease in operating expenses. Operating expenses of $21.2 million for the three months ended March 31, 2026 included litigation settlement expenses of $15.4 million. Operating expenses were mostly offset by a $45.8 million gain on disposal of assets to Illumina Cambridge Limited due to the Asset Sale. See </w:t>
      </w:r>
      <w:r>
        <w:rPr>
          <w:rFonts w:ascii="Arial" w:cs="Arial" w:eastAsia="Arial" w:hAnsi="Arial"/>
          <w:sz w:val="17"/>
          <w:szCs w:val="17"/>
          <w:u w:val="single" w:color="auto"/>
          <w:color w:val="0000FF"/>
        </w:rPr>
        <w:t>Note 2. Financial Instruments</w:t>
      </w:r>
      <w:r>
        <w:rPr>
          <w:rFonts w:ascii="Arial" w:cs="Arial" w:eastAsia="Arial" w:hAnsi="Arial"/>
          <w:sz w:val="17"/>
          <w:szCs w:val="17"/>
          <w:color w:val="auto"/>
        </w:rPr>
        <w:t xml:space="preserve"> in Part I, Item I of this Quarterly Report on Form 10-Q for more information. Operating expenses of $427.6 million during the three months ended March 31, 2025 included $381.8 million of costs incurred in connection with the restructuring and strategic shift, which included $359.3 million of accelerated amortization of acquired intangibles, $15.0 million of impairment charges, and $4.6 million of employee separation costs, partially offset by an $18.7 million decrease in the change in the fair value of the contingent consideration.</w:t>
      </w:r>
    </w:p>
    <w:p>
      <w:pPr>
        <w:spacing w:after="0" w:line="72" w:lineRule="exact"/>
        <w:rPr>
          <w:rFonts w:ascii="Arial" w:cs="Arial" w:eastAsia="Arial" w:hAnsi="Arial"/>
          <w:sz w:val="17"/>
          <w:szCs w:val="17"/>
          <w:b w:val="1"/>
          <w:bCs w:val="1"/>
          <w:color w:val="DF1995"/>
        </w:rPr>
      </w:pPr>
    </w:p>
    <w:p>
      <w:pPr>
        <w:jc w:val="both"/>
        <w:ind w:left="380" w:hanging="222"/>
        <w:spacing w:after="0" w:line="271" w:lineRule="auto"/>
        <w:tabs>
          <w:tab w:leader="none" w:pos="376" w:val="left"/>
        </w:tabs>
        <w:numPr>
          <w:ilvl w:val="0"/>
          <w:numId w:val="7"/>
        </w:numPr>
        <w:rPr>
          <w:rFonts w:ascii="Arial" w:cs="Arial" w:eastAsia="Arial" w:hAnsi="Arial"/>
          <w:sz w:val="17"/>
          <w:szCs w:val="17"/>
          <w:b w:val="1"/>
          <w:bCs w:val="1"/>
          <w:color w:val="DF1995"/>
        </w:rPr>
      </w:pPr>
      <w:r>
        <w:rPr>
          <w:rFonts w:ascii="Arial" w:cs="Arial" w:eastAsia="Arial" w:hAnsi="Arial"/>
          <w:sz w:val="17"/>
          <w:szCs w:val="17"/>
          <w:color w:val="auto"/>
        </w:rPr>
        <w:t>Cash, cash equivalents, and short-term investments were $276.0 million at March 31, 2026, which represents a 1% decrease compared to the balance at December 31, 2025. During the three months ended March 31, 2026 we received net cash proceeds of approximately $48.1 million in conjunction with the gain on disposal of assets discussed above.</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believe that demand for our instruments (particularly Vega) remains constrained due to, among other reasons, the funding environment in the United States, contributing to elongated sales cycles, or in certain cases, customers not placing instrument orders. Additionally, sales cycles have been and continue to be impacted by, among other reasons, continued capital funding constraints in academic and research markets, procurement timing considerations, and longer adoption cycles among new customers, which have affected the timing of certain instrument orders. We believe these challenges will impact second quarter 2026 revenue with approximately single-digit to low double-digit sequential revenue growth. However, we believe that revenues will be greater in the back half of 2026, which we expect will be driven by continued clinical adoption, SPRQ-Nx consumable growth, and revenue associated with the Basecamp Research program, which we believe will start to materialize in the second and third quarters of 2026. We are continuing development of a high-throughput, HiFi sequencer, which we believe could launch in 2027.</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Macroeconomic dynamics that have impacted and could continue to impact the Company include rising inflation, higher computing component costs, specifically memory, which may result in material cost pressures and supply constraints in future periods, geopolitical tensions, including recent conflicts in the Middle East (including Iran), volatile capital markets, tariffs, uncertainty in the United States related to NIH and academic funding, and fluctuating exchange rates. These factors could continue to impact our revenues and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386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28</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operations in future periods; however, the magnitude and duration of these impacts is highly uncertain and inherently unpredictable.</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On an ongoing basis, we evaluate our significant estimates, including those related to the valuation of goodwill, indefinite-lived and finite-lived assets. However, these estimates could change in future periods based on events or changes in circumstances, which could result in material future impairment charges. We recorded $15.0 million of impairment charges during the three months ended March 31, 2025. See additional discussion below in Results of Operations, as well as </w:t>
      </w:r>
      <w:r>
        <w:rPr>
          <w:rFonts w:ascii="Arial" w:cs="Arial" w:eastAsia="Arial" w:hAnsi="Arial"/>
          <w:sz w:val="17"/>
          <w:szCs w:val="17"/>
          <w:i w:val="1"/>
          <w:iCs w:val="1"/>
          <w:u w:val="single" w:color="auto"/>
          <w:color w:val="0000FF"/>
        </w:rPr>
        <w:t>Note 3. Balance Sheet Components</w:t>
      </w:r>
      <w:r>
        <w:rPr>
          <w:rFonts w:ascii="Arial" w:cs="Arial" w:eastAsia="Arial" w:hAnsi="Arial"/>
          <w:sz w:val="17"/>
          <w:szCs w:val="17"/>
          <w:color w:val="auto"/>
        </w:rPr>
        <w:t xml:space="preserve"> in Part I, Item 1 of this Quarterly Report on Form 10-Q for further information. Additionally, refer to the Critical Accounting Policies and Estimates section of our 2025 Annual Report for further discussion on the Company's asset impairment assessments.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the </w:t>
      </w:r>
      <w:r>
        <w:rPr>
          <w:rFonts w:ascii="Arial" w:cs="Arial" w:eastAsia="Arial" w:hAnsi="Arial"/>
          <w:sz w:val="17"/>
          <w:szCs w:val="17"/>
          <w:i w:val="1"/>
          <w:iCs w:val="1"/>
          <w:u w:val="single" w:color="auto"/>
          <w:color w:val="0000FF"/>
        </w:rPr>
        <w:t>Risk Factors</w:t>
      </w:r>
      <w:r>
        <w:rPr>
          <w:rFonts w:ascii="Arial" w:cs="Arial" w:eastAsia="Arial" w:hAnsi="Arial"/>
          <w:sz w:val="17"/>
          <w:szCs w:val="17"/>
          <w:color w:val="auto"/>
        </w:rPr>
        <w:t xml:space="preserve"> section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138670" cy="2457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RESULTS OF OPERATIONS</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Comparison of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2"/>
        </w:trPr>
        <w:tc>
          <w:tcPr>
            <w:tcW w:w="4860" w:type="dxa"/>
            <w:vAlign w:val="bottom"/>
          </w:tcPr>
          <w:p>
            <w:pPr>
              <w:spacing w:after="0"/>
              <w:rPr>
                <w:sz w:val="20"/>
                <w:szCs w:val="20"/>
                <w:color w:val="auto"/>
              </w:rPr>
            </w:pPr>
            <w:r>
              <w:rPr>
                <w:rFonts w:ascii="Arial" w:cs="Arial" w:eastAsia="Arial" w:hAnsi="Arial"/>
                <w:sz w:val="14"/>
                <w:szCs w:val="14"/>
                <w:i w:val="1"/>
                <w:iCs w:val="1"/>
                <w:color w:val="auto"/>
              </w:rPr>
              <w:t>(In thousands, except percentages)</w:t>
            </w:r>
          </w:p>
        </w:tc>
        <w:tc>
          <w:tcPr>
            <w:tcW w:w="320" w:type="dxa"/>
            <w:vAlign w:val="bottom"/>
            <w:tcBorders>
              <w:top w:val="single" w:sz="8" w:color="auto"/>
              <w:bottom w:val="single" w:sz="8" w:color="auto"/>
            </w:tcBorders>
            <w:shd w:val="clear" w:color="auto" w:fill="E7F2F9"/>
          </w:tcPr>
          <w:p>
            <w:pPr>
              <w:spacing w:after="0"/>
              <w:rPr>
                <w:sz w:val="18"/>
                <w:szCs w:val="18"/>
                <w:color w:val="auto"/>
              </w:rPr>
            </w:pPr>
          </w:p>
        </w:tc>
        <w:tc>
          <w:tcPr>
            <w:tcW w:w="1180" w:type="dxa"/>
            <w:vAlign w:val="bottom"/>
            <w:tcBorders>
              <w:top w:val="single" w:sz="8" w:color="auto"/>
              <w:bottom w:val="single" w:sz="8" w:color="auto"/>
            </w:tcBorders>
            <w:shd w:val="clear" w:color="auto" w:fill="E7F2F9"/>
          </w:tcPr>
          <w:p>
            <w:pPr>
              <w:jc w:val="right"/>
              <w:ind w:right="523"/>
              <w:spacing w:after="0"/>
              <w:rPr>
                <w:sz w:val="20"/>
                <w:szCs w:val="20"/>
                <w:color w:val="auto"/>
              </w:rPr>
            </w:pPr>
            <w:r>
              <w:rPr>
                <w:rFonts w:ascii="Arial" w:cs="Arial" w:eastAsia="Arial" w:hAnsi="Arial"/>
                <w:sz w:val="14"/>
                <w:szCs w:val="14"/>
                <w:b w:val="1"/>
                <w:bCs w:val="1"/>
                <w:color w:val="1383C6"/>
              </w:rPr>
              <w:t>2026</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 Change</w:t>
            </w:r>
          </w:p>
        </w:tc>
      </w:tr>
      <w:tr>
        <w:trPr>
          <w:trHeight w:val="205"/>
        </w:trPr>
        <w:tc>
          <w:tcPr>
            <w:tcW w:w="4860" w:type="dxa"/>
            <w:vAlign w:val="bottom"/>
          </w:tcPr>
          <w:p>
            <w:pPr>
              <w:spacing w:after="0"/>
              <w:rPr>
                <w:sz w:val="20"/>
                <w:szCs w:val="20"/>
                <w:color w:val="auto"/>
              </w:rPr>
            </w:pPr>
            <w:r>
              <w:rPr>
                <w:rFonts w:ascii="Arial" w:cs="Arial" w:eastAsia="Arial" w:hAnsi="Arial"/>
                <w:sz w:val="15"/>
                <w:szCs w:val="15"/>
                <w:color w:val="auto"/>
              </w:rPr>
              <w:t>Revenue:</w:t>
            </w:r>
          </w:p>
        </w:tc>
        <w:tc>
          <w:tcPr>
            <w:tcW w:w="320" w:type="dxa"/>
            <w:vAlign w:val="bottom"/>
            <w:shd w:val="clear" w:color="auto" w:fill="E7F2F9"/>
          </w:tcPr>
          <w:p>
            <w:pPr>
              <w:spacing w:after="0"/>
              <w:rPr>
                <w:sz w:val="17"/>
                <w:szCs w:val="17"/>
                <w:color w:val="auto"/>
              </w:rPr>
            </w:pPr>
          </w:p>
        </w:tc>
        <w:tc>
          <w:tcPr>
            <w:tcW w:w="1180" w:type="dxa"/>
            <w:vAlign w:val="bottom"/>
            <w:shd w:val="clear" w:color="auto" w:fill="E7F2F9"/>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2"/>
        </w:trPr>
        <w:tc>
          <w:tcPr>
            <w:tcW w:w="4860" w:type="dxa"/>
            <w:vAlign w:val="bottom"/>
          </w:tcPr>
          <w:p>
            <w:pPr>
              <w:ind w:left="380"/>
              <w:spacing w:after="0"/>
              <w:rPr>
                <w:sz w:val="20"/>
                <w:szCs w:val="20"/>
                <w:color w:val="auto"/>
              </w:rPr>
            </w:pPr>
            <w:r>
              <w:rPr>
                <w:rFonts w:ascii="Arial" w:cs="Arial" w:eastAsia="Arial" w:hAnsi="Arial"/>
                <w:sz w:val="15"/>
                <w:szCs w:val="15"/>
                <w:color w:val="auto"/>
              </w:rPr>
              <w:t>Product revenue</w:t>
            </w:r>
          </w:p>
        </w:tc>
        <w:tc>
          <w:tcPr>
            <w:tcW w:w="320" w:type="dxa"/>
            <w:vAlign w:val="bottom"/>
            <w:shd w:val="clear" w:color="auto" w:fill="E7F2F9"/>
          </w:tcPr>
          <w:p>
            <w:pPr>
              <w:jc w:val="right"/>
              <w:ind w:right="123"/>
              <w:spacing w:after="0"/>
              <w:rPr>
                <w:sz w:val="20"/>
                <w:szCs w:val="20"/>
                <w:color w:val="auto"/>
              </w:rPr>
            </w:pPr>
            <w:r>
              <w:rPr>
                <w:rFonts w:ascii="Arial" w:cs="Arial" w:eastAsia="Arial" w:hAnsi="Arial"/>
                <w:sz w:val="15"/>
                <w:szCs w:val="15"/>
                <w:color w:val="1383C6"/>
              </w:rPr>
              <w:t>$</w:t>
            </w:r>
          </w:p>
        </w:tc>
        <w:tc>
          <w:tcPr>
            <w:tcW w:w="1180" w:type="dxa"/>
            <w:vAlign w:val="bottom"/>
            <w:shd w:val="clear" w:color="auto" w:fill="E7F2F9"/>
          </w:tcPr>
          <w:p>
            <w:pPr>
              <w:jc w:val="right"/>
              <w:ind w:right="3"/>
              <w:spacing w:after="0"/>
              <w:rPr>
                <w:sz w:val="20"/>
                <w:szCs w:val="20"/>
                <w:color w:val="auto"/>
              </w:rPr>
            </w:pPr>
            <w:r>
              <w:rPr>
                <w:rFonts w:ascii="Arial" w:cs="Arial" w:eastAsia="Arial" w:hAnsi="Arial"/>
                <w:sz w:val="15"/>
                <w:szCs w:val="15"/>
                <w:color w:val="1383C6"/>
              </w:rPr>
              <w:t>31,534</w:t>
            </w: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31,113</w:t>
            </w:r>
          </w:p>
        </w:tc>
        <w:tc>
          <w:tcPr>
            <w:tcW w:w="100" w:type="dxa"/>
            <w:vAlign w:val="bottom"/>
          </w:tcPr>
          <w:p>
            <w:pPr>
              <w:spacing w:after="0"/>
              <w:rPr>
                <w:sz w:val="20"/>
                <w:szCs w:val="20"/>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421</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39"/>
        </w:trPr>
        <w:tc>
          <w:tcPr>
            <w:tcW w:w="4860" w:type="dxa"/>
            <w:vAlign w:val="bottom"/>
          </w:tcPr>
          <w:p>
            <w:pPr>
              <w:ind w:left="380"/>
              <w:spacing w:after="0"/>
              <w:rPr>
                <w:sz w:val="20"/>
                <w:szCs w:val="20"/>
                <w:color w:val="auto"/>
              </w:rPr>
            </w:pPr>
            <w:r>
              <w:rPr>
                <w:rFonts w:ascii="Arial" w:cs="Arial" w:eastAsia="Arial" w:hAnsi="Arial"/>
                <w:sz w:val="15"/>
                <w:szCs w:val="15"/>
                <w:color w:val="auto"/>
              </w:rPr>
              <w:t>Service and other revenue</w:t>
            </w:r>
          </w:p>
        </w:tc>
        <w:tc>
          <w:tcPr>
            <w:tcW w:w="320" w:type="dxa"/>
            <w:vAlign w:val="bottom"/>
            <w:tcBorders>
              <w:bottom w:val="single" w:sz="8" w:color="auto"/>
            </w:tcBorders>
            <w:shd w:val="clear" w:color="auto" w:fill="E7F2F9"/>
          </w:tcPr>
          <w:p>
            <w:pPr>
              <w:spacing w:after="0"/>
              <w:rPr>
                <w:sz w:val="20"/>
                <w:szCs w:val="20"/>
                <w:color w:val="auto"/>
              </w:rPr>
            </w:pPr>
          </w:p>
        </w:tc>
        <w:tc>
          <w:tcPr>
            <w:tcW w:w="1180" w:type="dxa"/>
            <w:vAlign w:val="bottom"/>
            <w:tcBorders>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5,644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(7%)</w:t>
            </w:r>
          </w:p>
        </w:tc>
      </w:tr>
      <w:tr>
        <w:trPr>
          <w:trHeight w:val="225"/>
        </w:trPr>
        <w:tc>
          <w:tcPr>
            <w:tcW w:w="4860" w:type="dxa"/>
            <w:vAlign w:val="bottom"/>
          </w:tcPr>
          <w:p>
            <w:pPr>
              <w:ind w:left="700"/>
              <w:spacing w:after="0"/>
              <w:rPr>
                <w:sz w:val="20"/>
                <w:szCs w:val="20"/>
                <w:color w:val="auto"/>
              </w:rPr>
            </w:pPr>
            <w:r>
              <w:rPr>
                <w:rFonts w:ascii="Arial" w:cs="Arial" w:eastAsia="Arial" w:hAnsi="Arial"/>
                <w:sz w:val="15"/>
                <w:szCs w:val="15"/>
                <w:color w:val="auto"/>
              </w:rPr>
              <w:t>Total revenue</w:t>
            </w:r>
          </w:p>
        </w:tc>
        <w:tc>
          <w:tcPr>
            <w:tcW w:w="320" w:type="dxa"/>
            <w:vAlign w:val="bottom"/>
            <w:tcBorders>
              <w:bottom w:val="single" w:sz="8" w:color="auto"/>
            </w:tcBorders>
            <w:shd w:val="clear" w:color="auto" w:fill="E7F2F9"/>
          </w:tcPr>
          <w:p>
            <w:pPr>
              <w:spacing w:after="0"/>
              <w:rPr>
                <w:sz w:val="19"/>
                <w:szCs w:val="19"/>
                <w:color w:val="auto"/>
              </w:rPr>
            </w:pPr>
          </w:p>
        </w:tc>
        <w:tc>
          <w:tcPr>
            <w:tcW w:w="1180" w:type="dxa"/>
            <w:vAlign w:val="bottom"/>
            <w:tcBorders>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37,178</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37,153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4860" w:type="dxa"/>
            <w:vAlign w:val="bottom"/>
          </w:tcPr>
          <w:p>
            <w:pPr>
              <w:spacing w:after="0"/>
              <w:rPr>
                <w:sz w:val="20"/>
                <w:szCs w:val="20"/>
                <w:color w:val="auto"/>
              </w:rPr>
            </w:pPr>
            <w:r>
              <w:rPr>
                <w:rFonts w:ascii="Arial" w:cs="Arial" w:eastAsia="Arial" w:hAnsi="Arial"/>
                <w:sz w:val="15"/>
                <w:szCs w:val="15"/>
                <w:color w:val="auto"/>
              </w:rPr>
              <w:t>Cost of Revenue:</w:t>
            </w:r>
          </w:p>
        </w:tc>
        <w:tc>
          <w:tcPr>
            <w:tcW w:w="320" w:type="dxa"/>
            <w:vAlign w:val="bottom"/>
            <w:shd w:val="clear" w:color="auto" w:fill="E7F2F9"/>
          </w:tcPr>
          <w:p>
            <w:pPr>
              <w:spacing w:after="0"/>
              <w:rPr>
                <w:sz w:val="17"/>
                <w:szCs w:val="17"/>
                <w:color w:val="auto"/>
              </w:rPr>
            </w:pPr>
          </w:p>
        </w:tc>
        <w:tc>
          <w:tcPr>
            <w:tcW w:w="1180" w:type="dxa"/>
            <w:vAlign w:val="bottom"/>
            <w:shd w:val="clear" w:color="auto" w:fill="E7F2F9"/>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2"/>
        </w:trPr>
        <w:tc>
          <w:tcPr>
            <w:tcW w:w="4860" w:type="dxa"/>
            <w:vAlign w:val="bottom"/>
          </w:tcPr>
          <w:p>
            <w:pPr>
              <w:ind w:left="380"/>
              <w:spacing w:after="0"/>
              <w:rPr>
                <w:sz w:val="20"/>
                <w:szCs w:val="20"/>
                <w:color w:val="auto"/>
              </w:rPr>
            </w:pPr>
            <w:r>
              <w:rPr>
                <w:rFonts w:ascii="Arial" w:cs="Arial" w:eastAsia="Arial" w:hAnsi="Arial"/>
                <w:sz w:val="15"/>
                <w:szCs w:val="15"/>
                <w:color w:val="auto"/>
              </w:rPr>
              <w:t>Cost of product revenue</w:t>
            </w:r>
          </w:p>
        </w:tc>
        <w:tc>
          <w:tcPr>
            <w:tcW w:w="320" w:type="dxa"/>
            <w:vAlign w:val="bottom"/>
            <w:shd w:val="clear" w:color="auto" w:fill="E7F2F9"/>
          </w:tcPr>
          <w:p>
            <w:pPr>
              <w:spacing w:after="0"/>
              <w:rPr>
                <w:sz w:val="20"/>
                <w:szCs w:val="20"/>
                <w:color w:val="auto"/>
              </w:rPr>
            </w:pPr>
          </w:p>
        </w:tc>
        <w:tc>
          <w:tcPr>
            <w:tcW w:w="1180" w:type="dxa"/>
            <w:vAlign w:val="bottom"/>
            <w:shd w:val="clear" w:color="auto" w:fill="E7F2F9"/>
          </w:tcPr>
          <w:p>
            <w:pPr>
              <w:jc w:val="right"/>
              <w:ind w:right="3"/>
              <w:spacing w:after="0"/>
              <w:rPr>
                <w:sz w:val="20"/>
                <w:szCs w:val="20"/>
                <w:color w:val="auto"/>
              </w:rPr>
            </w:pPr>
            <w:r>
              <w:rPr>
                <w:rFonts w:ascii="Arial" w:cs="Arial" w:eastAsia="Arial" w:hAnsi="Arial"/>
                <w:sz w:val="15"/>
                <w:szCs w:val="15"/>
                <w:color w:val="1383C6"/>
              </w:rPr>
              <w:t>19,972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26,333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(6,361)</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(24%)</w:t>
            </w:r>
          </w:p>
        </w:tc>
      </w:tr>
      <w:tr>
        <w:trPr>
          <w:trHeight w:val="232"/>
        </w:trPr>
        <w:tc>
          <w:tcPr>
            <w:tcW w:w="4860" w:type="dxa"/>
            <w:vAlign w:val="bottom"/>
          </w:tcPr>
          <w:p>
            <w:pPr>
              <w:ind w:left="380"/>
              <w:spacing w:after="0"/>
              <w:rPr>
                <w:sz w:val="20"/>
                <w:szCs w:val="20"/>
                <w:color w:val="auto"/>
              </w:rPr>
            </w:pPr>
            <w:r>
              <w:rPr>
                <w:rFonts w:ascii="Arial" w:cs="Arial" w:eastAsia="Arial" w:hAnsi="Arial"/>
                <w:sz w:val="15"/>
                <w:szCs w:val="15"/>
                <w:color w:val="auto"/>
              </w:rPr>
              <w:t>Cost of service and other revenue</w:t>
            </w:r>
          </w:p>
        </w:tc>
        <w:tc>
          <w:tcPr>
            <w:tcW w:w="320" w:type="dxa"/>
            <w:vAlign w:val="bottom"/>
            <w:shd w:val="clear" w:color="auto" w:fill="E7F2F9"/>
          </w:tcPr>
          <w:p>
            <w:pPr>
              <w:spacing w:after="0"/>
              <w:rPr>
                <w:sz w:val="20"/>
                <w:szCs w:val="20"/>
                <w:color w:val="auto"/>
              </w:rPr>
            </w:pPr>
          </w:p>
        </w:tc>
        <w:tc>
          <w:tcPr>
            <w:tcW w:w="1180" w:type="dxa"/>
            <w:vAlign w:val="bottom"/>
            <w:shd w:val="clear" w:color="auto" w:fill="E7F2F9"/>
          </w:tcPr>
          <w:p>
            <w:pPr>
              <w:jc w:val="right"/>
              <w:ind w:right="3"/>
              <w:spacing w:after="0"/>
              <w:rPr>
                <w:sz w:val="20"/>
                <w:szCs w:val="20"/>
                <w:color w:val="auto"/>
              </w:rPr>
            </w:pPr>
            <w:r>
              <w:rPr>
                <w:rFonts w:ascii="Arial" w:cs="Arial" w:eastAsia="Arial" w:hAnsi="Arial"/>
                <w:sz w:val="15"/>
                <w:szCs w:val="15"/>
                <w:color w:val="1383C6"/>
              </w:rPr>
              <w:t>4,182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3,778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404</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11%</w:t>
            </w:r>
          </w:p>
        </w:tc>
      </w:tr>
      <w:tr>
        <w:trPr>
          <w:trHeight w:val="232"/>
        </w:trPr>
        <w:tc>
          <w:tcPr>
            <w:tcW w:w="4860" w:type="dxa"/>
            <w:vAlign w:val="bottom"/>
          </w:tcPr>
          <w:p>
            <w:pPr>
              <w:ind w:left="380"/>
              <w:spacing w:after="0"/>
              <w:rPr>
                <w:sz w:val="20"/>
                <w:szCs w:val="20"/>
                <w:color w:val="auto"/>
              </w:rPr>
            </w:pPr>
            <w:r>
              <w:rPr>
                <w:rFonts w:ascii="Arial" w:cs="Arial" w:eastAsia="Arial" w:hAnsi="Arial"/>
                <w:sz w:val="15"/>
                <w:szCs w:val="15"/>
                <w:color w:val="auto"/>
              </w:rPr>
              <w:t>Amortization of acquired intangible assets</w:t>
            </w:r>
          </w:p>
        </w:tc>
        <w:tc>
          <w:tcPr>
            <w:tcW w:w="320" w:type="dxa"/>
            <w:vAlign w:val="bottom"/>
            <w:shd w:val="clear" w:color="auto" w:fill="E7F2F9"/>
          </w:tcPr>
          <w:p>
            <w:pPr>
              <w:spacing w:after="0"/>
              <w:rPr>
                <w:sz w:val="20"/>
                <w:szCs w:val="20"/>
                <w:color w:val="auto"/>
              </w:rPr>
            </w:pPr>
          </w:p>
        </w:tc>
        <w:tc>
          <w:tcPr>
            <w:tcW w:w="1180" w:type="dxa"/>
            <w:vAlign w:val="bottom"/>
            <w:shd w:val="clear" w:color="auto" w:fill="E7F2F9"/>
          </w:tcPr>
          <w:p>
            <w:pPr>
              <w:jc w:val="right"/>
              <w:ind w:right="3"/>
              <w:spacing w:after="0"/>
              <w:rPr>
                <w:sz w:val="20"/>
                <w:szCs w:val="20"/>
                <w:color w:val="auto"/>
              </w:rPr>
            </w:pPr>
            <w:r>
              <w:rPr>
                <w:rFonts w:ascii="Arial" w:cs="Arial" w:eastAsia="Arial" w:hAnsi="Arial"/>
                <w:sz w:val="15"/>
                <w:szCs w:val="15"/>
                <w:color w:val="1383C6"/>
              </w:rPr>
              <w:t>183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4,345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(4,162)</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(96%)</w:t>
            </w:r>
          </w:p>
        </w:tc>
      </w:tr>
      <w:tr>
        <w:trPr>
          <w:trHeight w:val="239"/>
        </w:trPr>
        <w:tc>
          <w:tcPr>
            <w:tcW w:w="4860" w:type="dxa"/>
            <w:vAlign w:val="bottom"/>
          </w:tcPr>
          <w:p>
            <w:pPr>
              <w:ind w:left="380"/>
              <w:spacing w:after="0"/>
              <w:rPr>
                <w:sz w:val="20"/>
                <w:szCs w:val="20"/>
                <w:color w:val="auto"/>
              </w:rPr>
            </w:pPr>
            <w:r>
              <w:rPr>
                <w:rFonts w:ascii="Arial" w:cs="Arial" w:eastAsia="Arial" w:hAnsi="Arial"/>
                <w:sz w:val="15"/>
                <w:szCs w:val="15"/>
                <w:color w:val="auto"/>
              </w:rPr>
              <w:t>Loss on purchase commitment</w:t>
            </w:r>
          </w:p>
        </w:tc>
        <w:tc>
          <w:tcPr>
            <w:tcW w:w="320" w:type="dxa"/>
            <w:vAlign w:val="bottom"/>
            <w:tcBorders>
              <w:bottom w:val="single" w:sz="8" w:color="auto"/>
            </w:tcBorders>
            <w:shd w:val="clear" w:color="auto" w:fill="E7F2F9"/>
          </w:tcPr>
          <w:p>
            <w:pPr>
              <w:spacing w:after="0"/>
              <w:rPr>
                <w:sz w:val="20"/>
                <w:szCs w:val="20"/>
                <w:color w:val="auto"/>
              </w:rPr>
            </w:pPr>
          </w:p>
        </w:tc>
        <w:tc>
          <w:tcPr>
            <w:tcW w:w="1180" w:type="dxa"/>
            <w:vAlign w:val="bottom"/>
            <w:tcBorders>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(4,068)</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(100%)</w:t>
            </w:r>
          </w:p>
        </w:tc>
      </w:tr>
      <w:tr>
        <w:trPr>
          <w:trHeight w:val="225"/>
        </w:trPr>
        <w:tc>
          <w:tcPr>
            <w:tcW w:w="4860" w:type="dxa"/>
            <w:vAlign w:val="bottom"/>
          </w:tcPr>
          <w:p>
            <w:pPr>
              <w:ind w:left="700"/>
              <w:spacing w:after="0"/>
              <w:rPr>
                <w:sz w:val="20"/>
                <w:szCs w:val="20"/>
                <w:color w:val="auto"/>
              </w:rPr>
            </w:pPr>
            <w:r>
              <w:rPr>
                <w:rFonts w:ascii="Arial" w:cs="Arial" w:eastAsia="Arial" w:hAnsi="Arial"/>
                <w:sz w:val="15"/>
                <w:szCs w:val="15"/>
                <w:color w:val="auto"/>
              </w:rPr>
              <w:t>Total cost of revenue</w:t>
            </w:r>
          </w:p>
        </w:tc>
        <w:tc>
          <w:tcPr>
            <w:tcW w:w="320" w:type="dxa"/>
            <w:vAlign w:val="bottom"/>
            <w:tcBorders>
              <w:bottom w:val="single" w:sz="8" w:color="auto"/>
            </w:tcBorders>
            <w:shd w:val="clear" w:color="auto" w:fill="E7F2F9"/>
          </w:tcPr>
          <w:p>
            <w:pPr>
              <w:spacing w:after="0"/>
              <w:rPr>
                <w:sz w:val="19"/>
                <w:szCs w:val="19"/>
                <w:color w:val="auto"/>
              </w:rPr>
            </w:pPr>
          </w:p>
        </w:tc>
        <w:tc>
          <w:tcPr>
            <w:tcW w:w="1180" w:type="dxa"/>
            <w:vAlign w:val="bottom"/>
            <w:tcBorders>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24,337</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(14,187)</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(37%)</w:t>
            </w:r>
          </w:p>
        </w:tc>
      </w:tr>
      <w:tr>
        <w:trPr>
          <w:trHeight w:val="225"/>
        </w:trPr>
        <w:tc>
          <w:tcPr>
            <w:tcW w:w="4860" w:type="dxa"/>
            <w:vAlign w:val="bottom"/>
          </w:tcPr>
          <w:p>
            <w:pPr>
              <w:ind w:left="1060"/>
              <w:spacing w:after="0"/>
              <w:rPr>
                <w:sz w:val="20"/>
                <w:szCs w:val="20"/>
                <w:color w:val="auto"/>
              </w:rPr>
            </w:pPr>
            <w:r>
              <w:rPr>
                <w:rFonts w:ascii="Arial" w:cs="Arial" w:eastAsia="Arial" w:hAnsi="Arial"/>
                <w:sz w:val="15"/>
                <w:szCs w:val="15"/>
                <w:color w:val="auto"/>
              </w:rPr>
              <w:t>Gross profit (loss)</w:t>
            </w:r>
          </w:p>
        </w:tc>
        <w:tc>
          <w:tcPr>
            <w:tcW w:w="320" w:type="dxa"/>
            <w:vAlign w:val="bottom"/>
            <w:tcBorders>
              <w:bottom w:val="single" w:sz="8" w:color="auto"/>
            </w:tcBorders>
            <w:shd w:val="clear" w:color="auto" w:fill="E7F2F9"/>
          </w:tcPr>
          <w:p>
            <w:pPr>
              <w:spacing w:after="0"/>
              <w:rPr>
                <w:sz w:val="19"/>
                <w:szCs w:val="19"/>
                <w:color w:val="auto"/>
              </w:rPr>
            </w:pPr>
          </w:p>
        </w:tc>
        <w:tc>
          <w:tcPr>
            <w:tcW w:w="1180" w:type="dxa"/>
            <w:vAlign w:val="bottom"/>
            <w:tcBorders>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12,841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14,212</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(1037%)</w:t>
            </w:r>
          </w:p>
        </w:tc>
      </w:tr>
      <w:tr>
        <w:trPr>
          <w:trHeight w:val="205"/>
        </w:trPr>
        <w:tc>
          <w:tcPr>
            <w:tcW w:w="4860" w:type="dxa"/>
            <w:vAlign w:val="bottom"/>
          </w:tcPr>
          <w:p>
            <w:pPr>
              <w:spacing w:after="0"/>
              <w:rPr>
                <w:sz w:val="20"/>
                <w:szCs w:val="20"/>
                <w:color w:val="auto"/>
              </w:rPr>
            </w:pPr>
            <w:r>
              <w:rPr>
                <w:rFonts w:ascii="Arial" w:cs="Arial" w:eastAsia="Arial" w:hAnsi="Arial"/>
                <w:sz w:val="15"/>
                <w:szCs w:val="15"/>
                <w:color w:val="auto"/>
              </w:rPr>
              <w:t>Operating Expense:</w:t>
            </w:r>
          </w:p>
        </w:tc>
        <w:tc>
          <w:tcPr>
            <w:tcW w:w="320" w:type="dxa"/>
            <w:vAlign w:val="bottom"/>
            <w:shd w:val="clear" w:color="auto" w:fill="E7F2F9"/>
          </w:tcPr>
          <w:p>
            <w:pPr>
              <w:spacing w:after="0"/>
              <w:rPr>
                <w:sz w:val="17"/>
                <w:szCs w:val="17"/>
                <w:color w:val="auto"/>
              </w:rPr>
            </w:pPr>
          </w:p>
        </w:tc>
        <w:tc>
          <w:tcPr>
            <w:tcW w:w="1180" w:type="dxa"/>
            <w:vAlign w:val="bottom"/>
            <w:shd w:val="clear" w:color="auto" w:fill="E7F2F9"/>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2"/>
        </w:trPr>
        <w:tc>
          <w:tcPr>
            <w:tcW w:w="4860" w:type="dxa"/>
            <w:vAlign w:val="bottom"/>
          </w:tcPr>
          <w:p>
            <w:pPr>
              <w:ind w:left="380"/>
              <w:spacing w:after="0"/>
              <w:rPr>
                <w:sz w:val="20"/>
                <w:szCs w:val="20"/>
                <w:color w:val="auto"/>
              </w:rPr>
            </w:pPr>
            <w:r>
              <w:rPr>
                <w:rFonts w:ascii="Arial" w:cs="Arial" w:eastAsia="Arial" w:hAnsi="Arial"/>
                <w:sz w:val="15"/>
                <w:szCs w:val="15"/>
                <w:color w:val="auto"/>
              </w:rPr>
              <w:t>Research and development</w:t>
            </w:r>
          </w:p>
        </w:tc>
        <w:tc>
          <w:tcPr>
            <w:tcW w:w="320" w:type="dxa"/>
            <w:vAlign w:val="bottom"/>
            <w:shd w:val="clear" w:color="auto" w:fill="E7F2F9"/>
          </w:tcPr>
          <w:p>
            <w:pPr>
              <w:spacing w:after="0"/>
              <w:rPr>
                <w:sz w:val="20"/>
                <w:szCs w:val="20"/>
                <w:color w:val="auto"/>
              </w:rPr>
            </w:pPr>
          </w:p>
        </w:tc>
        <w:tc>
          <w:tcPr>
            <w:tcW w:w="1180" w:type="dxa"/>
            <w:vAlign w:val="bottom"/>
            <w:shd w:val="clear" w:color="auto" w:fill="E7F2F9"/>
          </w:tcPr>
          <w:p>
            <w:pPr>
              <w:jc w:val="right"/>
              <w:ind w:right="3"/>
              <w:spacing w:after="0"/>
              <w:rPr>
                <w:sz w:val="20"/>
                <w:szCs w:val="20"/>
                <w:color w:val="auto"/>
              </w:rPr>
            </w:pPr>
            <w:r>
              <w:rPr>
                <w:rFonts w:ascii="Arial" w:cs="Arial" w:eastAsia="Arial" w:hAnsi="Arial"/>
                <w:sz w:val="15"/>
                <w:szCs w:val="15"/>
                <w:color w:val="1383C6"/>
              </w:rPr>
              <w:t>19,608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29,053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(9,445)</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(33) %</w:t>
            </w:r>
          </w:p>
        </w:tc>
      </w:tr>
      <w:tr>
        <w:trPr>
          <w:trHeight w:val="232"/>
        </w:trPr>
        <w:tc>
          <w:tcPr>
            <w:tcW w:w="4860" w:type="dxa"/>
            <w:vAlign w:val="bottom"/>
          </w:tcPr>
          <w:p>
            <w:pPr>
              <w:ind w:left="380"/>
              <w:spacing w:after="0"/>
              <w:rPr>
                <w:sz w:val="20"/>
                <w:szCs w:val="20"/>
                <w:color w:val="auto"/>
              </w:rPr>
            </w:pPr>
            <w:r>
              <w:rPr>
                <w:rFonts w:ascii="Arial" w:cs="Arial" w:eastAsia="Arial" w:hAnsi="Arial"/>
                <w:sz w:val="15"/>
                <w:szCs w:val="15"/>
                <w:color w:val="auto"/>
              </w:rPr>
              <w:t>Sales, general and administrative</w:t>
            </w:r>
          </w:p>
        </w:tc>
        <w:tc>
          <w:tcPr>
            <w:tcW w:w="320" w:type="dxa"/>
            <w:vAlign w:val="bottom"/>
            <w:shd w:val="clear" w:color="auto" w:fill="E7F2F9"/>
          </w:tcPr>
          <w:p>
            <w:pPr>
              <w:spacing w:after="0"/>
              <w:rPr>
                <w:sz w:val="20"/>
                <w:szCs w:val="20"/>
                <w:color w:val="auto"/>
              </w:rPr>
            </w:pPr>
          </w:p>
        </w:tc>
        <w:tc>
          <w:tcPr>
            <w:tcW w:w="1180" w:type="dxa"/>
            <w:vAlign w:val="bottom"/>
            <w:shd w:val="clear" w:color="auto" w:fill="E7F2F9"/>
          </w:tcPr>
          <w:p>
            <w:pPr>
              <w:jc w:val="right"/>
              <w:ind w:right="3"/>
              <w:spacing w:after="0"/>
              <w:rPr>
                <w:sz w:val="20"/>
                <w:szCs w:val="20"/>
                <w:color w:val="auto"/>
              </w:rPr>
            </w:pPr>
            <w:r>
              <w:rPr>
                <w:rFonts w:ascii="Arial" w:cs="Arial" w:eastAsia="Arial" w:hAnsi="Arial"/>
                <w:sz w:val="15"/>
                <w:szCs w:val="15"/>
                <w:color w:val="1383C6"/>
              </w:rPr>
              <w:t>31,153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40,168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(9,015)</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(22) %</w:t>
            </w:r>
          </w:p>
        </w:tc>
      </w:tr>
      <w:tr>
        <w:trPr>
          <w:trHeight w:val="232"/>
        </w:trPr>
        <w:tc>
          <w:tcPr>
            <w:tcW w:w="4860" w:type="dxa"/>
            <w:vAlign w:val="bottom"/>
          </w:tcPr>
          <w:p>
            <w:pPr>
              <w:ind w:left="380"/>
              <w:spacing w:after="0"/>
              <w:rPr>
                <w:sz w:val="20"/>
                <w:szCs w:val="20"/>
                <w:color w:val="auto"/>
              </w:rPr>
            </w:pPr>
            <w:r>
              <w:rPr>
                <w:rFonts w:ascii="Arial" w:cs="Arial" w:eastAsia="Arial" w:hAnsi="Arial"/>
                <w:sz w:val="15"/>
                <w:szCs w:val="15"/>
                <w:color w:val="auto"/>
              </w:rPr>
              <w:t>Impairment charges</w:t>
            </w:r>
          </w:p>
        </w:tc>
        <w:tc>
          <w:tcPr>
            <w:tcW w:w="320" w:type="dxa"/>
            <w:vAlign w:val="bottom"/>
            <w:shd w:val="clear" w:color="auto" w:fill="E7F2F9"/>
          </w:tcPr>
          <w:p>
            <w:pPr>
              <w:spacing w:after="0"/>
              <w:rPr>
                <w:sz w:val="20"/>
                <w:szCs w:val="20"/>
                <w:color w:val="auto"/>
              </w:rPr>
            </w:pPr>
          </w:p>
        </w:tc>
        <w:tc>
          <w:tcPr>
            <w:tcW w:w="1180" w:type="dxa"/>
            <w:vAlign w:val="bottom"/>
            <w:shd w:val="clear" w:color="auto" w:fill="E7F2F9"/>
          </w:tcPr>
          <w:p>
            <w:pPr>
              <w:jc w:val="right"/>
              <w:ind w:right="3"/>
              <w:spacing w:after="0"/>
              <w:rPr>
                <w:sz w:val="20"/>
                <w:szCs w:val="20"/>
                <w:color w:val="auto"/>
              </w:rPr>
            </w:pPr>
            <w:r>
              <w:rPr>
                <w:rFonts w:ascii="Arial" w:cs="Arial" w:eastAsia="Arial" w:hAnsi="Arial"/>
                <w:sz w:val="15"/>
                <w:szCs w:val="15"/>
                <w:color w:val="1383C6"/>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(15,000)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(100) %</w:t>
            </w:r>
          </w:p>
        </w:tc>
      </w:tr>
      <w:tr>
        <w:trPr>
          <w:trHeight w:val="232"/>
        </w:trPr>
        <w:tc>
          <w:tcPr>
            <w:tcW w:w="4860" w:type="dxa"/>
            <w:vAlign w:val="bottom"/>
          </w:tcPr>
          <w:p>
            <w:pPr>
              <w:ind w:left="380"/>
              <w:spacing w:after="0"/>
              <w:rPr>
                <w:sz w:val="20"/>
                <w:szCs w:val="20"/>
                <w:color w:val="auto"/>
              </w:rPr>
            </w:pPr>
            <w:r>
              <w:rPr>
                <w:rFonts w:ascii="Arial" w:cs="Arial" w:eastAsia="Arial" w:hAnsi="Arial"/>
                <w:sz w:val="15"/>
                <w:szCs w:val="15"/>
                <w:color w:val="auto"/>
              </w:rPr>
              <w:t>Settlement charges</w:t>
            </w:r>
          </w:p>
        </w:tc>
        <w:tc>
          <w:tcPr>
            <w:tcW w:w="320" w:type="dxa"/>
            <w:vAlign w:val="bottom"/>
            <w:shd w:val="clear" w:color="auto" w:fill="E7F2F9"/>
          </w:tcPr>
          <w:p>
            <w:pPr>
              <w:spacing w:after="0"/>
              <w:rPr>
                <w:sz w:val="20"/>
                <w:szCs w:val="20"/>
                <w:color w:val="auto"/>
              </w:rPr>
            </w:pPr>
          </w:p>
        </w:tc>
        <w:tc>
          <w:tcPr>
            <w:tcW w:w="1180" w:type="dxa"/>
            <w:vAlign w:val="bottom"/>
            <w:shd w:val="clear" w:color="auto" w:fill="E7F2F9"/>
          </w:tcPr>
          <w:p>
            <w:pPr>
              <w:jc w:val="right"/>
              <w:ind w:right="3"/>
              <w:spacing w:after="0"/>
              <w:rPr>
                <w:sz w:val="20"/>
                <w:szCs w:val="20"/>
                <w:color w:val="auto"/>
              </w:rPr>
            </w:pPr>
            <w:r>
              <w:rPr>
                <w:rFonts w:ascii="Arial" w:cs="Arial" w:eastAsia="Arial" w:hAnsi="Arial"/>
                <w:sz w:val="15"/>
                <w:szCs w:val="15"/>
                <w:color w:val="1383C6"/>
              </w:rPr>
              <w:t>15,400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15,400</w:t>
            </w:r>
          </w:p>
        </w:tc>
        <w:tc>
          <w:tcPr>
            <w:tcW w:w="100" w:type="dxa"/>
            <w:vAlign w:val="bottom"/>
          </w:tcPr>
          <w:p>
            <w:pPr>
              <w:spacing w:after="0"/>
              <w:rPr>
                <w:sz w:val="20"/>
                <w:szCs w:val="20"/>
                <w:color w:val="auto"/>
              </w:rPr>
            </w:pPr>
          </w:p>
        </w:tc>
        <w:tc>
          <w:tcPr>
            <w:tcW w:w="1640" w:type="dxa"/>
            <w:vAlign w:val="bottom"/>
          </w:tcPr>
          <w:p>
            <w:pPr>
              <w:jc w:val="right"/>
              <w:ind w:right="164"/>
              <w:spacing w:after="0"/>
              <w:rPr>
                <w:sz w:val="20"/>
                <w:szCs w:val="20"/>
                <w:color w:val="auto"/>
              </w:rPr>
            </w:pPr>
            <w:r>
              <w:rPr>
                <w:rFonts w:ascii="Arial" w:cs="Arial" w:eastAsia="Arial" w:hAnsi="Arial"/>
                <w:sz w:val="15"/>
                <w:szCs w:val="15"/>
                <w:color w:val="auto"/>
              </w:rPr>
              <w:t>—</w:t>
            </w:r>
          </w:p>
        </w:tc>
      </w:tr>
      <w:tr>
        <w:trPr>
          <w:trHeight w:val="232"/>
        </w:trPr>
        <w:tc>
          <w:tcPr>
            <w:tcW w:w="4860" w:type="dxa"/>
            <w:vAlign w:val="bottom"/>
          </w:tcPr>
          <w:p>
            <w:pPr>
              <w:ind w:left="380"/>
              <w:spacing w:after="0"/>
              <w:rPr>
                <w:sz w:val="20"/>
                <w:szCs w:val="20"/>
                <w:color w:val="auto"/>
              </w:rPr>
            </w:pPr>
            <w:r>
              <w:rPr>
                <w:rFonts w:ascii="Arial" w:cs="Arial" w:eastAsia="Arial" w:hAnsi="Arial"/>
                <w:sz w:val="15"/>
                <w:szCs w:val="15"/>
                <w:color w:val="auto"/>
              </w:rPr>
              <w:t>Gain on disposal of assets</w:t>
            </w:r>
          </w:p>
        </w:tc>
        <w:tc>
          <w:tcPr>
            <w:tcW w:w="320" w:type="dxa"/>
            <w:vAlign w:val="bottom"/>
            <w:shd w:val="clear" w:color="auto" w:fill="E7F2F9"/>
          </w:tcPr>
          <w:p>
            <w:pPr>
              <w:spacing w:after="0"/>
              <w:rPr>
                <w:sz w:val="20"/>
                <w:szCs w:val="20"/>
                <w:color w:val="auto"/>
              </w:rPr>
            </w:pP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(45,796)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(45,796)</w:t>
            </w:r>
          </w:p>
        </w:tc>
        <w:tc>
          <w:tcPr>
            <w:tcW w:w="100" w:type="dxa"/>
            <w:vAlign w:val="bottom"/>
          </w:tcPr>
          <w:p>
            <w:pPr>
              <w:spacing w:after="0"/>
              <w:rPr>
                <w:sz w:val="20"/>
                <w:szCs w:val="20"/>
                <w:color w:val="auto"/>
              </w:rPr>
            </w:pPr>
          </w:p>
        </w:tc>
        <w:tc>
          <w:tcPr>
            <w:tcW w:w="1640" w:type="dxa"/>
            <w:vAlign w:val="bottom"/>
          </w:tcPr>
          <w:p>
            <w:pPr>
              <w:jc w:val="right"/>
              <w:ind w:right="164"/>
              <w:spacing w:after="0"/>
              <w:rPr>
                <w:sz w:val="20"/>
                <w:szCs w:val="20"/>
                <w:color w:val="auto"/>
              </w:rPr>
            </w:pPr>
            <w:r>
              <w:rPr>
                <w:rFonts w:ascii="Arial" w:cs="Arial" w:eastAsia="Arial" w:hAnsi="Arial"/>
                <w:sz w:val="15"/>
                <w:szCs w:val="15"/>
                <w:color w:val="auto"/>
              </w:rPr>
              <w:t>—</w:t>
            </w:r>
          </w:p>
        </w:tc>
      </w:tr>
      <w:tr>
        <w:trPr>
          <w:trHeight w:val="232"/>
        </w:trPr>
        <w:tc>
          <w:tcPr>
            <w:tcW w:w="4860" w:type="dxa"/>
            <w:vAlign w:val="bottom"/>
          </w:tcPr>
          <w:p>
            <w:pPr>
              <w:ind w:left="380"/>
              <w:spacing w:after="0"/>
              <w:rPr>
                <w:sz w:val="20"/>
                <w:szCs w:val="20"/>
                <w:color w:val="auto"/>
              </w:rPr>
            </w:pPr>
            <w:r>
              <w:rPr>
                <w:rFonts w:ascii="Arial" w:cs="Arial" w:eastAsia="Arial" w:hAnsi="Arial"/>
                <w:sz w:val="15"/>
                <w:szCs w:val="15"/>
                <w:color w:val="auto"/>
              </w:rPr>
              <w:t>Amortization of acquired intangible assets</w:t>
            </w:r>
          </w:p>
        </w:tc>
        <w:tc>
          <w:tcPr>
            <w:tcW w:w="320" w:type="dxa"/>
            <w:vAlign w:val="bottom"/>
            <w:shd w:val="clear" w:color="auto" w:fill="E7F2F9"/>
          </w:tcPr>
          <w:p>
            <w:pPr>
              <w:spacing w:after="0"/>
              <w:rPr>
                <w:sz w:val="20"/>
                <w:szCs w:val="20"/>
                <w:color w:val="auto"/>
              </w:rPr>
            </w:pPr>
          </w:p>
        </w:tc>
        <w:tc>
          <w:tcPr>
            <w:tcW w:w="1180" w:type="dxa"/>
            <w:vAlign w:val="bottom"/>
            <w:shd w:val="clear" w:color="auto" w:fill="E7F2F9"/>
          </w:tcPr>
          <w:p>
            <w:pPr>
              <w:jc w:val="right"/>
              <w:ind w:right="3"/>
              <w:spacing w:after="0"/>
              <w:rPr>
                <w:sz w:val="20"/>
                <w:szCs w:val="20"/>
                <w:color w:val="auto"/>
              </w:rPr>
            </w:pPr>
            <w:r>
              <w:rPr>
                <w:rFonts w:ascii="Arial" w:cs="Arial" w:eastAsia="Arial" w:hAnsi="Arial"/>
                <w:sz w:val="15"/>
                <w:szCs w:val="15"/>
                <w:color w:val="1383C6"/>
              </w:rPr>
              <w:t>833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362,042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(361,209)</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(100) %</w:t>
            </w:r>
          </w:p>
        </w:tc>
      </w:tr>
      <w:tr>
        <w:trPr>
          <w:trHeight w:val="239"/>
        </w:trPr>
        <w:tc>
          <w:tcPr>
            <w:tcW w:w="4860" w:type="dxa"/>
            <w:vAlign w:val="bottom"/>
          </w:tcPr>
          <w:p>
            <w:pPr>
              <w:ind w:left="380"/>
              <w:spacing w:after="0"/>
              <w:rPr>
                <w:sz w:val="20"/>
                <w:szCs w:val="20"/>
                <w:color w:val="auto"/>
              </w:rPr>
            </w:pPr>
            <w:r>
              <w:rPr>
                <w:rFonts w:ascii="Arial" w:cs="Arial" w:eastAsia="Arial" w:hAnsi="Arial"/>
                <w:sz w:val="15"/>
                <w:szCs w:val="15"/>
                <w:color w:val="auto"/>
              </w:rPr>
              <w:t>Change in fair value of contingent consideration</w:t>
            </w:r>
          </w:p>
        </w:tc>
        <w:tc>
          <w:tcPr>
            <w:tcW w:w="320" w:type="dxa"/>
            <w:vAlign w:val="bottom"/>
            <w:tcBorders>
              <w:bottom w:val="single" w:sz="8" w:color="auto"/>
            </w:tcBorders>
            <w:shd w:val="clear" w:color="auto" w:fill="E7F2F9"/>
          </w:tcPr>
          <w:p>
            <w:pPr>
              <w:spacing w:after="0"/>
              <w:rPr>
                <w:sz w:val="20"/>
                <w:szCs w:val="20"/>
                <w:color w:val="auto"/>
              </w:rPr>
            </w:pPr>
          </w:p>
        </w:tc>
        <w:tc>
          <w:tcPr>
            <w:tcW w:w="1180" w:type="dxa"/>
            <w:vAlign w:val="bottom"/>
            <w:tcBorders>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(18,700)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(100) %</w:t>
            </w:r>
          </w:p>
        </w:tc>
      </w:tr>
      <w:tr>
        <w:trPr>
          <w:trHeight w:val="225"/>
        </w:trPr>
        <w:tc>
          <w:tcPr>
            <w:tcW w:w="4860" w:type="dxa"/>
            <w:vAlign w:val="bottom"/>
          </w:tcPr>
          <w:p>
            <w:pPr>
              <w:ind w:left="700"/>
              <w:spacing w:after="0"/>
              <w:rPr>
                <w:sz w:val="20"/>
                <w:szCs w:val="20"/>
                <w:color w:val="auto"/>
              </w:rPr>
            </w:pPr>
            <w:r>
              <w:rPr>
                <w:rFonts w:ascii="Arial" w:cs="Arial" w:eastAsia="Arial" w:hAnsi="Arial"/>
                <w:sz w:val="15"/>
                <w:szCs w:val="15"/>
                <w:color w:val="auto"/>
              </w:rPr>
              <w:t>Total operating expense</w:t>
            </w:r>
          </w:p>
        </w:tc>
        <w:tc>
          <w:tcPr>
            <w:tcW w:w="320" w:type="dxa"/>
            <w:vAlign w:val="bottom"/>
            <w:tcBorders>
              <w:bottom w:val="single" w:sz="8" w:color="auto"/>
            </w:tcBorders>
            <w:shd w:val="clear" w:color="auto" w:fill="E7F2F9"/>
          </w:tcPr>
          <w:p>
            <w:pPr>
              <w:spacing w:after="0"/>
              <w:rPr>
                <w:sz w:val="19"/>
                <w:szCs w:val="19"/>
                <w:color w:val="auto"/>
              </w:rPr>
            </w:pPr>
          </w:p>
        </w:tc>
        <w:tc>
          <w:tcPr>
            <w:tcW w:w="1180" w:type="dxa"/>
            <w:vAlign w:val="bottom"/>
            <w:tcBorders>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21,198</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427,563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(406,365)</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(95%)</w:t>
            </w:r>
          </w:p>
        </w:tc>
      </w:tr>
      <w:tr>
        <w:trPr>
          <w:trHeight w:val="218"/>
        </w:trPr>
        <w:tc>
          <w:tcPr>
            <w:tcW w:w="4860" w:type="dxa"/>
            <w:vAlign w:val="bottom"/>
          </w:tcPr>
          <w:p>
            <w:pPr>
              <w:spacing w:after="0"/>
              <w:rPr>
                <w:sz w:val="20"/>
                <w:szCs w:val="20"/>
                <w:color w:val="auto"/>
              </w:rPr>
            </w:pPr>
            <w:r>
              <w:rPr>
                <w:rFonts w:ascii="Arial" w:cs="Arial" w:eastAsia="Arial" w:hAnsi="Arial"/>
                <w:sz w:val="15"/>
                <w:szCs w:val="15"/>
                <w:color w:val="auto"/>
              </w:rPr>
              <w:t>Operating loss</w:t>
            </w:r>
          </w:p>
        </w:tc>
        <w:tc>
          <w:tcPr>
            <w:tcW w:w="320" w:type="dxa"/>
            <w:vAlign w:val="bottom"/>
            <w:shd w:val="clear" w:color="auto" w:fill="E7F2F9"/>
          </w:tcPr>
          <w:p>
            <w:pPr>
              <w:spacing w:after="0"/>
              <w:rPr>
                <w:sz w:val="18"/>
                <w:szCs w:val="18"/>
                <w:color w:val="auto"/>
              </w:rPr>
            </w:pP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(8,357)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(428,934)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420,577</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(98) %</w:t>
            </w:r>
          </w:p>
        </w:tc>
      </w:tr>
      <w:tr>
        <w:trPr>
          <w:trHeight w:val="232"/>
        </w:trPr>
        <w:tc>
          <w:tcPr>
            <w:tcW w:w="4860" w:type="dxa"/>
            <w:vAlign w:val="bottom"/>
          </w:tcPr>
          <w:p>
            <w:pPr>
              <w:ind w:left="380"/>
              <w:spacing w:after="0"/>
              <w:rPr>
                <w:sz w:val="20"/>
                <w:szCs w:val="20"/>
                <w:color w:val="auto"/>
              </w:rPr>
            </w:pPr>
            <w:r>
              <w:rPr>
                <w:rFonts w:ascii="Arial" w:cs="Arial" w:eastAsia="Arial" w:hAnsi="Arial"/>
                <w:sz w:val="15"/>
                <w:szCs w:val="15"/>
                <w:color w:val="auto"/>
              </w:rPr>
              <w:t>Interest expense</w:t>
            </w:r>
          </w:p>
        </w:tc>
        <w:tc>
          <w:tcPr>
            <w:tcW w:w="320" w:type="dxa"/>
            <w:vAlign w:val="bottom"/>
            <w:shd w:val="clear" w:color="auto" w:fill="E7F2F9"/>
          </w:tcPr>
          <w:p>
            <w:pPr>
              <w:spacing w:after="0"/>
              <w:rPr>
                <w:sz w:val="20"/>
                <w:szCs w:val="20"/>
                <w:color w:val="auto"/>
              </w:rPr>
            </w:pP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(1,740)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(1,737)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39"/>
        </w:trPr>
        <w:tc>
          <w:tcPr>
            <w:tcW w:w="4860" w:type="dxa"/>
            <w:vAlign w:val="bottom"/>
          </w:tcPr>
          <w:p>
            <w:pPr>
              <w:ind w:left="380"/>
              <w:spacing w:after="0"/>
              <w:rPr>
                <w:sz w:val="20"/>
                <w:szCs w:val="20"/>
                <w:color w:val="auto"/>
              </w:rPr>
            </w:pPr>
            <w:r>
              <w:rPr>
                <w:rFonts w:ascii="Arial" w:cs="Arial" w:eastAsia="Arial" w:hAnsi="Arial"/>
                <w:sz w:val="15"/>
                <w:szCs w:val="15"/>
                <w:color w:val="auto"/>
              </w:rPr>
              <w:t>Other income, net</w:t>
            </w:r>
          </w:p>
        </w:tc>
        <w:tc>
          <w:tcPr>
            <w:tcW w:w="320" w:type="dxa"/>
            <w:vAlign w:val="bottom"/>
            <w:tcBorders>
              <w:bottom w:val="single" w:sz="8" w:color="auto"/>
            </w:tcBorders>
            <w:shd w:val="clear" w:color="auto" w:fill="E7F2F9"/>
          </w:tcPr>
          <w:p>
            <w:pPr>
              <w:spacing w:after="0"/>
              <w:rPr>
                <w:sz w:val="20"/>
                <w:szCs w:val="20"/>
                <w:color w:val="auto"/>
              </w:rPr>
            </w:pPr>
          </w:p>
        </w:tc>
        <w:tc>
          <w:tcPr>
            <w:tcW w:w="1180" w:type="dxa"/>
            <w:vAlign w:val="bottom"/>
            <w:tcBorders>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2,006</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(2,288)</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(53%)</w:t>
            </w:r>
          </w:p>
        </w:tc>
      </w:tr>
      <w:tr>
        <w:trPr>
          <w:trHeight w:val="218"/>
        </w:trPr>
        <w:tc>
          <w:tcPr>
            <w:tcW w:w="4860" w:type="dxa"/>
            <w:vAlign w:val="bottom"/>
          </w:tcPr>
          <w:p>
            <w:pPr>
              <w:spacing w:after="0"/>
              <w:rPr>
                <w:sz w:val="20"/>
                <w:szCs w:val="20"/>
                <w:color w:val="auto"/>
              </w:rPr>
            </w:pPr>
            <w:r>
              <w:rPr>
                <w:rFonts w:ascii="Arial" w:cs="Arial" w:eastAsia="Arial" w:hAnsi="Arial"/>
                <w:sz w:val="15"/>
                <w:szCs w:val="15"/>
                <w:color w:val="auto"/>
              </w:rPr>
              <w:t>Loss before income taxes</w:t>
            </w:r>
          </w:p>
        </w:tc>
        <w:tc>
          <w:tcPr>
            <w:tcW w:w="320" w:type="dxa"/>
            <w:vAlign w:val="bottom"/>
            <w:shd w:val="clear" w:color="auto" w:fill="E7F2F9"/>
          </w:tcPr>
          <w:p>
            <w:pPr>
              <w:spacing w:after="0"/>
              <w:rPr>
                <w:sz w:val="18"/>
                <w:szCs w:val="18"/>
                <w:color w:val="auto"/>
              </w:rPr>
            </w:pP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(8,091)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(426,377)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418,286</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(98%)</w:t>
            </w:r>
          </w:p>
        </w:tc>
      </w:tr>
      <w:tr>
        <w:trPr>
          <w:trHeight w:val="239"/>
        </w:trPr>
        <w:tc>
          <w:tcPr>
            <w:tcW w:w="4860" w:type="dxa"/>
            <w:vAlign w:val="bottom"/>
          </w:tcPr>
          <w:p>
            <w:pPr>
              <w:spacing w:after="0"/>
              <w:rPr>
                <w:sz w:val="20"/>
                <w:szCs w:val="20"/>
                <w:color w:val="auto"/>
              </w:rPr>
            </w:pPr>
            <w:r>
              <w:rPr>
                <w:rFonts w:ascii="Arial" w:cs="Arial" w:eastAsia="Arial" w:hAnsi="Arial"/>
                <w:sz w:val="15"/>
                <w:szCs w:val="15"/>
                <w:color w:val="auto"/>
              </w:rPr>
              <w:t>Income tax provision (benefit)</w:t>
            </w:r>
          </w:p>
        </w:tc>
        <w:tc>
          <w:tcPr>
            <w:tcW w:w="320" w:type="dxa"/>
            <w:vAlign w:val="bottom"/>
            <w:tcBorders>
              <w:bottom w:val="single" w:sz="8" w:color="auto"/>
            </w:tcBorders>
            <w:shd w:val="clear" w:color="auto" w:fill="E7F2F9"/>
          </w:tcPr>
          <w:p>
            <w:pPr>
              <w:spacing w:after="0"/>
              <w:rPr>
                <w:sz w:val="20"/>
                <w:szCs w:val="20"/>
                <w:color w:val="auto"/>
              </w:rPr>
            </w:pPr>
          </w:p>
        </w:tc>
        <w:tc>
          <w:tcPr>
            <w:tcW w:w="1180" w:type="dxa"/>
            <w:vAlign w:val="bottom"/>
            <w:tcBorders>
              <w:bottom w:val="single" w:sz="8" w:color="auto"/>
            </w:tcBorders>
            <w:shd w:val="clear" w:color="auto" w:fill="E7F2F9"/>
          </w:tcPr>
          <w:p>
            <w:pPr>
              <w:jc w:val="right"/>
              <w:ind w:right="3"/>
              <w:spacing w:after="0"/>
              <w:rPr>
                <w:sz w:val="20"/>
                <w:szCs w:val="20"/>
                <w:color w:val="auto"/>
              </w:rPr>
            </w:pPr>
            <w:r>
              <w:rPr>
                <w:rFonts w:ascii="Arial" w:cs="Arial" w:eastAsia="Arial" w:hAnsi="Arial"/>
                <w:sz w:val="15"/>
                <w:szCs w:val="15"/>
                <w:color w:val="1383C6"/>
              </w:rPr>
              <w:t>184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486</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(161%)</w:t>
            </w:r>
          </w:p>
        </w:tc>
      </w:tr>
      <w:tr>
        <w:trPr>
          <w:trHeight w:val="252"/>
        </w:trPr>
        <w:tc>
          <w:tcPr>
            <w:tcW w:w="4860" w:type="dxa"/>
            <w:vAlign w:val="bottom"/>
          </w:tcPr>
          <w:p>
            <w:pPr>
              <w:spacing w:after="0"/>
              <w:rPr>
                <w:sz w:val="20"/>
                <w:szCs w:val="20"/>
                <w:color w:val="auto"/>
              </w:rPr>
            </w:pPr>
            <w:r>
              <w:rPr>
                <w:rFonts w:ascii="Arial" w:cs="Arial" w:eastAsia="Arial" w:hAnsi="Arial"/>
                <w:sz w:val="15"/>
                <w:szCs w:val="15"/>
                <w:color w:val="auto"/>
              </w:rPr>
              <w:t>Net loss</w:t>
            </w:r>
          </w:p>
        </w:tc>
        <w:tc>
          <w:tcPr>
            <w:tcW w:w="320" w:type="dxa"/>
            <w:vAlign w:val="bottom"/>
            <w:shd w:val="clear" w:color="auto" w:fill="E7F2F9"/>
          </w:tcPr>
          <w:p>
            <w:pPr>
              <w:jc w:val="right"/>
              <w:ind w:right="123"/>
              <w:spacing w:after="0"/>
              <w:rPr>
                <w:sz w:val="20"/>
                <w:szCs w:val="20"/>
                <w:color w:val="auto"/>
              </w:rPr>
            </w:pPr>
            <w:r>
              <w:rPr>
                <w:rFonts w:ascii="Arial" w:cs="Arial" w:eastAsia="Arial" w:hAnsi="Arial"/>
                <w:sz w:val="15"/>
                <w:szCs w:val="15"/>
                <w:color w:val="1383C6"/>
              </w:rPr>
              <w:t>$</w:t>
            </w: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(8,275)</w:t>
            </w: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(426,075)</w:t>
            </w:r>
          </w:p>
        </w:tc>
        <w:tc>
          <w:tcPr>
            <w:tcW w:w="100" w:type="dxa"/>
            <w:vAlign w:val="bottom"/>
          </w:tcPr>
          <w:p>
            <w:pPr>
              <w:spacing w:after="0"/>
              <w:rPr>
                <w:sz w:val="21"/>
                <w:szCs w:val="21"/>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417,800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(98%)</w:t>
            </w:r>
          </w:p>
        </w:tc>
      </w:tr>
      <w:tr>
        <w:trPr>
          <w:trHeight w:val="20"/>
        </w:trPr>
        <w:tc>
          <w:tcPr>
            <w:tcW w:w="4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499110</wp:posOffset>
            </wp:positionV>
            <wp:extent cx="71386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29</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1383C6"/>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754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8670" cy="1375410"/>
                    </a:xfrm>
                    <a:prstGeom prst="rect">
                      <a:avLst/>
                    </a:prstGeom>
                    <a:noFill/>
                  </pic:spPr>
                </pic:pic>
              </a:graphicData>
            </a:graphic>
          </wp:anchor>
        </w:drawing>
      </w:r>
    </w:p>
    <w:p>
      <w:pPr>
        <w:spacing w:after="0" w:line="313"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Total revenue was relatively flat for the first quarter of 2026 compared with the same quarter of 2025.</w:t>
      </w:r>
    </w:p>
    <w:p>
      <w:pPr>
        <w:spacing w:after="0" w:line="114" w:lineRule="exact"/>
        <w:rPr>
          <w:sz w:val="20"/>
          <w:szCs w:val="20"/>
          <w:color w:val="auto"/>
        </w:rPr>
      </w:pPr>
    </w:p>
    <w:p>
      <w:pPr>
        <w:jc w:val="both"/>
        <w:ind w:left="3560"/>
        <w:spacing w:after="0" w:line="290" w:lineRule="auto"/>
        <w:rPr>
          <w:sz w:val="20"/>
          <w:szCs w:val="20"/>
          <w:color w:val="auto"/>
        </w:rPr>
      </w:pPr>
      <w:r>
        <w:rPr>
          <w:rFonts w:ascii="Arial" w:cs="Arial" w:eastAsia="Arial" w:hAnsi="Arial"/>
          <w:sz w:val="17"/>
          <w:szCs w:val="17"/>
          <w:color w:val="auto"/>
        </w:rPr>
        <w:t>Product revenue increased $0.4 million, or 1%, primarily due to an increase of $1.7 million, or 9%, in consumable revenue, partially offset by a decrease of $1.3 million, or 12%, in instrument revenue.</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Service and other revenue decreased $0.4 million, or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1383C6"/>
        </w:rPr>
        <w:t>Instrument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13836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8670" cy="1383665"/>
                    </a:xfrm>
                    <a:prstGeom prst="rect">
                      <a:avLst/>
                    </a:prstGeom>
                    <a:noFill/>
                  </pic:spPr>
                </pic:pic>
              </a:graphicData>
            </a:graphic>
          </wp:anchor>
        </w:drawing>
      </w:r>
    </w:p>
    <w:p>
      <w:pPr>
        <w:spacing w:after="0" w:line="326" w:lineRule="exact"/>
        <w:rPr>
          <w:sz w:val="20"/>
          <w:szCs w:val="20"/>
          <w:color w:val="auto"/>
        </w:rPr>
      </w:pPr>
    </w:p>
    <w:p>
      <w:pPr>
        <w:jc w:val="both"/>
        <w:ind w:left="3560"/>
        <w:spacing w:after="0" w:line="260" w:lineRule="auto"/>
        <w:rPr>
          <w:sz w:val="20"/>
          <w:szCs w:val="20"/>
          <w:color w:val="auto"/>
        </w:rPr>
      </w:pPr>
      <w:r>
        <w:rPr>
          <w:rFonts w:ascii="Arial" w:cs="Arial" w:eastAsia="Arial" w:hAnsi="Arial"/>
          <w:sz w:val="17"/>
          <w:szCs w:val="17"/>
          <w:color w:val="auto"/>
        </w:rPr>
        <w:t>Instrument revenue decreased for the first quarter of 2026, primarily due to lower selling prices, including with respect to our Vega promotional pricing through the end of the first quarter. Sales of Revio systems increased—15 units compared to 12 units in the same quarter of 2025. Sales of Vega systems decreased—27 units compared to 28 units in the same quarter of 2025. We expect that instrument revenue may fluctuate quarter-to-quarter based on timing of customer purchasing decisions, sales mix, promotional activities, and funding dynamics.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1383C6"/>
        </w:rPr>
        <w:t>Consumables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26" w:lineRule="exact"/>
        <w:rPr>
          <w:sz w:val="20"/>
          <w:szCs w:val="20"/>
          <w:color w:val="auto"/>
        </w:rPr>
      </w:pPr>
    </w:p>
    <w:p>
      <w:pPr>
        <w:jc w:val="both"/>
        <w:ind w:left="3560"/>
        <w:spacing w:after="0" w:line="265" w:lineRule="auto"/>
        <w:rPr>
          <w:sz w:val="20"/>
          <w:szCs w:val="20"/>
          <w:color w:val="auto"/>
        </w:rPr>
      </w:pPr>
      <w:r>
        <w:rPr>
          <w:rFonts w:ascii="Arial" w:cs="Arial" w:eastAsia="Arial" w:hAnsi="Arial"/>
          <w:sz w:val="17"/>
          <w:szCs w:val="17"/>
          <w:color w:val="auto"/>
        </w:rPr>
        <w:t>The increase in consumables revenue for the first quarter of 2026 was primarily driven by higher Revio consumables sales, reflecting the continued expansion of the Revio instrument installed base, partially offset by some customers delaying consumable shipments in anticipation of the SPRQ-Nx commercial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-537210</wp:posOffset>
            </wp:positionV>
            <wp:extent cx="1407795" cy="13341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07795" cy="1334135"/>
                    </a:xfrm>
                    <a:prstGeom prst="rect">
                      <a:avLst/>
                    </a:prstGeom>
                    <a:noFill/>
                  </pic:spPr>
                </pic:pic>
              </a:graphicData>
            </a:graphic>
          </wp:anchor>
        </w:drawing>
      </w:r>
    </w:p>
    <w:p>
      <w:pPr>
        <w:spacing w:after="0" w:line="45" w:lineRule="exact"/>
        <w:rPr>
          <w:sz w:val="20"/>
          <w:szCs w:val="20"/>
          <w:color w:val="auto"/>
        </w:rPr>
      </w:pPr>
    </w:p>
    <w:p>
      <w:pPr>
        <w:jc w:val="both"/>
        <w:ind w:left="3560"/>
        <w:spacing w:after="0" w:line="271" w:lineRule="auto"/>
        <w:rPr>
          <w:sz w:val="20"/>
          <w:szCs w:val="20"/>
          <w:color w:val="auto"/>
        </w:rPr>
      </w:pPr>
      <w:r>
        <w:rPr>
          <w:rFonts w:ascii="Arial" w:cs="Arial" w:eastAsia="Arial" w:hAnsi="Arial"/>
          <w:sz w:val="17"/>
          <w:szCs w:val="17"/>
          <w:color w:val="auto"/>
        </w:rPr>
        <w:t>Shipments of Vega consumables also contributed modestly during the period, and we anticipate increased contributions as customers continue ramping usage of the Vega platform and the installed base expands.</w:t>
      </w:r>
    </w:p>
    <w:p>
      <w:pPr>
        <w:spacing w:after="0" w:line="60" w:lineRule="exact"/>
        <w:rPr>
          <w:sz w:val="20"/>
          <w:szCs w:val="20"/>
          <w:color w:val="auto"/>
        </w:rPr>
      </w:pPr>
    </w:p>
    <w:p>
      <w:pPr>
        <w:jc w:val="both"/>
        <w:ind w:left="3560"/>
        <w:spacing w:after="0" w:line="262" w:lineRule="auto"/>
        <w:rPr>
          <w:sz w:val="20"/>
          <w:szCs w:val="20"/>
          <w:color w:val="auto"/>
        </w:rPr>
      </w:pPr>
      <w:r>
        <w:rPr>
          <w:rFonts w:ascii="Arial" w:cs="Arial" w:eastAsia="Arial" w:hAnsi="Arial"/>
          <w:sz w:val="17"/>
          <w:szCs w:val="17"/>
          <w:color w:val="auto"/>
        </w:rPr>
        <w:t>Looking ahead, we expect continued growth in consumables revenue as adoption of the Revio and Vega platforms expands, along with increased demand in connection with the expected commercial launch of SPRQ-Nx kits in May 2026. This anticipated growth reflects increasing instrument placements, improving consumable utilization, broadening addressable applications for our platforms, and further expanding adoption across our research, clinical and commercial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847725</wp:posOffset>
            </wp:positionV>
            <wp:extent cx="71386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30</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Cost of Revenue and Gross 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Total cost of revenue decreased $14.2 million, or 37%, in the first quarter of 2026 compared to the same quarter of 2025. We recorded approximately $12.0 million of restructuring charges during the three months ended March 31, 2025. Total cost of revenue included share-based compensation expense of $0.6 million and $1.2 million during the first quarter of 2026 and 2025, respectively.</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Cost of product revenue decreased $6.4 million, or 24%, in the first quarter of 2026 compared to the same quarter of 2025 primarily due to cost reductions related to our instrument platforms.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recorded a gross profit of $12.8 million during the three months ended March 31, 2026 compared to a gross loss of $1.4 million during the same period of 2025. The change was driven primarily by relatively flat revenue and the lower cost of revenue described above. During the first quarter of 2026, gross margin was affected by higher computing component costs, specifically memory, inventory adjustments, certain incremental warranty charges, as well as a limited time Vega promotion, which resulted in lower first quarter average selling prices for the product. We expect Vega average selling prices to normalize in the second quarter of 2026. While higher consumables mix and the introduction of SPRQ-Nx remain important drivers of margin expansion, rising compute costs will temper the pace of margin improvement in the near term. Gross margins may be affected by product mix, manufacturing efficiencies, changes in warranty costs, average selling price fluctuations, including promotional pricing, future product launches, changes to inventory reserves, costs of raw materials and computing costs, specifically memory, which may result in material cost pressures and supply constraints in future periods, and tariffs.</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Research and development expense decreased by $9.4 million, or 33%, for the first quarter of 2026, compared to the same quarter of 2025. The decrease was primarily driven by decreases in personnel and related expenses, including share-based compensation. We also recognized approximately $2.7 million of restructuring charges during the first quarter of 2025. Research and development expense included net negative share-based compensation expense of $0.8 million during the first quarter of 2026 due to the Company's estimated forfeitures and share-based compensation expense of $2.6 million during the first quarter of 2025.</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Sales,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Sales, general and administrative expense decreased by $9.0 million, or 22%, for the first quarter of 2026, compared to the same quarter of 2025. The decrease was primarily driven by decreases in personnel and related expenses, including share-based compensation. We also recognized approximately $4.8 million of restructuring charges during the first quarter of 2025. Sales, general, and administrative expense included share-based compensation expense of $4.6 million and $5.4 million during the first quarter of 2026 and 2025, respectively.</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We recorded impairment charges of $15.0 million during the first quarter of 2025, related to in-process research and development (“IPR&amp;D”). These charges resulted from an interim impairment assessment performed in response to identified indicators of impairment during the period. The impairment test concluded that the fair value of our IPR&amp;D assets was $0. See </w:t>
      </w:r>
      <w:r>
        <w:rPr>
          <w:rFonts w:ascii="Arial" w:cs="Arial" w:eastAsia="Arial" w:hAnsi="Arial"/>
          <w:sz w:val="17"/>
          <w:szCs w:val="17"/>
          <w:i w:val="1"/>
          <w:iCs w:val="1"/>
          <w:u w:val="single" w:color="auto"/>
          <w:color w:val="0000FF"/>
        </w:rPr>
        <w:t>Note 3. Balance Sheet Components</w:t>
      </w:r>
      <w:r>
        <w:rPr>
          <w:rFonts w:ascii="Arial" w:cs="Arial" w:eastAsia="Arial" w:hAnsi="Arial"/>
          <w:sz w:val="17"/>
          <w:szCs w:val="17"/>
          <w:color w:val="auto"/>
        </w:rPr>
        <w:t xml:space="preserve"> in Part I, Item I of this Quarterly Report on Form 10-Q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386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31</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-269240</wp:posOffset>
            </wp:positionV>
            <wp:extent cx="393065" cy="819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Settlement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In the first quarter of 2026, the Company entered into a license and settlement agreement with PGI in connection with the PGI Settlement. Under the fixed payment structure pursuant to the agreement, the Company paid PGI $8,000,000 in the second quarter of 2026, and will pay $ 5,000,000 in the first quarter of each of 2027, 2028 and 2029, with the payment in 2027 increasing by $1,000,000 if the Company’s 2026 revenue is at least $165,000,000 and another $1,000,000 if it is at least $180,000,000. See </w:t>
      </w:r>
      <w:r>
        <w:rPr>
          <w:rFonts w:ascii="Arial" w:cs="Arial" w:eastAsia="Arial" w:hAnsi="Arial"/>
          <w:sz w:val="17"/>
          <w:szCs w:val="17"/>
          <w:i w:val="1"/>
          <w:iCs w:val="1"/>
          <w:u w:val="single" w:color="auto"/>
          <w:color w:val="0000FF"/>
        </w:rPr>
        <w:t>Note 3. Balance Sheet Components</w:t>
      </w:r>
      <w:r>
        <w:rPr>
          <w:rFonts w:ascii="Arial" w:cs="Arial" w:eastAsia="Arial" w:hAnsi="Arial"/>
          <w:sz w:val="17"/>
          <w:szCs w:val="17"/>
          <w:color w:val="auto"/>
        </w:rPr>
        <w:t xml:space="preserve"> in Part I, Item I of this Quarterly Report on Form 10-Q for further details.</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Gain on Disposal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On January 30, 2026, we completed a disposition of certain assets to Illumina Cambridge Limited (the “Buyer”) pursuant to an Asset Purchase Agreement dated January 30, 2026. Under the agreement, Buyer acquired certain intellectual property and other assets related to our short-read DNA sequencing technology and related clustering, sequencing reagent, and detection technologies. In consideration, Buyer paid $50.0 million in cash, assumed certain liabilities, and granted us a non-exclusive license to certain intellectual property included in the purchased assets. During the first quarter of 2026, in connection with the Asset Sale, Buyer paid, at our direction, 4% of the net cash proceeds to the former equity holders of Apton Biosystems, Inc. in connection with the waiver of remaining milestone obligations from our August 2023 acquisition of Apton. As a result, we received approximately $48.1 million in net cash proceeds from the Asset Sale. In connection with the transaction, the Company incurred transaction costs of $2.3 million in the first quarter of 2026 that are offset against the gain on disposal of assets on our condensed consolidated statements of operations and comprehensive loss. See </w:t>
      </w:r>
      <w:r>
        <w:rPr>
          <w:rFonts w:ascii="Arial" w:cs="Arial" w:eastAsia="Arial" w:hAnsi="Arial"/>
          <w:sz w:val="17"/>
          <w:szCs w:val="17"/>
          <w:u w:val="single" w:color="auto"/>
          <w:color w:val="0000FF"/>
        </w:rPr>
        <w:t>Note 2. Financial Instruments</w:t>
      </w:r>
      <w:r>
        <w:rPr>
          <w:rFonts w:ascii="Arial" w:cs="Arial" w:eastAsia="Arial" w:hAnsi="Arial"/>
          <w:sz w:val="17"/>
          <w:szCs w:val="17"/>
          <w:color w:val="auto"/>
        </w:rPr>
        <w:t xml:space="preserve"> in Part I, Item I of this Quarterly Report on Form 10-Q for further details.</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Amortization of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Amortization of acquired intangible assets included in operating expenses for the first quarter of 2026 and 2025 consists of amortization expense attributable to acquired intangible assets that are not directly related to sales generating activities. Amortization of acquired intangible assets for the first quarter of 2025 included $359.3 million of accelerated amortization recorded during the first quarter of 2025 which was related to developed technology from the 2021 Omniome acquisition, reflecting our revised estimate that the asset will no longer generate economic benefit.</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Change in Fair Value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the first quarter of 2025 we recognized a change in fair value of contingent consideration of $18.7 million, resulting in a contingent consideration liability of $0. This was primarily due to management's decision to cease development of the high-throughput short-read system, the associated changes in expected future revenues, and the requirement that the milestone event occur prior to the five-year anniversary of the acquisition closing date.</w:t>
      </w:r>
    </w:p>
    <w:p>
      <w:pPr>
        <w:spacing w:after="0" w:line="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During the first quarter of 2026, in connection with the Asset Sale, Buyer paid at our direction 4% of the net proceeds from the Purchase Price to the former equity holders of Apton related to the waiver of all remaining milestone obligations associated with our purchase of Apton in August 2023. See </w:t>
      </w:r>
      <w:r>
        <w:rPr>
          <w:rFonts w:ascii="Arial" w:cs="Arial" w:eastAsia="Arial" w:hAnsi="Arial"/>
          <w:sz w:val="17"/>
          <w:szCs w:val="17"/>
          <w:i w:val="1"/>
          <w:iCs w:val="1"/>
          <w:u w:val="single" w:color="auto"/>
          <w:color w:val="0000FF"/>
        </w:rPr>
        <w:t>Note 2. Financial Instruments</w:t>
      </w:r>
      <w:r>
        <w:rPr>
          <w:rFonts w:ascii="Arial" w:cs="Arial" w:eastAsia="Arial" w:hAnsi="Arial"/>
          <w:sz w:val="17"/>
          <w:szCs w:val="17"/>
          <w:color w:val="auto"/>
        </w:rPr>
        <w:t xml:space="preserve"> in Part I, Item 1 of this Quarterly Report on Form 10-Q for further details.</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for the first quarter of 2026 and 2025 was comprised of interest on the convertible senior notes.</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Other income, net for the first quarter of 2026 decreased compared to the same quarter of 2025 primarily driven by lower investment income due to lower cash and investment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386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32</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591185</wp:posOffset>
            </wp:positionV>
            <wp:extent cx="7138670" cy="2457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LIQUIDITY AND CAPITAL RESOURCES</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March 31, 2026, we had cash, cash equivalents and investments of $276.0 million compared to $ 279.5 million as of December 31, 2025. We believe that our existing cash, cash equivalents and investments will be sufficient to fund our projected operating requirements beyond the next 12 months from the date of filing of this Quarterly Report on Form 10-Q for the quarter ended March 31, 2026.</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primary sources of liquidity, other than our holdings of cash, cash equivalents, and investments, have primarily been through the issuance of debt or equity securities, together with cash flow from operating activities. We have historically incurred, and expect to continue to incur, operating losses and generate negative cash flows from operations on an annual basis, and as a result, we may require additional capital resources to execute our strategic initiatives to grow our business.</w:t>
      </w:r>
    </w:p>
    <w:p>
      <w:pPr>
        <w:spacing w:after="0" w:line="6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approved and implemented certain efficiency and expense reduction initiatives during 2025 and 2024. These expense reduction initiatives included workforce reductions, facilities downsizing and a refined pipeline of development programs.</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PGI License and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In the first quarter of 2026, the Company entered into a license and settlement agreement with PGI in connection with the PGI Settlement. Under the fixed payment structure pursuant to the agreement, the Company paid PGI $8,000,000 in the second quarter of 2026, and will pay $ 5,000,000 in the first quarter of each of 2027, 2028 and 2029, with the payment in 2027 increasing by $1,000,000 if the Company’s 2026 revenue is at least $165,000,000 and another $1,000,000 if it is at least $180,000,000. See </w:t>
      </w:r>
      <w:r>
        <w:rPr>
          <w:rFonts w:ascii="Arial" w:cs="Arial" w:eastAsia="Arial" w:hAnsi="Arial"/>
          <w:sz w:val="17"/>
          <w:szCs w:val="17"/>
          <w:i w:val="1"/>
          <w:iCs w:val="1"/>
          <w:u w:val="single" w:color="auto"/>
          <w:color w:val="0000FF"/>
        </w:rPr>
        <w:t>Note 3. Balance Sheet Components</w:t>
      </w:r>
      <w:r>
        <w:rPr>
          <w:rFonts w:ascii="Arial" w:cs="Arial" w:eastAsia="Arial" w:hAnsi="Arial"/>
          <w:sz w:val="17"/>
          <w:szCs w:val="17"/>
          <w:color w:val="auto"/>
        </w:rPr>
        <w:t xml:space="preserve"> in Part I, Item I of this Quarterly Report on Form 10-Q for further details.</w:t>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Convertible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As of March 31, 2026, we had outstanding approximately $200.0 million aggregate principal amount of our 2029 Notes and $441.0 million aggregate principal amount of our 2030 Notes. The 2029 Notes will mature on August 15, 2029, subject to earlier conversion, redemption or repurchase, including upon a fundamental change. The 2030 Notes will mature on December 15, 2030, subject to earlier conversion, redemption or repurchase, including upon a fundamental change. See </w:t>
      </w:r>
      <w:r>
        <w:rPr>
          <w:rFonts w:ascii="Arial" w:cs="Arial" w:eastAsia="Arial" w:hAnsi="Arial"/>
          <w:sz w:val="17"/>
          <w:szCs w:val="17"/>
          <w:i w:val="1"/>
          <w:iCs w:val="1"/>
          <w:u w:val="single" w:color="auto"/>
          <w:color w:val="0000FF"/>
        </w:rPr>
        <w:t>Note 4. Convertible Senior Notes</w:t>
      </w:r>
      <w:r>
        <w:rPr>
          <w:rFonts w:ascii="Arial" w:cs="Arial" w:eastAsia="Arial" w:hAnsi="Arial"/>
          <w:sz w:val="17"/>
          <w:szCs w:val="17"/>
          <w:color w:val="auto"/>
        </w:rPr>
        <w:t xml:space="preserve"> in Part I, Item I of this Quarterly Report on Form 10-Q for further details.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Our future capital requirements and the adequacy of our available funds will depend on many factors, including:</w:t>
      </w:r>
    </w:p>
    <w:p>
      <w:pPr>
        <w:spacing w:after="0" w:line="114" w:lineRule="exact"/>
        <w:rPr>
          <w:sz w:val="20"/>
          <w:szCs w:val="20"/>
          <w:color w:val="auto"/>
        </w:rPr>
      </w:pPr>
    </w:p>
    <w:p>
      <w:pPr>
        <w:ind w:left="620" w:hanging="307"/>
        <w:spacing w:after="0"/>
        <w:tabs>
          <w:tab w:leader="none" w:pos="620" w:val="left"/>
        </w:tabs>
        <w:numPr>
          <w:ilvl w:val="0"/>
          <w:numId w:val="8"/>
        </w:numPr>
        <w:rPr>
          <w:rFonts w:ascii="Arial" w:cs="Arial" w:eastAsia="Arial" w:hAnsi="Arial"/>
          <w:sz w:val="17"/>
          <w:szCs w:val="17"/>
          <w:b w:val="1"/>
          <w:bCs w:val="1"/>
          <w:color w:val="DF1995"/>
        </w:rPr>
      </w:pPr>
      <w:r>
        <w:rPr>
          <w:rFonts w:ascii="Arial" w:cs="Arial" w:eastAsia="Arial" w:hAnsi="Arial"/>
          <w:sz w:val="17"/>
          <w:szCs w:val="17"/>
          <w:color w:val="auto"/>
        </w:rPr>
        <w:t>our ability to successfully commercialize products and solutions that address customer needs;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8"/>
        </w:numPr>
        <w:rPr>
          <w:rFonts w:ascii="Arial" w:cs="Arial" w:eastAsia="Arial" w:hAnsi="Arial"/>
          <w:sz w:val="17"/>
          <w:szCs w:val="17"/>
          <w:b w:val="1"/>
          <w:bCs w:val="1"/>
          <w:color w:val="DF1995"/>
        </w:rPr>
      </w:pPr>
      <w:r>
        <w:rPr>
          <w:rFonts w:ascii="Arial" w:cs="Arial" w:eastAsia="Arial" w:hAnsi="Arial"/>
          <w:sz w:val="17"/>
          <w:szCs w:val="17"/>
          <w:color w:val="auto"/>
        </w:rPr>
        <w:t>the pace of adoption of our products and our ability to obtain new customers in markets;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8"/>
        </w:numPr>
        <w:rPr>
          <w:rFonts w:ascii="Arial" w:cs="Arial" w:eastAsia="Arial" w:hAnsi="Arial"/>
          <w:sz w:val="17"/>
          <w:szCs w:val="17"/>
          <w:b w:val="1"/>
          <w:bCs w:val="1"/>
          <w:color w:val="DF1995"/>
        </w:rPr>
      </w:pPr>
      <w:r>
        <w:rPr>
          <w:rFonts w:ascii="Arial" w:cs="Arial" w:eastAsia="Arial" w:hAnsi="Arial"/>
          <w:sz w:val="17"/>
          <w:szCs w:val="17"/>
          <w:color w:val="auto"/>
        </w:rPr>
        <w:t>the progress of our research and development programs and our ability to initiate or expand research programs;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8"/>
        </w:numPr>
        <w:rPr>
          <w:rFonts w:ascii="Arial" w:cs="Arial" w:eastAsia="Arial" w:hAnsi="Arial"/>
          <w:sz w:val="17"/>
          <w:szCs w:val="17"/>
          <w:b w:val="1"/>
          <w:bCs w:val="1"/>
          <w:color w:val="DF1995"/>
        </w:rPr>
      </w:pPr>
      <w:r>
        <w:rPr>
          <w:rFonts w:ascii="Arial" w:cs="Arial" w:eastAsia="Arial" w:hAnsi="Arial"/>
          <w:sz w:val="17"/>
          <w:szCs w:val="17"/>
          <w:color w:val="auto"/>
        </w:rPr>
        <w:t>the effectiveness of our expense reduction initiatives;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8"/>
        </w:numPr>
        <w:rPr>
          <w:rFonts w:ascii="Arial" w:cs="Arial" w:eastAsia="Arial" w:hAnsi="Arial"/>
          <w:sz w:val="17"/>
          <w:szCs w:val="17"/>
          <w:b w:val="1"/>
          <w:bCs w:val="1"/>
          <w:color w:val="DF1995"/>
        </w:rPr>
      </w:pPr>
      <w:r>
        <w:rPr>
          <w:rFonts w:ascii="Arial" w:cs="Arial" w:eastAsia="Arial" w:hAnsi="Arial"/>
          <w:sz w:val="17"/>
          <w:szCs w:val="17"/>
          <w:color w:val="auto"/>
        </w:rPr>
        <w:t>the purchase of patent licenses;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8"/>
        </w:numPr>
        <w:rPr>
          <w:rFonts w:ascii="Arial" w:cs="Arial" w:eastAsia="Arial" w:hAnsi="Arial"/>
          <w:sz w:val="17"/>
          <w:szCs w:val="17"/>
          <w:b w:val="1"/>
          <w:bCs w:val="1"/>
          <w:color w:val="DF1995"/>
        </w:rPr>
      </w:pPr>
      <w:r>
        <w:rPr>
          <w:rFonts w:ascii="Arial" w:cs="Arial" w:eastAsia="Arial" w:hAnsi="Arial"/>
          <w:sz w:val="17"/>
          <w:szCs w:val="17"/>
          <w:color w:val="auto"/>
        </w:rPr>
        <w:t>the costs involved in preparing, filing, prosecuting, defending and enforcing intellectual property rights;</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8"/>
        </w:numPr>
        <w:rPr>
          <w:rFonts w:ascii="Arial" w:cs="Arial" w:eastAsia="Arial" w:hAnsi="Arial"/>
          <w:sz w:val="17"/>
          <w:szCs w:val="17"/>
          <w:b w:val="1"/>
          <w:bCs w:val="1"/>
          <w:color w:val="DF1995"/>
        </w:rPr>
      </w:pPr>
      <w:r>
        <w:rPr>
          <w:rFonts w:ascii="Arial" w:cs="Arial" w:eastAsia="Arial" w:hAnsi="Arial"/>
          <w:sz w:val="17"/>
          <w:szCs w:val="17"/>
          <w:color w:val="auto"/>
        </w:rPr>
        <w:t>our ability to manage manufacturing and production costs, especially costs related to the compute requirements of our instrument platforms, including purchase obligations; and</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8"/>
        </w:numPr>
        <w:rPr>
          <w:rFonts w:ascii="Arial" w:cs="Arial" w:eastAsia="Arial" w:hAnsi="Arial"/>
          <w:sz w:val="17"/>
          <w:szCs w:val="17"/>
          <w:b w:val="1"/>
          <w:bCs w:val="1"/>
          <w:color w:val="DF1995"/>
        </w:rPr>
      </w:pPr>
      <w:r>
        <w:rPr>
          <w:rFonts w:ascii="Arial" w:cs="Arial" w:eastAsia="Arial" w:hAnsi="Arial"/>
          <w:sz w:val="17"/>
          <w:szCs w:val="17"/>
          <w:color w:val="auto"/>
        </w:rPr>
        <w:t>the extent to which we engage in collaborations with partners and acquire other businesses or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213995</wp:posOffset>
            </wp:positionV>
            <wp:extent cx="71386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33</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economic, financial, business, or other factors adversely affect our ability to fund our projected operating cash requirements, we may be required to obtain funding through traditional or alternative sources of financing. Raising additional funds may result in dilution to existing shareholders. We cannot be certain that funds will be available on favorable terms, or at all. If we are required and unable to raise additional capital when desired, our business, operating results, and financial condition may be adversely affected. See our risk factor captioned “</w:t>
      </w:r>
      <w:r>
        <w:rPr>
          <w:rFonts w:ascii="Arial" w:cs="Arial" w:eastAsia="Arial" w:hAnsi="Arial"/>
          <w:sz w:val="17"/>
          <w:szCs w:val="17"/>
          <w:i w:val="1"/>
          <w:iCs w:val="1"/>
          <w:u w:val="single" w:color="auto"/>
          <w:color w:val="0000FF"/>
        </w:rPr>
        <w:t>We are not cash flow positive and may</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not have sufficient cash to make required payments under the terms of our debt or fund our long-term planned operations</w:t>
      </w:r>
      <w:r>
        <w:rPr>
          <w:rFonts w:ascii="Arial" w:cs="Arial" w:eastAsia="Arial" w:hAnsi="Arial"/>
          <w:sz w:val="17"/>
          <w:szCs w:val="17"/>
          <w:color w:val="000000"/>
        </w:rPr>
        <w:t>” in Part II, Item 1A of this</w:t>
      </w:r>
      <w:r>
        <w:rPr>
          <w:rFonts w:ascii="Arial" w:cs="Arial" w:eastAsia="Arial" w:hAnsi="Arial"/>
          <w:sz w:val="17"/>
          <w:szCs w:val="17"/>
          <w:i w:val="1"/>
          <w:iCs w:val="1"/>
          <w:color w:val="0000FF"/>
        </w:rPr>
        <w:t xml:space="preserve"> </w:t>
      </w:r>
      <w:r>
        <w:rPr>
          <w:rFonts w:ascii="Arial" w:cs="Arial" w:eastAsia="Arial" w:hAnsi="Arial"/>
          <w:sz w:val="17"/>
          <w:szCs w:val="17"/>
          <w:color w:val="000000"/>
        </w:rPr>
        <w:t>Quarterly Report on Form 10-Q for more information.</w:t>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Cash Flow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8"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4"/>
                <w:szCs w:val="14"/>
                <w:b w:val="1"/>
                <w:bCs w:val="1"/>
                <w:color w:val="auto"/>
              </w:rPr>
              <w:t>Three Months Ended March 31,</w:t>
            </w:r>
          </w:p>
        </w:tc>
      </w:tr>
      <w:tr>
        <w:trPr>
          <w:trHeight w:val="212"/>
        </w:trPr>
        <w:tc>
          <w:tcPr>
            <w:tcW w:w="80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shd w:val="clear" w:color="auto" w:fill="E7F2F9"/>
          </w:tcPr>
          <w:p>
            <w:pPr>
              <w:spacing w:after="0"/>
              <w:rPr>
                <w:sz w:val="18"/>
                <w:szCs w:val="18"/>
                <w:color w:val="auto"/>
              </w:rPr>
            </w:pPr>
          </w:p>
        </w:tc>
        <w:tc>
          <w:tcPr>
            <w:tcW w:w="1180" w:type="dxa"/>
            <w:vAlign w:val="bottom"/>
            <w:tcBorders>
              <w:bottom w:val="single" w:sz="8" w:color="auto"/>
            </w:tcBorders>
            <w:shd w:val="clear" w:color="auto" w:fill="E7F2F9"/>
          </w:tcPr>
          <w:p>
            <w:pPr>
              <w:jc w:val="right"/>
              <w:ind w:right="526"/>
              <w:spacing w:after="0"/>
              <w:rPr>
                <w:sz w:val="20"/>
                <w:szCs w:val="20"/>
                <w:color w:val="auto"/>
              </w:rPr>
            </w:pPr>
            <w:r>
              <w:rPr>
                <w:rFonts w:ascii="Arial" w:cs="Arial" w:eastAsia="Arial" w:hAnsi="Arial"/>
                <w:sz w:val="14"/>
                <w:szCs w:val="14"/>
                <w:b w:val="1"/>
                <w:bCs w:val="1"/>
                <w:color w:val="1383C6"/>
              </w:rPr>
              <w:t>2026</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2025</w:t>
            </w:r>
          </w:p>
        </w:tc>
      </w:tr>
      <w:tr>
        <w:trPr>
          <w:trHeight w:val="218"/>
        </w:trPr>
        <w:tc>
          <w:tcPr>
            <w:tcW w:w="8060" w:type="dxa"/>
            <w:vAlign w:val="bottom"/>
          </w:tcPr>
          <w:p>
            <w:pPr>
              <w:spacing w:after="0"/>
              <w:rPr>
                <w:sz w:val="20"/>
                <w:szCs w:val="20"/>
                <w:color w:val="auto"/>
              </w:rPr>
            </w:pPr>
            <w:r>
              <w:rPr>
                <w:rFonts w:ascii="Arial" w:cs="Arial" w:eastAsia="Arial" w:hAnsi="Arial"/>
                <w:sz w:val="15"/>
                <w:szCs w:val="15"/>
                <w:color w:val="auto"/>
              </w:rPr>
              <w:t>Net cash used in operating activities</w:t>
            </w:r>
          </w:p>
        </w:tc>
        <w:tc>
          <w:tcPr>
            <w:tcW w:w="320" w:type="dxa"/>
            <w:vAlign w:val="bottom"/>
            <w:shd w:val="clear" w:color="auto" w:fill="E7F2F9"/>
          </w:tcPr>
          <w:p>
            <w:pPr>
              <w:jc w:val="right"/>
              <w:ind w:right="143"/>
              <w:spacing w:after="0"/>
              <w:rPr>
                <w:sz w:val="20"/>
                <w:szCs w:val="20"/>
                <w:color w:val="auto"/>
              </w:rPr>
            </w:pPr>
            <w:r>
              <w:rPr>
                <w:rFonts w:ascii="Arial" w:cs="Arial" w:eastAsia="Arial" w:hAnsi="Arial"/>
                <w:sz w:val="15"/>
                <w:szCs w:val="15"/>
                <w:color w:val="1383C6"/>
                <w:w w:val="95"/>
              </w:rPr>
              <w:t>$</w:t>
            </w: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(44,691)</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(44,056)</w:t>
            </w:r>
          </w:p>
        </w:tc>
      </w:tr>
      <w:tr>
        <w:trPr>
          <w:trHeight w:val="232"/>
        </w:trPr>
        <w:tc>
          <w:tcPr>
            <w:tcW w:w="8060" w:type="dxa"/>
            <w:vAlign w:val="bottom"/>
          </w:tcPr>
          <w:p>
            <w:pPr>
              <w:spacing w:after="0"/>
              <w:rPr>
                <w:sz w:val="20"/>
                <w:szCs w:val="20"/>
                <w:color w:val="auto"/>
              </w:rPr>
            </w:pPr>
            <w:r>
              <w:rPr>
                <w:rFonts w:ascii="Arial" w:cs="Arial" w:eastAsia="Arial" w:hAnsi="Arial"/>
                <w:sz w:val="15"/>
                <w:szCs w:val="15"/>
                <w:color w:val="auto"/>
              </w:rPr>
              <w:t>Net cash provided by investing activities</w:t>
            </w:r>
          </w:p>
        </w:tc>
        <w:tc>
          <w:tcPr>
            <w:tcW w:w="320" w:type="dxa"/>
            <w:vAlign w:val="bottom"/>
            <w:shd w:val="clear" w:color="auto" w:fill="E7F2F9"/>
          </w:tcPr>
          <w:p>
            <w:pPr>
              <w:spacing w:after="0"/>
              <w:rPr>
                <w:sz w:val="20"/>
                <w:szCs w:val="20"/>
                <w:color w:val="auto"/>
              </w:rPr>
            </w:pP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35,859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45,234</w:t>
            </w:r>
          </w:p>
        </w:tc>
      </w:tr>
      <w:tr>
        <w:trPr>
          <w:trHeight w:val="239"/>
        </w:trPr>
        <w:tc>
          <w:tcPr>
            <w:tcW w:w="8060" w:type="dxa"/>
            <w:vAlign w:val="bottom"/>
          </w:tcPr>
          <w:p>
            <w:pPr>
              <w:spacing w:after="0"/>
              <w:rPr>
                <w:sz w:val="20"/>
                <w:szCs w:val="20"/>
                <w:color w:val="auto"/>
              </w:rPr>
            </w:pPr>
            <w:r>
              <w:rPr>
                <w:rFonts w:ascii="Arial" w:cs="Arial" w:eastAsia="Arial" w:hAnsi="Arial"/>
                <w:sz w:val="15"/>
                <w:szCs w:val="15"/>
                <w:color w:val="auto"/>
              </w:rPr>
              <w:t>Net cash provided by financing activities</w:t>
            </w:r>
          </w:p>
        </w:tc>
        <w:tc>
          <w:tcPr>
            <w:tcW w:w="320" w:type="dxa"/>
            <w:vAlign w:val="bottom"/>
            <w:tcBorders>
              <w:bottom w:val="single" w:sz="8" w:color="auto"/>
            </w:tcBorders>
            <w:shd w:val="clear" w:color="auto" w:fill="E7F2F9"/>
          </w:tcPr>
          <w:p>
            <w:pPr>
              <w:spacing w:after="0"/>
              <w:rPr>
                <w:sz w:val="20"/>
                <w:szCs w:val="20"/>
                <w:color w:val="auto"/>
              </w:rPr>
            </w:pPr>
          </w:p>
        </w:tc>
        <w:tc>
          <w:tcPr>
            <w:tcW w:w="1180" w:type="dxa"/>
            <w:vAlign w:val="bottom"/>
            <w:tcBorders>
              <w:bottom w:val="single" w:sz="8" w:color="auto"/>
            </w:tcBorders>
            <w:shd w:val="clear" w:color="auto" w:fill="E7F2F9"/>
          </w:tcPr>
          <w:p>
            <w:pPr>
              <w:jc w:val="right"/>
              <w:spacing w:after="0"/>
              <w:rPr>
                <w:sz w:val="20"/>
                <w:szCs w:val="20"/>
                <w:color w:val="auto"/>
              </w:rPr>
            </w:pPr>
            <w:r>
              <w:rPr>
                <w:rFonts w:ascii="Arial" w:cs="Arial" w:eastAsia="Arial" w:hAnsi="Arial"/>
                <w:sz w:val="15"/>
                <w:szCs w:val="15"/>
                <w:color w:val="1383C6"/>
              </w:rPr>
              <w:t>1,437</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1,959</w:t>
            </w:r>
          </w:p>
        </w:tc>
      </w:tr>
      <w:tr>
        <w:trPr>
          <w:trHeight w:val="252"/>
        </w:trPr>
        <w:tc>
          <w:tcPr>
            <w:tcW w:w="8060" w:type="dxa"/>
            <w:vAlign w:val="bottom"/>
          </w:tcPr>
          <w:p>
            <w:pPr>
              <w:spacing w:after="0"/>
              <w:rPr>
                <w:sz w:val="20"/>
                <w:szCs w:val="20"/>
                <w:color w:val="auto"/>
              </w:rPr>
            </w:pPr>
            <w:r>
              <w:rPr>
                <w:rFonts w:ascii="Arial" w:cs="Arial" w:eastAsia="Arial" w:hAnsi="Arial"/>
                <w:sz w:val="15"/>
                <w:szCs w:val="15"/>
                <w:color w:val="auto"/>
              </w:rPr>
              <w:t>Net (decrease) increase in cash, cash equivalents, and restricted cash</w:t>
            </w:r>
          </w:p>
        </w:tc>
        <w:tc>
          <w:tcPr>
            <w:tcW w:w="320" w:type="dxa"/>
            <w:vAlign w:val="bottom"/>
            <w:shd w:val="clear" w:color="auto" w:fill="E7F2F9"/>
          </w:tcPr>
          <w:p>
            <w:pPr>
              <w:jc w:val="right"/>
              <w:ind w:right="143"/>
              <w:spacing w:after="0"/>
              <w:rPr>
                <w:sz w:val="20"/>
                <w:szCs w:val="20"/>
                <w:color w:val="auto"/>
              </w:rPr>
            </w:pPr>
            <w:r>
              <w:rPr>
                <w:rFonts w:ascii="Arial" w:cs="Arial" w:eastAsia="Arial" w:hAnsi="Arial"/>
                <w:sz w:val="15"/>
                <w:szCs w:val="15"/>
                <w:color w:val="1383C6"/>
                <w:w w:val="95"/>
              </w:rPr>
              <w:t>$</w:t>
            </w:r>
          </w:p>
        </w:tc>
        <w:tc>
          <w:tcPr>
            <w:tcW w:w="1180" w:type="dxa"/>
            <w:vAlign w:val="bottom"/>
            <w:shd w:val="clear" w:color="auto" w:fill="E7F2F9"/>
          </w:tcPr>
          <w:p>
            <w:pPr>
              <w:jc w:val="right"/>
              <w:spacing w:after="0"/>
              <w:rPr>
                <w:sz w:val="20"/>
                <w:szCs w:val="20"/>
                <w:color w:val="auto"/>
              </w:rPr>
            </w:pPr>
            <w:r>
              <w:rPr>
                <w:rFonts w:ascii="Arial" w:cs="Arial" w:eastAsia="Arial" w:hAnsi="Arial"/>
                <w:sz w:val="15"/>
                <w:szCs w:val="15"/>
                <w:color w:val="1383C6"/>
              </w:rPr>
              <w:t>(7,395)</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3,137</w:t>
            </w:r>
          </w:p>
        </w:tc>
      </w:tr>
      <w:tr>
        <w:trPr>
          <w:trHeight w:val="20"/>
        </w:trPr>
        <w:tc>
          <w:tcPr>
            <w:tcW w:w="8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Operating Activities</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primary uses of cash in operating activities include the development of future products and product enhancements, manufacturing, and support functions related to our sales, general and administrative activities.</w:t>
      </w:r>
    </w:p>
    <w:p>
      <w:pPr>
        <w:spacing w:after="0" w:line="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Cash used in operating activities during the three months ended March 31, 2026 of $44.7 million was due primarily to an $8.3 million net loss that included non-cash items such as amortization of acquired intangible assets of $1.0 million, share-based compensation of $4.5 million, depreciation expense of $2.2 million, and $3.2 million in net changes to operating assets and liabilities, which were offset by a $ 48.1 million gain on disposal of assets. Cash flow impact from changes in net operating assets and liabilities was primarily driven by a decrease in accounts receivable as well as an increase in other liabilities. These sources of cash were partially offset by an increase in inventory and a decrease in accounts payable.</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Cash used in operating activities during the three months ended March 31, 2025 of $44.1 million was due primarily to a $426.1 million net loss that included non-cash items such as amortization of acquired intangible assets of $366.4 million, an impairment charge of $15.0 million, share-based compensation of $9.2 million, $7.7 million of inventory adjustments, depreciation expense of $ 5.1 million, and $2.4 million in net changes to operating assets and liabilities, partially offset by an $18.7 million decrease in the change in the fair value of the contingent consideration. Cash flow impact from changes in net operating assets and liabilities was primarily driven by an increase in accrued expenses partially offset by an increase in accounts receivable.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Investing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Our investing activities consist primarily of capital expenditures and investment purchases, sales, and maturities.</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provided by investing activities during the three months ended March 31, 2026 was primarily from $48.3 million of maturities of investments and $50.0 million of gross proceeds from a disposal of assets partially offset by $52.4 million of purchases of investments and $5.0 million in purchases of intangible assets.</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Cash provided by investing activities during the three months ended March 31, 2025 was primarily from $113.4 million of maturities of investments partially offset by $61.8 million of purchases of investments and $5.0 million in purchases of intangible assets.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Financing Activities</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Cash provided by financing activities during the three months ended March 31, 2026 resulted from $1.4 million of proceeds from the issuance of common stock through our equity compensation plans.</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Cash provided by financing activities during the three months ended March 31, 2025 resulted from $2.0 million from the issuance of common stock through our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386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34</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-269240</wp:posOffset>
            </wp:positionV>
            <wp:extent cx="393065" cy="819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presented our contractual obligations at December 31, 2025 in our 2025 Annual Report. There were no material changes outside the ordinary course of business to our contractual obligations during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2457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CRITICAL ACCOUNTING POLICIES AND ESTIMATES</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We evaluate our critical accounting policies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changes to our significant accounting policies as disclosed in our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7138670" cy="2457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RECENT ACCOUNTING PRONOUNCEMENTS</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Please see </w:t>
      </w:r>
      <w:r>
        <w:rPr>
          <w:rFonts w:ascii="Arial" w:cs="Arial" w:eastAsia="Arial" w:hAnsi="Arial"/>
          <w:sz w:val="17"/>
          <w:szCs w:val="17"/>
          <w:i w:val="1"/>
          <w:iCs w:val="1"/>
          <w:u w:val="single" w:color="auto"/>
          <w:color w:val="0000FF"/>
        </w:rPr>
        <w:t>Note 1. Organization and Significant Accounting Policies</w:t>
      </w:r>
      <w:r>
        <w:rPr>
          <w:rFonts w:ascii="Arial" w:cs="Arial" w:eastAsia="Arial" w:hAnsi="Arial"/>
          <w:sz w:val="17"/>
          <w:szCs w:val="17"/>
          <w:color w:val="auto"/>
        </w:rPr>
        <w:t>, subsection titled “Recent Accounting Pronouncements”, in Part I, Item 1 of this Quarterly Report on Form 10-Q for information regarding applicable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2457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FFFFFF"/>
        </w:rPr>
        <w:t>OFF-BALANCE SHEET ARRANGEMENTS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2026, we did not have any off-balance sheet arrangements.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r>
        <w:rPr>
          <w:rFonts w:ascii="Arial" w:cs="Arial" w:eastAsia="Arial" w:hAnsi="Arial"/>
          <w:sz w:val="17"/>
          <w:szCs w:val="17"/>
          <w:i w:val="1"/>
          <w:iCs w:val="1"/>
          <w:u w:val="single" w:color="auto"/>
          <w:color w:val="0000FF"/>
        </w:rPr>
        <w:t>Note 6. Commitments and Contingencies</w:t>
      </w:r>
      <w:r>
        <w:rPr>
          <w:rFonts w:ascii="Arial" w:cs="Arial" w:eastAsia="Arial" w:hAnsi="Arial"/>
          <w:sz w:val="17"/>
          <w:szCs w:val="17"/>
          <w:color w:val="auto"/>
        </w:rPr>
        <w:t xml:space="preserve"> in Part I, Item 1 of this Quarterly Report on Form 10-Q, any associated expenses incurred are included within the related accrued litigation expense amounts. No additional liability associated with such indemnification agreements has been recorded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71386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35</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558800</wp:posOffset>
            </wp:positionV>
            <wp:extent cx="65328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532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65328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53288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Interest Rate and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The 2030 Notes and 2029 Notes have fixed annual interest rates of 1.375% and 1.50%, respectively, and accordingly we do not have any economic interest rate exposure or financial statement risk associated with changes in interest rates. The fair value of the notes, however, may fluctuate when interest rates and the market price of our stock changes. See </w:t>
      </w:r>
      <w:r>
        <w:rPr>
          <w:rFonts w:ascii="Arial" w:cs="Arial" w:eastAsia="Arial" w:hAnsi="Arial"/>
          <w:sz w:val="17"/>
          <w:szCs w:val="17"/>
          <w:i w:val="1"/>
          <w:iCs w:val="1"/>
          <w:u w:val="single" w:color="auto"/>
          <w:color w:val="0000FF"/>
        </w:rPr>
        <w:t>Note 4. Convertible Senior Notes</w:t>
      </w:r>
      <w:r>
        <w:rPr>
          <w:rFonts w:ascii="Arial" w:cs="Arial" w:eastAsia="Arial" w:hAnsi="Arial"/>
          <w:sz w:val="17"/>
          <w:szCs w:val="17"/>
          <w:color w:val="auto"/>
        </w:rPr>
        <w:t xml:space="preserve"> in Part I, Item 1 of this Quarterly Report on Form 10-Q for additional information.</w:t>
      </w:r>
    </w:p>
    <w:p>
      <w:pPr>
        <w:spacing w:after="0" w:line="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months ended March 31, 2026, we invested in cash equivalents, U.S. government and agency securities, and corporate debt securities which were designated as cash equivalents and available-for-sale investments. Our cash equivalents and available-for-sale securities as of March 31, 2026 was $276.0 million.</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exposure to market risk for changes in interest rates relates primarily to our investment portfolio comprised of marketable securities. We invest in a number of securities including U.S. government and agency securities, U.S. Treasury securities, and corporate debt securities and money market funds. We attempt to ensure the safety and preservation of our invested principal funds by limiting default risk, market risk and reinvestment risk. We mitigate default risk by investing in high grade investment securities.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at March 31, 2026 would have affected the fair value of our investment portfolio by approximately $1.7 million.</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other material changes in market risk from the information provided in our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71386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1386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defined in Rules 13a-15(e) and 15d-15(e) of the Securities Exchange Act of 1934, as amended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Chief Executive Officer and our Chief Financial Officer, to determine whether any change in our internal control over financial reporting occurred during the quarter ended March 31, 2026 that materially affected, or is reasonably likely to materially affect, our internal control over financial reporting. There were no material changes in our internal control over financial reporting during the quarter ended March 31, 2026 that have materially affected, or were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1386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36</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-269240</wp:posOffset>
            </wp:positionV>
            <wp:extent cx="393065" cy="819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DF1995"/>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713867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1386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U.S. District Court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The complaint alleges that our Sequel systems and Sequel II systems infringe the ‘441 Patent. The complaint seeks unspecified monetary damages and an order enjoining us from infringing the ’441 Patent. On November 20, 2019, we filed our answer to the complaint, denying infringement and seeking declaratory judgments of non-infringement and invalidity of the ‘441 Patent.</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June 22, 2020, we filed a petition requesting institution of an inter-partes review ("IPR") to the Patent Trial and Appeals Board (the “Board”) at the United States Patent Office (IPR2020-01163) requesting the Board to find a set of claims in the ‘441 Patent invalid. On June 27, 2020, we filed a second petition (IPR2020-01200) requesting institution of an IPR requesting the Board to find another set of claims in the ‘441 Patent invalid. The two petitions (the “PacBio IPR Petitions”) together asserted that all of the claims relevant to the PGI complaint are invalid. On January 19, 2021, the Board ordered that both PacBio IPR Petitions be instituted on all grounds presented. On January 18, 2022, the Board issued decisions on the two IPRs. In one IPR, all challenged claims were found unpatentable, including PGI’s core device claims. In the second IPR, the Board did not find the disputed claims unpatentable. PGI and PacBio each appealed to the U.S. Court of Appeals for the Federal Circuit, which affirmed both IPR decisions on January 9, 2024.</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August 25, 2020, the court ordered a stay of the PGI District Court matter based on a joint stipulation by the parties pending a final written decision on the IPRs. Following the final written decisions on the IPRs described above, on February 2, 2022, the judge ordered that the PGI District Court matter be reopened. However, in a subsequent order dated September 15, 2022, the judge stayed the PGI District Court matter pending a final decision by the U.S. Court of Appeals for the Federal Circuit regarding the appeal described above. On February 26, 2024, we moved to transfer the case from the District of Delaware to the Northern District of California and that motion was granted on June 18, 2024. On March 18, 2024, the parties filed a joint status report in which PGI requested the court set a revised scheduling order and we requested grant of our motion to transfer and proposed an alternate scheduling order. A case management conference was held on October 10, 2024 and the court set a trial date of October 5, 2026.</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March 5, 2026, the Company entered into a license and settlement agreement with PGI in connection with the PGI Settlement pursuant to which the Company receives a worldwide, royalty-free, non-exclusive license under U.S. Patent No. 7,767,441 and its related patent family, and a five-and-a-half year covenant not to sue under any patents owned or controlled by PGI, and resulted in the dismissal of all claims and counterclaims asserted by the Company and PGI against each other in the litigation. The covenant not to sue runs with the patents and binds PGI’s successors and transferees. The settlement also provides for the release of claims for damages arising from activities occurring prior to and during the covenant term. Under the fixed payment structure, the Company paid PGI $8,000,000 in the second quarter of 2026, and will pay $ 5,000,000 in the first quarter of each of 2027, 2028 and 2029, with the payment in 2027 increasing by $1,000,000 if the Company’s 2026 revenue is at least $165,000,000 and another $ 1,000,000 if it is at least $180,000,000. On May 4, 2026, the court dismissed all claims and counterclaims between the Company and PGI based on a joint stipulation by the parties.</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Other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spacing w:after="0" w:line="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71386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37</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-269240</wp:posOffset>
            </wp:positionV>
            <wp:extent cx="393065" cy="819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386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38</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460375</wp:posOffset>
            </wp:positionV>
            <wp:extent cx="71386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1386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You should carefully consider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 This situation is changing rapidly, and additional impacts may arise that we are not aware of currently.</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383C6"/>
        </w:rPr>
        <w:t>Summary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following is a summary of the principal risks that could adversely affect our business, operations, and financial results. Such risks are discussed more fully below and include, but are not limited to, risks related to:</w:t>
      </w:r>
    </w:p>
    <w:p>
      <w:pPr>
        <w:spacing w:after="0" w:line="43" w:lineRule="exact"/>
        <w:rPr>
          <w:sz w:val="20"/>
          <w:szCs w:val="20"/>
          <w:color w:val="auto"/>
        </w:rPr>
      </w:pPr>
    </w:p>
    <w:p>
      <w:pPr>
        <w:ind w:left="620" w:hanging="307"/>
        <w:spacing w:after="0"/>
        <w:tabs>
          <w:tab w:leader="none" w:pos="620"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our ability to successfully market, commercialize, and sell current and future products and related maintenance services;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our ability to achieve profitability for our business;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our ability to implement required expense reduction initiatives;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our ability to repay our debt and fund our long-term operations;</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the impact of the disposition of assets related to our short-read DNA sequencing technology and related clustering, sequencing reagent, and detection technologies could have on our business, financial condition and results of operations;</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our ability to successfully leverage and integrate our acquisitions and future acquisitions;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our ability to successfully research, develop and timely manufacture our current and future products;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management of new product introductions and transitions, resultant costs, and ability of new products to generate promised performance;</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recent significant changes to our leadership team and resultant disruptions to our business;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retention, recruitment, and training of senior management, key personnel, scientists and engineers;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our ability to further penetrate nucleic acid sequencing applications, as well as grow product demand;</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our reliance on outsourcing to other companies for manufacturing certain of our products, components and sub-assemblies, some of which are sole-sourced;</w:t>
      </w:r>
    </w:p>
    <w:p>
      <w:pPr>
        <w:spacing w:after="0" w:line="43" w:lineRule="exact"/>
        <w:rPr>
          <w:rFonts w:ascii="Arial" w:cs="Arial" w:eastAsia="Arial" w:hAnsi="Arial"/>
          <w:sz w:val="17"/>
          <w:szCs w:val="17"/>
          <w:b w:val="1"/>
          <w:bCs w:val="1"/>
          <w:color w:val="DF1995"/>
        </w:rPr>
      </w:pPr>
    </w:p>
    <w:p>
      <w:pPr>
        <w:jc w:val="both"/>
        <w:ind w:left="620" w:hanging="307"/>
        <w:spacing w:after="0" w:line="271" w:lineRule="auto"/>
        <w:tabs>
          <w:tab w:leader="none" w:pos="616"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the impact of tariffs recently threatened or imposed by the U.S. government or its trading partners in response, other possible tariffs or trade protection measures, import or export licensing requirements, new or different customs duties, trade embargoes and sanctions and other trade barriers;</w:t>
      </w:r>
    </w:p>
    <w:p>
      <w:pPr>
        <w:spacing w:after="0" w:line="59"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our ability to consistently manufacture our instruments and consumables to meet customers’ specifications, quantity, cost, or performance requirements;</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the high amount of competition we face in our industry;</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our ability to attract customers and increase sales of current and future products;</w:t>
      </w:r>
    </w:p>
    <w:p>
      <w:pPr>
        <w:spacing w:after="0" w:line="113" w:lineRule="exact"/>
        <w:rPr>
          <w:rFonts w:ascii="Arial" w:cs="Arial" w:eastAsia="Arial" w:hAnsi="Arial"/>
          <w:sz w:val="17"/>
          <w:szCs w:val="17"/>
          <w:b w:val="1"/>
          <w:bCs w:val="1"/>
          <w:color w:val="DF1995"/>
        </w:rPr>
      </w:pPr>
    </w:p>
    <w:p>
      <w:pPr>
        <w:jc w:val="both"/>
        <w:ind w:left="620" w:hanging="307"/>
        <w:spacing w:after="0" w:line="271" w:lineRule="auto"/>
        <w:tabs>
          <w:tab w:leader="none" w:pos="616"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our reliance on a limited number of customers for a significant portion of our revenues, including academic, research and government institutions, which may be impacted by reductions in funding or targeted cancellations of certain grants or contracts by the U.S. federal government;</w:t>
      </w:r>
    </w:p>
    <w:p>
      <w:pPr>
        <w:spacing w:after="0" w:line="59" w:lineRule="exact"/>
        <w:rPr>
          <w:rFonts w:ascii="Arial" w:cs="Arial" w:eastAsia="Arial" w:hAnsi="Arial"/>
          <w:sz w:val="17"/>
          <w:szCs w:val="17"/>
          <w:b w:val="1"/>
          <w:bCs w:val="1"/>
          <w:color w:val="DF1995"/>
        </w:rPr>
      </w:pPr>
    </w:p>
    <w:p>
      <w:pPr>
        <w:ind w:left="620" w:hanging="307"/>
        <w:spacing w:after="0"/>
        <w:tabs>
          <w:tab w:leader="none" w:pos="620"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the complexity of our products giving rise to defects or errors;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our unpredictable and lengthy sales cycles;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the possibility that our goodwill or intangible assets could become impaired;</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9"/>
        </w:numPr>
        <w:rPr>
          <w:rFonts w:ascii="Arial" w:cs="Arial" w:eastAsia="Arial" w:hAnsi="Arial"/>
          <w:sz w:val="17"/>
          <w:szCs w:val="17"/>
          <w:b w:val="1"/>
          <w:bCs w:val="1"/>
          <w:color w:val="DF1995"/>
        </w:rPr>
      </w:pPr>
      <w:r>
        <w:rPr>
          <w:rFonts w:ascii="Arial" w:cs="Arial" w:eastAsia="Arial" w:hAnsi="Arial"/>
          <w:sz w:val="17"/>
          <w:szCs w:val="17"/>
          <w:color w:val="auto"/>
        </w:rPr>
        <w:t>adverse effects resulting from political and economic tensions between the United States and other countries, including China and Russia, and other geopolitical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386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39</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-269240</wp:posOffset>
            </wp:positionV>
            <wp:extent cx="393065" cy="819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hanging="307"/>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securing and maintaining patent or other intellectual property protection for our products and related improvements;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current and future legal proceedings filed against us claiming intellectual property infringement;</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the potential adverse impact of health epidemics;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potential cybersecurity incidents and security breaches;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governmental regulations that burden operations or narrow the market for our products;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adverse effects resulting from new, increased, or enhanced trade tariffs, import restrictions, export restrictions, or other trade barriers;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evolving ethical, legal, privacy, social, and regulatory concerns regarding genetic testing;</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volatility of the price of our common stock; and</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0"/>
        </w:numPr>
        <w:rPr>
          <w:rFonts w:ascii="Arial" w:cs="Arial" w:eastAsia="Arial" w:hAnsi="Arial"/>
          <w:sz w:val="17"/>
          <w:szCs w:val="17"/>
          <w:b w:val="1"/>
          <w:bCs w:val="1"/>
          <w:color w:val="DF1995"/>
        </w:rPr>
      </w:pPr>
      <w:r>
        <w:rPr>
          <w:rFonts w:ascii="Arial" w:cs="Arial" w:eastAsia="Arial" w:hAnsi="Arial"/>
          <w:sz w:val="17"/>
          <w:szCs w:val="17"/>
          <w:color w:val="auto"/>
        </w:rPr>
        <w:t>our stock price falling as a result of future offerings or sales of securities.</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risk factors are not guarantees that no such conditions exist as of the date hereof and should not be interpreted as an affirmative statement that such risks or conditions have not materialized, in whole or in part.</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383C6"/>
        </w:rPr>
        <w:t>Risks Related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DF1995"/>
        </w:rPr>
        <w:t>The commercialization and sales of our current or future products may be 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made and expect to continue making substantial investments to develop new products and enhance our existing products through our acquisitions and research and development efforts. For example, we commenced commercial shipments of Revio, our long-read sequencing system, in 2023. We also began taking orders and shipping our new Vega benchtop long-read sequencing system in the fourth quarter of 2024. Our future success is substantially dependent on our ability to successfully develop and commercialize our products, including in particular the Revio and Vega systems, as well as acquired technologies, which are anticipated to be used in demanding scientific research that requires substantial levels of accuracy and precision. In addition, we may not be successful in transitioning the customers of our prior generation products to our Revio and Vega products, or transitioning users of other third-party sequencing platforms to our portfolio of products, and have incurred and could continue to incur related obsolete inventory charges and losses on firm purchase commitments. Customers may also be slower than we anticipate in making new capital equipment acquisitions, especially in the current economic environment. Due to challenges we may experience in developing and marketing our existing products and launching new products, we may not be able to effectively:</w:t>
      </w:r>
    </w:p>
    <w:p>
      <w:pPr>
        <w:spacing w:after="0" w:line="73" w:lineRule="exact"/>
        <w:rPr>
          <w:sz w:val="20"/>
          <w:szCs w:val="20"/>
          <w:color w:val="auto"/>
        </w:rPr>
      </w:pPr>
    </w:p>
    <w:p>
      <w:pPr>
        <w:ind w:left="620" w:hanging="307"/>
        <w:spacing w:after="0" w:line="290" w:lineRule="auto"/>
        <w:tabs>
          <w:tab w:leader="none" w:pos="616"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manage the timeliness of our new product introductions and the rate at which sales of our new products may cannibalize sales of our existing products or manage sales and marketing of multiple sequencing platforms;</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drive adoption of our current and future products;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maintain our competitive position by continuing to attract and retain customers for our products;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provide appropriate levels of customer training and support for our products;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implement an effective marketing strategy to promote awareness of our products;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develop and implement an effective sales and distribution strategy for our current and future products;</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develop, manufacture and commercialize new products or achieve an acceptable return on our manufacturing or research and development efforts and expenses;</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comply with regulatory requirements applicable to our products;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1"/>
        </w:numPr>
        <w:rPr>
          <w:rFonts w:ascii="Arial" w:cs="Arial" w:eastAsia="Arial" w:hAnsi="Arial"/>
          <w:sz w:val="17"/>
          <w:szCs w:val="17"/>
          <w:b w:val="1"/>
          <w:bCs w:val="1"/>
          <w:color w:val="DF1995"/>
        </w:rPr>
      </w:pPr>
      <w:r>
        <w:rPr>
          <w:rFonts w:ascii="Arial" w:cs="Arial" w:eastAsia="Arial" w:hAnsi="Arial"/>
          <w:sz w:val="17"/>
          <w:szCs w:val="17"/>
          <w:color w:val="auto"/>
        </w:rPr>
        <w:t>anticipate and adapt to changes in our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386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40</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hanging="307"/>
        <w:spacing w:after="0" w:line="290" w:lineRule="auto"/>
        <w:tabs>
          <w:tab w:leader="none" w:pos="616"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accommodate customer expectations and demands with respect to our products, increase product adoption by our existing customers or develop new customer relationships;</w:t>
      </w:r>
    </w:p>
    <w:p>
      <w:pPr>
        <w:spacing w:after="0" w:line="4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deliver our early access systems to our external early access testing sites or complete our external early access testing program on our currently expected timelines;</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overcome unexpected challenges discovered during early access testing;</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complete the scientific and technical validation of new products on our currently expected timeline or at all;</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deliver our future products in a timely manner to our customers;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grow our market share by marketing and selling our products for new and additional applications;</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manage the significant burdens that expanding our existing or future products into current and new markets may impose on marketing, compliance, and other administrative and managerial resources;</w:t>
      </w:r>
    </w:p>
    <w:p>
      <w:pPr>
        <w:spacing w:after="0" w:line="4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maintain and develop strategic relationships with vendors, manufacturers, and other industry partners to acquire necessary materials for the production of, and to develop, manufacture and commercialize, our existing or future products;</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adapt or scale our manufacturing activities to meet performance specifications and potential demand at a reasonable cost;</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avoid infringement and misappropriation of third-party intellectual property;</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obtain and maintain any necessary licenses to third-party intellectual property on commercially reasonable terms;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obtain valid and enforceable patents that give us a competitive advantage or enforce existing patents;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protect our proprietary technology; and</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2"/>
        </w:numPr>
        <w:rPr>
          <w:rFonts w:ascii="Arial" w:cs="Arial" w:eastAsia="Arial" w:hAnsi="Arial"/>
          <w:sz w:val="17"/>
          <w:szCs w:val="17"/>
          <w:b w:val="1"/>
          <w:bCs w:val="1"/>
          <w:color w:val="DF1995"/>
        </w:rPr>
      </w:pPr>
      <w:r>
        <w:rPr>
          <w:rFonts w:ascii="Arial" w:cs="Arial" w:eastAsia="Arial" w:hAnsi="Arial"/>
          <w:sz w:val="17"/>
          <w:szCs w:val="17"/>
          <w:color w:val="auto"/>
        </w:rPr>
        <w:t>attract, retain, and motivate qualified personnel.</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We evaluate goodwill and other intangible assets with indefinite useful lives for impairment annually and whenever events or changes in circumstances indicate that the fair value of such assets may be less than the carrying value. We also perform regular reviews to determine if any event has occurred that may indicate that the carrying values of our intangible assets with finite lives and other finite-lived assets are impaired. Events that would indicate impairment and trigger an interim impairment test include, but are not limited to, adverse changes in business or economic conditions, lower-than-expected performance of a product line or business, changes in strategic direction, unanticipated technological or competitive developments, loss of key personnel, and actions by governments or courts. The occurrence of any of these events, may require us to record future impairment charges. For example, we recorded $15.0 million of impairment charges during the year ended December 31, 2025, as described in additional detail in </w:t>
      </w:r>
      <w:r>
        <w:rPr>
          <w:rFonts w:ascii="Arial" w:cs="Arial" w:eastAsia="Arial" w:hAnsi="Arial"/>
          <w:sz w:val="17"/>
          <w:szCs w:val="17"/>
          <w:i w:val="1"/>
          <w:iCs w:val="1"/>
          <w:color w:val="auto"/>
        </w:rPr>
        <w:t>Note 4. Balance Sheet Components</w:t>
      </w:r>
      <w:r>
        <w:rPr>
          <w:rFonts w:ascii="Arial" w:cs="Arial" w:eastAsia="Arial" w:hAnsi="Arial"/>
          <w:sz w:val="17"/>
          <w:szCs w:val="17"/>
          <w:color w:val="auto"/>
        </w:rPr>
        <w:t xml:space="preserve"> in Part II, Item 8 of our 2025 Annual Report. Additionally, amortization of acquired intangible assets during the year ended December 31, 2025 included $359.3 million of accelerated amortization pertaining to the Company's change in estimate of its remaining useful life of the developed technology acquired in connection with the 2021 Omniome acquisition as described in additional detail in </w:t>
      </w:r>
      <w:r>
        <w:rPr>
          <w:rFonts w:ascii="Arial" w:cs="Arial" w:eastAsia="Arial" w:hAnsi="Arial"/>
          <w:sz w:val="17"/>
          <w:szCs w:val="17"/>
          <w:i w:val="1"/>
          <w:iCs w:val="1"/>
          <w:color w:val="auto"/>
        </w:rPr>
        <w:t>Note 6. Restructuring</w:t>
      </w:r>
      <w:r>
        <w:rPr>
          <w:rFonts w:ascii="Arial" w:cs="Arial" w:eastAsia="Arial" w:hAnsi="Arial"/>
          <w:sz w:val="17"/>
          <w:szCs w:val="17"/>
          <w:color w:val="auto"/>
        </w:rPr>
        <w:t xml:space="preserve"> in Part II, Item 8 of our 2025 Annual Report. Any such charges may adversely affect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322580</wp:posOffset>
            </wp:positionV>
            <wp:extent cx="71386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41</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We have incurred losses to date, and we expect to continue to incur significant losses as we develop our business and we may never achieve profitability.</w:t>
      </w:r>
    </w:p>
    <w:p>
      <w:pPr>
        <w:spacing w:after="0" w:line="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generally incurred net losses each quarter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 Although we initiated expense reduction plans during the second quarter of 2024 and initiated further expense reduction plans during the first quarter of 2025, we do not expect to be profitable in 2026, and there can be no assurance that these expense reduction initiatives will be successful in helping us achieve profitability.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Our net losses since inception and our expectation of incurring substantial losses and negative cash flow for the foreseeable future could:</w:t>
      </w:r>
    </w:p>
    <w:p>
      <w:pPr>
        <w:spacing w:after="0" w:line="114"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make it more difficult for us to satisfy our obligations;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increase our vulnerability to general adverse economic and industry conditions;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limit our ability to fund future working capital, capital expenditures, research and development and other business opportunities;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increase the volatility of the price of our common stock;</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limit our flexibility to react to changes in our business and the industry in which we operate;</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place us at a disadvantage to other companies that offer nucleic acid sequencing equipment or consumables; and</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3"/>
        </w:numPr>
        <w:rPr>
          <w:rFonts w:ascii="Arial" w:cs="Arial" w:eastAsia="Arial" w:hAnsi="Arial"/>
          <w:sz w:val="17"/>
          <w:szCs w:val="17"/>
          <w:b w:val="1"/>
          <w:bCs w:val="1"/>
          <w:color w:val="DF1995"/>
        </w:rPr>
      </w:pPr>
      <w:r>
        <w:rPr>
          <w:rFonts w:ascii="Arial" w:cs="Arial" w:eastAsia="Arial" w:hAnsi="Arial"/>
          <w:sz w:val="17"/>
          <w:szCs w:val="17"/>
          <w:color w:val="auto"/>
        </w:rPr>
        <w:t>limit our ability to borrow additional funds.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addition, inflationary pressure, including as a result of supply shortages, has adversely impacted and could continue to adversely impact our financial results, and our operating costs may increase. For example, we have experienced and may continue to experience inflationary pressure with respect to certain components of certain of our products, including with respect to semiconductor materials, such as memory chips, due in part to accelerated demand associated with data processing and storage applications. We may not fully offset these cost increases by raising prices for our products and services, which could result in downward pressure on our margins. Further, our customers may choose to reduce their business with us if we increase our pricing. Any or all of the foregoing may have a material adverse effect on our business, operations, financial condition, and prospects. An impairment in value of our tangible or intangible assets could also be recorded as a result of weaker economic conditions. For more information on impairment considerations, see “</w:t>
      </w: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0000FF"/>
        </w:rPr>
        <w:t>The commercialization and sales of our current or future products may be unsuccessful or</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r>
        <w:rPr>
          <w:rFonts w:ascii="Arial" w:cs="Arial" w:eastAsia="Arial" w:hAnsi="Arial"/>
          <w:sz w:val="17"/>
          <w:szCs w:val="17"/>
          <w:color w:val="000000"/>
        </w:rPr>
        <w:t>” above.</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Expense reduction initiatives could be disruptive to our operations and adversely affect our results of operations and financial condition, and we may not realize some or all of the anticipated benefits of these initiatives, whether in the time frame anticipated or at all.</w:t>
      </w:r>
    </w:p>
    <w:p>
      <w:pPr>
        <w:spacing w:after="0" w:line="2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expense reduction initiatives comprise, among other things, workforce reductions, facilities downsizing and a refined pipeline of development activities. For example, during the second quarter of 2024 we initiated plans to reduce certain of our annualized run-rate operating expenses by the end of the year, with the intent of better aligning our organizational structure and resources with our strategic initiatives, and during the first quarter of 2025 we initiated further plans to reduce certain of our annualized run-rate operating expenses by the end of the year, given persistent uncertainty surrounding academic and NIH funding, along with the introduction and impact of new or changing tariffs. The implementation of these expense reduction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expense reduction initiatives and achieve the anticipated benefits within the expected time frame is subject to estimates and assumptions and may vary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187960</wp:posOffset>
            </wp:positionV>
            <wp:extent cx="71386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42</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materially from our expectations, including as a result of factors that are beyond our control. Furthermore, our efforts to stabilize our business may not be successful.</w:t>
      </w:r>
    </w:p>
    <w:p>
      <w:pPr>
        <w:spacing w:after="0" w:line="9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We are not cash flow positive and may not have sufficient cash to make required payments under the terms of our debt or fund our long-term planned operations.</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Our operations have consumed substantial amounts of cash since inception, and we expect to continue to incur substantial losses and negative cash flow from operations for the foreseeable future. Additional funds may not be available on terms acceptable to us or at all, particularly in light of our outstanding notes and lack of positive cash flow from operations. We have incurred significant debt, and we may incur additional debt in the future. As of March 31, 2026, we had outstanding approximately $200.0 million aggregate principal amount of our 1.50% Convertible Senior Notes due 2029 (the “2029 Notes”) and $441.0 million aggregate principal amount of our 1.375% Convertible Senior Notes due 2030 (the “2030 Notes” and together with the 2029 Notes, the “Notes”). As discussed in </w:t>
      </w:r>
      <w:r>
        <w:rPr>
          <w:rFonts w:ascii="Arial" w:cs="Arial" w:eastAsia="Arial" w:hAnsi="Arial"/>
          <w:sz w:val="17"/>
          <w:szCs w:val="17"/>
          <w:i w:val="1"/>
          <w:iCs w:val="1"/>
          <w:u w:val="single" w:color="auto"/>
          <w:color w:val="0000FF"/>
        </w:rPr>
        <w:t>Note 4. Convertible Senior Notes</w:t>
      </w:r>
      <w:r>
        <w:rPr>
          <w:rFonts w:ascii="Arial" w:cs="Arial" w:eastAsia="Arial" w:hAnsi="Arial"/>
          <w:sz w:val="17"/>
          <w:szCs w:val="17"/>
          <w:color w:val="auto"/>
        </w:rPr>
        <w:t xml:space="preserve"> in Part I, Item 1 of this Quarterly Report on Form 10-Q, we exchanged the remaining approximately $459.0 million in aggregate principal amount of our 1.50% Convertible Senior Notes due 2028 (the “2028 Notes”) for (i) $200.0 million aggregate principal amount of the 2029 Notes, (ii) 20,451,570 shares of common stock and (iii) $50.0 million of cash (the “2024 Exchange Transaction”). The 2024 Exchange Transaction closed on November 21, 2024. We may not have sufficient cash to make required payments under the terms of this debt, and should this occur, debt holders have rights senior to common stockholders to make claims on our assets. In addition, if we do not have sufficient cash to make the required payments at maturity, we may need to raise additional capital, which could result in dilution of our existing investors, or refinance or restructure our debt, which will depend on, among other things, the condition of the capital markets and our financial condition at such time, and which may be at higher interest rates.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We may be required to seek equity financing at a time when the market price for our common stock is low, which would further dilute ownership for existing common stockholders.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believe that our growth will depend, in part, on our ability to fund our commercialization efforts and our efforts to develop new products and improve our existing products.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and there can be no assurance that any of these actions would be successful. If our cash, cash equivalents and investments are insufficient to fund our projected operating requirements and we are unable to raise capital, it could have a material adverse effect on our business, financial condition and results of operations and prospects.</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The disposition of our assets related to our short-read DNA sequencing technology and related clustering, sequencing reagent, and detection technologies could have a material adverse effect on our business, financial condition and results of operations.</w:t>
      </w:r>
    </w:p>
    <w:p>
      <w:pPr>
        <w:spacing w:after="0" w:line="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30, 2026, we completed a disposition of assets to Buyer in accordance with the terms of the Asset Purchase Agreement, pursuant to which, among other matters, Buyer acquired certain intellectual property and other assets related to our short-read DNA sequencing technology and related clustering, sequencing reagent, and detection technologies.</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Pursuant to the Asset Purchase Agreement, we have retained certain liabilities arising from our short-read DNA sequencing technology and related clustering, sequencing reagent, and detection technologies as they existed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386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43</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the closing of the Asset Sale. While we are not aware of any such liabilities that may be material and have adequately accrued for these liabilities, there can be no assurances that additional expenditures will not be incurred in resolving these liabilities, which may have a material adverse effect on our business, operations, financial condition, operations and prospects.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DF1995"/>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spacing w:after="0" w:line="4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part of our business strategy, we have acquired and expect to continue to pursue acquisitions of complementary businesses, technologies, or assets. We may also pursue technology license arrangements, strategic alliances or investments that complement our business.</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Acquisitions and strategic transactions involve numerous risks, any of which could harm our business and negatively affect our financial condition and results of operations, including:</w:t>
      </w:r>
    </w:p>
    <w:p>
      <w:pPr>
        <w:spacing w:after="0" w:line="43" w:lineRule="exact"/>
        <w:rPr>
          <w:sz w:val="20"/>
          <w:szCs w:val="20"/>
          <w:color w:val="auto"/>
        </w:rPr>
      </w:pPr>
    </w:p>
    <w:p>
      <w:pPr>
        <w:ind w:left="620" w:hanging="307"/>
        <w:spacing w:after="0" w:line="290" w:lineRule="auto"/>
        <w:tabs>
          <w:tab w:leader="none" w:pos="616"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intense competition for suitable acquisition targets, which could increase prices and adversely affect our ability to consummate deals on favorable or acceptable terms;</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failure or material delay in closing a transaction;</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transaction-related lawsuits or claims;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difficulties in integrating the technologies, operations, existing contracts, and personnel of an acquired company;</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difficulties in retaining key employees or business partners of an acquired company;</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difficulties in retaining suppliers, partners, or customers of an acquired company;</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challenges with integrating the brand identity of an acquired company with our own;</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diversion of financial and management resources from existing operations or alternative acquisition opportunities;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failure to realize the anticipated benefits or synergies of a transaction;</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difficulties in developing technology post-acquisition;</w:t>
      </w:r>
    </w:p>
    <w:p>
      <w:pPr>
        <w:spacing w:after="0" w:line="113" w:lineRule="exact"/>
        <w:rPr>
          <w:rFonts w:ascii="Arial" w:cs="Arial" w:eastAsia="Arial" w:hAnsi="Arial"/>
          <w:sz w:val="17"/>
          <w:szCs w:val="17"/>
          <w:b w:val="1"/>
          <w:bCs w:val="1"/>
          <w:color w:val="DF1995"/>
        </w:rPr>
      </w:pPr>
    </w:p>
    <w:p>
      <w:pPr>
        <w:jc w:val="both"/>
        <w:ind w:left="620" w:hanging="307"/>
        <w:spacing w:after="0" w:line="271" w:lineRule="auto"/>
        <w:tabs>
          <w:tab w:leader="none" w:pos="616"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spacing w:after="0" w:line="59"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risks that regulatory bodies may enact new laws or promulgate new regulations that are adverse to an acquired company or business;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risks that regulatory bodies do not approve our acquisitions or business combinations or delay such approvals;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theft of our trade secrets or confidential information that we share with potential acquisition candidates or other potential strategic partners;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risk that an acquired company or investment in new services cannibalizes a portion of our existing business; and</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4"/>
        </w:numPr>
        <w:rPr>
          <w:rFonts w:ascii="Arial" w:cs="Arial" w:eastAsia="Arial" w:hAnsi="Arial"/>
          <w:sz w:val="17"/>
          <w:szCs w:val="17"/>
          <w:b w:val="1"/>
          <w:bCs w:val="1"/>
          <w:color w:val="DF1995"/>
        </w:rPr>
      </w:pPr>
      <w:r>
        <w:rPr>
          <w:rFonts w:ascii="Arial" w:cs="Arial" w:eastAsia="Arial" w:hAnsi="Arial"/>
          <w:sz w:val="17"/>
          <w:szCs w:val="17"/>
          <w:color w:val="auto"/>
        </w:rPr>
        <w:t>adverse market reaction to an acquisition or other strategic transaction.</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 including potential impairments of 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314960</wp:posOffset>
            </wp:positionV>
            <wp:extent cx="71386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44</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If we are unable to successfully develop and timely manufacture our current and future products our business may be adversely affected.</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Considering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Revio and Vega systems, and the products under development, including acquired technologies,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We have designed SMRT Cells and other consumables specifically for the Sequel, Sequel II/IIe, Revio and Vega systems, and may need to develop in the future, other customized SMRT Cells and consumables for our future products. Our production of the SMRT Cells for the Sequel and Sequel II/IIe systems has been and may in the future, including with respect to the Revio system, be below desired levels and yields, and we have experienced and may experience in the future manufacturing delays, product or quality defects, SMRT Cell variability, and other issues. The performance of our consumables is critical to our customers’ successful utilization of our products, and any defects or performance issues with our consumables would adversely affect our business. All of the foregoing could have a material adverse effect on our ability to sell our products or result in other material adverse effects on our business, operations, financial condition, operations and prospects.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 and technical validation may not be completed on our currently expected timelines or at all. Such testing may also expose fundamental flaws in our products that may cause us to abandon the further development of such products.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If the continued rollout of our current and future products, including with respect to the SMRT Cell, the Revio and Vega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and the Revio and Vega systems could materially and adversely affect our business, operations, financial condition,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1386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45</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DF1995"/>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dedicated significant resources to developing our current products. We are also engaged in substantial and complex research and development efforts, which, if successful, may result in the introduction of new products in the future, including in connection with the SMRT Cell and the Revio and Vega systems, in addition to other products currently under development, including acquired technologies. Our research and development efforts are complex and require us to incur substantial expenses and we may not be able to develop, manufacture and commercialize new products or obtain regulatory approval if necessary. We may divert significant resources to research and development initiatives that do not result in commercialized products, and even if these efforts do result in commercialized products, there can be no assurance that such products will compete successfully in the market or achieve an acceptable return, if any, on our research and development efforts and expenses. Moreover, our joint research and development efforts with partners require significant management attention and operational resources. If we are unable to successfully manage such joint research and development efforts, our future results may be adversely impacted. Furthermore, we will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spacing w:after="0" w:line="12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We must successfully manage new product introductions and transitions and the development of acquired technologies, for which we may incur significant costs during these transitions and development, and these efforts may not result in the benefits we anticipate.</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successfully demonstrate the differentiated value of long-read sequencing relative to short-read sequencing, and execute on the commercialization plan for our Revio HiFi long-read sequencing system and the Vega benchtop long-read sequencing system, and each of their related consumables, and any future products that may be developed for research, medical and clinical uses, including acquired technologies, it could have a material adverse effect on our business, financial condition and results of operations. In addition, the introduction of future products, including with respect to future long-read products, and related consumables, has led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including the recent announcement of SPRQ-Nx and commercialization of our Vega system,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Revio and Vega systems and each of their related consumables, and any future long-read products, our business, operations, financial condition, and prospects may be materially and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Our business may be adversely affected by epidemics or other public health emergencies.</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business could be adversely impacted by the effects of epidemics or other public health emergencies. These impacts could include, but are not necessarily limited to:</w:t>
      </w:r>
    </w:p>
    <w:p>
      <w:pPr>
        <w:spacing w:after="0" w:line="43"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17"/>
          <w:szCs w:val="17"/>
          <w:b w:val="1"/>
          <w:bCs w:val="1"/>
          <w:color w:val="DF1995"/>
        </w:rPr>
      </w:pPr>
      <w:r>
        <w:rPr>
          <w:rFonts w:ascii="Arial" w:cs="Arial" w:eastAsia="Arial" w:hAnsi="Arial"/>
          <w:sz w:val="17"/>
          <w:szCs w:val="17"/>
          <w:color w:val="auto"/>
        </w:rPr>
        <w:t>shutdowns or business disruptions experienced by manufacturers, suppliers and other third parties with whom we conduct business;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5"/>
        </w:numPr>
        <w:rPr>
          <w:rFonts w:ascii="Arial" w:cs="Arial" w:eastAsia="Arial" w:hAnsi="Arial"/>
          <w:sz w:val="17"/>
          <w:szCs w:val="17"/>
          <w:b w:val="1"/>
          <w:bCs w:val="1"/>
          <w:color w:val="DF1995"/>
        </w:rPr>
      </w:pPr>
      <w:r>
        <w:rPr>
          <w:rFonts w:ascii="Arial" w:cs="Arial" w:eastAsia="Arial" w:hAnsi="Arial"/>
          <w:sz w:val="17"/>
          <w:szCs w:val="17"/>
          <w:color w:val="auto"/>
        </w:rPr>
        <w:t>disruptions or interruptions to our supply chains;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5"/>
        </w:numPr>
        <w:rPr>
          <w:rFonts w:ascii="Arial" w:cs="Arial" w:eastAsia="Arial" w:hAnsi="Arial"/>
          <w:sz w:val="17"/>
          <w:szCs w:val="17"/>
          <w:b w:val="1"/>
          <w:bCs w:val="1"/>
          <w:color w:val="DF1995"/>
        </w:rPr>
      </w:pPr>
      <w:r>
        <w:rPr>
          <w:rFonts w:ascii="Arial" w:cs="Arial" w:eastAsia="Arial" w:hAnsi="Arial"/>
          <w:sz w:val="17"/>
          <w:szCs w:val="17"/>
          <w:color w:val="auto"/>
        </w:rPr>
        <w:t>changes in applicable public health regulations that require us to modify our business practices and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213995</wp:posOffset>
            </wp:positionV>
            <wp:extent cx="71386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46</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hanging="307"/>
        <w:spacing w:after="0"/>
        <w:tabs>
          <w:tab w:leader="none" w:pos="620" w:val="left"/>
        </w:tabs>
        <w:numPr>
          <w:ilvl w:val="0"/>
          <w:numId w:val="16"/>
        </w:numPr>
        <w:rPr>
          <w:rFonts w:ascii="Arial" w:cs="Arial" w:eastAsia="Arial" w:hAnsi="Arial"/>
          <w:sz w:val="17"/>
          <w:szCs w:val="17"/>
          <w:b w:val="1"/>
          <w:bCs w:val="1"/>
          <w:color w:val="DF1995"/>
        </w:rPr>
      </w:pPr>
      <w:r>
        <w:rPr>
          <w:rFonts w:ascii="Arial" w:cs="Arial" w:eastAsia="Arial" w:hAnsi="Arial"/>
          <w:sz w:val="17"/>
          <w:szCs w:val="17"/>
          <w:color w:val="auto"/>
        </w:rPr>
        <w:t>disruption to customer demand for our products.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extent to which any epidemic or other public health emergency impacts our business and financial results inherently depends on future developments, which are highly uncertain and cannot be predicted, including new information which may emerge concerning the severity of a particular public health matter and the actions to contain it or treat its impact, among others. Even after an epidemic or public health emergency has subsided, we may continue to experience an adverse impact to our business as a result of economic aftershocks, including recessionary effects and inflationary pressures.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Significant changes to our leadership team and the resulting management transitions might harm our future operating results.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have in recent years experienced significant changes to our leadership team, and 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may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spacing w:after="0" w:line="1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DF1995"/>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spacing w:after="0" w:line="5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from time to time. Our industry, is characterized by high demand and intense competition for talent, and the turnover rate has been and may continue to be high. Our employees can leave our company with little to no prior notice and would be free to work for a competitor. We compete for qualified management and scientific personnel with other life science companies, academic institutions and research institutions, particularly those focusing on genomics. We also compete for qualified sales personnel to support the commercialization of our existing and new products. Workforce reductions, such as the workforce reduction we implemented in 2024 and 2025, and other expense reduction efforts may be negatively received by potential or current employees, and accordingly result in attrition or difficulty in recruiting desirable candidates. Additionally, we may face challenges in retaining and recruiting key personnel due to sustained declines in our stock price that could reduce the retentive value of stock options, restricted stock units and other equity awards we issue as compensation. We may not be able to provide adequate cash or other incentives to adequately counterbalance any negative perceptions about the value of our equity awards. Moreover, the value of any equity awards that we do grant to our personnel may be significantly affected by movements in our stock price that are beyond our control.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Further, changes to U.S. immigration policies, such as the implementation of more restrictive interpretations by the U.S. Citizenship and Immigration Services of regulatory requirements for H-1B and other visa programs, could restrain the flow of technical and professional talent into the U.S. and may inhibit our ability to hire and increase the cost of qualified personnel. If some of our employees’ temporary work permits expire and are not renewed, we may face increased turnover rates and labor shortages, which could result in higher labor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1386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47</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DF1995"/>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4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our products may not grow sufficiently to cover our costs.</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business currently depends on a limited number of products and there can be no assurance that we will be successful in adding new products or securing additional customers for our current and future products. If we are unable to successfully develop acquired technologies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We also need to maintain reliable supply chains for the various components in our new products and consumables to support large-scale commercial production.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If the demand for our products grows slower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our gross margins and operating results may decline,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1386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48</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cash flows and liquidity may be negatively impacted, our long-term growth strategy may not be realized, and our business may not succeed.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DF1995"/>
        </w:rPr>
        <w:t>We rely on other companies for the manufacture of certain of our products,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products and critical components from a single source, including suppliers for our SMRT Cells, reagents, and instruments. We cannot assure you that products or product supplies will not be limited or interrupted, especially with respect to our sole source third-party manufacturing and supply collaborators, or that products or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manufacturers and vendors in the event they cease to provide their products or services to us or fail to provide sufficient quantities in a timely manner. If we are required to purchase these products or components from alternative sources, it could take several months or longer to qualify the alternative sources. If we are unable to source these products or product components from sole-source third-party manufacturing and supply collaborators for any reason, including acts of terrorism, hostilities, military conflict and acts of war, including between China and Taiwan, or secure a sufficient supply of these products or product components on a timely basis and at an acceptable cost, or if these products or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191770</wp:posOffset>
            </wp:positionV>
            <wp:extent cx="71386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49</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6"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operations of our third-party manufacturing partners and suppliers have had and may in the future be disrupted by conditions unrelated to our business or operations or that are beyond our control, including but not limited to changing international trade policies, inflation, supply chain disruptions, and conditions related to epidemics or pandemics.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We have and may continue to face challenges in our supply chain, which has and may continue to adversely impact margins. During periods of shortage or delay, the price of products or components may increase or the products</w:t>
      </w:r>
    </w:p>
    <w:p>
      <w:pPr>
        <w:spacing w:after="0" w:line="3"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or components may not be available at all. Our suppliers have raised prices and may continue to raise prices that we may not be able to pass on to our customers, which could adversely affect our business, including our competitive position, market share, revenues, and profit margins in material</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ways. We may not be able to secure enough components at reasonable prices or of acceptable quality to build new products in a timely manner in the quantities or configurations needed. Various government policies have had, and may continue to have in the future, a negative impact on manufacturing and/or supply chains, in addition to customer demand for our products and demand through certain distributors. As a result of global economic or political instability, war and other international conflicts, such as the conflicts in the Middle East (including Iran), an escalation of the war in Ukraine, potential uncertainty related to Taiwan and its relationship with China, changing international trade policies, other disease outbreaks, or supply issues, we or our contractors could experience shortages, business disruptions or delays for materials sourced or manufactured in the affected countries, and their ability to supply us with instruments, products or components may be affected. For example, in times of global conflicts, we have experienced and may continue to experience supply shortages, delays in contracting, and negative impacts on delivering and installing products at customer locations adversely affected by such conflicts. While the conflict in the Middle East (including Iran) has not resulted in any material disruption to the supply of component materials that we source directly, we continue to monitor supplier operations, commodity markets, and transportation-related factors, including shipping lanes. These factors could adversely affect the availability and cost of raw materials sourced</w:t>
      </w:r>
    </w:p>
    <w:p>
      <w:pPr>
        <w:spacing w:after="0" w:line="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by our direct suppliers, as well as the cost and timing of transporting our products to customers. In addition, due in part to accelerated demand associated with data processing and storage applications, we have experienced and may continue to experience inflationary pressure with respect</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7"/>
          <w:szCs w:val="17"/>
          <w:color w:val="auto"/>
        </w:rPr>
        <w:t>to certain components of certain of our products, including with respect to semiconductor materials, such as memory chips. Occasionally, system components and reagents reach the end of their life cycles or become obsolete, requiring us to source alternatives.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related to epidemics or pandemics are lifted, supply issues or business disruptions are resolved and/or other sources can be developed.</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current manufacturing process is also characterized by long lead times between the placement of orders for and delivery of our products. If we do not accurately anticipate our needs or if we receive insufficient products or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We may be unable to consistently manufacture our instruments and consumables, including SMRT Cells and reagents, to the necessary specifications or in quantities necessary to meet demand at an acceptable cost or at an acceptable performance level.</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flow cells and of reagents for our long-read technologies, involve a long and complex manufacturing process and has been and may in the future be below desired yields and resulting output levels. We have experienced and may experience in the future manufacturing delays, product defects, variability in the performance of SMRT Cells, flow cells and other products, inadequate reserves for inventory, or other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71386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50</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flow cells, or sub-performing reagent lots may have a material adverse effect 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our suppliers are unable to meet our increased demand at a time when the supply chain is under duress due to potential dislocations and disruptions in product and employee availability (whether due to pandemics, government policy or otherwise).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spacing w:after="0" w:line="12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Rapidly changing technology in life sciences and research diagnostics could make our products obsolete unless we continue to develop, manufacture and commercialize new and improved products and pursue new opportunities.</w:t>
      </w:r>
    </w:p>
    <w:p>
      <w:pPr>
        <w:spacing w:after="0" w:line="2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industry is characterized by rapid and significant technological changes, frequent new product introductions and enhancements and evolving industry standards. These new and evolving technologies may be superior to, impair, or render obsolete the products we currently offer or the technologies currently underlying our products.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and the Revio and Vega systems, could diminish future demand for our products and may materially and adversely harm our future operating results.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The size of the markets for our products, including our Revio and Vega instruments, may be smaller than estimated, and new market opportunities may not develop as quickly as we expect, or at all, limiting our ability to successfully sell our products.</w:t>
      </w:r>
    </w:p>
    <w:p>
      <w:pPr>
        <w:spacing w:after="0" w:line="2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market for sequencing systems and consumables products is evolving, making it difficult to accurately predict the size of the markets for our current and future products, including our Revio and Vega instruments. Our estimates of the total addressable market for our current and future products are based on a number of internal and third-party estimates and assumptions that may be incorrect, including the assumptions that academic, governmental, corporate, or other sources of funding will continue to be available to life sciences researchers at times and in amounts necessary to allow them to purchase our products. In addition, sales of new products may take time to develop and mature and we cannot be certain that these market opportunities will develop as we expect.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and growth opportunities for our products may be incorrect.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71386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51</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future growth of the market for our current and future products depends on many factors beyond our control, including recognition and acceptance of our products by the research and scientific communities, the growth, prevalence and costs of competing products and solutions and the development of robust ecosystems supporting our products and their methodologies. For example, the market acceptance and growth of long-read sequencing technologies, like our Revio and Vega systems, depends on a variety of factors, including the availability and cost-effectiveness of related tools for high quality sample collection and preparation and advanced bioinformatic tools to process results; as well as the perceived advantages and disadvantages of long-read sequencing compared to short-read or other sequencing technologies: consequently, if potential customers conclude the costs of adopting long-read sequencing technologies outweigh the benefits, the market for our Revio and Vega systems may be negatively impaired. There can be no assurance that our current or future products will gain traction in the market. If the markets for our current and future products are smaller than estimated or do not develop as we expect, our growth may be limited, and it could materially and adversely affect our business, operations, financial condition and prospects.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Increased market adoption of our products by customers may depend on the availability of sample preparation and informatics tools, some of which may be developed by third parties.</w:t>
      </w:r>
    </w:p>
    <w:p>
      <w:pPr>
        <w:spacing w:after="0" w:line="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32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We operate in a highly competitive industry and if we are not able to compete effectively, our business and operating results will likely be harmed.</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There are a significant number of companies offering nucleic acid sequencing products and/or services, including Illumina, BGI Genomics (also known as MGI or Complete Genomics), Thermo, ONT Ltd., Roche, Bionano, and Qiagen. Other companies recently entering the market include Ultima, Element and Singular.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We may be unable to successfully increase sales of our current products or market and sell our future products.</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achieve profitability depends, in part,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spacing w:after="0" w:line="60" w:lineRule="exact"/>
        <w:rPr>
          <w:sz w:val="20"/>
          <w:szCs w:val="20"/>
          <w:color w:val="auto"/>
        </w:rPr>
      </w:pPr>
    </w:p>
    <w:p>
      <w:pPr>
        <w:ind w:left="620" w:hanging="307"/>
        <w:spacing w:after="0" w:line="290" w:lineRule="auto"/>
        <w:tabs>
          <w:tab w:leader="none" w:pos="616"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our ability to attract, retain and manage qualified sales, marketing, and service personnel necessary to expand market acceptance for our technologies;</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7"/>
        </w:numPr>
        <w:rPr>
          <w:rFonts w:ascii="Arial" w:cs="Arial" w:eastAsia="Arial" w:hAnsi="Arial"/>
          <w:sz w:val="17"/>
          <w:szCs w:val="17"/>
          <w:b w:val="1"/>
          <w:bCs w:val="1"/>
          <w:color w:val="DF1995"/>
        </w:rPr>
      </w:pPr>
      <w:r>
        <w:rPr>
          <w:rFonts w:ascii="Arial" w:cs="Arial" w:eastAsia="Arial" w:hAnsi="Arial"/>
          <w:sz w:val="17"/>
          <w:szCs w:val="17"/>
          <w:color w:val="auto"/>
        </w:rPr>
        <w:t>the performance and commercial availability expectations of our existing and potential customers with respect to new and existing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213995</wp:posOffset>
            </wp:positionV>
            <wp:extent cx="71386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52</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hanging="307"/>
        <w:spacing w:after="0" w:line="290" w:lineRule="auto"/>
        <w:tabs>
          <w:tab w:leader="none" w:pos="616" w:val="left"/>
        </w:tabs>
        <w:numPr>
          <w:ilvl w:val="0"/>
          <w:numId w:val="18"/>
        </w:numPr>
        <w:rPr>
          <w:rFonts w:ascii="Arial" w:cs="Arial" w:eastAsia="Arial" w:hAnsi="Arial"/>
          <w:sz w:val="17"/>
          <w:szCs w:val="17"/>
          <w:b w:val="1"/>
          <w:bCs w:val="1"/>
          <w:color w:val="DF1995"/>
        </w:rPr>
      </w:pPr>
      <w:r>
        <w:rPr>
          <w:rFonts w:ascii="Arial" w:cs="Arial" w:eastAsia="Arial" w:hAnsi="Arial"/>
          <w:sz w:val="17"/>
          <w:szCs w:val="17"/>
          <w:color w:val="auto"/>
        </w:rPr>
        <w:t>availability of potential sales and distribution partners to sell our technologies, and our ability to attract and retain such sales and distribution partners;</w:t>
      </w:r>
    </w:p>
    <w:p>
      <w:pPr>
        <w:spacing w:after="0" w:line="4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18"/>
        </w:numPr>
        <w:rPr>
          <w:rFonts w:ascii="Arial" w:cs="Arial" w:eastAsia="Arial" w:hAnsi="Arial"/>
          <w:sz w:val="17"/>
          <w:szCs w:val="17"/>
          <w:b w:val="1"/>
          <w:bCs w:val="1"/>
          <w:color w:val="DF1995"/>
        </w:rPr>
      </w:pPr>
      <w:r>
        <w:rPr>
          <w:rFonts w:ascii="Arial" w:cs="Arial" w:eastAsia="Arial" w:hAnsi="Arial"/>
          <w:sz w:val="17"/>
          <w:szCs w:val="17"/>
          <w:color w:val="auto"/>
        </w:rPr>
        <w:t>the time and cost of maintaining and growing a specialized sales, marketing and service force for a particular application, which may be difficult to justify in light of the revenue generated; and</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18"/>
        </w:numPr>
        <w:rPr>
          <w:rFonts w:ascii="Arial" w:cs="Arial" w:eastAsia="Arial" w:hAnsi="Arial"/>
          <w:sz w:val="17"/>
          <w:szCs w:val="17"/>
          <w:b w:val="1"/>
          <w:bCs w:val="1"/>
          <w:color w:val="DF1995"/>
        </w:rPr>
      </w:pPr>
      <w:r>
        <w:rPr>
          <w:rFonts w:ascii="Arial" w:cs="Arial" w:eastAsia="Arial" w:hAnsi="Arial"/>
          <w:sz w:val="17"/>
          <w:szCs w:val="17"/>
          <w:color w:val="auto"/>
        </w:rPr>
        <w:t>our sales, marketing and service force may be unable to execute successful commercial activities.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have, and may in the future, use promotional pricing and similar measures to attract purchases of our products. These measures may not be successful in attracting purchases and, even if successful, may negatively impact our gross margins.</w:t>
      </w:r>
    </w:p>
    <w:p>
      <w:pPr>
        <w:spacing w:after="0" w:line="4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enlisted and may continue to enlist third parties to assist with sales, equipment leasing,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DF1995"/>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receive a significant portion of our revenue from a limited number of customers. While during the years ended December 31, 2025, 2024, and 2023, no customer accounted for 10% or more of our total revenue, many of our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many of our customers, including some of our larger customers, have negotiated, or may in the future negotiate, volume-based discounts or other more favorable terms from us or our sales and distribution partners, which have had and may have a negative effect on our gross margins or revenue.</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1386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53</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Our products are highly complex, have recurring support requirements and could have unknown defects or errors, which may give rise to claims against us or divert application of our resources from other purposes.</w:t>
      </w:r>
    </w:p>
    <w:p>
      <w:pPr>
        <w:spacing w:after="0" w:line="2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products are highly complex and may develop or contain undetected defects or errors. Our customers have previously experienced reliability issues with our existing products, including the Sequel and Sequel II/IIe systems. In addition, it is possible our customers could experience reliability issues with current or future products, including the Revio and Vega systems. Despite internal and external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Revio and Vega systems, or enhancements to our existing products, including the SMRT Cell,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has and could in the future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A significant portion of our sales depends on customers’ spending budgets that may be subject to significant and unexpected variation which could have a negative effect on the demand for our products.</w:t>
      </w:r>
    </w:p>
    <w:p>
      <w:pPr>
        <w:spacing w:after="0" w:line="2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including the persistent uncertainty surrounding NIH and academic funding, the spending priorities among various types of research equipment, policies regarding capital expenditures during economically uncertain periods and the potential impacts from health epidemics or pandemics.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We may not be able to convert our orders in backlog into revenue.</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Many events can cause an order to be delayed or not completed at all, some of which may be out of our control, including the potential impacts from health epidemics or pandemics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1386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54</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Our sales cycles are unpredictable and lengthy, which makes it difficult to forecast revenue and may increase the magnitude of quarterly or annual fluctuations in our operating results.</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including as a result of seasonal factors, as discussed below, and a potential customer may require an extended evaluation and testing period. Our sales cycles may also lengthen, and those sales cycles may result in lower units sold per cycle, as we continue to introduce our Revio and Vega instruments and their associated consumables to the market, as our customers may have additional administrative, technical or other requirements associated with transitioning to new products and technologies. In anticipation of product orders, we may incur substantial costs before the sales cycle is complete and before we receive any customer payments. As a result, if a sale is not completed or is canceled or delayed, we may have incurred substantial expenses, making it more difficult for us to become profitable or otherwise negatively impacting our financial results. Even if our selling efforts are successful, the realization of revenue may be substantially delayed, our ability to forecast our future revenue may be more limited and our revenue may fluctuate significantly from quarter to quarter and year over year. For more information on the impact of these fluctuations on our results and stock price, see “—</w:t>
      </w:r>
      <w:r>
        <w:rPr>
          <w:rFonts w:ascii="Arial" w:cs="Arial" w:eastAsia="Arial" w:hAnsi="Arial"/>
          <w:sz w:val="17"/>
          <w:szCs w:val="17"/>
          <w:i w:val="1"/>
          <w:iCs w:val="1"/>
          <w:u w:val="single" w:color="auto"/>
          <w:color w:val="0000FF"/>
        </w:rPr>
        <w:t>Our</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operating results fluctuate from quarter to quarter and year over year, which makes our future results difficult to predict and could negatively impact the market price of our common stock</w:t>
      </w:r>
      <w:r>
        <w:rPr>
          <w:rFonts w:ascii="Arial" w:cs="Arial" w:eastAsia="Arial" w:hAnsi="Arial"/>
          <w:sz w:val="17"/>
          <w:szCs w:val="17"/>
          <w:color w:val="000000"/>
        </w:rPr>
        <w:t>,” below.</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Because some of our customers and suppliers are based in China, our business, financial condition and results of operations could be adversely affected by the political and economic tensions between the United States and China.</w:t>
      </w:r>
    </w:p>
    <w:p>
      <w:pPr>
        <w:spacing w:after="0" w:line="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subject to risks associated with political conflicts between the U.S. and China. While during the years ended December 31, 2025, 2024, and 2023, no customer accounted for 10% or more of our total revenue, a portion of our revenue is generated from China. In addition, certain components, some of which are critical components, of our products are manufactured in China. These components are either sourced directly from companies in China or indirectly from third parties that source from companies in China.</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Consequently, we are subject to significant risks associated with the trading relationship between the U.S. and China, which is currently characterized by significant uncertainty. Tariffs imposed by the U.S. and China have increased, and may continue to increase, our costs. Additionally, export restrictions imposed by the U.S. may impact our ability to export certain products to customers or distributors in China and restrict our ability to use certain integrated circuits in our products, and it is possible that additional restrictions will be put in place that could impact our ability to provide our products to customers or distributors in China or source components from China. Moreover, the Chinese government may continue to retaliate against U.S. trade restrictions in ways that could impact our business, including through the imposition of additional tariffs on imports from the U.S. and/or the imposition of additional export controls affecting the export of certain items from China. 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 For more information, see “—</w:t>
      </w:r>
      <w:r>
        <w:rPr>
          <w:rFonts w:ascii="Arial" w:cs="Arial" w:eastAsia="Arial" w:hAnsi="Arial"/>
          <w:sz w:val="17"/>
          <w:szCs w:val="17"/>
          <w:i w:val="1"/>
          <w:iCs w:val="1"/>
          <w:u w:val="single" w:color="auto"/>
          <w:color w:val="0000FF"/>
        </w:rPr>
        <w:t>Enhanced trade tariffs,</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0000FF"/>
        </w:rPr>
        <w:t>import restrictions, export restrictions, or other trade barriers may materially harm our business</w:t>
      </w:r>
      <w:r>
        <w:rPr>
          <w:rFonts w:ascii="Arial" w:cs="Arial" w:eastAsia="Arial" w:hAnsi="Arial"/>
          <w:sz w:val="17"/>
          <w:szCs w:val="17"/>
          <w:color w:val="000000"/>
        </w:rPr>
        <w:t>.”</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Other risks could include:</w:t>
      </w:r>
    </w:p>
    <w:p>
      <w:pPr>
        <w:spacing w:after="0" w:line="114" w:lineRule="exact"/>
        <w:rPr>
          <w:sz w:val="20"/>
          <w:szCs w:val="20"/>
          <w:color w:val="auto"/>
        </w:rPr>
      </w:pPr>
    </w:p>
    <w:p>
      <w:pPr>
        <w:jc w:val="both"/>
        <w:ind w:left="620" w:hanging="307"/>
        <w:spacing w:after="0" w:line="271" w:lineRule="auto"/>
        <w:tabs>
          <w:tab w:leader="none" w:pos="616" w:val="left"/>
        </w:tabs>
        <w:numPr>
          <w:ilvl w:val="0"/>
          <w:numId w:val="19"/>
        </w:numPr>
        <w:rPr>
          <w:rFonts w:ascii="Arial" w:cs="Arial" w:eastAsia="Arial" w:hAnsi="Arial"/>
          <w:sz w:val="17"/>
          <w:szCs w:val="17"/>
          <w:b w:val="1"/>
          <w:bCs w:val="1"/>
          <w:color w:val="DF1995"/>
        </w:rPr>
      </w:pPr>
      <w:r>
        <w:rPr>
          <w:rFonts w:ascii="Arial" w:cs="Arial" w:eastAsia="Arial" w:hAnsi="Arial"/>
          <w:sz w:val="17"/>
          <w:szCs w:val="17"/>
          <w:color w:val="auto"/>
        </w:rPr>
        <w:t>interruptions to operations in China as a result of potential disease outbreaks or natural catastrophic events, which have in the past and can result in the future in business closures, transportation restrictions, import and export complications and cause shortages in the supply of raw materials or disruptions in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71386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55</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hanging="307"/>
        <w:spacing w:after="0" w:line="290" w:lineRule="auto"/>
        <w:tabs>
          <w:tab w:leader="none" w:pos="616" w:val="left"/>
        </w:tabs>
        <w:numPr>
          <w:ilvl w:val="0"/>
          <w:numId w:val="20"/>
        </w:numPr>
        <w:rPr>
          <w:rFonts w:ascii="Arial" w:cs="Arial" w:eastAsia="Arial" w:hAnsi="Arial"/>
          <w:sz w:val="17"/>
          <w:szCs w:val="17"/>
          <w:b w:val="1"/>
          <w:bCs w:val="1"/>
          <w:color w:val="DF1995"/>
        </w:rPr>
      </w:pPr>
      <w:r>
        <w:rPr>
          <w:rFonts w:ascii="Arial" w:cs="Arial" w:eastAsia="Arial" w:hAnsi="Arial"/>
          <w:sz w:val="17"/>
          <w:szCs w:val="17"/>
          <w:color w:val="auto"/>
        </w:rPr>
        <w:t>product supply disruptions and increased costs as a result of heightened exposure to changes in the policies of the Chinese government, political unrest or unstable economic conditions in China; and</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0"/>
        </w:numPr>
        <w:rPr>
          <w:rFonts w:ascii="Arial" w:cs="Arial" w:eastAsia="Arial" w:hAnsi="Arial"/>
          <w:sz w:val="17"/>
          <w:szCs w:val="17"/>
          <w:b w:val="1"/>
          <w:bCs w:val="1"/>
          <w:color w:val="DF1995"/>
        </w:rPr>
      </w:pPr>
      <w:r>
        <w:rPr>
          <w:rFonts w:ascii="Arial" w:cs="Arial" w:eastAsia="Arial" w:hAnsi="Arial"/>
          <w:sz w:val="17"/>
          <w:szCs w:val="17"/>
          <w:color w:val="auto"/>
        </w:rPr>
        <w:t>the nationalization or other expropriation of private enterprises or intellectual property by the Chinese government.</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Difficulties in this relationship may require us to take actions adverse to our business to comply with governmental restrictions on business and trade with China.</w:t>
      </w:r>
    </w:p>
    <w:p>
      <w:pPr>
        <w:spacing w:after="0" w:line="9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We face significant risks associated with doing business with Taiwanese suppliers and manufacturers due to the tense relationship between Taiwan and mainland China.</w:t>
      </w:r>
    </w:p>
    <w:p>
      <w:pPr>
        <w:spacing w:after="0" w:line="2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Substantially all of our consumable chips are partly manufactured by a company based in Taiwan. Our supply of consumable chips and other critical components may be materially and adversely affected by diplomatic, geopolitical, military and other developments affecting the relationship between China and Taiwan. Recent military exercises in the Taiwan Strait have contributed to geopolitical uncertainty regarding the future of the relationship between China and Taiwan. Current or future diplomatic, geopolitical, military or other tensions between China and Taiwan, including trade disputes,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Our operating results fluctuate from quarter to quarter and year over year, which makes our future results difficult to predict and could negatively impact the market price of our common stock.</w:t>
      </w:r>
    </w:p>
    <w:p>
      <w:pPr>
        <w:spacing w:after="0" w:line="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Sales of our products, particularly our sequencing instruments, are subject to significant seasonality due to several factors, including the procurement and budgeting cycles of many of our customers, especially government-funded customers, which often coincide with government fiscal year ends and significant holidays disrupting business and sales activities in key markets. These factors have contributed, and in the future may contribute, to substantial fluctuations in our quarterly operating results.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Our operating results during any given period can also be impacted by numerous other factors, including the following:</w:t>
      </w:r>
    </w:p>
    <w:p>
      <w:pPr>
        <w:spacing w:after="0" w:line="114"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market acceptance for our products;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our ability to attract new customers;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the length of our sales cycles, as discussed above;</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our ability to achieve economies of scale and other manufacturing efficiencies at the rate we anticipate;</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publications of studies by us, our competitors or third parties;</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the timing and success of new product introductions by us or our competitors or other changes in the competitive dynamics of our industry, such as consolidation;</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the amount and timing of our costs and expenses;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changes in our pricing policies or those of our competitors;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general economic, industry and market conditions;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the impact of catastrophic events, including health epidemics or pandemics and military or other armed conflicts;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the regulatory environment in which we operate;</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expenses associated with warranty obligations or unforeseen product quality issues;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the hiring, training, and retention of key employees, including our ability to grow our sales organization;</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litigation or other claims against us for intellectual property infringement or otherwise;</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our ability to obtain additional financing as necessary; and</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1"/>
        </w:numPr>
        <w:rPr>
          <w:rFonts w:ascii="Arial" w:cs="Arial" w:eastAsia="Arial" w:hAnsi="Arial"/>
          <w:sz w:val="17"/>
          <w:szCs w:val="17"/>
          <w:b w:val="1"/>
          <w:bCs w:val="1"/>
          <w:color w:val="DF1995"/>
        </w:rPr>
      </w:pPr>
      <w:r>
        <w:rPr>
          <w:rFonts w:ascii="Arial" w:cs="Arial" w:eastAsia="Arial" w:hAnsi="Arial"/>
          <w:sz w:val="17"/>
          <w:szCs w:val="17"/>
          <w:color w:val="auto"/>
        </w:rPr>
        <w:t>changes or trends in new technologies and industry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213995</wp:posOffset>
            </wp:positionV>
            <wp:extent cx="71386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56</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Consequently,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Additionally, any bankruptcy of a customer or other party with whom we do business, or the failure of any such party to make payments when due, or any breach or default by any such party, or the loss of any significant partnerships, could impact our revenue recognition or result in material losses to us, which may have a material adverse impact on our business.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spacing w:after="0" w:line="33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Our ability to use net operating losses and certain other tax attributes to offset future taxable income may be subject to substantial limitations.</w:t>
      </w:r>
    </w:p>
    <w:p>
      <w:pPr>
        <w:spacing w:after="0" w:line="2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Under Sections 382 and 383 of the Internal Revenue Code of 1986, as amended, a corporation that undergoes an “ownership change” is subject to limitations on its ability to utilize its pre-change net operating losses (“NOLs”) and other pre-change tax attributes, such as research and development credits, to offset its post-change taxable income or tax liability. An “ownership change” is generally defined as a greater than 50% change (by value) in a corporation’s equity ownership by “5 percent shareholders” over a rolling three-year period. We believe that we have had one or more ownership changes, and as a result our existing NOLs are currently subject to limitation. Future changes in our stock ownership could result in additional ownership changes, including potentially material changes, under Sections 382 and 383. Further, California has enacted legislation that limits the use of state NOLs for tax years beginning on or after January 1, 2024, and before January 1, 2027. Other limitations may also apply under state tax law. As a result of this legislation or other unforeseen reasons, we may not be able to utilize some or all of our NOLs even if we attain profitability.</w:t>
      </w:r>
    </w:p>
    <w:p>
      <w:pPr>
        <w:spacing w:after="0" w:line="33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Changes in tax law and differences in interpretation of tax laws and regulations could adversely impact our business and financial condition.</w:t>
      </w:r>
    </w:p>
    <w:p>
      <w:pPr>
        <w:spacing w:after="0" w:line="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operate in multiple jurisdictions and are subject to tax laws and regulations of the U.S. federal, state and local and non-U.S. governments. Tax laws, regulations and administrative practices in these jurisdictions may be subject to significant changes, with or without advance notice. Changes in tax laws, regulations or rulings, changes in interpretations of existing laws and regulations or changes in accounting principles could negatively and materially affect our financial position, cash flows, and results of operations.</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2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facilities in California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383C6"/>
        </w:rPr>
        <w:t>Risks Related to Our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263" w:lineRule="exact"/>
        <w:rPr>
          <w:sz w:val="20"/>
          <w:szCs w:val="20"/>
          <w:color w:val="auto"/>
        </w:rPr>
      </w:pPr>
    </w:p>
    <w:p>
      <w:pPr>
        <w:ind w:left="620" w:hanging="307"/>
        <w:spacing w:after="0" w:line="290" w:lineRule="auto"/>
        <w:tabs>
          <w:tab w:leader="none" w:pos="616" w:val="left"/>
        </w:tabs>
        <w:numPr>
          <w:ilvl w:val="0"/>
          <w:numId w:val="22"/>
        </w:numPr>
        <w:rPr>
          <w:rFonts w:ascii="Arial" w:cs="Arial" w:eastAsia="Arial" w:hAnsi="Arial"/>
          <w:sz w:val="17"/>
          <w:szCs w:val="17"/>
          <w:b w:val="1"/>
          <w:bCs w:val="1"/>
          <w:color w:val="DF1995"/>
        </w:rPr>
      </w:pPr>
      <w:r>
        <w:rPr>
          <w:rFonts w:ascii="Arial" w:cs="Arial" w:eastAsia="Arial" w:hAnsi="Arial"/>
          <w:sz w:val="17"/>
          <w:szCs w:val="17"/>
          <w:color w:val="auto"/>
        </w:rPr>
        <w:t>we or our licensors might not have been the first to make the inventions covered by each of our pending patent applications or issued patents;</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2"/>
        </w:numPr>
        <w:rPr>
          <w:rFonts w:ascii="Arial" w:cs="Arial" w:eastAsia="Arial" w:hAnsi="Arial"/>
          <w:sz w:val="17"/>
          <w:szCs w:val="17"/>
          <w:b w:val="1"/>
          <w:bCs w:val="1"/>
          <w:color w:val="DF1995"/>
        </w:rPr>
      </w:pPr>
      <w:r>
        <w:rPr>
          <w:rFonts w:ascii="Arial" w:cs="Arial" w:eastAsia="Arial" w:hAnsi="Arial"/>
          <w:sz w:val="17"/>
          <w:szCs w:val="17"/>
          <w:color w:val="auto"/>
        </w:rPr>
        <w:t>we or our licensors might not have been the first to file patent applications for these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386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57</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it is possible that neither our pending patent applications nor the pending patent applications of our licensors will result in issued patents;</w:t>
      </w:r>
    </w:p>
    <w:p>
      <w:pPr>
        <w:spacing w:after="0" w:line="113" w:lineRule="exact"/>
        <w:rPr>
          <w:rFonts w:ascii="Arial" w:cs="Arial" w:eastAsia="Arial" w:hAnsi="Arial"/>
          <w:sz w:val="17"/>
          <w:szCs w:val="17"/>
          <w:b w:val="1"/>
          <w:bCs w:val="1"/>
          <w:color w:val="DF1995"/>
        </w:rPr>
      </w:pPr>
    </w:p>
    <w:p>
      <w:pPr>
        <w:jc w:val="both"/>
        <w:ind w:left="620" w:hanging="307"/>
        <w:spacing w:after="0" w:line="282" w:lineRule="auto"/>
        <w:tabs>
          <w:tab w:leader="none" w:pos="616"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262" w:lineRule="exact"/>
        <w:rPr>
          <w:rFonts w:ascii="Arial" w:cs="Arial" w:eastAsia="Arial" w:hAnsi="Arial"/>
          <w:sz w:val="17"/>
          <w:szCs w:val="17"/>
          <w:b w:val="1"/>
          <w:bCs w:val="1"/>
          <w:color w:val="DF1995"/>
        </w:rPr>
      </w:pPr>
    </w:p>
    <w:p>
      <w:pPr>
        <w:jc w:val="both"/>
        <w:ind w:left="620" w:hanging="307"/>
        <w:spacing w:after="0" w:line="271" w:lineRule="auto"/>
        <w:tabs>
          <w:tab w:leader="none" w:pos="616"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59"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our enforcement of patents and proprietary rights in other countries may be problematic or unpredictable;</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we or our partners may not adequately protect our trade secrets;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we may not develop additional proprietary technologies that are patentable; or</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3"/>
        </w:numPr>
        <w:rPr>
          <w:rFonts w:ascii="Arial" w:cs="Arial" w:eastAsia="Arial" w:hAnsi="Arial"/>
          <w:sz w:val="17"/>
          <w:szCs w:val="17"/>
          <w:b w:val="1"/>
          <w:bCs w:val="1"/>
          <w:color w:val="DF1995"/>
        </w:rPr>
      </w:pPr>
      <w:r>
        <w:rPr>
          <w:rFonts w:ascii="Arial" w:cs="Arial" w:eastAsia="Arial" w:hAnsi="Arial"/>
          <w:sz w:val="17"/>
          <w:szCs w:val="17"/>
          <w:color w:val="auto"/>
        </w:rPr>
        <w:t>the patents of others may limit our freedom to operate and prevent us from commercializing our technology in accordance with our plans.</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Variability in intellectual property laws may adversely affect our intellectual property position.</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71386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58</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Some of the intellectual property that is important to our business is owned by other companies or institutions and licensed to us, and changes to the rights we have licensed may adversely impact our business.</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DF1995"/>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713867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59</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Our intellectual property may be subject to challenges in the United States or foreign jurisdictions that could adversely affect our intellectual property position.</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Our pending, issued and granted U.S. and foreign patents and patent applications have been, are and may in the future be, subject to challenges by ONT Ltd., Oxford Nanopore Technologies, Inc. ("ONT Inc.") and Metrichor, Ltd. (“Metrichor” and, together with ONT Ltd. and ONT Inc., “ONT”) in addition to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of certain patents that we have asserted against ONT Inc. and ONT Ltd. in litigation proceedings for patent infringement. While none of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Some of our technology is subject to “march-in” rights by the U.S. government.</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191770</wp:posOffset>
            </wp:positionV>
            <wp:extent cx="71386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60</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We are involved in legal proceedings to enforce our intellectual property rights.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were previously involved in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spacing w:after="0" w:line="12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We have been, are currently, and could in the future be, subject to legal proceedings with third parties who may claim that our products infringe or misappropriate their intellectual property rights.</w:t>
      </w:r>
    </w:p>
    <w:p>
      <w:pPr>
        <w:spacing w:after="0" w:line="2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In addition, ONT Ltd. and Harvard University have, in the past, filed claims against us in the High Court of England and Wales and the District Court of Mannheim, Germany for patent infringement, and PGI has, in the past,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71386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61</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We have not yet registered some of our trademarks in all of our potential markets, and failure to secure those registrations could adversely affect our business.</w:t>
      </w:r>
    </w:p>
    <w:p>
      <w:pPr>
        <w:spacing w:after="0" w:line="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Our use of “open source” software could adversely affect our ability to sell our products and subject us to possible litigation.</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321310</wp:posOffset>
            </wp:positionV>
            <wp:extent cx="71386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62</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383C6"/>
        </w:rPr>
        <w:t>Risks Related to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We are, and may become, subject to governmental regulations that may impose burdens on our operations, and the markets for our products may be narrowed.</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subject, both directly and indirectly, to the adverse impact of government regulation of our operations and markets. For example, export of our instruments may be subject to strict regulatory control in a number of jurisdictions, and we could experience disruption in our supply chain as a result of certain geopolitical events and conflicts and any related political or economic responses and counter-responses or otherwise by various global actors. On January 15, 2025, the United States Department of Commerce’s Bureau of Industry and Security (“BIS”) issued an Interim Final Rule (“IFR”) implementing targeted export controls on certain analytical instruments that are highly suitable for generating large, detailed biological datasets based upon the potential to exploit these techniques for asymmetric military advantage. While the Company’s products would not be included under the current IFR, future BIS or other government regulations could potentially apply to our products and/or negatively impact our ability to export those products to certain countries and markets. Additionally, restrictions on the ability to send certain products and technology related to semiconductors, semiconductor manufacturing, and supercomputing to China continue to increase in both product and country scope and may impact our ability to provide products to customers or distributors worldwide.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DF1995"/>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LDTs for clinical diagnostic use, which could subject our products to government regulation, and the regulatory clearance or approval and maintenance process for such products may be uncertain, expensive, and time-consuming.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713867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63</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particular,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FDA has historically exercised enforcement discretion in not enforcing the medical device regulations against laboratories developing and offering LDTs. In May 2024, the FDA issued a final rule that phases out its enforcement discretion for LDTs, unless exempt, and amends the FDA’s regulations to make explicit that in vitro diagnostics are medical devices under the Federal Food, Drug, and Cosmetic Act (“FDCA”), including when the manufacturer of the diagnostic product is a laboratory. On March 31, 2025, a U.S. District Court in Texas ruled that the FDA exceeded its authority and vacated and set aside this LDT final rule in its entirety. We cannot predict the potential impact of any future lawsuits brought against the FDA, and future legislative and administration actions on our business. Additionally, in June 2024, the U.S. Supreme Court overruled the Chevron doctrine, which gave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of the FDA, which could undermine the FDA’s authority and lead to uncertainties in the industry. We cannot predict the full impact of this decision on our business or that of our customers.</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Further, under the current administration, agency reorganization, departure of high-profile regulators at the FDA, and layoffs due to the reduction in force initiative may impact the normal operations of federal agencies, including the FDA. NIH funding cuts can impact the business operations of our customers and decrease the demand for our products. It is unclear how our industry and the businesses of our customers will be impacted by executive orders, policies and regulations implemented under the current administration. There is significant uncertainty in the industry.</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Future legislative or administrative actions can impact the sales of our products and how customers use our products, and may require us to change our business model in order to maintain compliance with applicable laws. Changes to the current regulatory framework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FDCA and subject to recall and/or other enforcement action.</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i w:val="1"/>
          <w:iCs w:val="1"/>
          <w:color w:val="DF1995"/>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application is required for some of our products. If such applications were required, greater time and investment would be required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1386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64</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If we sought and received regulatory clearance or approval for certain of our products, we would be subject to ongoing FDA obligations and continued regulatory oversight and review, including the general controls listed above and the FDA’s Quality System Regulations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Medical Device Regulation 2017/745 and In Vitro Diagnostic Regulation 2017/746, which could make obtaining regulatory approvals in Europe more challenging.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Enhanced trade tariffs, import restrictions, export restrictions, or other trade barriers may materially harm our business.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continuing to expand our international operations as part of our growth strategy and have experienced an increasing concentration of sales in certain regions outside the United States, especially the Asia-Pacific region and in Europe. There is currently significant uncertainty about the future relationship between the United States and various other trading partners with respect to trade policies, treaties, government regulations, tariffs, and other similar policies affecting cross-border operations. The U.S. government has made and continues to make significant changes in U.S. trade policy, specifically tariffs, and may continue to take actions that could negatively impact our business, including the imposition of Section 301 tariffs on imports of products of countries engaging in unfair trading practices; of “reciprocal” and “fentanyl-related” tariffs imposed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71386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65</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International Emergency Economic Powers Act (“IEEPA”) (which were subsequently invalidated by the U.S. Supreme Court in February 2026); of Section 232 tariffs on imports of items that threaten to impair U.S. national security, including but not limited to certain advanced semiconductors, articles of steel and aluminum; passenger vehicles, trucks, and automotive components; articles of copper; and timber, lumber, and articles of wood; as well as a “temporary import surcharge” imposed under Section 122 on certain imports from most U.S. trading partners. The U.S. government announced in April 2026 that it would impose a new Section 232 tariff of 100% on certain patented or branded pharmaceuticals and pharmaceutical products beginning in July 2026. Additional U.S. government investigations are underway or may be undertaken with respect to Section 232 and Section 301 authorities; when these investigations are complete, the U.S. government may decide to levy additional tariffs on products under these authorities.</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Although, the Supreme Court ruled against President Trump’s use of IEEPA to impose tariffs on global trade partners, the full impact of this decision on previous tariffs that we have paid —including the availability and timing of possible refunds for these amounts—is not yet clear.</w:t>
      </w:r>
    </w:p>
    <w:p>
      <w:pPr>
        <w:spacing w:after="0" w:line="4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response to these and other U.S. trade measures, certain affected countries have taken retaliatory trade actions. For example, China has increased tariffs on U.S. exports to China and subjected additional items to export control requirements, including certain rare earth materials. These trade controls have and could continue to raise our costs. Furthermore, tariffs, trade restrictions, or trade barriers that have been, or may in the future be, placed on products such as ours by foreign governments, which have raised and could further raise amounts paid for some or all of our products, which may result in the loss of customers and our business, and our financial condition and results of operations may be harmed, although some of these risks have been contained by trade deals reached between the U.S. and affected governments, including China, the EU, Japan, Taiwan, and South Korea. However, these policies are subject to continued negotiation and effective policies may change over time; for example, these trade deals may not be fully honored or implemented following the changed legal circumstances stemming from the Supreme Court’s invalidation of the President’s use of IEEPA to impose tariffs. We may be unable to make changes in our supply chain quickly enough to avoid the impact of new or potential tariffs, or to do so on commercially reasonable terms. Uncertainty regarding the scope and amount of potential additional tariffs may also result in disruptions in our supply chain, particularly if such changes in applicable or potential tariffs makes current or planned production unprofitable. In addition, these tariff actions may also indirectly affect our business through impacts on our customers, who may be directly affected by some or all of these tariff actions, or indirectly affected by macroeconomic effects resulting from these or other tariff related actions, including potential risks associated with inflation or economic recession.</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products are subject to U.S. export control laws and regulations, including the Export Administration Regulations administered by BIS. Under these laws and regulations, exports of our products as well as the underlying technology may require export authorization, including by license, a license exception, or other appropriate government authorizations. Furthermore, our products and services are subject to U.S. economic and trade sanctions laws and regulations administered by the U.S. Department of Treasury’s Office of Foreign Assets Control that prohibit the provision of services and the export of hardware, software, and technology to embargoed jurisdictions or sanctioned parties without the required export authorizations. The U.S. government has continued to increase controls initially imposed in 2022 restricting the ability to send certain products and technology related to semiconductors, semiconductor manufacturing, and supercomputing including expanding the list of advanced integrated circuits subject to heightened export controls, expanding the list of destinations requiring export authorization for such items, and adding new restrictions based on the headquarters location of the parties involved. In many cases, these licenses are subject to a policy of denial and will not be issued. The U.S. government also continues to add additional entities in China and other countries to restricted party lists impacting the ability of U.S. companies to provide items to these entities. These existing and future laws and regulations may impact our ability to export certain products to customers or distributors in China or other locations and may restrict our ability to use certain integrated circuits in our products. If we need to obtain any necessary export licenses or other authorizations for a particular sale, the process may be time-consuming and may result in the delay or loss of opportunities to sell our products. In addition, these licenses may not be issued. In April 2025, the Company received inquiries from BIS regarding a distributor based in Hong Kong and that distributor's customer located in China. In May 2025, following a review of sales to China, the Company responded to BIS's inquiries and submitted a voluntary self-disclosure to BIS related to a limited number of transactions. This self-disclosure was closed out by BIS in September 2025 without penalties with a warning letter.</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There is currently significant uncertainty about the future relationship between the U.S. and various other countries, most significantly China, with respect to trade restrictions, treaties, foreign investment laws,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386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66</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transfer restrictions, and other limitations on cross-border operations. The U.S. government has made and continues to make significant additional changes in U.S. trade policy and may continue to take future actions that could introduce additional restrictions and negatively impact our business. For example, legislation in Congress known as the BIOSECURE Act was passed as part of the 2026 National Defense Authorization Act, which limits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This legislation, or similar laws and regulations in the future, could adversely impact our current or future third-party arrangements with certain companies, including those in China or Chinese-owned U.S. companies, which could delay or impact our clinical trials and consequently delay or obstruct successful commercialization of our product candidates.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Compliance with these laws and regulations may be costly. In addition, if we are found to be in violation of U.S. economic sanctions or trade control laws, it could result in fines and penalties. We may also be adversely affected through other penalties, business disruption, loss of export privileges, reputational harm, loss of access to certain markets, or otherwise.</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It is possible that our ability to export our products to customers or distributors may be further restricted in the future. For example, on January 15, 2025, BIS issued an IFR implementing targeted export controls on certain analytical instruments that are highly suitable for generating large, detailed biological datasets based upon the potential to exploit these techniques for asymmetric military advantage. While the Company’s products would not be included under the current IFR, future BIS or other government regulations could potentially apply to our products and/or negatively impact our ability to export those products to certain countries and markets.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Chinese government has introduced and may in the future introduce additional retaliatory measures in response to existing or future U.S. export controls, tariffs and other trade restrictions and it is possible that the Chinese, U.S., or other foreign governments will implement additional retaliatory measures which could impact our business. It is possible that additional restrictions will be put in place that could impact our ability to provide our products to customers or distributors in China or source components from China.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and foreign governments will act with respect to export controls, tariffs, international trade agreements and similar policies, there could be additional tax or other regulatory changes in the future. Any such changes could, directly or indirectly, adversely impact our financial results and results of operations.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Our international business could expose us to business, regulatory, political, operational, financial, and economic risks associated with doing business outside of the United States.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Engaging in international business inherently involves a number of difficulties and risks, including:</w:t>
      </w:r>
    </w:p>
    <w:p>
      <w:pPr>
        <w:spacing w:after="0" w:line="114" w:lineRule="exact"/>
        <w:rPr>
          <w:sz w:val="20"/>
          <w:szCs w:val="20"/>
          <w:color w:val="auto"/>
        </w:rPr>
      </w:pPr>
    </w:p>
    <w:p>
      <w:pPr>
        <w:jc w:val="both"/>
        <w:ind w:left="620" w:hanging="307"/>
        <w:spacing w:after="0" w:line="262" w:lineRule="auto"/>
        <w:tabs>
          <w:tab w:leader="none" w:pos="616" w:val="left"/>
        </w:tabs>
        <w:numPr>
          <w:ilvl w:val="0"/>
          <w:numId w:val="24"/>
        </w:numPr>
        <w:rPr>
          <w:rFonts w:ascii="Arial" w:cs="Arial" w:eastAsia="Arial" w:hAnsi="Arial"/>
          <w:sz w:val="17"/>
          <w:szCs w:val="17"/>
          <w:color w:val="DF1995"/>
        </w:rPr>
      </w:pPr>
      <w:r>
        <w:rPr>
          <w:rFonts w:ascii="Arial" w:cs="Arial" w:eastAsia="Arial" w:hAnsi="Arial"/>
          <w:sz w:val="17"/>
          <w:szCs w:val="17"/>
          <w:color w:val="auto"/>
        </w:rPr>
        <w:t>required compliance with existing and changing foreign regulatory requirements and laws that are or may be applicable to our business in the future, such as the European Union’s General Data Protection Regulation (“GDPR”), the UK General Data Protection Regulation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67" w:lineRule="exact"/>
        <w:rPr>
          <w:rFonts w:ascii="Arial" w:cs="Arial" w:eastAsia="Arial" w:hAnsi="Arial"/>
          <w:sz w:val="17"/>
          <w:szCs w:val="17"/>
          <w:color w:val="DF1995"/>
        </w:rPr>
      </w:pPr>
    </w:p>
    <w:p>
      <w:pPr>
        <w:ind w:left="620" w:hanging="307"/>
        <w:spacing w:after="0" w:line="290" w:lineRule="auto"/>
        <w:tabs>
          <w:tab w:leader="none" w:pos="616" w:val="left"/>
        </w:tabs>
        <w:numPr>
          <w:ilvl w:val="0"/>
          <w:numId w:val="24"/>
        </w:numPr>
        <w:rPr>
          <w:rFonts w:ascii="Arial" w:cs="Arial" w:eastAsia="Arial" w:hAnsi="Arial"/>
          <w:sz w:val="17"/>
          <w:szCs w:val="17"/>
          <w:b w:val="1"/>
          <w:bCs w:val="1"/>
          <w:color w:val="DF1995"/>
        </w:rPr>
      </w:pPr>
      <w:r>
        <w:rPr>
          <w:rFonts w:ascii="Arial" w:cs="Arial" w:eastAsia="Arial" w:hAnsi="Arial"/>
          <w:sz w:val="17"/>
          <w:szCs w:val="17"/>
          <w:color w:val="auto"/>
        </w:rPr>
        <w:t>required compliance with U.S. laws such as the Foreign Corrupt Practices Act, and other U.S. federal laws and trade and economic sanctions and other regulations established by the Office of Foreign Asset Control;</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4"/>
        </w:numPr>
        <w:rPr>
          <w:rFonts w:ascii="Arial" w:cs="Arial" w:eastAsia="Arial" w:hAnsi="Arial"/>
          <w:sz w:val="17"/>
          <w:szCs w:val="17"/>
          <w:b w:val="1"/>
          <w:bCs w:val="1"/>
          <w:color w:val="DF1995"/>
        </w:rPr>
      </w:pPr>
      <w:r>
        <w:rPr>
          <w:rFonts w:ascii="Arial" w:cs="Arial" w:eastAsia="Arial" w:hAnsi="Arial"/>
          <w:sz w:val="17"/>
          <w:szCs w:val="17"/>
          <w:color w:val="auto"/>
        </w:rPr>
        <w:t>export requirements and import or trade restrictions;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4"/>
        </w:numPr>
        <w:rPr>
          <w:rFonts w:ascii="Arial" w:cs="Arial" w:eastAsia="Arial" w:hAnsi="Arial"/>
          <w:sz w:val="17"/>
          <w:szCs w:val="17"/>
          <w:b w:val="1"/>
          <w:bCs w:val="1"/>
          <w:color w:val="DF1995"/>
        </w:rPr>
      </w:pPr>
      <w:r>
        <w:rPr>
          <w:rFonts w:ascii="Arial" w:cs="Arial" w:eastAsia="Arial" w:hAnsi="Arial"/>
          <w:sz w:val="17"/>
          <w:szCs w:val="17"/>
          <w:color w:val="auto"/>
        </w:rPr>
        <w:t>laws and business practices favoring local companies;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4"/>
        </w:numPr>
        <w:rPr>
          <w:rFonts w:ascii="Arial" w:cs="Arial" w:eastAsia="Arial" w:hAnsi="Arial"/>
          <w:sz w:val="17"/>
          <w:szCs w:val="17"/>
          <w:b w:val="1"/>
          <w:bCs w:val="1"/>
          <w:color w:val="DF1995"/>
        </w:rPr>
      </w:pPr>
      <w:r>
        <w:rPr>
          <w:rFonts w:ascii="Arial" w:cs="Arial" w:eastAsia="Arial" w:hAnsi="Arial"/>
          <w:sz w:val="17"/>
          <w:szCs w:val="17"/>
          <w:color w:val="auto"/>
        </w:rPr>
        <w:t>restrictions on both inbound and outbound cross-border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213995</wp:posOffset>
            </wp:positionV>
            <wp:extent cx="713867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67</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hanging="307"/>
        <w:spacing w:after="0" w:line="290" w:lineRule="auto"/>
        <w:tabs>
          <w:tab w:leader="none" w:pos="616" w:val="left"/>
        </w:tabs>
        <w:numPr>
          <w:ilvl w:val="0"/>
          <w:numId w:val="25"/>
        </w:numPr>
        <w:rPr>
          <w:rFonts w:ascii="Arial" w:cs="Arial" w:eastAsia="Arial" w:hAnsi="Arial"/>
          <w:sz w:val="17"/>
          <w:szCs w:val="17"/>
          <w:b w:val="1"/>
          <w:bCs w:val="1"/>
          <w:color w:val="DF1995"/>
        </w:rPr>
      </w:pPr>
      <w:r>
        <w:rPr>
          <w:rFonts w:ascii="Arial" w:cs="Arial" w:eastAsia="Arial" w:hAnsi="Arial"/>
          <w:sz w:val="17"/>
          <w:szCs w:val="17"/>
          <w:color w:val="auto"/>
        </w:rPr>
        <w:t>foreign currency exchange, longer payment cycles and difficulties in enforcing agreements and collecting receivables through certain foreign legal systems;</w:t>
      </w:r>
    </w:p>
    <w:p>
      <w:pPr>
        <w:spacing w:after="0" w:line="43" w:lineRule="exact"/>
        <w:rPr>
          <w:rFonts w:ascii="Arial" w:cs="Arial" w:eastAsia="Arial" w:hAnsi="Arial"/>
          <w:sz w:val="17"/>
          <w:szCs w:val="17"/>
          <w:b w:val="1"/>
          <w:bCs w:val="1"/>
          <w:color w:val="DF1995"/>
        </w:rPr>
      </w:pPr>
    </w:p>
    <w:p>
      <w:pPr>
        <w:jc w:val="both"/>
        <w:ind w:left="620" w:hanging="307"/>
        <w:spacing w:after="0" w:line="262" w:lineRule="auto"/>
        <w:tabs>
          <w:tab w:leader="none" w:pos="616" w:val="left"/>
        </w:tabs>
        <w:numPr>
          <w:ilvl w:val="0"/>
          <w:numId w:val="25"/>
        </w:numPr>
        <w:rPr>
          <w:rFonts w:ascii="Arial" w:cs="Arial" w:eastAsia="Arial" w:hAnsi="Arial"/>
          <w:sz w:val="17"/>
          <w:szCs w:val="17"/>
          <w:b w:val="1"/>
          <w:bCs w:val="1"/>
          <w:color w:val="DF1995"/>
        </w:rPr>
      </w:pPr>
      <w:r>
        <w:rPr>
          <w:rFonts w:ascii="Arial" w:cs="Arial" w:eastAsia="Arial" w:hAnsi="Arial"/>
          <w:sz w:val="17"/>
          <w:szCs w:val="17"/>
          <w:color w:val="auto"/>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ongoing geopolitical tensions related to the political uncertainty and military actions associated with the war in Ukraine, resulting sanctions imposed by the U.S. and other countries, and retaliatory actions taken by Russia in response to such sanctions;</w:t>
      </w:r>
    </w:p>
    <w:p>
      <w:pPr>
        <w:spacing w:after="0" w:line="67"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5"/>
        </w:numPr>
        <w:rPr>
          <w:rFonts w:ascii="Arial" w:cs="Arial" w:eastAsia="Arial" w:hAnsi="Arial"/>
          <w:sz w:val="17"/>
          <w:szCs w:val="17"/>
          <w:b w:val="1"/>
          <w:bCs w:val="1"/>
          <w:color w:val="DF1995"/>
        </w:rPr>
      </w:pPr>
      <w:r>
        <w:rPr>
          <w:rFonts w:ascii="Arial" w:cs="Arial" w:eastAsia="Arial" w:hAnsi="Arial"/>
          <w:sz w:val="17"/>
          <w:szCs w:val="17"/>
          <w:color w:val="auto"/>
        </w:rPr>
        <w:t>potentially adverse tax consequences, tariffs, customs charges, bureaucratic requirements, and other trade barriers;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5"/>
        </w:numPr>
        <w:rPr>
          <w:rFonts w:ascii="Arial" w:cs="Arial" w:eastAsia="Arial" w:hAnsi="Arial"/>
          <w:sz w:val="17"/>
          <w:szCs w:val="17"/>
          <w:b w:val="1"/>
          <w:bCs w:val="1"/>
          <w:color w:val="DF1995"/>
        </w:rPr>
      </w:pPr>
      <w:r>
        <w:rPr>
          <w:rFonts w:ascii="Arial" w:cs="Arial" w:eastAsia="Arial" w:hAnsi="Arial"/>
          <w:sz w:val="17"/>
          <w:szCs w:val="17"/>
          <w:color w:val="auto"/>
        </w:rPr>
        <w:t>difficulties and costs of staffing and managing foreign operations; and</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25"/>
        </w:numPr>
        <w:rPr>
          <w:rFonts w:ascii="Arial" w:cs="Arial" w:eastAsia="Arial" w:hAnsi="Arial"/>
          <w:sz w:val="17"/>
          <w:szCs w:val="17"/>
          <w:b w:val="1"/>
          <w:bCs w:val="1"/>
          <w:color w:val="DF1995"/>
        </w:rPr>
      </w:pPr>
      <w:r>
        <w:rPr>
          <w:rFonts w:ascii="Arial" w:cs="Arial" w:eastAsia="Arial" w:hAnsi="Arial"/>
          <w:sz w:val="17"/>
          <w:szCs w:val="17"/>
          <w:color w:val="auto"/>
        </w:rPr>
        <w:t>difficulties protecting, maintaining, enforcing, or procuring intellectual property rights and defending against intellectual property claims under the law and judicial systems of other countries.</w:t>
      </w:r>
    </w:p>
    <w:p>
      <w:pPr>
        <w:spacing w:after="0" w:line="4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If one or more of these risks occurs, it could require us to dedicate significant resources to remedy such occurrence, and if we are unsuccessful in finding a solution, our financial results will suffer.</w:t>
      </w:r>
    </w:p>
    <w:p>
      <w:pPr>
        <w:spacing w:after="0" w:line="9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Our operations involve the use of hazardous materials, and we must comply with environmental, health and safety laws, which can be expensive and may adversely affect our business, operating results and financial condition.</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133"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Ethical, legal, privacy, data protection and social concerns or governmental restrictions surrounding the use of genetic information could reduce demand for our technology.</w:t>
      </w:r>
    </w:p>
    <w:p>
      <w:pPr>
        <w:spacing w:after="0" w:line="2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any of which could have a material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71386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68</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2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subject to requirements under the Dodd-Frank Wall Street Reform and Consumer Protection Act of 2010 that require us to conduct diligence and report on whether or not our products contain conflict minerals.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383C6"/>
        </w:rPr>
        <w:t>Risks Related to Owning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The price of our common stock has been, is, and may continue to be, highly volatile, and you may be unable to sell your shares at or above the price you paid to acquire them.</w:t>
      </w:r>
    </w:p>
    <w:p>
      <w:pPr>
        <w:spacing w:after="0" w:line="2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43" w:lineRule="exact"/>
        <w:rPr>
          <w:sz w:val="20"/>
          <w:szCs w:val="20"/>
          <w:color w:val="auto"/>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actual or anticipated fluctuations in our financial condition and operating results;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announcements of new products, technological innovations or strategic partnerships by us or our competitors;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announcements by us, our customers, partners, or suppliers relating directly or indirectly to our products, services or technologies;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overall conditions in our industry and market;</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addition or loss of significant customers;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changes in laws or regulations applicable to our products;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actual or anticipated changes in our growth rate relative to our competitors;</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announcements by us or our competitors of significant acquisitions, strategic partnerships, joint ventures, capital commitments or achievement of significant milestones;</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additions or departures of key personnel;</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competition from existing products or new products that may emerge;</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issuance of new or updated research or reports by securities analysts;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fluctuations in the valuation of companies perceived by investors to be comparable to us;</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disputes or other developments related to proprietary rights, including patents, litigation matters or our ability to obtain intellectual property protection for our technologies;</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announcement or expectation of additional financing efforts;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sales of our common stock by us or our stockholders;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stock price and volume fluctuations attributable to inconsistent trading volume levels of our shares;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reports, guidance and ratings issued by securities or industry analysts;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6"/>
        </w:numPr>
        <w:rPr>
          <w:rFonts w:ascii="Arial" w:cs="Arial" w:eastAsia="Arial" w:hAnsi="Arial"/>
          <w:sz w:val="17"/>
          <w:szCs w:val="17"/>
          <w:b w:val="1"/>
          <w:bCs w:val="1"/>
          <w:color w:val="DF1995"/>
        </w:rPr>
      </w:pPr>
      <w:r>
        <w:rPr>
          <w:rFonts w:ascii="Arial" w:cs="Arial" w:eastAsia="Arial" w:hAnsi="Arial"/>
          <w:sz w:val="17"/>
          <w:szCs w:val="17"/>
          <w:color w:val="auto"/>
        </w:rPr>
        <w:t>operating results below the expectations of securities analysts or investors;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386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69</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620" w:hanging="307"/>
        <w:spacing w:after="0" w:line="271" w:lineRule="auto"/>
        <w:tabs>
          <w:tab w:leader="none" w:pos="616" w:val="left"/>
        </w:tabs>
        <w:numPr>
          <w:ilvl w:val="0"/>
          <w:numId w:val="27"/>
        </w:numPr>
        <w:rPr>
          <w:rFonts w:ascii="Arial" w:cs="Arial" w:eastAsia="Arial" w:hAnsi="Arial"/>
          <w:sz w:val="17"/>
          <w:szCs w:val="17"/>
          <w:b w:val="1"/>
          <w:bCs w:val="1"/>
          <w:color w:val="DF1995"/>
        </w:rPr>
      </w:pPr>
      <w:r>
        <w:rPr>
          <w:rFonts w:ascii="Arial" w:cs="Arial" w:eastAsia="Arial" w:hAnsi="Arial"/>
          <w:sz w:val="17"/>
          <w:szCs w:val="17"/>
          <w:color w:val="auto"/>
        </w:rPr>
        <w:t>general economic and market conditions, which could be impacted by various events including health epidemics or pandemics, interest rate fluctuations, increases in fuel prices, foreign currency fluctuations, changing international trade policies, acts of terrorism, hostilities or the perception that hostilities may be imminent, and military conflict and acts of war.</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any of the forgoing occurs, it would cause our stock price or trading volume to decline. Stock markets in general and the market for companies in our industry in particular have experienced price and volume fluctuations; these fluctuations have been, and may continue to be, exacerbated by current macroeconomic trends and geopolitical events.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spacing w:after="0" w:line="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if our stockholders sell, or indicate an intent to sell, a large number of shares of our common stock in the public market, it could cause our stock price to fall, particularly if such sales occur over a short period of time (for example, following delivery of shares upon achievement of milestones in our acquisition agreements).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Concentration of ownership by our principal stockholders may result in control by such stockholders of the composition of our board of directors.</w:t>
      </w:r>
    </w:p>
    <w:p>
      <w:pPr>
        <w:spacing w:after="0" w:line="2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existing principal stockholders, holders of Notes, executive officers, directors, and their affiliates beneficially own, or following conversion of the Notes could own, a significant number of our outstanding shares of common stock. In addition, such parties may acquire additional control by purchasing stock that we issue in connection with our future fundraising efforts. These parties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DF1995"/>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0" w:lineRule="exact"/>
        <w:rPr>
          <w:sz w:val="20"/>
          <w:szCs w:val="20"/>
          <w:color w:val="auto"/>
        </w:rPr>
      </w:pPr>
    </w:p>
    <w:p>
      <w:pPr>
        <w:ind w:left="620" w:hanging="307"/>
        <w:spacing w:after="0" w:line="290" w:lineRule="auto"/>
        <w:tabs>
          <w:tab w:leader="none" w:pos="616" w:val="left"/>
        </w:tabs>
        <w:numPr>
          <w:ilvl w:val="0"/>
          <w:numId w:val="28"/>
        </w:numPr>
        <w:rPr>
          <w:rFonts w:ascii="Arial" w:cs="Arial" w:eastAsia="Arial" w:hAnsi="Arial"/>
          <w:sz w:val="17"/>
          <w:szCs w:val="17"/>
          <w:b w:val="1"/>
          <w:bCs w:val="1"/>
          <w:color w:val="DF1995"/>
        </w:rPr>
      </w:pPr>
      <w:r>
        <w:rPr>
          <w:rFonts w:ascii="Arial" w:cs="Arial" w:eastAsia="Arial" w:hAnsi="Arial"/>
          <w:sz w:val="17"/>
          <w:szCs w:val="17"/>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8"/>
        </w:numPr>
        <w:rPr>
          <w:rFonts w:ascii="Arial" w:cs="Arial" w:eastAsia="Arial" w:hAnsi="Arial"/>
          <w:sz w:val="17"/>
          <w:szCs w:val="17"/>
          <w:b w:val="1"/>
          <w:bCs w:val="1"/>
          <w:color w:val="DF1995"/>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28"/>
        </w:numPr>
        <w:rPr>
          <w:rFonts w:ascii="Arial" w:cs="Arial" w:eastAsia="Arial" w:hAnsi="Arial"/>
          <w:sz w:val="17"/>
          <w:szCs w:val="17"/>
          <w:b w:val="1"/>
          <w:bCs w:val="1"/>
          <w:color w:val="DF1995"/>
        </w:rPr>
      </w:pPr>
      <w:r>
        <w:rPr>
          <w:rFonts w:ascii="Arial" w:cs="Arial" w:eastAsia="Arial" w:hAnsi="Arial"/>
          <w:sz w:val="17"/>
          <w:szCs w:val="17"/>
          <w:color w:val="auto"/>
        </w:rPr>
        <w:t>specify that special meetings of our stockholders can be called only by our board of directors, the Chair of the Board, the Chief Executive Officer or the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386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70</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20" w:hanging="307"/>
        <w:spacing w:after="0" w:line="290" w:lineRule="auto"/>
        <w:tabs>
          <w:tab w:leader="none" w:pos="616" w:val="left"/>
        </w:tabs>
        <w:numPr>
          <w:ilvl w:val="0"/>
          <w:numId w:val="29"/>
        </w:numPr>
        <w:rPr>
          <w:rFonts w:ascii="Arial" w:cs="Arial" w:eastAsia="Arial" w:hAnsi="Arial"/>
          <w:sz w:val="17"/>
          <w:szCs w:val="17"/>
          <w:b w:val="1"/>
          <w:bCs w:val="1"/>
          <w:color w:val="DF1995"/>
        </w:rPr>
      </w:pPr>
      <w:r>
        <w:rPr>
          <w:rFonts w:ascii="Arial" w:cs="Arial" w:eastAsia="Arial" w:hAnsi="Arial"/>
          <w:sz w:val="17"/>
          <w:szCs w:val="17"/>
          <w:color w:val="auto"/>
        </w:rPr>
        <w:t>establish advance notice procedures for stockholder approvals to be brought before an annual meeting of our stockholders, including proposed nominations of persons for election to our board of directors;</w:t>
      </w:r>
    </w:p>
    <w:p>
      <w:pPr>
        <w:spacing w:after="0" w:line="4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29"/>
        </w:numPr>
        <w:rPr>
          <w:rFonts w:ascii="Arial" w:cs="Arial" w:eastAsia="Arial" w:hAnsi="Arial"/>
          <w:sz w:val="17"/>
          <w:szCs w:val="17"/>
          <w:b w:val="1"/>
          <w:bCs w:val="1"/>
          <w:color w:val="DF1995"/>
        </w:rPr>
      </w:pPr>
      <w:r>
        <w:rPr>
          <w:rFonts w:ascii="Arial" w:cs="Arial" w:eastAsia="Arial" w:hAnsi="Arial"/>
          <w:sz w:val="17"/>
          <w:szCs w:val="17"/>
          <w:color w:val="auto"/>
        </w:rPr>
        <w:t>establish that our board of directors is divided into three classes, Class I, Class II and Class III, with each class serving staggered terms (until our board of directors is fully declassified beginning with the 2027 annual meeting of stockholders);</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9"/>
        </w:numPr>
        <w:rPr>
          <w:rFonts w:ascii="Arial" w:cs="Arial" w:eastAsia="Arial" w:hAnsi="Arial"/>
          <w:sz w:val="17"/>
          <w:szCs w:val="17"/>
          <w:b w:val="1"/>
          <w:bCs w:val="1"/>
          <w:color w:val="DF1995"/>
        </w:rPr>
      </w:pPr>
      <w:r>
        <w:rPr>
          <w:rFonts w:ascii="Arial" w:cs="Arial" w:eastAsia="Arial" w:hAnsi="Arial"/>
          <w:sz w:val="17"/>
          <w:szCs w:val="17"/>
          <w:color w:val="auto"/>
        </w:rPr>
        <w:t>provide that our directors may be removed only for cause; and</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29"/>
        </w:numPr>
        <w:rPr>
          <w:rFonts w:ascii="Arial" w:cs="Arial" w:eastAsia="Arial" w:hAnsi="Arial"/>
          <w:sz w:val="17"/>
          <w:szCs w:val="17"/>
          <w:b w:val="1"/>
          <w:bCs w:val="1"/>
          <w:color w:val="DF1995"/>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DF1995"/>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5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determine the validity of our amended and restated certificate of incorporation or our amended and restated bylaws; or</w:t>
      </w:r>
    </w:p>
    <w:p>
      <w:pPr>
        <w:spacing w:after="0" w:line="3" w:lineRule="exact"/>
        <w:rPr>
          <w:sz w:val="20"/>
          <w:szCs w:val="20"/>
          <w:color w:val="auto"/>
        </w:rPr>
      </w:pPr>
    </w:p>
    <w:p>
      <w:pPr>
        <w:ind w:firstLine="3"/>
        <w:spacing w:after="0" w:line="270" w:lineRule="auto"/>
        <w:tabs>
          <w:tab w:leader="none" w:pos="2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action asserting a claim governed by the internal affairs doctrine, except as to each of (i) through (v) above, for any claim as to which such court determines that there is an indispensable party not subject to the jurisdiction of such court.</w:t>
      </w:r>
    </w:p>
    <w:p>
      <w:pPr>
        <w:spacing w:after="0" w:line="6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will be the exclusive forum for resolving any complaint asserting a cause of action arising under the Securities Act including, without limitation and for the avoidance of doubt, any auditor, underwriter, expert, control person or other defendant.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187960</wp:posOffset>
            </wp:positionV>
            <wp:extent cx="713867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71</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Our large number of authorized but unissued shares of common stock may potentially dilute existing stockholders’ stockholdings.</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We do not intend to pay dividends for the foreseeable future.</w:t>
      </w:r>
    </w:p>
    <w:p>
      <w:pPr>
        <w:spacing w:after="0" w:line="11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383C6"/>
        </w:rPr>
        <w:t>Risks Related to Our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of March 31, 2026, we had outstanding approximately $200.0 million aggregate principal amount of our 2029 Notes and $441.0 million aggregate principal amount of our 2030 Notes. The 2029 Notes will mature on August 15, 2029, subject to earlier conversion, redemption or repurchase, including upon a fundamental change. The 2030 Notes will mature on December 15, 2030, subject to earlier conversion, redemption or repurchase, including upon a fundamental change. The 2029 Notes and the 2030 Notes are collectively referred to as the Notes.</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Holders of each series of Notes will have the right to require us to repurchase all or a portion of their Notes upon the occurrence of a fundamental change before the maturity date at a repurchase price equal to 100% of the principal amount of the Notes of the applicable series to be repurchased, plus unpaid interest to, but excluding, the applicable maturity date. In addition, upon conversion of the Notes of a series,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of the applicable series in cash at the applicable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addition, our ability to repurchase the Notes or to pay cash upon conversions of Notes or at the applicable maturity may be limited by law, regulatory authority or agreements governing our future indebtedness. Our failure to repurchase Notes of a series at a time when the repurchase is required by the applicable indenture or to pay cash upon conversions of such Notes or at the applicable maturity as required by the applicable indenture would constitute a default under such indenture. A default under either indenture or the occurrence of a fundamental change under either indenture itself could also lead to a default under agreements governing our future indebtedness. Moreover, the occurrence of a fundamental change under either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applicable series of Notes.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The Side Letter to our 2029 Notes imposes operating restrictions on us.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November 21, 2024, in connection with the issuance of the 2029 Notes, the Company and SB Northstar LP (“SBN”) entered into a letter agreement (the “Letter Agreement”) pursuant to which the Company and SBN agreed that, for so long as SBN and its affiliates hold at least $ 180 million aggregate principal amount of the 2029 Notes, the Company and its subsidiaries are subject to certain negative covenants that restrict the Company’s and its subsidiaries’ ability to incur additional indebtedness and create liens, in each case, subject to the exceptions set forth in the Letter Agreement, including exceptions which permit the Company to incur up to $75 million in aggregate principal amount of secured indebtedness pursuant to Credit Facilities (as defined in the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71386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72</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the Letter Agreement restricts the ability of the Company and its subsidiaries from guaranteeing any indebtedness or incurring certain indebtedness outside of the ordinary course of business unless, in each case, the Company and its subsidiaries concurrently provide a guarantee of the Company’s obligations under the 2029 Notes.</w:t>
      </w:r>
    </w:p>
    <w:p>
      <w:pPr>
        <w:spacing w:after="0" w:line="6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These covenants may adversely affect our ability to finance our operations, meet or otherwise address our capital needs, pursue business opportunities or react to market conditions, or otherwise restrict our activities or business plans.</w:t>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breach of any of the covenants under the Letter Agreement could result in an event of default under the 2029 Notes. As of March 31, 2026, we were in compliance with all covenants under the Letter Agreement. However, if an event of default occurs, SBN could accelerate our obligations under the 2029 Notes. Any such acceleration could result in an event of default under our other indebtedness, including the 2030 Notes.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If the Notes are converted, it may adversely affect our financial condition and operating results.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Holders of either series of Notes are entitled to convert their respective series of Notes at any time at their option. If one or more holders elect to convert the Notes of the applicable series,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issuances of shares of common stock upon conversion of our Notes could depress the market price of our common stock and impair our ability to raise capital through the sale of additional equity securities. The existence of the Notes may encourage short selling by market participants because the conversion of the Notes could depress the price of our common stock.</w:t>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1383C6"/>
        </w:rPr>
        <w:t>General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30"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i w:val="1"/>
          <w:iCs w:val="1"/>
          <w:color w:val="DF1995"/>
        </w:rPr>
        <w:t xml:space="preserve">Unfavorable global economic or political conditions could adversely affect our business, financial condition or results of operations. </w:t>
      </w:r>
      <w:r>
        <w:rPr>
          <w:rFonts w:ascii="Arial" w:cs="Arial" w:eastAsia="Arial" w:hAnsi="Arial"/>
          <w:sz w:val="17"/>
          <w:szCs w:val="17"/>
          <w:color w:val="000000"/>
        </w:rPr>
        <w:t>General conditions in the global economy and in the global financial markets could adversely affect our results of operations, and the overall demand for nucleic acid sequencing products may be particularly vulnerable to unfavorable economic conditions. A global financial crisis, inflation or a global or regional political disruption, acts of terrorism, hostilities, military conflict and acts of war, including any further escalation of the conflicts in the Middle East (including Iran) and the war in Ukraine, as well as the related responses, could cause extreme volatility in the capital and credit markets, and disrupt shipping lanes. We have experienced and may continue to experience negative impacts from the conflicts in the Middle East (including Iran) on delivering and installing products at customer locations adversely affected by such conflicts.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 impairment in value of our tangible or intangible assets could also be recorded as a result of weaker economic conditions. Any of the foregoing could harm our business and we cannot anticipate all of the ways in which the political or economic climate and financial market conditions could adversely impact our business. For more information on impairment considerations, see “</w:t>
      </w:r>
      <w:r>
        <w:rPr>
          <w:rFonts w:ascii="Arial" w:cs="Arial" w:eastAsia="Arial" w:hAnsi="Arial"/>
          <w:sz w:val="17"/>
          <w:szCs w:val="17"/>
          <w:i w:val="1"/>
          <w:iCs w:val="1"/>
          <w:color w:val="000000"/>
        </w:rPr>
        <w:t>—</w:t>
      </w:r>
      <w:r>
        <w:rPr>
          <w:rFonts w:ascii="Arial" w:cs="Arial" w:eastAsia="Arial" w:hAnsi="Arial"/>
          <w:sz w:val="17"/>
          <w:szCs w:val="17"/>
          <w:i w:val="1"/>
          <w:iCs w:val="1"/>
          <w:u w:val="single" w:color="auto"/>
          <w:color w:val="0000FF"/>
        </w:rPr>
        <w:t>The commercialization and sales of our current or future products may be</w:t>
      </w:r>
      <w:r>
        <w:rPr>
          <w:rFonts w:ascii="Arial" w:cs="Arial" w:eastAsia="Arial" w:hAnsi="Arial"/>
          <w:sz w:val="17"/>
          <w:szCs w:val="17"/>
          <w:color w:val="000000"/>
        </w:rPr>
        <w:t xml:space="preserve"> </w:t>
      </w:r>
      <w:r>
        <w:rPr>
          <w:rFonts w:ascii="Arial" w:cs="Arial" w:eastAsia="Arial" w:hAnsi="Arial"/>
          <w:sz w:val="17"/>
          <w:szCs w:val="17"/>
          <w:i w:val="1"/>
          <w:iCs w:val="1"/>
          <w:u w:val="single" w:color="auto"/>
          <w:color w:val="0000FF"/>
        </w:rPr>
        <w:t>unsuccessful or less successful than anticipated. While we plan to continue pursuing new products and expanding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r>
        <w:rPr>
          <w:rFonts w:ascii="Arial" w:cs="Arial" w:eastAsia="Arial" w:hAnsi="Arial"/>
          <w:sz w:val="17"/>
          <w:szCs w:val="17"/>
          <w:i w:val="1"/>
          <w:iCs w:val="1"/>
          <w:color w:val="000000"/>
        </w:rPr>
        <w:t>.</w:t>
      </w:r>
      <w:r>
        <w:rPr>
          <w:rFonts w:ascii="Arial" w:cs="Arial" w:eastAsia="Arial" w:hAnsi="Arial"/>
          <w:sz w:val="17"/>
          <w:szCs w:val="17"/>
          <w:color w:val="000000"/>
        </w:rPr>
        <w:t>” above.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Delivery of our products could be delayed or disrupted by factors beyond our control, and we could lose customers as a result.</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71386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73</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Doing business internationally creates operational and financial risks for our business.</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76" w:lineRule="exact"/>
        <w:rPr>
          <w:sz w:val="20"/>
          <w:szCs w:val="20"/>
          <w:color w:val="auto"/>
        </w:rPr>
      </w:pPr>
    </w:p>
    <w:p>
      <w:pPr>
        <w:ind w:left="620" w:hanging="307"/>
        <w:spacing w:after="0"/>
        <w:tabs>
          <w:tab w:leader="none" w:pos="620"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challenges in staffing and managing foreign operations;</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potentially longer sales cycles and more time required to engage and educate customers on the benefits of our platform outside of the United States;</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the potential need for localized software and documentation;</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reduced protection for intellectual property rights in some countries and practical difficulties of enforcing intellectual property and contract rights abroad;</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challenges with defending against intellectual property claims in other countries;</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restrictions on both inbound and outbound cross-border investment, including enhanced oversight by the Committee on Foreign Investment in the United States (“CFIUS”) and substantial restrictions on investment from China;</w:t>
      </w:r>
    </w:p>
    <w:p>
      <w:pPr>
        <w:spacing w:after="0" w:line="4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4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changes in diplomatic and trade relationships, including new, increased, or enhanced tariffs, trade protection measures, import or export licensing requirements, trade embargoes, sanctions, and other trade barriers;</w:t>
      </w:r>
    </w:p>
    <w:p>
      <w:pPr>
        <w:spacing w:after="0" w:line="4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tariffs imposed by the U.S. on goods from other countries and tariffs imposed by other countries on U.S. goods, which may be imposed on products such as ours, the amount, scope, and duration of which, if implemented, remains uncertain;</w:t>
      </w:r>
    </w:p>
    <w:p>
      <w:pPr>
        <w:spacing w:after="0" w:line="4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deterioration of political relations among, between, and within the U.S., Russia, China, Japan, Korea, Mexico, Canada, the United Kingdom (“U.K.”), and the European Union ("E.U."), which could have a material adverse effect on our sales and operations in these countries;</w:t>
      </w:r>
    </w:p>
    <w:p>
      <w:pPr>
        <w:spacing w:after="0" w:line="4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changes in social, political, and economic conditions or in laws, regulations and policies governing foreign trade, manufacturing, development, and investment both domestically as well as in the other countries and jurisdictions into which we sell our products;</w:t>
      </w:r>
    </w:p>
    <w:p>
      <w:pPr>
        <w:spacing w:after="0" w:line="4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difficulties in obtaining export licenses or in overcoming other trade barriers and restrictions resulting in delivery delays;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fluctuations in currency exchange rates and the related effect on our results of operations;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increased financial accounting and reporting burdens and complexities;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potential limits to travel as a result of epidemics or pandemics;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disruptions to global trade due to disease outbreaks or conflicts;</w:t>
      </w:r>
    </w:p>
    <w:p>
      <w:pPr>
        <w:spacing w:after="0" w:line="113" w:lineRule="exact"/>
        <w:rPr>
          <w:rFonts w:ascii="Arial" w:cs="Arial" w:eastAsia="Arial" w:hAnsi="Arial"/>
          <w:sz w:val="17"/>
          <w:szCs w:val="17"/>
          <w:b w:val="1"/>
          <w:bCs w:val="1"/>
          <w:color w:val="DF1995"/>
        </w:rPr>
      </w:pPr>
    </w:p>
    <w:p>
      <w:pPr>
        <w:ind w:left="620" w:hanging="307"/>
        <w:spacing w:after="0"/>
        <w:tabs>
          <w:tab w:leader="none" w:pos="620"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potential increases on tariffs or restrictions on trade generally; and</w:t>
      </w:r>
    </w:p>
    <w:p>
      <w:pPr>
        <w:spacing w:after="0" w:line="113" w:lineRule="exact"/>
        <w:rPr>
          <w:rFonts w:ascii="Arial" w:cs="Arial" w:eastAsia="Arial" w:hAnsi="Arial"/>
          <w:sz w:val="17"/>
          <w:szCs w:val="17"/>
          <w:b w:val="1"/>
          <w:bCs w:val="1"/>
          <w:color w:val="DF1995"/>
        </w:rPr>
      </w:pPr>
    </w:p>
    <w:p>
      <w:pPr>
        <w:ind w:left="620" w:hanging="307"/>
        <w:spacing w:after="0" w:line="290" w:lineRule="auto"/>
        <w:tabs>
          <w:tab w:leader="none" w:pos="616" w:val="left"/>
        </w:tabs>
        <w:numPr>
          <w:ilvl w:val="0"/>
          <w:numId w:val="31"/>
        </w:numPr>
        <w:rPr>
          <w:rFonts w:ascii="Arial" w:cs="Arial" w:eastAsia="Arial" w:hAnsi="Arial"/>
          <w:sz w:val="17"/>
          <w:szCs w:val="17"/>
          <w:b w:val="1"/>
          <w:bCs w:val="1"/>
          <w:color w:val="DF1995"/>
        </w:rPr>
      </w:pPr>
      <w:r>
        <w:rPr>
          <w:rFonts w:ascii="Arial" w:cs="Arial" w:eastAsia="Arial" w:hAnsi="Arial"/>
          <w:sz w:val="17"/>
          <w:szCs w:val="17"/>
          <w:color w:val="auto"/>
        </w:rPr>
        <w:t>significant taxes or other burdens of complying with a variety of foreign laws and regulations, including laws and regulations relating to privacy and data protection such as the E.U. General Data Protection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3867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74</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applicable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28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If we fail to maintain proper and effective internal controls, our ability to produce accurate financial statements on a timely basis could be impaired, which would adversely affect our business and our stock price.</w:t>
      </w:r>
    </w:p>
    <w:p>
      <w:pPr>
        <w:spacing w:after="0" w:line="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713867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75</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Our business could be negatively impacted by changes in the United States political environment.</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Our products depend on the availability of genetic data and its utilization in clinical research by academic and governmental research institutions, commercial testing and service laboratories, genome centers, public health labs, hospitals and clinical research institutes, CROs, pharmaceutical companies, and agricultural companies. As a result, changes in the regulatory environment affecting such institutions could adversely affect our business or results of operations. For example, reduced allocations to government agencies that fund research and development activities, such as the recent announcements regarding NIH funding involving a cap on the institute’s indirect funding rates, or targeted cancellations by the U.S. federal government of certain grants or contracts may significantly impact the markets in which we compete.</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There is significant ongoing uncertainty with respect to potential legislation, regulation and government policy at the federal level, as well as the state and local levels. Specific legislative and regulatory proposals discussed or implemented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Disruption of critical information technology systems or material breaches in the security of our systems could harm our business, customer relations and financial condition.</w:t>
      </w:r>
    </w:p>
    <w:p>
      <w:pPr>
        <w:spacing w:after="0" w:line="2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in our products, sales forecast, order fulfillment and billing, customer service, logistics, and management of data from running samples on our products. Our success depends, in part, on the continued and uninterrupted performance of our IT systems. Our IT systems, including those used in our products,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incidents and security breaches to which we could be vulnerable by state-sponsored or affiliated actors or others in connection with political uncertainty, war and other international conflicts, including the conflicts in the Middle East (including Iran) and the war in Ukraine. In addition, due to recent hostilities in the Middle East (including Iran) and elsewhere, certain companies have become more frequent targets of cyberattacks. While incidents of cybersecurity breaches have not significantly impacted our IT systems, or to our knowledge our supply chain, we continue to monitor such risks given their potential to disrupt our and our suppliers’ operations and logistics networks.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 Some of our IT infrastructure still utilizes outdated legacy systems, software and hardware, some of which may be approaching end-of-life or end of support, and that may be particularly susceptible to cybersecurity breaches, errors and operational failures. Upgrading, replacing and enhancing such infrastructure may be expensive and put the continuity of our operations at risk while a failure to do so may make us more susceptible to the risks discussed above.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If we do not allocate and effectively manage the resources necessary to build and sustain the proper IT infrastructure, including those used in our products, we could be subject to transaction errors, processing inefficiencies, loss of customers, business disruptions or loss of or damage to intellectual property.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713867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76</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Security breaches and other disruptions could compromise our information and expose us to liability, which would cause our business and reputation to suffer.</w:t>
      </w:r>
    </w:p>
    <w:p>
      <w:pPr>
        <w:spacing w:after="0" w:line="2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customers, suppliers and business partners, and personal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or incident could compromise our systems and networks and the information stored or otherwise processed there could be accessed, publicly disclosed, lost, stolen or otherwise processed in an unauthorized manner.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our third-party service providers’ systems. We and our third-party service providers may face difficulties in identifying, or promptly responding to, potential security breaches and other instances of unauthorized access to, or disclosure, other processing, or loss or unavailability of, information. Any hacking or other attack on our or our third-party service providers’ or vendors’ systems, and any unauthorized access to, or disclosure, other processing, or loss or unavailability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and data integrity issues,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and security incidents, which could cause us to incur significant additional expenses. Retaliatory acts by Russia in response to Western sanctions or otherwise in connection with the war in Ukraine could include cyber-attacks that could disrupt the economy generally or that may either directly or indirectly impact our operations specifically.</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71386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77</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DF1995"/>
        </w:rPr>
        <w:t>Our use of artificial intelligence and machine learning technologies may result in reputational harm or liability.</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incorporated and may continue to incorporate additional artificial intelligence and machine learning, or AIML, technologies into our sequencing platforms, marketing programs, and analysis software, and these solutions and features are advantageous to describing, enhancing, and maximizing the capabilities of our differentiated technologies and to our future growth over time. We rely and expect to rely on AIML technologies such as basecalling, variant calling, epigenetic analysis and tertiary analysis, but there can be no assurance that we will realize the desired or anticipated benefits from AIML or any at all. We may also fail to properly implement or utilize AIML technologies. Our competitors or other third parties may incorporate AIML into their products, platforms, software and services or otherwise within their business more quickly or more successfully than us, which could impair our ability to compete effectively and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are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DF1995"/>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713867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78</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the United States, various federal and state regulators, including governmental agencies like the Consumer Financial Protection Bureau, the Department of Justice, and the Federal Trade Commission, have adopted, or are considering adopting, laws and regulations concerning personal information and data security. For example, the Department of Justice issued a final rule which took effect in April 2025 that places limitations, and in some cases prohibitions, on certain transfers of sensitive personal data to business partners located in 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(“CPRA”), which significantly expanded the CCPA as of January 1, 2023, including by introducing additional obligations such as data minimization and storage limitations and granting additional rights to consumers, among others. The enactment of the CCPA has prompted similar legislative developments in other states, and numerous other states have proposed, and in certain cases enacted, legislation relating to privacy and data security, many of which are similar to the CCPA and CPRA. Similar laws are being considered by other state legislatures. In addition, laws in all 50 U.S. states require businesses to provide notice to consumers whose personal information has been disclosed as a result of a data breach. State laws are changing rapidly and there has been discussion in the U.S. Congress of a new comprehensive federal data privacy law. These and future laws and regulations may increase our compliance costs and potential liability.</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disrupted, breached or otherwise compromised due to employee error, malfeasance or other malicious or inadvertent disruptions. Any such breach or disruption could compromise our networks, and the information stored there could be accessed, manipulated, publicly disclosed, lost, stolen, made unavailable, or otherwise processed without authorization. Any such disruption, access, breach, unavailability, theft, loss or other unauthorized processing of information, or the perception that any of these has occurred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71386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79</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While we have in place formal policies and procedures related to the storage, collection, and processing of information, and have conducted data privacy audits, we continue to evaluate our compliance needs, including the need to conduct additional internal and external data privacy audits or adopt additional policies and procedures,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26" w:lineRule="exact"/>
        <w:rPr>
          <w:sz w:val="20"/>
          <w:szCs w:val="20"/>
          <w:color w:val="auto"/>
        </w:rPr>
      </w:pPr>
    </w:p>
    <w:p>
      <w:pPr>
        <w:jc w:val="both"/>
        <w:spacing w:after="0" w:line="302" w:lineRule="auto"/>
        <w:rPr>
          <w:sz w:val="20"/>
          <w:szCs w:val="20"/>
          <w:color w:val="auto"/>
        </w:rPr>
      </w:pPr>
      <w:r>
        <w:rPr>
          <w:rFonts w:ascii="Arial" w:cs="Arial" w:eastAsia="Arial" w:hAnsi="Arial"/>
          <w:sz w:val="17"/>
          <w:szCs w:val="17"/>
          <w:b w:val="1"/>
          <w:bCs w:val="1"/>
          <w:i w:val="1"/>
          <w:iCs w:val="1"/>
          <w:color w:val="DF1995"/>
        </w:rPr>
        <w:t>Increased scrutiny of our environmental, social or governance responsibilities may result in additional costs and risks, and may adversely impact our reputation, employee retention, and willingness of customers and suppliers to do business with us.</w:t>
      </w:r>
    </w:p>
    <w:p>
      <w:pPr>
        <w:spacing w:after="0" w:line="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investor advocacy groups, institutional investors, investment funds, proxy advisory services, stockholders, and customers are focused on environmental, social, and governance (“ESG”) practices of companies. We have also seen public interest and governmental regulation related to public companies’ ESG practices.</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and potential or current investors may elect to invest in other companies with ESG practices that are perceived to be better than ours. In addition, ESG reporting and disclosure may result in additional costs and require additional resources to monitor, report, and comply with our various ESG practices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236855</wp:posOffset>
            </wp:positionV>
            <wp:extent cx="635254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352540"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635254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35254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635254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352540" cy="8255"/>
                    </a:xfrm>
                    <a:prstGeom prst="rect">
                      <a:avLst/>
                    </a:prstGeom>
                    <a:noFill/>
                  </pic:spPr>
                </pic:pic>
              </a:graphicData>
            </a:graphic>
          </wp:anchor>
        </w:drawing>
      </w:r>
    </w:p>
    <w:p>
      <w:pPr>
        <w:spacing w:after="0" w:line="368"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635254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35254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713867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1386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213995</wp:posOffset>
            </wp:positionV>
            <wp:extent cx="713867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80</w:t>
            </w:r>
          </w:p>
        </w:tc>
      </w:tr>
      <w:tr>
        <w:trPr>
          <w:trHeight w:val="223"/>
        </w:trPr>
        <w:tc>
          <w:tcPr>
            <w:tcW w:w="7080" w:type="dxa"/>
            <w:vAlign w:val="bottom"/>
            <w:tcBorders>
              <w:bottom w:val="single" w:sz="8" w:color="9A9A9A"/>
            </w:tcBorders>
          </w:tcPr>
          <w:p>
            <w:pPr>
              <w:spacing w:after="0"/>
              <w:rPr>
                <w:sz w:val="19"/>
                <w:szCs w:val="19"/>
                <w:color w:val="auto"/>
              </w:rPr>
            </w:pPr>
          </w:p>
        </w:tc>
        <w:tc>
          <w:tcPr>
            <w:tcW w:w="4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-277495</wp:posOffset>
            </wp:positionV>
            <wp:extent cx="393065" cy="819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525780</wp:posOffset>
            </wp:positionV>
            <wp:extent cx="713867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1386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62"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DF1995"/>
        </w:rPr>
        <w:t>Securities Trading Plans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During our last fiscal quarter, none of our directors or officers, as defined in Rule 16a-1(f), adopted and/or terminated a “Rule 10b5-1 trading arrangement” or a “non-Rule 10b5-1 trading arrangement,” as defined in Regulation S-K Item 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1386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81</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-269240</wp:posOffset>
            </wp:positionV>
            <wp:extent cx="393065" cy="819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673100</wp:posOffset>
            </wp:positionV>
            <wp:extent cx="713867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DF1995"/>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13867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Incorporated by reference herein</w:t>
            </w: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183"/>
              <w:spacing w:after="0"/>
              <w:rPr>
                <w:sz w:val="20"/>
                <w:szCs w:val="20"/>
                <w:color w:val="auto"/>
              </w:rPr>
            </w:pPr>
            <w:r>
              <w:rPr>
                <w:rFonts w:ascii="Arial" w:cs="Arial" w:eastAsia="Arial" w:hAnsi="Arial"/>
                <w:sz w:val="15"/>
                <w:szCs w:val="15"/>
                <w:b w:val="1"/>
                <w:bCs w:val="1"/>
                <w:color w:val="auto"/>
                <w:w w:val="99"/>
              </w:rPr>
              <w:t>Exhibit</w:t>
            </w:r>
          </w:p>
        </w:tc>
        <w:tc>
          <w:tcPr>
            <w:tcW w:w="2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20" w:type="dxa"/>
            <w:vAlign w:val="bottom"/>
          </w:tcPr>
          <w:p>
            <w:pPr>
              <w:jc w:val="center"/>
              <w:ind w:left="163"/>
              <w:spacing w:after="0"/>
              <w:rPr>
                <w:sz w:val="20"/>
                <w:szCs w:val="20"/>
                <w:color w:val="auto"/>
              </w:rPr>
            </w:pPr>
            <w:r>
              <w:rPr>
                <w:rFonts w:ascii="Arial" w:cs="Arial" w:eastAsia="Arial" w:hAnsi="Arial"/>
                <w:sz w:val="15"/>
                <w:szCs w:val="15"/>
                <w:b w:val="1"/>
                <w:bCs w:val="1"/>
                <w:color w:val="auto"/>
              </w:rPr>
              <w:t>Exhibit</w:t>
            </w:r>
          </w:p>
        </w:tc>
        <w:tc>
          <w:tcPr>
            <w:tcW w:w="1860" w:type="dxa"/>
            <w:vAlign w:val="bottom"/>
          </w:tcPr>
          <w:p>
            <w:pPr>
              <w:spacing w:after="0"/>
              <w:rPr>
                <w:sz w:val="16"/>
                <w:szCs w:val="16"/>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263"/>
              <w:spacing w:after="0"/>
              <w:rPr>
                <w:sz w:val="20"/>
                <w:szCs w:val="20"/>
                <w:color w:val="auto"/>
              </w:rPr>
            </w:pPr>
            <w:r>
              <w:rPr>
                <w:rFonts w:ascii="Arial" w:cs="Arial" w:eastAsia="Arial" w:hAnsi="Arial"/>
                <w:sz w:val="15"/>
                <w:szCs w:val="15"/>
                <w:b w:val="1"/>
                <w:bCs w:val="1"/>
                <w:color w:val="auto"/>
              </w:rPr>
              <w:t>No.</w:t>
            </w:r>
          </w:p>
        </w:tc>
        <w:tc>
          <w:tcPr>
            <w:tcW w:w="24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gridSpan w:val="14"/>
          </w:tcPr>
          <w:p>
            <w:pPr>
              <w:ind w:left="2440"/>
              <w:spacing w:after="0"/>
              <w:rPr>
                <w:sz w:val="20"/>
                <w:szCs w:val="20"/>
                <w:color w:val="auto"/>
              </w:rPr>
            </w:pPr>
            <w:r>
              <w:rPr>
                <w:rFonts w:ascii="Arial" w:cs="Arial" w:eastAsia="Arial" w:hAnsi="Arial"/>
                <w:sz w:val="15"/>
                <w:szCs w:val="15"/>
                <w:b w:val="1"/>
                <w:bCs w:val="1"/>
                <w:color w:val="auto"/>
              </w:rPr>
              <w:t>Description</w:t>
            </w:r>
          </w:p>
        </w:tc>
        <w:tc>
          <w:tcPr>
            <w:tcW w:w="680" w:type="dxa"/>
            <w:vAlign w:val="bottom"/>
            <w:tcBorders>
              <w:bottom w:val="single" w:sz="8" w:color="auto"/>
            </w:tcBorders>
          </w:tcPr>
          <w:p>
            <w:pPr>
              <w:jc w:val="center"/>
              <w:ind w:left="143"/>
              <w:spacing w:after="0"/>
              <w:rPr>
                <w:sz w:val="20"/>
                <w:szCs w:val="20"/>
                <w:color w:val="auto"/>
              </w:rPr>
            </w:pPr>
            <w:r>
              <w:rPr>
                <w:rFonts w:ascii="Arial" w:cs="Arial" w:eastAsia="Arial" w:hAnsi="Arial"/>
                <w:sz w:val="15"/>
                <w:szCs w:val="15"/>
                <w:b w:val="1"/>
                <w:bCs w:val="1"/>
                <w:color w:val="auto"/>
              </w:rPr>
              <w:t>Form</w:t>
            </w:r>
          </w:p>
        </w:tc>
        <w:tc>
          <w:tcPr>
            <w:tcW w:w="1320" w:type="dxa"/>
            <w:vAlign w:val="bottom"/>
            <w:tcBorders>
              <w:bottom w:val="single" w:sz="8" w:color="auto"/>
            </w:tcBorders>
          </w:tcPr>
          <w:p>
            <w:pPr>
              <w:jc w:val="center"/>
              <w:ind w:left="183"/>
              <w:spacing w:after="0"/>
              <w:rPr>
                <w:sz w:val="20"/>
                <w:szCs w:val="20"/>
                <w:color w:val="auto"/>
              </w:rPr>
            </w:pPr>
            <w:r>
              <w:rPr>
                <w:rFonts w:ascii="Arial" w:cs="Arial" w:eastAsia="Arial" w:hAnsi="Arial"/>
                <w:sz w:val="15"/>
                <w:szCs w:val="15"/>
                <w:b w:val="1"/>
                <w:bCs w:val="1"/>
                <w:color w:val="auto"/>
              </w:rPr>
              <w:t>No.</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Filing Date</w:t>
            </w:r>
          </w:p>
        </w:tc>
      </w:tr>
      <w:tr>
        <w:trPr>
          <w:trHeight w:val="177"/>
        </w:trPr>
        <w:tc>
          <w:tcPr>
            <w:tcW w:w="20" w:type="dxa"/>
            <w:vAlign w:val="bottom"/>
          </w:tcPr>
          <w:p>
            <w:pPr>
              <w:spacing w:after="0"/>
              <w:rPr>
                <w:sz w:val="15"/>
                <w:szCs w:val="15"/>
                <w:color w:val="auto"/>
              </w:rPr>
            </w:pPr>
          </w:p>
        </w:tc>
        <w:tc>
          <w:tcPr>
            <w:tcW w:w="220" w:type="dxa"/>
            <w:vAlign w:val="bottom"/>
            <w:tcBorders>
              <w:bottom w:val="single" w:sz="8" w:color="0000FF"/>
            </w:tcBorders>
          </w:tcPr>
          <w:p>
            <w:pPr>
              <w:spacing w:after="0"/>
              <w:rPr>
                <w:rFonts w:ascii="Arial" w:cs="Arial" w:eastAsia="Arial" w:hAnsi="Arial"/>
                <w:sz w:val="15"/>
                <w:szCs w:val="15"/>
                <w:color w:val="0000FF"/>
                <w:w w:val="95"/>
              </w:rPr>
            </w:pPr>
            <w:hyperlink r:id="rId547">
              <w:r>
                <w:rPr>
                  <w:rFonts w:ascii="Arial" w:cs="Arial" w:eastAsia="Arial" w:hAnsi="Arial"/>
                  <w:sz w:val="15"/>
                  <w:szCs w:val="15"/>
                  <w:color w:val="0000FF"/>
                  <w:w w:val="95"/>
                </w:rPr>
                <w:t>3.</w:t>
              </w:r>
              <w:r>
                <w:rPr>
                  <w:rFonts w:ascii="Arial" w:cs="Arial" w:eastAsia="Arial" w:hAnsi="Arial"/>
                  <w:sz w:val="15"/>
                  <w:szCs w:val="15"/>
                  <w:u w:val="single" w:color="auto"/>
                  <w:color w:val="0000FF"/>
                  <w:w w:val="95"/>
                </w:rPr>
                <w:t>1</w:t>
              </w:r>
            </w:hyperlink>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940" w:type="dxa"/>
            <w:vAlign w:val="bottom"/>
            <w:tcBorders>
              <w:bottom w:val="single" w:sz="8" w:color="0000FF"/>
            </w:tcBorders>
            <w:gridSpan w:val="13"/>
          </w:tcPr>
          <w:p>
            <w:pPr>
              <w:spacing w:after="0"/>
              <w:rPr>
                <w:rFonts w:ascii="Arial" w:cs="Arial" w:eastAsia="Arial" w:hAnsi="Arial"/>
                <w:sz w:val="15"/>
                <w:szCs w:val="15"/>
                <w:color w:val="0000FF"/>
              </w:rPr>
            </w:pPr>
            <w:hyperlink r:id="rId547">
              <w:r>
                <w:rPr>
                  <w:rFonts w:ascii="Arial" w:cs="Arial" w:eastAsia="Arial" w:hAnsi="Arial"/>
                  <w:sz w:val="15"/>
                  <w:szCs w:val="15"/>
                  <w:color w:val="0000FF"/>
                </w:rPr>
                <w:t>Amended and Restated Certificate of Incorporation of Pacific Biosciences of California,</w:t>
              </w:r>
            </w:hyperlink>
          </w:p>
        </w:tc>
        <w:tc>
          <w:tcPr>
            <w:tcW w:w="280" w:type="dxa"/>
            <w:vAlign w:val="bottom"/>
            <w:gridSpan w:val="2"/>
          </w:tcPr>
          <w:p>
            <w:pPr>
              <w:spacing w:after="0"/>
              <w:rPr>
                <w:sz w:val="15"/>
                <w:szCs w:val="15"/>
                <w:color w:val="auto"/>
              </w:rPr>
            </w:pPr>
          </w:p>
        </w:tc>
        <w:tc>
          <w:tcPr>
            <w:tcW w:w="680" w:type="dxa"/>
            <w:vAlign w:val="bottom"/>
          </w:tcPr>
          <w:p>
            <w:pPr>
              <w:jc w:val="center"/>
              <w:ind w:left="143"/>
              <w:spacing w:after="0"/>
              <w:rPr>
                <w:sz w:val="20"/>
                <w:szCs w:val="20"/>
                <w:color w:val="auto"/>
              </w:rPr>
            </w:pPr>
            <w:r>
              <w:rPr>
                <w:rFonts w:ascii="Arial" w:cs="Arial" w:eastAsia="Arial" w:hAnsi="Arial"/>
                <w:sz w:val="15"/>
                <w:szCs w:val="15"/>
                <w:color w:val="auto"/>
              </w:rPr>
              <w:t>10-K</w:t>
            </w:r>
          </w:p>
        </w:tc>
        <w:tc>
          <w:tcPr>
            <w:tcW w:w="1320" w:type="dxa"/>
            <w:vAlign w:val="bottom"/>
          </w:tcPr>
          <w:p>
            <w:pPr>
              <w:jc w:val="center"/>
              <w:ind w:left="183"/>
              <w:spacing w:after="0"/>
              <w:rPr>
                <w:sz w:val="20"/>
                <w:szCs w:val="20"/>
                <w:color w:val="auto"/>
              </w:rPr>
            </w:pPr>
            <w:r>
              <w:rPr>
                <w:rFonts w:ascii="Arial" w:cs="Arial" w:eastAsia="Arial" w:hAnsi="Arial"/>
                <w:sz w:val="15"/>
                <w:szCs w:val="15"/>
                <w:color w:val="auto"/>
              </w:rPr>
              <w:t>3.1</w:t>
            </w:r>
          </w:p>
        </w:tc>
        <w:tc>
          <w:tcPr>
            <w:tcW w:w="1860" w:type="dxa"/>
            <w:vAlign w:val="bottom"/>
          </w:tcPr>
          <w:p>
            <w:pPr>
              <w:jc w:val="center"/>
              <w:spacing w:after="0"/>
              <w:rPr>
                <w:sz w:val="20"/>
                <w:szCs w:val="20"/>
                <w:color w:val="auto"/>
              </w:rPr>
            </w:pPr>
            <w:r>
              <w:rPr>
                <w:rFonts w:ascii="Arial" w:cs="Arial" w:eastAsia="Arial" w:hAnsi="Arial"/>
                <w:sz w:val="15"/>
                <w:szCs w:val="15"/>
                <w:color w:val="auto"/>
              </w:rPr>
              <w:t>March 23, 2011</w:t>
            </w:r>
          </w:p>
        </w:tc>
      </w:tr>
      <w:tr>
        <w:trPr>
          <w:trHeight w:val="160"/>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20" w:type="dxa"/>
            <w:vAlign w:val="bottom"/>
            <w:gridSpan w:val="15"/>
          </w:tcPr>
          <w:p>
            <w:pPr>
              <w:spacing w:after="0" w:line="161" w:lineRule="exact"/>
              <w:rPr>
                <w:rFonts w:ascii="Arial" w:cs="Arial" w:eastAsia="Arial" w:hAnsi="Arial"/>
                <w:sz w:val="15"/>
                <w:szCs w:val="15"/>
                <w:color w:val="0000FF"/>
              </w:rPr>
            </w:pPr>
            <w:hyperlink r:id="rId547">
              <w:r>
                <w:rPr>
                  <w:rFonts w:ascii="Arial" w:cs="Arial" w:eastAsia="Arial" w:hAnsi="Arial"/>
                  <w:sz w:val="15"/>
                  <w:szCs w:val="15"/>
                  <w:color w:val="0000FF"/>
                </w:rPr>
                <w:t>Inc.</w:t>
              </w:r>
            </w:hyperlink>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220" w:type="dxa"/>
            <w:vAlign w:val="bottom"/>
          </w:tcPr>
          <w:p>
            <w:pPr>
              <w:spacing w:after="0"/>
              <w:rPr>
                <w:rFonts w:ascii="Arial" w:cs="Arial" w:eastAsia="Arial" w:hAnsi="Arial"/>
                <w:sz w:val="15"/>
                <w:szCs w:val="15"/>
                <w:color w:val="0000FF"/>
                <w:w w:val="95"/>
              </w:rPr>
            </w:pPr>
            <w:hyperlink r:id="rId548">
              <w:r>
                <w:rPr>
                  <w:rFonts w:ascii="Arial" w:cs="Arial" w:eastAsia="Arial" w:hAnsi="Arial"/>
                  <w:sz w:val="15"/>
                  <w:szCs w:val="15"/>
                  <w:color w:val="0000FF"/>
                  <w:w w:val="95"/>
                </w:rPr>
                <w:t>3.</w:t>
              </w:r>
              <w:r>
                <w:rPr>
                  <w:rFonts w:ascii="Arial" w:cs="Arial" w:eastAsia="Arial" w:hAnsi="Arial"/>
                  <w:sz w:val="15"/>
                  <w:szCs w:val="15"/>
                  <w:u w:val="single" w:color="auto"/>
                  <w:color w:val="0000FF"/>
                  <w:w w:val="95"/>
                </w:rPr>
                <w:t>2</w:t>
              </w:r>
            </w:hyperlink>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20" w:type="dxa"/>
            <w:vAlign w:val="bottom"/>
            <w:gridSpan w:val="15"/>
          </w:tcPr>
          <w:p>
            <w:pPr>
              <w:spacing w:after="0"/>
              <w:rPr>
                <w:rFonts w:ascii="Arial" w:cs="Arial" w:eastAsia="Arial" w:hAnsi="Arial"/>
                <w:sz w:val="15"/>
                <w:szCs w:val="15"/>
                <w:color w:val="0000FF"/>
              </w:rPr>
            </w:pPr>
            <w:hyperlink r:id="rId548">
              <w:r>
                <w:rPr>
                  <w:rFonts w:ascii="Arial" w:cs="Arial" w:eastAsia="Arial" w:hAnsi="Arial"/>
                  <w:sz w:val="15"/>
                  <w:szCs w:val="15"/>
                  <w:color w:val="0000FF"/>
                </w:rPr>
                <w:t>Certificate of Amendment to the Amended and Restated Certificate of Incorporation of</w:t>
              </w:r>
            </w:hyperlink>
          </w:p>
        </w:tc>
        <w:tc>
          <w:tcPr>
            <w:tcW w:w="680" w:type="dxa"/>
            <w:vAlign w:val="bottom"/>
          </w:tcPr>
          <w:p>
            <w:pPr>
              <w:jc w:val="center"/>
              <w:ind w:left="123"/>
              <w:spacing w:after="0"/>
              <w:rPr>
                <w:sz w:val="20"/>
                <w:szCs w:val="20"/>
                <w:color w:val="auto"/>
              </w:rPr>
            </w:pPr>
            <w:r>
              <w:rPr>
                <w:rFonts w:ascii="Arial" w:cs="Arial" w:eastAsia="Arial" w:hAnsi="Arial"/>
                <w:sz w:val="15"/>
                <w:szCs w:val="15"/>
                <w:color w:val="auto"/>
              </w:rPr>
              <w:t>8-K</w:t>
            </w:r>
          </w:p>
        </w:tc>
        <w:tc>
          <w:tcPr>
            <w:tcW w:w="1320" w:type="dxa"/>
            <w:vAlign w:val="bottom"/>
          </w:tcPr>
          <w:p>
            <w:pPr>
              <w:jc w:val="center"/>
              <w:ind w:left="183"/>
              <w:spacing w:after="0"/>
              <w:rPr>
                <w:sz w:val="20"/>
                <w:szCs w:val="20"/>
                <w:color w:val="auto"/>
              </w:rPr>
            </w:pPr>
            <w:r>
              <w:rPr>
                <w:rFonts w:ascii="Arial" w:cs="Arial" w:eastAsia="Arial" w:hAnsi="Arial"/>
                <w:sz w:val="15"/>
                <w:szCs w:val="15"/>
                <w:color w:val="auto"/>
              </w:rPr>
              <w:t>3.1</w:t>
            </w:r>
          </w:p>
        </w:tc>
        <w:tc>
          <w:tcPr>
            <w:tcW w:w="1860" w:type="dxa"/>
            <w:vAlign w:val="bottom"/>
          </w:tcPr>
          <w:p>
            <w:pPr>
              <w:jc w:val="center"/>
              <w:spacing w:after="0"/>
              <w:rPr>
                <w:sz w:val="20"/>
                <w:szCs w:val="20"/>
                <w:color w:val="auto"/>
              </w:rPr>
            </w:pPr>
            <w:r>
              <w:rPr>
                <w:rFonts w:ascii="Arial" w:cs="Arial" w:eastAsia="Arial" w:hAnsi="Arial"/>
                <w:sz w:val="15"/>
                <w:szCs w:val="15"/>
                <w:color w:val="auto"/>
              </w:rPr>
              <w:t>June 20, 2024</w:t>
            </w:r>
          </w:p>
        </w:tc>
      </w:tr>
      <w:tr>
        <w:trPr>
          <w:trHeight w:val="160"/>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4"/>
          </w:tcPr>
          <w:p>
            <w:pPr>
              <w:spacing w:after="0" w:line="161" w:lineRule="exact"/>
              <w:rPr>
                <w:rFonts w:ascii="Arial" w:cs="Arial" w:eastAsia="Arial" w:hAnsi="Arial"/>
                <w:sz w:val="15"/>
                <w:szCs w:val="15"/>
                <w:color w:val="0000FF"/>
              </w:rPr>
            </w:pPr>
            <w:hyperlink r:id="rId548">
              <w:r>
                <w:rPr>
                  <w:rFonts w:ascii="Arial" w:cs="Arial" w:eastAsia="Arial" w:hAnsi="Arial"/>
                  <w:sz w:val="15"/>
                  <w:szCs w:val="15"/>
                  <w:color w:val="0000FF"/>
                </w:rPr>
                <w:t>Pacific Biosciences of California, Inc. to declassify the Board</w:t>
              </w:r>
            </w:hyperlink>
          </w:p>
        </w:tc>
        <w:tc>
          <w:tcPr>
            <w:tcW w:w="1720" w:type="dxa"/>
            <w:vAlign w:val="bottom"/>
            <w:tcBorders>
              <w:top w:val="single" w:sz="8" w:color="0000FF"/>
            </w:tcBorders>
            <w:gridSpan w:val="6"/>
          </w:tcPr>
          <w:p>
            <w:pPr>
              <w:spacing w:after="0"/>
              <w:rPr>
                <w:sz w:val="13"/>
                <w:szCs w:val="13"/>
                <w:color w:val="auto"/>
              </w:rPr>
            </w:pPr>
          </w:p>
        </w:tc>
        <w:tc>
          <w:tcPr>
            <w:tcW w:w="36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220" w:type="dxa"/>
            <w:vAlign w:val="bottom"/>
          </w:tcPr>
          <w:p>
            <w:pPr>
              <w:spacing w:after="0"/>
              <w:rPr>
                <w:rFonts w:ascii="Arial" w:cs="Arial" w:eastAsia="Arial" w:hAnsi="Arial"/>
                <w:sz w:val="15"/>
                <w:szCs w:val="15"/>
                <w:color w:val="0000FF"/>
                <w:w w:val="95"/>
              </w:rPr>
            </w:pPr>
            <w:hyperlink r:id="rId549">
              <w:r>
                <w:rPr>
                  <w:rFonts w:ascii="Arial" w:cs="Arial" w:eastAsia="Arial" w:hAnsi="Arial"/>
                  <w:sz w:val="15"/>
                  <w:szCs w:val="15"/>
                  <w:color w:val="0000FF"/>
                  <w:w w:val="95"/>
                </w:rPr>
                <w:t>3.</w:t>
              </w:r>
              <w:r>
                <w:rPr>
                  <w:rFonts w:ascii="Arial" w:cs="Arial" w:eastAsia="Arial" w:hAnsi="Arial"/>
                  <w:sz w:val="15"/>
                  <w:szCs w:val="15"/>
                  <w:u w:val="single" w:color="auto"/>
                  <w:color w:val="0000FF"/>
                  <w:w w:val="95"/>
                </w:rPr>
                <w:t>3</w:t>
              </w:r>
            </w:hyperlink>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20" w:type="dxa"/>
            <w:vAlign w:val="bottom"/>
            <w:gridSpan w:val="15"/>
          </w:tcPr>
          <w:p>
            <w:pPr>
              <w:spacing w:after="0"/>
              <w:rPr>
                <w:rFonts w:ascii="Arial" w:cs="Arial" w:eastAsia="Arial" w:hAnsi="Arial"/>
                <w:sz w:val="15"/>
                <w:szCs w:val="15"/>
                <w:color w:val="0000FF"/>
              </w:rPr>
            </w:pPr>
            <w:hyperlink r:id="rId549">
              <w:r>
                <w:rPr>
                  <w:rFonts w:ascii="Arial" w:cs="Arial" w:eastAsia="Arial" w:hAnsi="Arial"/>
                  <w:sz w:val="15"/>
                  <w:szCs w:val="15"/>
                  <w:color w:val="0000FF"/>
                </w:rPr>
                <w:t>Certificate of Amendment to the Amended and Restated Certificate of Incorporation of</w:t>
              </w:r>
            </w:hyperlink>
          </w:p>
        </w:tc>
        <w:tc>
          <w:tcPr>
            <w:tcW w:w="680" w:type="dxa"/>
            <w:vAlign w:val="bottom"/>
          </w:tcPr>
          <w:p>
            <w:pPr>
              <w:jc w:val="center"/>
              <w:ind w:left="123"/>
              <w:spacing w:after="0"/>
              <w:rPr>
                <w:sz w:val="20"/>
                <w:szCs w:val="20"/>
                <w:color w:val="auto"/>
              </w:rPr>
            </w:pPr>
            <w:r>
              <w:rPr>
                <w:rFonts w:ascii="Arial" w:cs="Arial" w:eastAsia="Arial" w:hAnsi="Arial"/>
                <w:sz w:val="15"/>
                <w:szCs w:val="15"/>
                <w:color w:val="auto"/>
              </w:rPr>
              <w:t>8-K</w:t>
            </w:r>
          </w:p>
        </w:tc>
        <w:tc>
          <w:tcPr>
            <w:tcW w:w="1320" w:type="dxa"/>
            <w:vAlign w:val="bottom"/>
          </w:tcPr>
          <w:p>
            <w:pPr>
              <w:jc w:val="center"/>
              <w:ind w:left="183"/>
              <w:spacing w:after="0"/>
              <w:rPr>
                <w:sz w:val="20"/>
                <w:szCs w:val="20"/>
                <w:color w:val="auto"/>
              </w:rPr>
            </w:pPr>
            <w:r>
              <w:rPr>
                <w:rFonts w:ascii="Arial" w:cs="Arial" w:eastAsia="Arial" w:hAnsi="Arial"/>
                <w:sz w:val="15"/>
                <w:szCs w:val="15"/>
                <w:color w:val="auto"/>
              </w:rPr>
              <w:t>3.2</w:t>
            </w:r>
          </w:p>
        </w:tc>
        <w:tc>
          <w:tcPr>
            <w:tcW w:w="1860" w:type="dxa"/>
            <w:vAlign w:val="bottom"/>
          </w:tcPr>
          <w:p>
            <w:pPr>
              <w:jc w:val="center"/>
              <w:spacing w:after="0"/>
              <w:rPr>
                <w:sz w:val="20"/>
                <w:szCs w:val="20"/>
                <w:color w:val="auto"/>
              </w:rPr>
            </w:pPr>
            <w:r>
              <w:rPr>
                <w:rFonts w:ascii="Arial" w:cs="Arial" w:eastAsia="Arial" w:hAnsi="Arial"/>
                <w:sz w:val="15"/>
                <w:szCs w:val="15"/>
                <w:color w:val="auto"/>
              </w:rPr>
              <w:t>June 20, 2024</w:t>
            </w:r>
          </w:p>
        </w:tc>
      </w:tr>
      <w:tr>
        <w:trPr>
          <w:trHeight w:val="160"/>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60" w:type="dxa"/>
            <w:vAlign w:val="bottom"/>
            <w:tcBorders>
              <w:top w:val="single" w:sz="8" w:color="0000FF"/>
            </w:tcBorders>
            <w:gridSpan w:val="10"/>
          </w:tcPr>
          <w:p>
            <w:pPr>
              <w:spacing w:after="0" w:line="161" w:lineRule="exact"/>
              <w:rPr>
                <w:rFonts w:ascii="Arial" w:cs="Arial" w:eastAsia="Arial" w:hAnsi="Arial"/>
                <w:sz w:val="15"/>
                <w:szCs w:val="15"/>
                <w:color w:val="0000FF"/>
              </w:rPr>
            </w:pPr>
            <w:hyperlink r:id="rId549">
              <w:r>
                <w:rPr>
                  <w:rFonts w:ascii="Arial" w:cs="Arial" w:eastAsia="Arial" w:hAnsi="Arial"/>
                  <w:sz w:val="15"/>
                  <w:szCs w:val="15"/>
                  <w:color w:val="0000FF"/>
                </w:rPr>
                <w:t>Pacific Biosciences of California, Inc. to limit the liability of officers</w:t>
              </w:r>
            </w:hyperlink>
          </w:p>
        </w:tc>
        <w:tc>
          <w:tcPr>
            <w:tcW w:w="36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220" w:type="dxa"/>
            <w:vAlign w:val="bottom"/>
            <w:tcBorders>
              <w:bottom w:val="single" w:sz="8" w:color="0000FF"/>
            </w:tcBorders>
          </w:tcPr>
          <w:p>
            <w:pPr>
              <w:spacing w:after="0"/>
              <w:rPr>
                <w:rFonts w:ascii="Arial" w:cs="Arial" w:eastAsia="Arial" w:hAnsi="Arial"/>
                <w:sz w:val="15"/>
                <w:szCs w:val="15"/>
                <w:color w:val="0000FF"/>
                <w:w w:val="95"/>
              </w:rPr>
            </w:pPr>
            <w:hyperlink r:id="rId550">
              <w:r>
                <w:rPr>
                  <w:rFonts w:ascii="Arial" w:cs="Arial" w:eastAsia="Arial" w:hAnsi="Arial"/>
                  <w:sz w:val="15"/>
                  <w:szCs w:val="15"/>
                  <w:color w:val="0000FF"/>
                  <w:w w:val="95"/>
                </w:rPr>
                <w:t>3.</w:t>
              </w:r>
              <w:r>
                <w:rPr>
                  <w:rFonts w:ascii="Arial" w:cs="Arial" w:eastAsia="Arial" w:hAnsi="Arial"/>
                  <w:sz w:val="15"/>
                  <w:szCs w:val="15"/>
                  <w:u w:val="single" w:color="auto"/>
                  <w:color w:val="0000FF"/>
                  <w:w w:val="95"/>
                </w:rPr>
                <w:t>4</w:t>
              </w:r>
            </w:hyperlink>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300" w:type="dxa"/>
            <w:vAlign w:val="bottom"/>
            <w:tcBorders>
              <w:bottom w:val="single" w:sz="8" w:color="0000FF"/>
            </w:tcBorders>
            <w:gridSpan w:val="7"/>
          </w:tcPr>
          <w:p>
            <w:pPr>
              <w:spacing w:after="0"/>
              <w:rPr>
                <w:rFonts w:ascii="Arial" w:cs="Arial" w:eastAsia="Arial" w:hAnsi="Arial"/>
                <w:sz w:val="15"/>
                <w:szCs w:val="15"/>
                <w:color w:val="0000FF"/>
              </w:rPr>
            </w:pPr>
            <w:hyperlink r:id="rId550">
              <w:r>
                <w:rPr>
                  <w:rFonts w:ascii="Arial" w:cs="Arial" w:eastAsia="Arial" w:hAnsi="Arial"/>
                  <w:sz w:val="15"/>
                  <w:szCs w:val="15"/>
                  <w:color w:val="0000FF"/>
                </w:rPr>
                <w:t>Third Amended and Restated Bylaws of Pacific Biosciences of California, Inc.</w:t>
              </w:r>
            </w:hyperlink>
          </w:p>
        </w:tc>
        <w:tc>
          <w:tcPr>
            <w:tcW w:w="920" w:type="dxa"/>
            <w:vAlign w:val="bottom"/>
            <w:gridSpan w:val="8"/>
          </w:tcPr>
          <w:p>
            <w:pPr>
              <w:spacing w:after="0"/>
              <w:rPr>
                <w:sz w:val="19"/>
                <w:szCs w:val="19"/>
                <w:color w:val="auto"/>
              </w:rPr>
            </w:pPr>
          </w:p>
        </w:tc>
        <w:tc>
          <w:tcPr>
            <w:tcW w:w="680" w:type="dxa"/>
            <w:vAlign w:val="bottom"/>
          </w:tcPr>
          <w:p>
            <w:pPr>
              <w:jc w:val="center"/>
              <w:ind w:left="123"/>
              <w:spacing w:after="0"/>
              <w:rPr>
                <w:sz w:val="20"/>
                <w:szCs w:val="20"/>
                <w:color w:val="auto"/>
              </w:rPr>
            </w:pPr>
            <w:r>
              <w:rPr>
                <w:rFonts w:ascii="Arial" w:cs="Arial" w:eastAsia="Arial" w:hAnsi="Arial"/>
                <w:sz w:val="15"/>
                <w:szCs w:val="15"/>
                <w:color w:val="auto"/>
              </w:rPr>
              <w:t>8-K</w:t>
            </w:r>
          </w:p>
        </w:tc>
        <w:tc>
          <w:tcPr>
            <w:tcW w:w="1320" w:type="dxa"/>
            <w:vAlign w:val="bottom"/>
          </w:tcPr>
          <w:p>
            <w:pPr>
              <w:jc w:val="center"/>
              <w:ind w:left="183"/>
              <w:spacing w:after="0"/>
              <w:rPr>
                <w:sz w:val="20"/>
                <w:szCs w:val="20"/>
                <w:color w:val="auto"/>
              </w:rPr>
            </w:pPr>
            <w:r>
              <w:rPr>
                <w:rFonts w:ascii="Arial" w:cs="Arial" w:eastAsia="Arial" w:hAnsi="Arial"/>
                <w:sz w:val="15"/>
                <w:szCs w:val="15"/>
                <w:color w:val="auto"/>
              </w:rPr>
              <w:t>3.1</w:t>
            </w:r>
          </w:p>
        </w:tc>
        <w:tc>
          <w:tcPr>
            <w:tcW w:w="1860" w:type="dxa"/>
            <w:vAlign w:val="bottom"/>
          </w:tcPr>
          <w:p>
            <w:pPr>
              <w:jc w:val="center"/>
              <w:spacing w:after="0"/>
              <w:rPr>
                <w:sz w:val="20"/>
                <w:szCs w:val="20"/>
                <w:color w:val="auto"/>
              </w:rPr>
            </w:pPr>
            <w:r>
              <w:rPr>
                <w:rFonts w:ascii="Arial" w:cs="Arial" w:eastAsia="Arial" w:hAnsi="Arial"/>
                <w:sz w:val="15"/>
                <w:szCs w:val="15"/>
                <w:color w:val="auto"/>
              </w:rPr>
              <w:t>November 7, 2022</w:t>
            </w:r>
          </w:p>
        </w:tc>
      </w:tr>
      <w:tr>
        <w:trPr>
          <w:trHeight w:val="232"/>
        </w:trPr>
        <w:tc>
          <w:tcPr>
            <w:tcW w:w="20" w:type="dxa"/>
            <w:vAlign w:val="bottom"/>
          </w:tcPr>
          <w:p>
            <w:pPr>
              <w:spacing w:after="0"/>
              <w:rPr>
                <w:sz w:val="20"/>
                <w:szCs w:val="20"/>
                <w:color w:val="auto"/>
              </w:rPr>
            </w:pPr>
          </w:p>
        </w:tc>
        <w:tc>
          <w:tcPr>
            <w:tcW w:w="1140" w:type="dxa"/>
            <w:vAlign w:val="bottom"/>
            <w:gridSpan w:val="3"/>
          </w:tcPr>
          <w:p>
            <w:pPr>
              <w:spacing w:after="0"/>
              <w:rPr>
                <w:rFonts w:ascii="Arial" w:cs="Arial" w:eastAsia="Arial" w:hAnsi="Arial"/>
                <w:sz w:val="15"/>
                <w:szCs w:val="15"/>
                <w:color w:val="0000FF"/>
              </w:rPr>
            </w:pPr>
            <w:hyperlink r:id="rId551">
              <w:r>
                <w:rPr>
                  <w:rFonts w:ascii="Arial" w:cs="Arial" w:eastAsia="Arial" w:hAnsi="Arial"/>
                  <w:sz w:val="15"/>
                  <w:szCs w:val="15"/>
                  <w:color w:val="0000FF"/>
                </w:rPr>
                <w:t>10.</w:t>
              </w:r>
              <w:r>
                <w:rPr>
                  <w:rFonts w:ascii="Arial" w:cs="Arial" w:eastAsia="Arial" w:hAnsi="Arial"/>
                  <w:sz w:val="15"/>
                  <w:szCs w:val="15"/>
                  <w:u w:val="single" w:color="auto"/>
                  <w:color w:val="0000FF"/>
                </w:rPr>
                <w:t>1</w:t>
              </w:r>
            </w:hyperlink>
            <w:r>
              <w:rPr>
                <w:rFonts w:ascii="Arial" w:cs="Arial" w:eastAsia="Arial" w:hAnsi="Arial"/>
                <w:sz w:val="15"/>
                <w:szCs w:val="15"/>
                <w:color w:val="000000"/>
              </w:rPr>
              <w:t>†</w:t>
            </w:r>
          </w:p>
        </w:tc>
        <w:tc>
          <w:tcPr>
            <w:tcW w:w="6220" w:type="dxa"/>
            <w:vAlign w:val="bottom"/>
            <w:gridSpan w:val="15"/>
          </w:tcPr>
          <w:p>
            <w:pPr>
              <w:spacing w:after="0"/>
              <w:rPr>
                <w:rFonts w:ascii="Arial" w:cs="Arial" w:eastAsia="Arial" w:hAnsi="Arial"/>
                <w:sz w:val="15"/>
                <w:szCs w:val="15"/>
                <w:color w:val="0000FF"/>
              </w:rPr>
            </w:pPr>
            <w:hyperlink r:id="rId551">
              <w:r>
                <w:rPr>
                  <w:rFonts w:ascii="Arial" w:cs="Arial" w:eastAsia="Arial" w:hAnsi="Arial"/>
                  <w:sz w:val="15"/>
                  <w:szCs w:val="15"/>
                  <w:color w:val="0000FF"/>
                </w:rPr>
                <w:t>Asset Purchase Agreement, dated January 30, 2026, by and between the Company,</w:t>
              </w:r>
            </w:hyperlink>
          </w:p>
        </w:tc>
        <w:tc>
          <w:tcPr>
            <w:tcW w:w="680" w:type="dxa"/>
            <w:vAlign w:val="bottom"/>
          </w:tcPr>
          <w:p>
            <w:pPr>
              <w:jc w:val="center"/>
              <w:ind w:left="123"/>
              <w:spacing w:after="0"/>
              <w:rPr>
                <w:sz w:val="20"/>
                <w:szCs w:val="20"/>
                <w:color w:val="auto"/>
              </w:rPr>
            </w:pPr>
            <w:r>
              <w:rPr>
                <w:rFonts w:ascii="Arial" w:cs="Arial" w:eastAsia="Arial" w:hAnsi="Arial"/>
                <w:sz w:val="15"/>
                <w:szCs w:val="15"/>
                <w:color w:val="auto"/>
              </w:rPr>
              <w:t>8-K</w:t>
            </w:r>
          </w:p>
        </w:tc>
        <w:tc>
          <w:tcPr>
            <w:tcW w:w="1320" w:type="dxa"/>
            <w:vAlign w:val="bottom"/>
          </w:tcPr>
          <w:p>
            <w:pPr>
              <w:jc w:val="center"/>
              <w:ind w:left="183"/>
              <w:spacing w:after="0"/>
              <w:rPr>
                <w:sz w:val="20"/>
                <w:szCs w:val="20"/>
                <w:color w:val="auto"/>
              </w:rPr>
            </w:pPr>
            <w:r>
              <w:rPr>
                <w:rFonts w:ascii="Arial" w:cs="Arial" w:eastAsia="Arial" w:hAnsi="Arial"/>
                <w:sz w:val="15"/>
                <w:szCs w:val="15"/>
                <w:color w:val="auto"/>
              </w:rPr>
              <w:t>10.1</w:t>
            </w:r>
          </w:p>
        </w:tc>
        <w:tc>
          <w:tcPr>
            <w:tcW w:w="1860" w:type="dxa"/>
            <w:vAlign w:val="bottom"/>
          </w:tcPr>
          <w:p>
            <w:pPr>
              <w:jc w:val="center"/>
              <w:spacing w:after="0"/>
              <w:rPr>
                <w:sz w:val="20"/>
                <w:szCs w:val="20"/>
                <w:color w:val="auto"/>
              </w:rPr>
            </w:pPr>
            <w:r>
              <w:rPr>
                <w:rFonts w:ascii="Arial" w:cs="Arial" w:eastAsia="Arial" w:hAnsi="Arial"/>
                <w:sz w:val="15"/>
                <w:szCs w:val="15"/>
                <w:color w:val="auto"/>
              </w:rPr>
              <w:t>February 2, 2026</w:t>
            </w:r>
          </w:p>
        </w:tc>
      </w:tr>
      <w:tr>
        <w:trPr>
          <w:trHeight w:val="140"/>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40" w:type="dxa"/>
            <w:vAlign w:val="bottom"/>
          </w:tcPr>
          <w:p>
            <w:pPr>
              <w:spacing w:after="0"/>
              <w:rPr>
                <w:sz w:val="12"/>
                <w:szCs w:val="12"/>
                <w:color w:val="auto"/>
              </w:rPr>
            </w:pPr>
          </w:p>
        </w:tc>
        <w:tc>
          <w:tcPr>
            <w:tcW w:w="5760" w:type="dxa"/>
            <w:vAlign w:val="bottom"/>
            <w:tcBorders>
              <w:top w:val="single" w:sz="8" w:color="0000FF"/>
            </w:tcBorders>
            <w:gridSpan w:val="9"/>
          </w:tcPr>
          <w:p>
            <w:pPr>
              <w:spacing w:after="0" w:line="141" w:lineRule="exact"/>
              <w:rPr>
                <w:rFonts w:ascii="Arial" w:cs="Arial" w:eastAsia="Arial" w:hAnsi="Arial"/>
                <w:sz w:val="15"/>
                <w:szCs w:val="15"/>
                <w:color w:val="0000FF"/>
              </w:rPr>
            </w:pPr>
            <w:hyperlink r:id="rId551">
              <w:r>
                <w:rPr>
                  <w:rFonts w:ascii="Arial" w:cs="Arial" w:eastAsia="Arial" w:hAnsi="Arial"/>
                  <w:sz w:val="15"/>
                  <w:szCs w:val="15"/>
                  <w:color w:val="0000FF"/>
                </w:rPr>
                <w:t>Illumina Cambridge Limited, and Illumina, Inc.</w:t>
              </w:r>
            </w:hyperlink>
          </w:p>
        </w:tc>
        <w:tc>
          <w:tcPr>
            <w:tcW w:w="460" w:type="dxa"/>
            <w:vAlign w:val="bottom"/>
            <w:gridSpan w:val="6"/>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20"/>
        </w:trPr>
        <w:tc>
          <w:tcPr>
            <w:tcW w:w="3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2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5"/>
                <w:szCs w:val="15"/>
                <w:color w:val="0000FF"/>
              </w:rPr>
              <w:t>10.</w:t>
            </w:r>
            <w:r>
              <w:rPr>
                <w:rFonts w:ascii="Arial" w:cs="Arial" w:eastAsia="Arial" w:hAnsi="Arial"/>
                <w:sz w:val="15"/>
                <w:szCs w:val="15"/>
                <w:u w:val="single" w:color="auto"/>
                <w:color w:val="0000FF"/>
              </w:rPr>
              <w:t>2</w:t>
            </w:r>
            <w:r>
              <w:rPr>
                <w:rFonts w:ascii="Arial" w:cs="Arial" w:eastAsia="Arial" w:hAnsi="Arial"/>
                <w:sz w:val="15"/>
                <w:szCs w:val="15"/>
                <w:color w:val="000000"/>
              </w:rPr>
              <w:t>+</w:t>
            </w:r>
          </w:p>
        </w:tc>
        <w:tc>
          <w:tcPr>
            <w:tcW w:w="6220" w:type="dxa"/>
            <w:vAlign w:val="bottom"/>
            <w:gridSpan w:val="15"/>
          </w:tcPr>
          <w:p>
            <w:pPr>
              <w:spacing w:after="0"/>
              <w:rPr>
                <w:sz w:val="20"/>
                <w:szCs w:val="20"/>
                <w:color w:val="auto"/>
              </w:rPr>
            </w:pPr>
            <w:r>
              <w:rPr>
                <w:rFonts w:ascii="Arial" w:cs="Arial" w:eastAsia="Arial" w:hAnsi="Arial"/>
                <w:sz w:val="15"/>
                <w:szCs w:val="15"/>
                <w:color w:val="0000FF"/>
              </w:rPr>
              <w:t>Amended and Restated Outside Director Compensation Policy</w:t>
            </w: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5"/>
                <w:szCs w:val="15"/>
                <w:color w:val="auto"/>
              </w:rPr>
              <w:t>Filed herewith</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5"/>
                <w:szCs w:val="15"/>
                <w:color w:val="0000FF"/>
                <w:w w:val="95"/>
              </w:rPr>
              <w:t>31.</w:t>
            </w:r>
            <w:r>
              <w:rPr>
                <w:rFonts w:ascii="Arial" w:cs="Arial" w:eastAsia="Arial" w:hAnsi="Arial"/>
                <w:sz w:val="15"/>
                <w:szCs w:val="15"/>
                <w:u w:val="single" w:color="auto"/>
                <w:color w:val="0000FF"/>
                <w:w w:val="95"/>
              </w:rPr>
              <w:t>1</w:t>
            </w:r>
          </w:p>
        </w:tc>
        <w:tc>
          <w:tcPr>
            <w:tcW w:w="840" w:type="dxa"/>
            <w:vAlign w:val="bottom"/>
          </w:tcPr>
          <w:p>
            <w:pPr>
              <w:spacing w:after="0"/>
              <w:rPr>
                <w:sz w:val="18"/>
                <w:szCs w:val="18"/>
                <w:color w:val="auto"/>
              </w:rPr>
            </w:pPr>
          </w:p>
        </w:tc>
        <w:tc>
          <w:tcPr>
            <w:tcW w:w="6220" w:type="dxa"/>
            <w:vAlign w:val="bottom"/>
            <w:gridSpan w:val="15"/>
          </w:tcPr>
          <w:p>
            <w:pPr>
              <w:spacing w:after="0"/>
              <w:rPr>
                <w:sz w:val="20"/>
                <w:szCs w:val="20"/>
                <w:color w:val="auto"/>
              </w:rPr>
            </w:pPr>
            <w:r>
              <w:rPr>
                <w:rFonts w:ascii="Arial" w:cs="Arial" w:eastAsia="Arial" w:hAnsi="Arial"/>
                <w:sz w:val="15"/>
                <w:szCs w:val="15"/>
                <w:color w:val="0000FF"/>
              </w:rPr>
              <w:t>Certification of Chief Executive Officer pursuant to Exchange Act Rules 13a-14(a) and</w:t>
            </w: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5"/>
                <w:szCs w:val="15"/>
                <w:color w:val="auto"/>
              </w:rPr>
              <w:t>Filed herewith</w:t>
            </w:r>
          </w:p>
        </w:tc>
      </w:tr>
      <w:tr>
        <w:trPr>
          <w:trHeight w:val="160"/>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5860" w:type="dxa"/>
            <w:vAlign w:val="bottom"/>
            <w:tcBorders>
              <w:top w:val="single" w:sz="8" w:color="0000FF"/>
            </w:tcBorders>
            <w:gridSpan w:val="10"/>
          </w:tcPr>
          <w:p>
            <w:pPr>
              <w:spacing w:after="0" w:line="161" w:lineRule="exact"/>
              <w:rPr>
                <w:sz w:val="20"/>
                <w:szCs w:val="20"/>
                <w:color w:val="auto"/>
              </w:rPr>
            </w:pPr>
            <w:r>
              <w:rPr>
                <w:rFonts w:ascii="Arial" w:cs="Arial" w:eastAsia="Arial" w:hAnsi="Arial"/>
                <w:sz w:val="15"/>
                <w:szCs w:val="15"/>
                <w:color w:val="0000FF"/>
              </w:rPr>
              <w:t>15d-14(a), as adopted pursuant to Section 302 of the Sarbanes-Oxley Act of 2002</w:t>
            </w:r>
          </w:p>
        </w:tc>
        <w:tc>
          <w:tcPr>
            <w:tcW w:w="36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0"/>
        </w:trPr>
        <w:tc>
          <w:tcPr>
            <w:tcW w:w="3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40" w:type="dxa"/>
            <w:vAlign w:val="bottom"/>
            <w:gridSpan w:val="3"/>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00" w:type="dxa"/>
            <w:vAlign w:val="bottom"/>
            <w:gridSpan w:val="2"/>
          </w:tcPr>
          <w:p>
            <w:pPr>
              <w:spacing w:after="0"/>
              <w:rPr>
                <w:sz w:val="20"/>
                <w:szCs w:val="20"/>
                <w:color w:val="auto"/>
              </w:rPr>
            </w:pPr>
            <w:r>
              <w:rPr>
                <w:rFonts w:ascii="Arial" w:cs="Arial" w:eastAsia="Arial" w:hAnsi="Arial"/>
                <w:sz w:val="15"/>
                <w:szCs w:val="15"/>
                <w:color w:val="0000FF"/>
                <w:w w:val="95"/>
              </w:rPr>
              <w:t>31.</w:t>
            </w:r>
            <w:r>
              <w:rPr>
                <w:rFonts w:ascii="Arial" w:cs="Arial" w:eastAsia="Arial" w:hAnsi="Arial"/>
                <w:sz w:val="15"/>
                <w:szCs w:val="15"/>
                <w:u w:val="single" w:color="auto"/>
                <w:color w:val="0000FF"/>
                <w:w w:val="95"/>
              </w:rPr>
              <w:t>2</w:t>
            </w:r>
          </w:p>
        </w:tc>
        <w:tc>
          <w:tcPr>
            <w:tcW w:w="840" w:type="dxa"/>
            <w:vAlign w:val="bottom"/>
          </w:tcPr>
          <w:p>
            <w:pPr>
              <w:spacing w:after="0"/>
              <w:rPr>
                <w:sz w:val="19"/>
                <w:szCs w:val="19"/>
                <w:color w:val="auto"/>
              </w:rPr>
            </w:pPr>
          </w:p>
        </w:tc>
        <w:tc>
          <w:tcPr>
            <w:tcW w:w="6220" w:type="dxa"/>
            <w:vAlign w:val="bottom"/>
            <w:gridSpan w:val="15"/>
          </w:tcPr>
          <w:p>
            <w:pPr>
              <w:spacing w:after="0"/>
              <w:rPr>
                <w:sz w:val="20"/>
                <w:szCs w:val="20"/>
                <w:color w:val="auto"/>
              </w:rPr>
            </w:pPr>
            <w:r>
              <w:rPr>
                <w:rFonts w:ascii="Arial" w:cs="Arial" w:eastAsia="Arial" w:hAnsi="Arial"/>
                <w:sz w:val="15"/>
                <w:szCs w:val="15"/>
                <w:color w:val="0000FF"/>
              </w:rPr>
              <w:t>Certification of Chief Financial Officer pursuant to Exchange Act Rules 13a-14(a) and 15d-</w:t>
            </w: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5"/>
                <w:szCs w:val="15"/>
                <w:color w:val="auto"/>
              </w:rPr>
              <w:t>Filed herewith</w:t>
            </w:r>
          </w:p>
        </w:tc>
      </w:tr>
      <w:tr>
        <w:trPr>
          <w:trHeight w:val="160"/>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7"/>
          </w:tcPr>
          <w:p>
            <w:pPr>
              <w:spacing w:after="0" w:line="161" w:lineRule="exact"/>
              <w:rPr>
                <w:sz w:val="20"/>
                <w:szCs w:val="20"/>
                <w:color w:val="auto"/>
              </w:rPr>
            </w:pPr>
            <w:r>
              <w:rPr>
                <w:rFonts w:ascii="Arial" w:cs="Arial" w:eastAsia="Arial" w:hAnsi="Arial"/>
                <w:sz w:val="15"/>
                <w:szCs w:val="15"/>
                <w:color w:val="0000FF"/>
              </w:rPr>
              <w:t>14(a), as adopted pursuant to Section 302 of the Sarbanes-Oxley Act of 2002</w:t>
            </w:r>
          </w:p>
        </w:tc>
        <w:tc>
          <w:tcPr>
            <w:tcW w:w="86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45"/>
        </w:trPr>
        <w:tc>
          <w:tcPr>
            <w:tcW w:w="2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Arial" w:cs="Arial" w:eastAsia="Arial" w:hAnsi="Arial"/>
                <w:sz w:val="15"/>
                <w:szCs w:val="15"/>
                <w:color w:val="0000FF"/>
              </w:rPr>
              <w:t>32.</w:t>
            </w:r>
            <w:r>
              <w:rPr>
                <w:rFonts w:ascii="Arial" w:cs="Arial" w:eastAsia="Arial" w:hAnsi="Arial"/>
                <w:sz w:val="15"/>
                <w:szCs w:val="15"/>
                <w:u w:val="single" w:color="auto"/>
                <w:color w:val="0000FF"/>
              </w:rPr>
              <w:t>1</w:t>
            </w:r>
            <w:r>
              <w:rPr>
                <w:rFonts w:ascii="Arial" w:cs="Arial" w:eastAsia="Arial" w:hAnsi="Arial"/>
                <w:sz w:val="15"/>
                <w:szCs w:val="15"/>
                <w:color w:val="000000"/>
              </w:rPr>
              <w:t>*</w:t>
            </w:r>
          </w:p>
        </w:tc>
        <w:tc>
          <w:tcPr>
            <w:tcW w:w="6220" w:type="dxa"/>
            <w:vAlign w:val="bottom"/>
            <w:gridSpan w:val="15"/>
          </w:tcPr>
          <w:p>
            <w:pPr>
              <w:spacing w:after="0"/>
              <w:rPr>
                <w:sz w:val="20"/>
                <w:szCs w:val="20"/>
                <w:color w:val="auto"/>
              </w:rPr>
            </w:pPr>
            <w:r>
              <w:rPr>
                <w:rFonts w:ascii="Arial" w:cs="Arial" w:eastAsia="Arial" w:hAnsi="Arial"/>
                <w:sz w:val="15"/>
                <w:szCs w:val="15"/>
                <w:color w:val="0000FF"/>
              </w:rPr>
              <w:t>Certification of Chief Executive Officer pursuant to 18 U.S.C. Section 1350, as adopted</w:t>
            </w:r>
          </w:p>
        </w:tc>
        <w:tc>
          <w:tcPr>
            <w:tcW w:w="6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5"/>
                <w:szCs w:val="15"/>
                <w:color w:val="auto"/>
              </w:rPr>
              <w:t>Furnished herewith</w:t>
            </w:r>
          </w:p>
        </w:tc>
      </w:tr>
      <w:tr>
        <w:trPr>
          <w:trHeight w:val="140"/>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40" w:type="dxa"/>
            <w:vAlign w:val="bottom"/>
          </w:tcPr>
          <w:p>
            <w:pPr>
              <w:spacing w:after="0"/>
              <w:rPr>
                <w:sz w:val="12"/>
                <w:szCs w:val="12"/>
                <w:color w:val="auto"/>
              </w:rPr>
            </w:pPr>
          </w:p>
        </w:tc>
        <w:tc>
          <w:tcPr>
            <w:tcW w:w="4040" w:type="dxa"/>
            <w:vAlign w:val="bottom"/>
            <w:tcBorders>
              <w:top w:val="single" w:sz="8" w:color="0000FF"/>
              <w:bottom w:val="single" w:sz="8" w:color="0000FF"/>
            </w:tcBorders>
            <w:gridSpan w:val="3"/>
          </w:tcPr>
          <w:p>
            <w:pPr>
              <w:spacing w:after="0" w:line="141" w:lineRule="exact"/>
              <w:rPr>
                <w:sz w:val="20"/>
                <w:szCs w:val="20"/>
                <w:color w:val="auto"/>
              </w:rPr>
            </w:pPr>
            <w:r>
              <w:rPr>
                <w:rFonts w:ascii="Arial" w:cs="Arial" w:eastAsia="Arial" w:hAnsi="Arial"/>
                <w:sz w:val="15"/>
                <w:szCs w:val="15"/>
                <w:color w:val="0000FF"/>
              </w:rPr>
              <w:t>pursuant to Section 906 of the Sarbanes-Oxley Act of 2002</w:t>
            </w:r>
          </w:p>
        </w:tc>
        <w:tc>
          <w:tcPr>
            <w:tcW w:w="1880" w:type="dxa"/>
            <w:vAlign w:val="bottom"/>
            <w:tcBorders>
              <w:top w:val="single" w:sz="8" w:color="0000FF"/>
            </w:tcBorders>
            <w:gridSpan w:val="9"/>
          </w:tcPr>
          <w:p>
            <w:pPr>
              <w:spacing w:after="0"/>
              <w:rPr>
                <w:sz w:val="12"/>
                <w:szCs w:val="12"/>
                <w:color w:val="auto"/>
              </w:rPr>
            </w:pPr>
          </w:p>
        </w:tc>
        <w:tc>
          <w:tcPr>
            <w:tcW w:w="30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245"/>
        </w:trPr>
        <w:tc>
          <w:tcPr>
            <w:tcW w:w="2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Arial" w:cs="Arial" w:eastAsia="Arial" w:hAnsi="Arial"/>
                <w:sz w:val="15"/>
                <w:szCs w:val="15"/>
                <w:color w:val="0000FF"/>
              </w:rPr>
              <w:t>32.</w:t>
            </w:r>
            <w:r>
              <w:rPr>
                <w:rFonts w:ascii="Arial" w:cs="Arial" w:eastAsia="Arial" w:hAnsi="Arial"/>
                <w:sz w:val="15"/>
                <w:szCs w:val="15"/>
                <w:u w:val="single" w:color="auto"/>
                <w:color w:val="0000FF"/>
              </w:rPr>
              <w:t>2</w:t>
            </w:r>
            <w:r>
              <w:rPr>
                <w:rFonts w:ascii="Arial" w:cs="Arial" w:eastAsia="Arial" w:hAnsi="Arial"/>
                <w:sz w:val="15"/>
                <w:szCs w:val="15"/>
                <w:color w:val="000000"/>
              </w:rPr>
              <w:t>*</w:t>
            </w:r>
          </w:p>
        </w:tc>
        <w:tc>
          <w:tcPr>
            <w:tcW w:w="6220" w:type="dxa"/>
            <w:vAlign w:val="bottom"/>
            <w:gridSpan w:val="15"/>
          </w:tcPr>
          <w:p>
            <w:pPr>
              <w:spacing w:after="0"/>
              <w:rPr>
                <w:sz w:val="20"/>
                <w:szCs w:val="20"/>
                <w:color w:val="auto"/>
              </w:rPr>
            </w:pPr>
            <w:r>
              <w:rPr>
                <w:rFonts w:ascii="Arial" w:cs="Arial" w:eastAsia="Arial" w:hAnsi="Arial"/>
                <w:sz w:val="15"/>
                <w:szCs w:val="15"/>
                <w:color w:val="0000FF"/>
              </w:rPr>
              <w:t>Certification of Chief Financial Officer pursuant to 18 U.S.C. Section 1350, as adopted</w:t>
            </w:r>
          </w:p>
        </w:tc>
        <w:tc>
          <w:tcPr>
            <w:tcW w:w="6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5"/>
                <w:szCs w:val="15"/>
                <w:color w:val="auto"/>
              </w:rPr>
              <w:t>Furnished herewith</w:t>
            </w:r>
          </w:p>
        </w:tc>
      </w:tr>
      <w:tr>
        <w:trPr>
          <w:trHeight w:val="140"/>
        </w:trPr>
        <w:tc>
          <w:tcPr>
            <w:tcW w:w="2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40" w:type="dxa"/>
            <w:vAlign w:val="bottom"/>
          </w:tcPr>
          <w:p>
            <w:pPr>
              <w:spacing w:after="0"/>
              <w:rPr>
                <w:sz w:val="12"/>
                <w:szCs w:val="12"/>
                <w:color w:val="auto"/>
              </w:rPr>
            </w:pPr>
          </w:p>
        </w:tc>
        <w:tc>
          <w:tcPr>
            <w:tcW w:w="4040" w:type="dxa"/>
            <w:vAlign w:val="bottom"/>
            <w:tcBorders>
              <w:top w:val="single" w:sz="8" w:color="0000FF"/>
              <w:bottom w:val="single" w:sz="8" w:color="0000FF"/>
            </w:tcBorders>
            <w:gridSpan w:val="3"/>
          </w:tcPr>
          <w:p>
            <w:pPr>
              <w:spacing w:after="0" w:line="141" w:lineRule="exact"/>
              <w:rPr>
                <w:sz w:val="20"/>
                <w:szCs w:val="20"/>
                <w:color w:val="auto"/>
              </w:rPr>
            </w:pPr>
            <w:r>
              <w:rPr>
                <w:rFonts w:ascii="Arial" w:cs="Arial" w:eastAsia="Arial" w:hAnsi="Arial"/>
                <w:sz w:val="15"/>
                <w:szCs w:val="15"/>
                <w:color w:val="0000FF"/>
              </w:rPr>
              <w:t>pursuant to Section 906 of the Sarbanes-Oxley Act of 2002</w:t>
            </w:r>
          </w:p>
        </w:tc>
        <w:tc>
          <w:tcPr>
            <w:tcW w:w="1840" w:type="dxa"/>
            <w:vAlign w:val="bottom"/>
            <w:tcBorders>
              <w:top w:val="single" w:sz="8" w:color="0000FF"/>
            </w:tcBorders>
            <w:gridSpan w:val="8"/>
          </w:tcPr>
          <w:p>
            <w:pPr>
              <w:spacing w:after="0"/>
              <w:rPr>
                <w:sz w:val="12"/>
                <w:szCs w:val="12"/>
                <w:color w:val="auto"/>
              </w:rPr>
            </w:pPr>
          </w:p>
        </w:tc>
        <w:tc>
          <w:tcPr>
            <w:tcW w:w="340" w:type="dxa"/>
            <w:vAlign w:val="bottom"/>
            <w:gridSpan w:val="4"/>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239"/>
        </w:trPr>
        <w:tc>
          <w:tcPr>
            <w:tcW w:w="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5"/>
                <w:szCs w:val="15"/>
                <w:color w:val="auto"/>
              </w:rPr>
              <w:t>101.INS</w:t>
            </w:r>
          </w:p>
        </w:tc>
        <w:tc>
          <w:tcPr>
            <w:tcW w:w="6220" w:type="dxa"/>
            <w:vAlign w:val="bottom"/>
            <w:gridSpan w:val="15"/>
          </w:tcPr>
          <w:p>
            <w:pPr>
              <w:spacing w:after="0"/>
              <w:rPr>
                <w:sz w:val="20"/>
                <w:szCs w:val="20"/>
                <w:color w:val="auto"/>
              </w:rPr>
            </w:pPr>
            <w:r>
              <w:rPr>
                <w:rFonts w:ascii="Arial" w:cs="Arial" w:eastAsia="Arial" w:hAnsi="Arial"/>
                <w:sz w:val="15"/>
                <w:szCs w:val="15"/>
                <w:color w:val="auto"/>
              </w:rPr>
              <w:t>XBRL Instance Document (the instance document does not appear in the Interactive Data</w:t>
            </w: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5"/>
                <w:szCs w:val="15"/>
                <w:color w:val="auto"/>
              </w:rPr>
              <w:t>Filed herewith</w:t>
            </w:r>
          </w:p>
        </w:tc>
      </w:tr>
      <w:tr>
        <w:trPr>
          <w:trHeight w:val="204"/>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20" w:type="dxa"/>
            <w:vAlign w:val="bottom"/>
            <w:gridSpan w:val="15"/>
          </w:tcPr>
          <w:p>
            <w:pPr>
              <w:spacing w:after="0"/>
              <w:rPr>
                <w:sz w:val="20"/>
                <w:szCs w:val="20"/>
                <w:color w:val="auto"/>
              </w:rPr>
            </w:pPr>
            <w:r>
              <w:rPr>
                <w:rFonts w:ascii="Arial" w:cs="Arial" w:eastAsia="Arial" w:hAnsi="Arial"/>
                <w:sz w:val="15"/>
                <w:szCs w:val="15"/>
                <w:color w:val="auto"/>
              </w:rPr>
              <w:t>File because its XBRL tags are embedded within the Inline XBRL document)</w:t>
            </w: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Arial" w:cs="Arial" w:eastAsia="Arial" w:hAnsi="Arial"/>
                <w:sz w:val="15"/>
                <w:szCs w:val="15"/>
                <w:color w:val="auto"/>
              </w:rPr>
              <w:t>101.SCH</w:t>
            </w:r>
          </w:p>
        </w:tc>
        <w:tc>
          <w:tcPr>
            <w:tcW w:w="6220" w:type="dxa"/>
            <w:vAlign w:val="bottom"/>
            <w:gridSpan w:val="15"/>
          </w:tcPr>
          <w:p>
            <w:pPr>
              <w:spacing w:after="0"/>
              <w:rPr>
                <w:sz w:val="20"/>
                <w:szCs w:val="20"/>
                <w:color w:val="auto"/>
              </w:rPr>
            </w:pPr>
            <w:r>
              <w:rPr>
                <w:rFonts w:ascii="Arial" w:cs="Arial" w:eastAsia="Arial" w:hAnsi="Arial"/>
                <w:sz w:val="15"/>
                <w:szCs w:val="15"/>
                <w:color w:val="auto"/>
              </w:rPr>
              <w:t>Inline XBRL Taxonomy Extension Schema Document</w:t>
            </w:r>
          </w:p>
        </w:tc>
        <w:tc>
          <w:tcPr>
            <w:tcW w:w="6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60" w:type="dxa"/>
            <w:vAlign w:val="bottom"/>
          </w:tcPr>
          <w:p>
            <w:pPr>
              <w:jc w:val="center"/>
              <w:spacing w:after="0"/>
              <w:rPr>
                <w:sz w:val="20"/>
                <w:szCs w:val="20"/>
                <w:color w:val="auto"/>
              </w:rPr>
            </w:pPr>
            <w:r>
              <w:rPr>
                <w:rFonts w:ascii="Arial" w:cs="Arial" w:eastAsia="Arial" w:hAnsi="Arial"/>
                <w:sz w:val="15"/>
                <w:szCs w:val="15"/>
                <w:color w:val="auto"/>
              </w:rPr>
              <w:t>Filed herewith</w:t>
            </w:r>
          </w:p>
        </w:tc>
      </w:tr>
      <w:tr>
        <w:trPr>
          <w:trHeight w:val="232"/>
        </w:trPr>
        <w:tc>
          <w:tcPr>
            <w:tcW w:w="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5"/>
                <w:szCs w:val="15"/>
                <w:color w:val="auto"/>
              </w:rPr>
              <w:t>101.CAL</w:t>
            </w:r>
          </w:p>
        </w:tc>
        <w:tc>
          <w:tcPr>
            <w:tcW w:w="6220" w:type="dxa"/>
            <w:vAlign w:val="bottom"/>
            <w:gridSpan w:val="15"/>
          </w:tcPr>
          <w:p>
            <w:pPr>
              <w:spacing w:after="0"/>
              <w:rPr>
                <w:sz w:val="20"/>
                <w:szCs w:val="20"/>
                <w:color w:val="auto"/>
              </w:rPr>
            </w:pPr>
            <w:r>
              <w:rPr>
                <w:rFonts w:ascii="Arial" w:cs="Arial" w:eastAsia="Arial" w:hAnsi="Arial"/>
                <w:sz w:val="15"/>
                <w:szCs w:val="15"/>
                <w:color w:val="auto"/>
              </w:rPr>
              <w:t>Inline XBRL Taxonomy Extension Calculation Linkbase Document</w:t>
            </w: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5"/>
                <w:szCs w:val="15"/>
                <w:color w:val="auto"/>
              </w:rPr>
              <w:t>Filed herewith</w:t>
            </w:r>
          </w:p>
        </w:tc>
      </w:tr>
      <w:tr>
        <w:trPr>
          <w:trHeight w:val="232"/>
        </w:trPr>
        <w:tc>
          <w:tcPr>
            <w:tcW w:w="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5"/>
                <w:szCs w:val="15"/>
                <w:color w:val="auto"/>
              </w:rPr>
              <w:t>101.DEF</w:t>
            </w:r>
          </w:p>
        </w:tc>
        <w:tc>
          <w:tcPr>
            <w:tcW w:w="6220" w:type="dxa"/>
            <w:vAlign w:val="bottom"/>
            <w:gridSpan w:val="15"/>
          </w:tcPr>
          <w:p>
            <w:pPr>
              <w:spacing w:after="0"/>
              <w:rPr>
                <w:sz w:val="20"/>
                <w:szCs w:val="20"/>
                <w:color w:val="auto"/>
              </w:rPr>
            </w:pPr>
            <w:r>
              <w:rPr>
                <w:rFonts w:ascii="Arial" w:cs="Arial" w:eastAsia="Arial" w:hAnsi="Arial"/>
                <w:sz w:val="15"/>
                <w:szCs w:val="15"/>
                <w:color w:val="auto"/>
              </w:rPr>
              <w:t>Inline XBRL Taxonomy Extension Definition Linkbase Document</w:t>
            </w: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5"/>
                <w:szCs w:val="15"/>
                <w:color w:val="auto"/>
              </w:rPr>
              <w:t>Filed herewith</w:t>
            </w:r>
          </w:p>
        </w:tc>
      </w:tr>
      <w:tr>
        <w:trPr>
          <w:trHeight w:val="232"/>
        </w:trPr>
        <w:tc>
          <w:tcPr>
            <w:tcW w:w="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5"/>
                <w:szCs w:val="15"/>
                <w:color w:val="auto"/>
              </w:rPr>
              <w:t>101.LAB</w:t>
            </w:r>
          </w:p>
        </w:tc>
        <w:tc>
          <w:tcPr>
            <w:tcW w:w="6220" w:type="dxa"/>
            <w:vAlign w:val="bottom"/>
            <w:gridSpan w:val="15"/>
          </w:tcPr>
          <w:p>
            <w:pPr>
              <w:spacing w:after="0"/>
              <w:rPr>
                <w:sz w:val="20"/>
                <w:szCs w:val="20"/>
                <w:color w:val="auto"/>
              </w:rPr>
            </w:pPr>
            <w:r>
              <w:rPr>
                <w:rFonts w:ascii="Arial" w:cs="Arial" w:eastAsia="Arial" w:hAnsi="Arial"/>
                <w:sz w:val="15"/>
                <w:szCs w:val="15"/>
                <w:color w:val="auto"/>
              </w:rPr>
              <w:t>Inline XBRL Taxonomy Extension Labels Linkbase Document</w:t>
            </w: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5"/>
                <w:szCs w:val="15"/>
                <w:color w:val="auto"/>
              </w:rPr>
              <w:t>Filed herewith</w:t>
            </w:r>
          </w:p>
        </w:tc>
      </w:tr>
      <w:tr>
        <w:trPr>
          <w:trHeight w:val="232"/>
        </w:trPr>
        <w:tc>
          <w:tcPr>
            <w:tcW w:w="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5"/>
                <w:szCs w:val="15"/>
                <w:color w:val="auto"/>
              </w:rPr>
              <w:t>101.PRE</w:t>
            </w:r>
          </w:p>
        </w:tc>
        <w:tc>
          <w:tcPr>
            <w:tcW w:w="6220" w:type="dxa"/>
            <w:vAlign w:val="bottom"/>
            <w:gridSpan w:val="15"/>
          </w:tcPr>
          <w:p>
            <w:pPr>
              <w:spacing w:after="0"/>
              <w:rPr>
                <w:sz w:val="20"/>
                <w:szCs w:val="20"/>
                <w:color w:val="auto"/>
              </w:rPr>
            </w:pPr>
            <w:r>
              <w:rPr>
                <w:rFonts w:ascii="Arial" w:cs="Arial" w:eastAsia="Arial" w:hAnsi="Arial"/>
                <w:sz w:val="15"/>
                <w:szCs w:val="15"/>
                <w:color w:val="auto"/>
              </w:rPr>
              <w:t>Inline XBRL Taxonomy Extension Presentation Linkbase Document</w:t>
            </w: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5"/>
                <w:szCs w:val="15"/>
                <w:color w:val="auto"/>
              </w:rPr>
              <w:t>Filed herewith</w:t>
            </w:r>
          </w:p>
        </w:tc>
      </w:tr>
      <w:tr>
        <w:trPr>
          <w:trHeight w:val="232"/>
        </w:trPr>
        <w:tc>
          <w:tcPr>
            <w:tcW w:w="320" w:type="dxa"/>
            <w:vAlign w:val="bottom"/>
            <w:gridSpan w:val="3"/>
          </w:tcPr>
          <w:p>
            <w:pPr>
              <w:ind w:left="20"/>
              <w:spacing w:after="0"/>
              <w:rPr>
                <w:sz w:val="20"/>
                <w:szCs w:val="20"/>
                <w:color w:val="auto"/>
              </w:rPr>
            </w:pPr>
            <w:r>
              <w:rPr>
                <w:rFonts w:ascii="Arial" w:cs="Arial" w:eastAsia="Arial" w:hAnsi="Arial"/>
                <w:sz w:val="15"/>
                <w:szCs w:val="15"/>
                <w:color w:val="auto"/>
              </w:rPr>
              <w:t>104</w:t>
            </w:r>
          </w:p>
        </w:tc>
        <w:tc>
          <w:tcPr>
            <w:tcW w:w="840" w:type="dxa"/>
            <w:vAlign w:val="bottom"/>
          </w:tcPr>
          <w:p>
            <w:pPr>
              <w:spacing w:after="0"/>
              <w:rPr>
                <w:sz w:val="20"/>
                <w:szCs w:val="20"/>
                <w:color w:val="auto"/>
              </w:rPr>
            </w:pPr>
          </w:p>
        </w:tc>
        <w:tc>
          <w:tcPr>
            <w:tcW w:w="6220" w:type="dxa"/>
            <w:vAlign w:val="bottom"/>
            <w:gridSpan w:val="15"/>
          </w:tcPr>
          <w:p>
            <w:pPr>
              <w:spacing w:after="0"/>
              <w:rPr>
                <w:sz w:val="20"/>
                <w:szCs w:val="20"/>
                <w:color w:val="auto"/>
              </w:rPr>
            </w:pPr>
            <w:r>
              <w:rPr>
                <w:rFonts w:ascii="Arial" w:cs="Arial" w:eastAsia="Arial" w:hAnsi="Arial"/>
                <w:sz w:val="15"/>
                <w:szCs w:val="15"/>
                <w:color w:val="auto"/>
              </w:rPr>
              <w:t>Cover Page Interactive File (formatted as inline XBRL and contained in Exhibit 101)</w:t>
            </w: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5"/>
                <w:szCs w:val="15"/>
                <w:color w:val="auto"/>
              </w:rPr>
              <w:t>Filed herewith</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______________________________________________________________________________</w:t>
      </w:r>
    </w:p>
    <w:p>
      <w:pPr>
        <w:spacing w:after="0" w:line="180" w:lineRule="exact"/>
        <w:rPr>
          <w:sz w:val="20"/>
          <w:szCs w:val="20"/>
          <w:color w:val="auto"/>
        </w:rPr>
      </w:pPr>
    </w:p>
    <w:p>
      <w:pPr>
        <w:ind w:left="340" w:right="320" w:hanging="320"/>
        <w:spacing w:after="0" w:line="278"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Certain portions of this exhibit have been omitted in accordance with Regulation S-K Item 601. The Company agrees to furnish an unredacted copy of the exhibit to the SEC upon request.</w:t>
      </w:r>
    </w:p>
    <w:p>
      <w:pPr>
        <w:spacing w:after="0" w:line="104" w:lineRule="exact"/>
        <w:rPr>
          <w:sz w:val="20"/>
          <w:szCs w:val="20"/>
          <w:color w:val="auto"/>
        </w:rPr>
      </w:pPr>
    </w:p>
    <w:p>
      <w:pPr>
        <w:ind w:left="340" w:hanging="320"/>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48" w:lineRule="exact"/>
        <w:rPr>
          <w:sz w:val="20"/>
          <w:szCs w:val="20"/>
          <w:color w:val="auto"/>
        </w:rPr>
      </w:pPr>
    </w:p>
    <w:p>
      <w:pPr>
        <w:ind w:left="340" w:right="340" w:hanging="320"/>
        <w:spacing w:after="0" w:line="233" w:lineRule="auto"/>
        <w:tabs>
          <w:tab w:leader="none" w:pos="34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4"/>
          <w:szCs w:val="14"/>
          <w:color w:val="auto"/>
        </w:rPr>
        <w:t>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or the Exchange Act,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266700</wp:posOffset>
            </wp:positionV>
            <wp:extent cx="713867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80" w:type="dxa"/>
            <w:vAlign w:val="bottom"/>
          </w:tcPr>
          <w:p>
            <w:pPr>
              <w:ind w:left="1080"/>
              <w:spacing w:after="0"/>
              <w:rPr>
                <w:sz w:val="20"/>
                <w:szCs w:val="20"/>
                <w:color w:val="auto"/>
              </w:rPr>
            </w:pPr>
            <w:r>
              <w:rPr>
                <w:rFonts w:ascii="Arial" w:cs="Arial" w:eastAsia="Arial" w:hAnsi="Arial"/>
                <w:sz w:val="17"/>
                <w:szCs w:val="17"/>
                <w:color w:val="DF1995"/>
              </w:rPr>
              <w:t>Q1 Fiscal 2026 Form 10-Q</w:t>
            </w:r>
          </w:p>
        </w:tc>
        <w:tc>
          <w:tcPr>
            <w:tcW w:w="4160" w:type="dxa"/>
            <w:vAlign w:val="bottom"/>
          </w:tcPr>
          <w:p>
            <w:pPr>
              <w:jc w:val="right"/>
              <w:spacing w:after="0"/>
              <w:rPr>
                <w:sz w:val="20"/>
                <w:szCs w:val="20"/>
                <w:color w:val="auto"/>
              </w:rPr>
            </w:pPr>
            <w:r>
              <w:rPr>
                <w:rFonts w:ascii="Arial" w:cs="Arial" w:eastAsia="Arial" w:hAnsi="Arial"/>
                <w:sz w:val="17"/>
                <w:szCs w:val="17"/>
                <w:color w:val="DF1995"/>
              </w:rPr>
              <w:t>82</w:t>
            </w:r>
          </w:p>
        </w:tc>
      </w:tr>
      <w:tr>
        <w:trPr>
          <w:trHeight w:val="210"/>
        </w:trPr>
        <w:tc>
          <w:tcPr>
            <w:tcW w:w="7080" w:type="dxa"/>
            <w:vAlign w:val="bottom"/>
            <w:tcBorders>
              <w:bottom w:val="single" w:sz="8" w:color="9A9A9A"/>
            </w:tcBorders>
          </w:tcPr>
          <w:p>
            <w:pPr>
              <w:spacing w:after="0"/>
              <w:rPr>
                <w:sz w:val="18"/>
                <w:szCs w:val="18"/>
                <w:color w:val="auto"/>
              </w:rPr>
            </w:pPr>
          </w:p>
        </w:tc>
        <w:tc>
          <w:tcPr>
            <w:tcW w:w="41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59055</wp:posOffset>
            </wp:positionH>
            <wp:positionV relativeFrom="paragraph">
              <wp:posOffset>-269240</wp:posOffset>
            </wp:positionV>
            <wp:extent cx="393065" cy="819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5">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116" w:lineRule="exact"/>
        <w:rPr>
          <w:sz w:val="20"/>
          <w:szCs w:val="20"/>
          <w:color w:val="auto"/>
        </w:rPr>
      </w:pPr>
    </w:p>
    <w:p>
      <w:pPr>
        <w:ind w:firstLine="309"/>
        <w:spacing w:after="0" w:line="29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38"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Pacific Biosciences of California, Inc.</w:t>
      </w:r>
    </w:p>
    <w:p>
      <w:pPr>
        <w:spacing w:after="0" w:line="322" w:lineRule="exact"/>
        <w:rPr>
          <w:sz w:val="20"/>
          <w:szCs w:val="20"/>
          <w:color w:val="auto"/>
        </w:rPr>
      </w:pPr>
    </w:p>
    <w:p>
      <w:pPr>
        <w:ind w:left="20"/>
        <w:spacing w:after="0"/>
        <w:tabs>
          <w:tab w:leader="none" w:pos="5540" w:val="left"/>
          <w:tab w:leader="none" w:pos="7780" w:val="left"/>
        </w:tabs>
        <w:rPr>
          <w:sz w:val="20"/>
          <w:szCs w:val="20"/>
          <w:color w:val="auto"/>
        </w:rPr>
      </w:pPr>
      <w:r>
        <w:rPr>
          <w:rFonts w:ascii="Arial" w:cs="Arial" w:eastAsia="Arial" w:hAnsi="Arial"/>
          <w:sz w:val="17"/>
          <w:szCs w:val="17"/>
          <w:color w:val="auto"/>
        </w:rPr>
        <w:t>Date: May 8, 2026</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33655</wp:posOffset>
            </wp:positionV>
            <wp:extent cx="33235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6">
                      <a:extLst>
                        <a:ext uri="{28A0092B-C50C-407E-A947-70E740481C1C}"/>
                      </a:extLst>
                    </a:blip>
                    <a:srcRect/>
                    <a:stretch>
                      <a:fillRect/>
                    </a:stretch>
                  </pic:blipFill>
                  <pic:spPr bwMode="auto">
                    <a:xfrm>
                      <a:off x="0" y="0"/>
                      <a:ext cx="3323590" cy="8255"/>
                    </a:xfrm>
                    <a:prstGeom prst="rect">
                      <a:avLst/>
                    </a:prstGeom>
                    <a:noFill/>
                  </pic:spPr>
                </pic:pic>
              </a:graphicData>
            </a:graphic>
          </wp:anchor>
        </w:drawing>
      </w:r>
    </w:p>
    <w:p>
      <w:pPr>
        <w:spacing w:after="0" w:line="55"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Christian O. Henry</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President and Chief Executive Officer</w:t>
      </w:r>
    </w:p>
    <w:p>
      <w:pPr>
        <w:spacing w:after="0" w:line="11" w:lineRule="exact"/>
        <w:rPr>
          <w:sz w:val="20"/>
          <w:szCs w:val="20"/>
          <w:color w:val="auto"/>
        </w:rPr>
      </w:pPr>
    </w:p>
    <w:p>
      <w:pPr>
        <w:jc w:val="center"/>
        <w:ind w:left="600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5540" w:val="left"/>
          <w:tab w:leader="none" w:pos="7960" w:val="left"/>
        </w:tabs>
        <w:rPr>
          <w:sz w:val="20"/>
          <w:szCs w:val="20"/>
          <w:color w:val="auto"/>
        </w:rPr>
      </w:pPr>
      <w:r>
        <w:rPr>
          <w:rFonts w:ascii="Arial" w:cs="Arial" w:eastAsia="Arial" w:hAnsi="Arial"/>
          <w:sz w:val="17"/>
          <w:szCs w:val="17"/>
          <w:color w:val="auto"/>
        </w:rPr>
        <w:t>Date: May 8, 2026</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Jim 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33655</wp:posOffset>
            </wp:positionV>
            <wp:extent cx="33235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7">
                      <a:extLst>
                        <a:ext uri="{28A0092B-C50C-407E-A947-70E740481C1C}"/>
                      </a:extLst>
                    </a:blip>
                    <a:srcRect/>
                    <a:stretch>
                      <a:fillRect/>
                    </a:stretch>
                  </pic:blipFill>
                  <pic:spPr bwMode="auto">
                    <a:xfrm>
                      <a:off x="0" y="0"/>
                      <a:ext cx="3323590" cy="8255"/>
                    </a:xfrm>
                    <a:prstGeom prst="rect">
                      <a:avLst/>
                    </a:prstGeom>
                    <a:noFill/>
                  </pic:spPr>
                </pic:pic>
              </a:graphicData>
            </a:graphic>
          </wp:anchor>
        </w:drawing>
      </w:r>
    </w:p>
    <w:p>
      <w:pPr>
        <w:spacing w:after="0" w:line="55"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Jim R. Gibson</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7"/>
          <w:szCs w:val="17"/>
          <w:color w:val="auto"/>
        </w:rPr>
        <w:t>Chief Financial Officer</w:t>
      </w:r>
    </w:p>
    <w:p>
      <w:pPr>
        <w:spacing w:after="0" w:line="11" w:lineRule="exact"/>
        <w:rPr>
          <w:sz w:val="20"/>
          <w:szCs w:val="20"/>
          <w:color w:val="auto"/>
        </w:rPr>
      </w:pPr>
    </w:p>
    <w:p>
      <w:pPr>
        <w:jc w:val="center"/>
        <w:ind w:left="600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220345</wp:posOffset>
            </wp:positionV>
            <wp:extent cx="71386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1080" w:type="dxa"/>
        <w:tblCellMar>
          <w:top w:w="0" w:type="dxa"/>
          <w:left w:w="0" w:type="dxa"/>
          <w:bottom w:w="0" w:type="dxa"/>
          <w:right w:w="0" w:type="dxa"/>
        </w:tblCellMar>
      </w:tblPr>
      <w:tr>
        <w:trPr>
          <w:trHeight w:val="226"/>
        </w:trPr>
        <w:tc>
          <w:tcPr>
            <w:tcW w:w="6000" w:type="dxa"/>
            <w:vAlign w:val="bottom"/>
          </w:tcPr>
          <w:p>
            <w:pPr>
              <w:spacing w:after="0"/>
              <w:rPr>
                <w:sz w:val="20"/>
                <w:szCs w:val="20"/>
                <w:color w:val="auto"/>
              </w:rPr>
            </w:pPr>
            <w:r>
              <w:rPr>
                <w:rFonts w:ascii="Arial" w:cs="Arial" w:eastAsia="Arial" w:hAnsi="Arial"/>
                <w:sz w:val="17"/>
                <w:szCs w:val="17"/>
                <w:color w:val="DF1995"/>
              </w:rPr>
              <w:t>Q1 Fiscal 2026 Form 10-Q</w:t>
            </w:r>
          </w:p>
        </w:tc>
        <w:tc>
          <w:tcPr>
            <w:tcW w:w="4140" w:type="dxa"/>
            <w:vAlign w:val="bottom"/>
          </w:tcPr>
          <w:p>
            <w:pPr>
              <w:jc w:val="right"/>
              <w:spacing w:after="0"/>
              <w:rPr>
                <w:sz w:val="20"/>
                <w:szCs w:val="20"/>
                <w:color w:val="auto"/>
              </w:rPr>
            </w:pPr>
            <w:r>
              <w:rPr>
                <w:rFonts w:ascii="Arial" w:cs="Arial" w:eastAsia="Arial" w:hAnsi="Arial"/>
                <w:sz w:val="17"/>
                <w:szCs w:val="17"/>
                <w:color w:val="DF1995"/>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-123825</wp:posOffset>
            </wp:positionV>
            <wp:extent cx="393065" cy="819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9">
                      <a:extLst>
                        <a:ext uri="{28A0092B-C50C-407E-A947-70E740481C1C}"/>
                      </a:extLst>
                    </a:blip>
                    <a:srcRect/>
                    <a:stretch>
                      <a:fillRect/>
                    </a:stretch>
                  </pic:blipFill>
                  <pic:spPr bwMode="auto">
                    <a:xfrm>
                      <a:off x="0" y="0"/>
                      <a:ext cx="393065" cy="819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1"/>
          <w:szCs w:val="2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b w:val="1"/>
          <w:bCs w:val="1"/>
          <w:color w:val="auto"/>
        </w:rPr>
        <w:t>PACIFIC BIOSCIENCES OF CALIFORNIA, INC. OUTSIDE DIRECTOR COMPENSATION</w:t>
      </w:r>
    </w:p>
    <w:p>
      <w:pPr>
        <w:spacing w:after="0" w:line="21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b w:val="1"/>
          <w:bCs w:val="1"/>
          <w:color w:val="auto"/>
        </w:rPr>
        <w:t>POLICY</w:t>
      </w:r>
    </w:p>
    <w:p>
      <w:pPr>
        <w:spacing w:after="0" w:line="1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Effective as of April 8, 2026</w:t>
      </w:r>
    </w:p>
    <w:p>
      <w:pPr>
        <w:spacing w:after="0" w:line="206" w:lineRule="exact"/>
        <w:rPr>
          <w:sz w:val="20"/>
          <w:szCs w:val="20"/>
          <w:color w:val="auto"/>
        </w:rPr>
      </w:pPr>
    </w:p>
    <w:p>
      <w:pPr>
        <w:jc w:val="both"/>
        <w:ind w:right="100" w:firstLine="619"/>
        <w:spacing w:after="0" w:line="265" w:lineRule="auto"/>
        <w:rPr>
          <w:sz w:val="20"/>
          <w:szCs w:val="20"/>
          <w:color w:val="auto"/>
        </w:rPr>
      </w:pPr>
      <w:r>
        <w:rPr>
          <w:rFonts w:ascii="Times New Roman" w:cs="Times New Roman" w:eastAsia="Times New Roman" w:hAnsi="Times New Roman"/>
          <w:sz w:val="20"/>
          <w:szCs w:val="20"/>
          <w:color w:val="auto"/>
        </w:rPr>
        <w:t>Pacific Biosciences of California,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believes that providing cash and equity compensation to its members of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and members of the Board, the “</w:t>
      </w: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 represents an effective tool to attract, retain and reward Directors who are not Employees of the Company (the “</w:t>
      </w:r>
      <w:r>
        <w:rPr>
          <w:rFonts w:ascii="Times New Roman" w:cs="Times New Roman" w:eastAsia="Times New Roman" w:hAnsi="Times New Roman"/>
          <w:sz w:val="20"/>
          <w:szCs w:val="20"/>
          <w:b w:val="1"/>
          <w:bCs w:val="1"/>
          <w:color w:val="auto"/>
        </w:rPr>
        <w:t>Outside Directors</w:t>
      </w:r>
      <w:r>
        <w:rPr>
          <w:rFonts w:ascii="Times New Roman" w:cs="Times New Roman" w:eastAsia="Times New Roman" w:hAnsi="Times New Roman"/>
          <w:sz w:val="20"/>
          <w:szCs w:val="20"/>
          <w:color w:val="auto"/>
        </w:rPr>
        <w:t>”). This Outside Director Compensation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Each Outside Director will be solely responsible for any tax obligations incurred by such Outside Director as a result of the equity and cash payments such Outside Director receives under this Policy.</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This Policy will be effective as of April 8, 2026 (such date,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580" w:hanging="264"/>
        <w:spacing w:after="0"/>
        <w:tabs>
          <w:tab w:leader="none" w:pos="580"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Cash Compensation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Annual Cash Retainer</w:t>
      </w:r>
    </w:p>
    <w:p>
      <w:pPr>
        <w:spacing w:after="0" w:line="214" w:lineRule="exact"/>
        <w:rPr>
          <w:sz w:val="20"/>
          <w:szCs w:val="20"/>
          <w:color w:val="auto"/>
        </w:rPr>
      </w:pPr>
    </w:p>
    <w:p>
      <w:pPr>
        <w:jc w:val="both"/>
        <w:ind w:right="100" w:firstLine="619"/>
        <w:spacing w:after="0" w:line="282" w:lineRule="auto"/>
        <w:rPr>
          <w:sz w:val="20"/>
          <w:szCs w:val="20"/>
          <w:color w:val="auto"/>
        </w:rPr>
      </w:pPr>
      <w:r>
        <w:rPr>
          <w:rFonts w:ascii="Times New Roman" w:cs="Times New Roman" w:eastAsia="Times New Roman" w:hAnsi="Times New Roman"/>
          <w:sz w:val="21"/>
          <w:szCs w:val="21"/>
          <w:color w:val="auto"/>
        </w:rPr>
        <w:t>Each Outside Director will be paid an annual cash retainer of $50,000. There are no per- meeting attendance fees for attending Board meetings. This cash compensation will be paid quarterly in equal installments in advance.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Committee Annual Cash Retainer</w:t>
      </w:r>
    </w:p>
    <w:p>
      <w:pPr>
        <w:spacing w:after="0" w:line="214" w:lineRule="exact"/>
        <w:rPr>
          <w:sz w:val="20"/>
          <w:szCs w:val="20"/>
          <w:color w:val="auto"/>
        </w:rPr>
      </w:pPr>
    </w:p>
    <w:p>
      <w:pPr>
        <w:jc w:val="both"/>
        <w:ind w:right="100" w:firstLine="619"/>
        <w:spacing w:after="0" w:line="256" w:lineRule="auto"/>
        <w:rPr>
          <w:sz w:val="20"/>
          <w:szCs w:val="20"/>
          <w:color w:val="auto"/>
        </w:rPr>
      </w:pPr>
      <w:r>
        <w:rPr>
          <w:rFonts w:ascii="Times New Roman" w:cs="Times New Roman" w:eastAsia="Times New Roman" w:hAnsi="Times New Roman"/>
          <w:sz w:val="21"/>
          <w:szCs w:val="21"/>
          <w:color w:val="auto"/>
        </w:rPr>
        <w:t>As of the Effective Date, each Outside Director who serves as the lead Outside Director or Board chair, or the chair or a member of a committee of the Board, will be eligible to earn additional annual fees (paid quarterly in equal installments in advance) as follows:</w:t>
      </w:r>
    </w:p>
    <w:p>
      <w:pPr>
        <w:spacing w:after="0" w:line="362" w:lineRule="exact"/>
        <w:rPr>
          <w:sz w:val="20"/>
          <w:szCs w:val="20"/>
          <w:color w:val="auto"/>
        </w:rPr>
      </w:pPr>
    </w:p>
    <w:tbl>
      <w:tblPr>
        <w:tblLayout w:type="fixed"/>
        <w:tblInd w:w="600" w:type="dxa"/>
        <w:tblCellMar>
          <w:top w:w="0" w:type="dxa"/>
          <w:left w:w="0" w:type="dxa"/>
          <w:bottom w:w="0" w:type="dxa"/>
          <w:right w:w="0" w:type="dxa"/>
        </w:tblCellMar>
      </w:tblPr>
      <w:tr>
        <w:trPr>
          <w:trHeight w:val="268"/>
        </w:trPr>
        <w:tc>
          <w:tcPr>
            <w:tcW w:w="6580" w:type="dxa"/>
            <w:vAlign w:val="bottom"/>
          </w:tcPr>
          <w:p>
            <w:pPr>
              <w:spacing w:after="0"/>
              <w:rPr>
                <w:sz w:val="20"/>
                <w:szCs w:val="20"/>
                <w:color w:val="auto"/>
              </w:rPr>
            </w:pPr>
            <w:r>
              <w:rPr>
                <w:rFonts w:ascii="Times New Roman" w:cs="Times New Roman" w:eastAsia="Times New Roman" w:hAnsi="Times New Roman"/>
                <w:sz w:val="21"/>
                <w:szCs w:val="21"/>
                <w:color w:val="auto"/>
              </w:rPr>
              <w:t>Lead Independent Director/Board Chair:</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$50,000</w:t>
            </w:r>
          </w:p>
        </w:tc>
      </w:tr>
      <w:tr>
        <w:trPr>
          <w:trHeight w:val="400"/>
        </w:trPr>
        <w:tc>
          <w:tcPr>
            <w:tcW w:w="6580" w:type="dxa"/>
            <w:vAlign w:val="bottom"/>
          </w:tcPr>
          <w:p>
            <w:pPr>
              <w:spacing w:after="0"/>
              <w:rPr>
                <w:sz w:val="20"/>
                <w:szCs w:val="20"/>
                <w:color w:val="auto"/>
              </w:rPr>
            </w:pPr>
            <w:r>
              <w:rPr>
                <w:rFonts w:ascii="Times New Roman" w:cs="Times New Roman" w:eastAsia="Times New Roman" w:hAnsi="Times New Roman"/>
                <w:sz w:val="21"/>
                <w:szCs w:val="21"/>
                <w:color w:val="auto"/>
              </w:rPr>
              <w:t>Chair of Audit Committee:</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$20,000</w:t>
            </w:r>
          </w:p>
        </w:tc>
      </w:tr>
      <w:tr>
        <w:trPr>
          <w:trHeight w:val="400"/>
        </w:trPr>
        <w:tc>
          <w:tcPr>
            <w:tcW w:w="6580" w:type="dxa"/>
            <w:vAlign w:val="bottom"/>
          </w:tcPr>
          <w:p>
            <w:pPr>
              <w:spacing w:after="0"/>
              <w:rPr>
                <w:sz w:val="20"/>
                <w:szCs w:val="20"/>
                <w:color w:val="auto"/>
              </w:rPr>
            </w:pPr>
            <w:r>
              <w:rPr>
                <w:rFonts w:ascii="Times New Roman" w:cs="Times New Roman" w:eastAsia="Times New Roman" w:hAnsi="Times New Roman"/>
                <w:sz w:val="21"/>
                <w:szCs w:val="21"/>
                <w:color w:val="auto"/>
              </w:rPr>
              <w:t>Member of Audit Committee:</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$10,000</w:t>
            </w:r>
          </w:p>
        </w:tc>
      </w:tr>
      <w:tr>
        <w:trPr>
          <w:trHeight w:val="387"/>
        </w:trPr>
        <w:tc>
          <w:tcPr>
            <w:tcW w:w="6580" w:type="dxa"/>
            <w:vAlign w:val="bottom"/>
          </w:tcPr>
          <w:p>
            <w:pPr>
              <w:spacing w:after="0"/>
              <w:rPr>
                <w:sz w:val="20"/>
                <w:szCs w:val="20"/>
                <w:color w:val="auto"/>
              </w:rPr>
            </w:pPr>
            <w:r>
              <w:rPr>
                <w:rFonts w:ascii="Times New Roman" w:cs="Times New Roman" w:eastAsia="Times New Roman" w:hAnsi="Times New Roman"/>
                <w:sz w:val="21"/>
                <w:szCs w:val="21"/>
                <w:color w:val="auto"/>
              </w:rPr>
              <w:t>Chair of Compensation Committee:</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$15,000</w:t>
            </w:r>
          </w:p>
        </w:tc>
      </w:tr>
      <w:tr>
        <w:trPr>
          <w:trHeight w:val="413"/>
        </w:trPr>
        <w:tc>
          <w:tcPr>
            <w:tcW w:w="6580" w:type="dxa"/>
            <w:vAlign w:val="bottom"/>
          </w:tcPr>
          <w:p>
            <w:pPr>
              <w:spacing w:after="0"/>
              <w:rPr>
                <w:sz w:val="20"/>
                <w:szCs w:val="20"/>
                <w:color w:val="auto"/>
              </w:rPr>
            </w:pPr>
            <w:r>
              <w:rPr>
                <w:rFonts w:ascii="Times New Roman" w:cs="Times New Roman" w:eastAsia="Times New Roman" w:hAnsi="Times New Roman"/>
                <w:sz w:val="21"/>
                <w:szCs w:val="21"/>
                <w:color w:val="auto"/>
              </w:rPr>
              <w:t>Member of Compensation Committee:</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$7,500</w:t>
            </w:r>
          </w:p>
        </w:tc>
      </w:tr>
      <w:tr>
        <w:trPr>
          <w:trHeight w:val="400"/>
        </w:trPr>
        <w:tc>
          <w:tcPr>
            <w:tcW w:w="6580" w:type="dxa"/>
            <w:vAlign w:val="bottom"/>
          </w:tcPr>
          <w:p>
            <w:pPr>
              <w:spacing w:after="0"/>
              <w:rPr>
                <w:sz w:val="20"/>
                <w:szCs w:val="20"/>
                <w:color w:val="auto"/>
              </w:rPr>
            </w:pPr>
            <w:r>
              <w:rPr>
                <w:rFonts w:ascii="Times New Roman" w:cs="Times New Roman" w:eastAsia="Times New Roman" w:hAnsi="Times New Roman"/>
                <w:sz w:val="21"/>
                <w:szCs w:val="21"/>
                <w:color w:val="auto"/>
              </w:rPr>
              <w:t>Chair of Corporate Governance and Nominating Committee:</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$10,000</w:t>
            </w:r>
          </w:p>
        </w:tc>
      </w:tr>
      <w:tr>
        <w:trPr>
          <w:trHeight w:val="400"/>
        </w:trPr>
        <w:tc>
          <w:tcPr>
            <w:tcW w:w="6580" w:type="dxa"/>
            <w:vAlign w:val="bottom"/>
          </w:tcPr>
          <w:p>
            <w:pPr>
              <w:spacing w:after="0"/>
              <w:rPr>
                <w:sz w:val="20"/>
                <w:szCs w:val="20"/>
                <w:color w:val="auto"/>
              </w:rPr>
            </w:pPr>
            <w:r>
              <w:rPr>
                <w:rFonts w:ascii="Times New Roman" w:cs="Times New Roman" w:eastAsia="Times New Roman" w:hAnsi="Times New Roman"/>
                <w:sz w:val="21"/>
                <w:szCs w:val="21"/>
                <w:color w:val="auto"/>
              </w:rPr>
              <w:t>Member of Corporate Governance and Nominating Committee:</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$5,000</w:t>
            </w:r>
          </w:p>
        </w:tc>
      </w:tr>
      <w:tr>
        <w:trPr>
          <w:trHeight w:val="387"/>
        </w:trPr>
        <w:tc>
          <w:tcPr>
            <w:tcW w:w="6580" w:type="dxa"/>
            <w:vAlign w:val="bottom"/>
          </w:tcPr>
          <w:p>
            <w:pPr>
              <w:spacing w:after="0"/>
              <w:rPr>
                <w:sz w:val="20"/>
                <w:szCs w:val="20"/>
                <w:color w:val="auto"/>
              </w:rPr>
            </w:pPr>
            <w:r>
              <w:rPr>
                <w:rFonts w:ascii="Times New Roman" w:cs="Times New Roman" w:eastAsia="Times New Roman" w:hAnsi="Times New Roman"/>
                <w:sz w:val="21"/>
                <w:szCs w:val="21"/>
                <w:color w:val="auto"/>
              </w:rPr>
              <w:t>Chair of Science and Technology Committee:</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$10,000</w:t>
            </w:r>
          </w:p>
        </w:tc>
      </w:tr>
      <w:tr>
        <w:trPr>
          <w:trHeight w:val="361"/>
        </w:trPr>
        <w:tc>
          <w:tcPr>
            <w:tcW w:w="6580" w:type="dxa"/>
            <w:vAlign w:val="bottom"/>
          </w:tcPr>
          <w:p>
            <w:pPr>
              <w:spacing w:after="0"/>
              <w:rPr>
                <w:sz w:val="20"/>
                <w:szCs w:val="20"/>
                <w:color w:val="auto"/>
              </w:rPr>
            </w:pPr>
            <w:r>
              <w:rPr>
                <w:rFonts w:ascii="Times New Roman" w:cs="Times New Roman" w:eastAsia="Times New Roman" w:hAnsi="Times New Roman"/>
                <w:sz w:val="21"/>
                <w:szCs w:val="21"/>
                <w:color w:val="auto"/>
              </w:rPr>
              <w:t>Member of Science and Technology Committee:</w:t>
            </w:r>
          </w:p>
        </w:tc>
        <w:tc>
          <w:tcPr>
            <w:tcW w:w="1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$5,000</w:t>
            </w:r>
          </w:p>
        </w:tc>
      </w:tr>
      <w:tr>
        <w:trPr>
          <w:trHeight w:val="774"/>
        </w:trPr>
        <w:tc>
          <w:tcPr>
            <w:tcW w:w="6580" w:type="dxa"/>
            <w:vAlign w:val="bottom"/>
          </w:tcPr>
          <w:p>
            <w:pPr>
              <w:ind w:left="4760"/>
              <w:spacing w:after="0"/>
              <w:rPr>
                <w:sz w:val="20"/>
                <w:szCs w:val="20"/>
                <w:color w:val="auto"/>
              </w:rPr>
            </w:pPr>
            <w:r>
              <w:rPr>
                <w:rFonts w:ascii="Times New Roman" w:cs="Times New Roman" w:eastAsia="Times New Roman" w:hAnsi="Times New Roman"/>
                <w:sz w:val="21"/>
                <w:szCs w:val="21"/>
                <w:color w:val="auto"/>
              </w:rPr>
              <w:t>- 1 -</w:t>
            </w:r>
          </w:p>
        </w:tc>
        <w:tc>
          <w:tcPr>
            <w:tcW w:w="1980" w:type="dxa"/>
            <w:vAlign w:val="bottom"/>
          </w:tcPr>
          <w:p>
            <w:pPr>
              <w:spacing w:after="0"/>
              <w:rPr>
                <w:sz w:val="24"/>
                <w:szCs w:val="24"/>
                <w:color w:val="auto"/>
              </w:rPr>
            </w:pPr>
          </w:p>
        </w:tc>
      </w:tr>
    </w:tbl>
    <w:p>
      <w:pPr>
        <w:sectPr>
          <w:pgSz w:w="11900" w:h="16838" w:orient="portrait"/>
          <w:cols w:equalWidth="0" w:num="1">
            <w:col w:w="11140"/>
          </w:cols>
          <w:pgMar w:left="420" w:top="100" w:right="339" w:bottom="1440" w:gutter="0" w:footer="0" w:header="0"/>
        </w:sectPr>
      </w:pPr>
    </w:p>
    <w:bookmarkStart w:id="84" w:name="page85"/>
    <w:bookmarkEnd w:id="84"/>
    <w:p>
      <w:pPr>
        <w:ind w:firstLine="619"/>
        <w:spacing w:after="0" w:line="282" w:lineRule="auto"/>
        <w:rPr>
          <w:sz w:val="20"/>
          <w:szCs w:val="20"/>
          <w:color w:val="auto"/>
        </w:rPr>
      </w:pPr>
      <w:r>
        <w:rPr>
          <w:rFonts w:ascii="Times New Roman" w:cs="Times New Roman" w:eastAsia="Times New Roman" w:hAnsi="Times New Roman"/>
          <w:sz w:val="21"/>
          <w:szCs w:val="21"/>
          <w:color w:val="auto"/>
        </w:rPr>
        <w:t>For clarity, each Outside Director who serves as the chair of a committee will not receive both the additional annual fee as the chair of the committee and the additional annual fee as a member of the committee.</w:t>
      </w:r>
    </w:p>
    <w:p>
      <w:pPr>
        <w:spacing w:after="0" w:line="138" w:lineRule="exact"/>
        <w:rPr>
          <w:sz w:val="20"/>
          <w:szCs w:val="20"/>
          <w:color w:val="auto"/>
        </w:rPr>
      </w:pPr>
    </w:p>
    <w:p>
      <w:pPr>
        <w:ind w:left="580" w:hanging="264"/>
        <w:spacing w:after="0"/>
        <w:tabs>
          <w:tab w:leader="none" w:pos="580"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Equity Compensation</w:t>
      </w:r>
    </w:p>
    <w:p>
      <w:pPr>
        <w:spacing w:after="0" w:line="252"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spacing w:after="0" w:line="169" w:lineRule="exact"/>
        <w:rPr>
          <w:sz w:val="20"/>
          <w:szCs w:val="20"/>
          <w:color w:val="auto"/>
        </w:rPr>
      </w:pPr>
    </w:p>
    <w:p>
      <w:pPr>
        <w:ind w:firstLine="625"/>
        <w:spacing w:after="0" w:line="269" w:lineRule="auto"/>
        <w:tabs>
          <w:tab w:leader="none" w:pos="113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Discretion</w:t>
      </w:r>
      <w:r>
        <w:rPr>
          <w:rFonts w:ascii="Times New Roman" w:cs="Times New Roman" w:eastAsia="Times New Roman" w:hAnsi="Times New Roman"/>
          <w:sz w:val="21"/>
          <w:szCs w:val="21"/>
          <w:color w:val="auto"/>
        </w:rPr>
        <w:t>. No person will have any discretion to select which Outside Directors will be granted any Awards under this Policy or to determine the number of Shares to be covered by such Awards.</w:t>
      </w:r>
    </w:p>
    <w:p>
      <w:pPr>
        <w:spacing w:after="0" w:line="167" w:lineRule="exact"/>
        <w:rPr>
          <w:rFonts w:ascii="Times New Roman" w:cs="Times New Roman" w:eastAsia="Times New Roman" w:hAnsi="Times New Roman"/>
          <w:sz w:val="21"/>
          <w:szCs w:val="21"/>
          <w:color w:val="auto"/>
        </w:rPr>
      </w:pPr>
    </w:p>
    <w:p>
      <w:pPr>
        <w:jc w:val="both"/>
        <w:ind w:firstLine="624"/>
        <w:spacing w:after="0"/>
        <w:tabs>
          <w:tab w:leader="none" w:pos="113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Awards</w:t>
      </w:r>
      <w:r>
        <w:rPr>
          <w:rFonts w:ascii="Times New Roman" w:cs="Times New Roman" w:eastAsia="Times New Roman" w:hAnsi="Times New Roman"/>
          <w:sz w:val="21"/>
          <w:szCs w:val="21"/>
          <w:color w:val="auto"/>
        </w:rPr>
        <w:t>. Subject to adjustment pursuant to the applicable terms of the Plan, each individual who first becomes an Outside Director following the Effective Date automatically will be granted an Award of Nonstatutory Stock Options (an “</w:t>
      </w:r>
      <w:r>
        <w:rPr>
          <w:rFonts w:ascii="Times New Roman" w:cs="Times New Roman" w:eastAsia="Times New Roman" w:hAnsi="Times New Roman"/>
          <w:sz w:val="21"/>
          <w:szCs w:val="21"/>
          <w:b w:val="1"/>
          <w:bCs w:val="1"/>
          <w:color w:val="auto"/>
        </w:rPr>
        <w:t>Initial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Option Award</w:t>
      </w:r>
      <w:r>
        <w:rPr>
          <w:rFonts w:ascii="Times New Roman" w:cs="Times New Roman" w:eastAsia="Times New Roman" w:hAnsi="Times New Roman"/>
          <w:sz w:val="21"/>
          <w:szCs w:val="21"/>
          <w:color w:val="auto"/>
        </w:rPr>
        <w:t>”) and an Award of Restricted Stock Units (an “</w:t>
      </w:r>
      <w:r>
        <w:rPr>
          <w:rFonts w:ascii="Times New Roman" w:cs="Times New Roman" w:eastAsia="Times New Roman" w:hAnsi="Times New Roman"/>
          <w:sz w:val="21"/>
          <w:szCs w:val="21"/>
          <w:b w:val="1"/>
          <w:bCs w:val="1"/>
          <w:color w:val="auto"/>
        </w:rPr>
        <w:t>Initial RSU Award</w:t>
      </w:r>
      <w:r>
        <w:rPr>
          <w:rFonts w:ascii="Times New Roman" w:cs="Times New Roman" w:eastAsia="Times New Roman" w:hAnsi="Times New Roman"/>
          <w:sz w:val="21"/>
          <w:szCs w:val="21"/>
          <w:color w:val="auto"/>
        </w:rPr>
        <w:t>,” and together with the Initial Option Award,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Awards</w:t>
      </w:r>
      <w:r>
        <w:rPr>
          <w:rFonts w:ascii="Times New Roman" w:cs="Times New Roman" w:eastAsia="Times New Roman" w:hAnsi="Times New Roman"/>
          <w:sz w:val="21"/>
          <w:szCs w:val="21"/>
          <w:color w:val="auto"/>
        </w:rPr>
        <w:t>”) that have an aggregate Value (as defined below) as of the last Trading Day before such Initial Awards’ grant date equal to $450,000, with the Initial Option Award having a Value equal to fifty percent (50%) of such dollar amount and the Initial RSU Award having a Value equal to fifty percent (50%) of such dollar amount. The Initial Awards will be made on the first date on which such individual first becomes an Outside Director (the first date as an Outside Director, the “</w:t>
      </w:r>
      <w:r>
        <w:rPr>
          <w:rFonts w:ascii="Times New Roman" w:cs="Times New Roman" w:eastAsia="Times New Roman" w:hAnsi="Times New Roman"/>
          <w:sz w:val="21"/>
          <w:szCs w:val="21"/>
          <w:b w:val="1"/>
          <w:bCs w:val="1"/>
          <w:color w:val="auto"/>
        </w:rPr>
        <w:t>Initial Start Date</w:t>
      </w:r>
      <w:r>
        <w:rPr>
          <w:rFonts w:ascii="Times New Roman" w:cs="Times New Roman" w:eastAsia="Times New Roman" w:hAnsi="Times New Roman"/>
          <w:sz w:val="21"/>
          <w:szCs w:val="21"/>
          <w:color w:val="auto"/>
        </w:rPr>
        <w:t>”), whether through election by the stockholders of the Company or appointment by the Board to fill a vacancy. If an individual was a member of the Board and also an Employee, becoming an Outside Director due to termination of employment will not entitle the Outside Director to any Initial Awards. Each Initial Option Award will be scheduled to vest as to one-third (1/3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1"/>
          <w:szCs w:val="21"/>
          <w:color w:val="auto"/>
        </w:rPr>
        <w:t>) of the Shares subject to the Initial Option Award on the one (1) year anniversary of the Outside Director’s Initial Start Date, and thereafter, in equal installments on a monthly basis for the next twenty-four (24) months on the same day of the month as the Outside Director’s Initial Start Date (or if a particular month does not have a corresponding day within that month, then the last day of that month), in each case subject to the Outside Director continuing to be a Director through the applicable vesting date. Each Initial RSU Award will be scheduled to vest as to one-third (1/3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1"/>
          <w:szCs w:val="21"/>
          <w:color w:val="auto"/>
        </w:rPr>
        <w:t>) of the Shares subject to the Initial RSU Award on the one (1), two (2), and three (3) year anniversaries of the Outside Director’s Initial Start Date, in each case subject to the Outside Director continuing to be a Director through the applicable vesting date.</w:t>
      </w:r>
    </w:p>
    <w:p>
      <w:pPr>
        <w:spacing w:after="0" w:line="188" w:lineRule="exact"/>
        <w:rPr>
          <w:rFonts w:ascii="Times New Roman" w:cs="Times New Roman" w:eastAsia="Times New Roman" w:hAnsi="Times New Roman"/>
          <w:sz w:val="21"/>
          <w:szCs w:val="21"/>
          <w:color w:val="auto"/>
        </w:rPr>
      </w:pPr>
    </w:p>
    <w:p>
      <w:pPr>
        <w:jc w:val="both"/>
        <w:ind w:firstLine="625"/>
        <w:spacing w:after="0" w:line="249" w:lineRule="auto"/>
        <w:tabs>
          <w:tab w:leader="none" w:pos="113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Awards</w:t>
      </w:r>
      <w:r>
        <w:rPr>
          <w:rFonts w:ascii="Times New Roman" w:cs="Times New Roman" w:eastAsia="Times New Roman" w:hAnsi="Times New Roman"/>
          <w:sz w:val="21"/>
          <w:szCs w:val="21"/>
          <w:color w:val="auto"/>
        </w:rPr>
        <w:t>. Subject to adjustment pursuant to the applicable terms of the Plan, effective as of the date of each Annual Meeting (as defined below) occurring after the Effective Date (an “</w:t>
      </w:r>
      <w:r>
        <w:rPr>
          <w:rFonts w:ascii="Times New Roman" w:cs="Times New Roman" w:eastAsia="Times New Roman" w:hAnsi="Times New Roman"/>
          <w:sz w:val="21"/>
          <w:szCs w:val="21"/>
          <w:b w:val="1"/>
          <w:bCs w:val="1"/>
          <w:color w:val="auto"/>
        </w:rPr>
        <w:t>Annual Meeting Date</w:t>
      </w:r>
      <w:r>
        <w:rPr>
          <w:rFonts w:ascii="Times New Roman" w:cs="Times New Roman" w:eastAsia="Times New Roman" w:hAnsi="Times New Roman"/>
          <w:sz w:val="21"/>
          <w:szCs w:val="21"/>
          <w:color w:val="auto"/>
        </w:rPr>
        <w:t>”), each individual who is an Outside Director as of such date will be automatically granted an Award of Nonstatutory Stock Options (the “</w:t>
      </w:r>
      <w:r>
        <w:rPr>
          <w:rFonts w:ascii="Times New Roman" w:cs="Times New Roman" w:eastAsia="Times New Roman" w:hAnsi="Times New Roman"/>
          <w:sz w:val="21"/>
          <w:szCs w:val="21"/>
          <w:b w:val="1"/>
          <w:bCs w:val="1"/>
          <w:color w:val="auto"/>
        </w:rPr>
        <w:t>Annual Award</w:t>
      </w:r>
      <w:r>
        <w:rPr>
          <w:rFonts w:ascii="Times New Roman" w:cs="Times New Roman" w:eastAsia="Times New Roman" w:hAnsi="Times New Roman"/>
          <w:sz w:val="21"/>
          <w:szCs w:val="21"/>
          <w:color w:val="auto"/>
        </w:rPr>
        <w:t>”) with an aggregate Value as of the date that is the last Trading Day before the Annual Meeting Date equal to $240,000; provided that in no event will the aggregate number of Shares subject to the Annual Award granted to an Outside Director as of an Annual Meeting Date exceed 223,500 Shares. Further, the Value of the first Annual Award to be granted to an Outside Director will be prorated based on the number of months of continuous service such Outside Director provided as a member</w:t>
      </w:r>
    </w:p>
    <w:p>
      <w:pPr>
        <w:spacing w:after="0" w:line="200" w:lineRule="exact"/>
        <w:rPr>
          <w:rFonts w:ascii="Times New Roman" w:cs="Times New Roman" w:eastAsia="Times New Roman" w:hAnsi="Times New Roman"/>
          <w:sz w:val="21"/>
          <w:szCs w:val="21"/>
          <w:color w:val="auto"/>
        </w:rPr>
      </w:pPr>
    </w:p>
    <w:p>
      <w:pPr>
        <w:spacing w:after="0" w:line="212" w:lineRule="exact"/>
        <w:rPr>
          <w:rFonts w:ascii="Times New Roman" w:cs="Times New Roman" w:eastAsia="Times New Roman" w:hAnsi="Times New Roman"/>
          <w:sz w:val="21"/>
          <w:szCs w:val="21"/>
          <w:color w:val="auto"/>
        </w:rPr>
      </w:pPr>
    </w:p>
    <w:p>
      <w:pPr>
        <w:ind w:left="5480" w:hanging="128"/>
        <w:spacing w:after="0"/>
        <w:tabs>
          <w:tab w:leader="none" w:pos="548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2 -</w:t>
      </w:r>
    </w:p>
    <w:p>
      <w:pPr>
        <w:sectPr>
          <w:pgSz w:w="11900" w:h="16838" w:orient="portrait"/>
          <w:cols w:equalWidth="0" w:num="1">
            <w:col w:w="11040"/>
          </w:cols>
          <w:pgMar w:left="420" w:top="1262" w:right="439" w:bottom="1440" w:gutter="0" w:footer="0" w:header="0"/>
        </w:sectPr>
      </w:pPr>
    </w:p>
    <w:bookmarkStart w:id="85" w:name="page86"/>
    <w:bookmarkEnd w:id="85"/>
    <w:p>
      <w:pPr>
        <w:jc w:val="both"/>
        <w:ind w:right="100"/>
        <w:spacing w:after="0" w:line="249" w:lineRule="auto"/>
        <w:rPr>
          <w:sz w:val="20"/>
          <w:szCs w:val="20"/>
          <w:color w:val="auto"/>
        </w:rPr>
      </w:pPr>
      <w:r>
        <w:rPr>
          <w:rFonts w:ascii="Times New Roman" w:cs="Times New Roman" w:eastAsia="Times New Roman" w:hAnsi="Times New Roman"/>
          <w:sz w:val="21"/>
          <w:szCs w:val="21"/>
          <w:color w:val="auto"/>
        </w:rPr>
        <w:t>of the Board during the twelve (12) month period immediately preceding such Annual Meeting Date (with any partial month of service provided rounded up to the whole month) to the extent such individual’s service as a member of the Board commenced after the date of the immediately preceding Annual Meeting. For purposes of clarity, an individual who is an Outside Director as of an Annual Meeting Date who resigns from such Outside Director role or otherwise ceases to be an Outside Director as of such date, will not be granted an Annual Award on such date, and an individual who first becomes an Outside Director as of an Annual Meeting Date will be eligible to receive Initial Awards pursuant to subsection (b) above but not an Annual Award with respect to such Annual Meeting Date. The Annual Award will be scheduled to vest monthly over one (1) year, on the same day of the month as the Annual Award’s date of grant (or if a particular month does not have a corresponding day within that month, then the last day of that month) or if earlier, on the date of the next annual meeting of the Company’s stockholders occurring after the Annual Award’s date of grant, provided such Outside Director continues to serve as a Director through the applicable vesting dates.</w:t>
      </w:r>
    </w:p>
    <w:p>
      <w:pPr>
        <w:spacing w:after="0" w:line="172" w:lineRule="exact"/>
        <w:rPr>
          <w:sz w:val="20"/>
          <w:szCs w:val="20"/>
          <w:color w:val="auto"/>
        </w:rPr>
      </w:pPr>
    </w:p>
    <w:p>
      <w:pPr>
        <w:jc w:val="both"/>
        <w:ind w:right="100" w:firstLine="621"/>
        <w:spacing w:after="0" w:line="249" w:lineRule="auto"/>
        <w:tabs>
          <w:tab w:leader="none" w:pos="113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Value</w:t>
      </w:r>
      <w:r>
        <w:rPr>
          <w:rFonts w:ascii="Times New Roman" w:cs="Times New Roman" w:eastAsia="Times New Roman" w:hAnsi="Times New Roman"/>
          <w:sz w:val="21"/>
          <w:szCs w:val="21"/>
          <w:color w:val="auto"/>
        </w:rPr>
        <w:t>. For purposes of this Policy, “</w:t>
      </w:r>
      <w:r>
        <w:rPr>
          <w:rFonts w:ascii="Times New Roman" w:cs="Times New Roman" w:eastAsia="Times New Roman" w:hAnsi="Times New Roman"/>
          <w:sz w:val="21"/>
          <w:szCs w:val="21"/>
          <w:b w:val="1"/>
          <w:bCs w:val="1"/>
          <w:color w:val="auto"/>
        </w:rPr>
        <w:t>Value</w:t>
      </w:r>
      <w:r>
        <w:rPr>
          <w:rFonts w:ascii="Times New Roman" w:cs="Times New Roman" w:eastAsia="Times New Roman" w:hAnsi="Times New Roman"/>
          <w:sz w:val="21"/>
          <w:szCs w:val="21"/>
          <w:color w:val="auto"/>
        </w:rPr>
        <w:t>” means, with respect to an Award of Options or Restricted Stock Units, the volume-weighted average price of the Company’s common stock on the principal trading market for the thirty (30) consecutive Trading Days ending on the applicable date, as reported by Bloomberg L.P. (or such other source as determined by the Board in good faith), or such other methodology the Board or Compensation Committee may determine prior to the grant of the Award becoming effective, as applicable; provided, however, that any Award of Options or Restricted Stock Units will cover only a whole number of Shares, such that any fractional Share that otherwise would result from a given Value will be rounded down and will not become subject to such Award. For purposes of clarity, in the event that the Share limit set forth in subsection (b) or (c) above is exceeded, then the aggregate Value of the Initial Awards or Annual Awards, as applicable, will be reduced (while the 50/50 mix of Options and Restricted Stock Units for the Initial Award based on Value is maintained) until the aggregate number of Shares subject to such Awards ceases to exceed such Share limit.</w:t>
      </w:r>
    </w:p>
    <w:p>
      <w:pPr>
        <w:spacing w:after="0" w:line="176" w:lineRule="exact"/>
        <w:rPr>
          <w:rFonts w:ascii="Times New Roman" w:cs="Times New Roman" w:eastAsia="Times New Roman" w:hAnsi="Times New Roman"/>
          <w:sz w:val="21"/>
          <w:szCs w:val="21"/>
          <w:color w:val="auto"/>
        </w:rPr>
      </w:pPr>
    </w:p>
    <w:p>
      <w:pPr>
        <w:jc w:val="both"/>
        <w:ind w:left="-20" w:firstLine="619"/>
        <w:spacing w:after="0" w:line="249" w:lineRule="auto"/>
        <w:tabs>
          <w:tab w:leader="none" w:pos="1131"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Other Terms of Awards</w:t>
      </w:r>
      <w:r>
        <w:rPr>
          <w:rFonts w:ascii="Times New Roman" w:cs="Times New Roman" w:eastAsia="Times New Roman" w:hAnsi="Times New Roman"/>
          <w:sz w:val="21"/>
          <w:szCs w:val="21"/>
          <w:color w:val="auto"/>
        </w:rPr>
        <w:t>. For purposes of this Policy, “</w:t>
      </w:r>
      <w:r>
        <w:rPr>
          <w:rFonts w:ascii="Times New Roman" w:cs="Times New Roman" w:eastAsia="Times New Roman" w:hAnsi="Times New Roman"/>
          <w:sz w:val="21"/>
          <w:szCs w:val="21"/>
          <w:b w:val="1"/>
          <w:bCs w:val="1"/>
          <w:color w:val="auto"/>
        </w:rPr>
        <w:t>Annual Meeting</w:t>
      </w:r>
      <w:r>
        <w:rPr>
          <w:rFonts w:ascii="Times New Roman" w:cs="Times New Roman" w:eastAsia="Times New Roman" w:hAnsi="Times New Roman"/>
          <w:sz w:val="21"/>
          <w:szCs w:val="21"/>
          <w:color w:val="auto"/>
        </w:rPr>
        <w:t>” means an annual meeting of the Company’s stockholders (after giving effect to any postponements and adjournments with respect thereto). Each Award granted under this Policy will be evidenced by the applicable form of Award agreement as approved by the Board or the Compensation Committee of the Board, as applicable, for use thereunder. The per Share exercise price of an Option granted under this Policy will be one hundred percent (100%) of the Fair Market Value on the Option’s date of grant. The maximum term to expiration of an Option granted under this Policy will be ten (10) years, subject to earlier termination as provided in the Plan and the Award agreement governing the terms of the Option. Awards granted pursuant to this Policy are subject to the terms and conditions of the Plan, including for clarity, and without limitation, that the number of Shares to be covered by an Award is subject to the number of Shares available for issuance under the Plan as of the grant date of such Award (and accordingly, will be subject to reduction on a prorated basis to the extent Awards to be granted pursuant to the Policy as of a given date would cover a number of Shares that exceeds the number of Shares available for issuance under the Plan).</w:t>
      </w:r>
    </w:p>
    <w:p>
      <w:pPr>
        <w:spacing w:after="0" w:line="200" w:lineRule="exact"/>
        <w:rPr>
          <w:rFonts w:ascii="Times New Roman" w:cs="Times New Roman" w:eastAsia="Times New Roman" w:hAnsi="Times New Roman"/>
          <w:sz w:val="19"/>
          <w:szCs w:val="19"/>
          <w:color w:val="auto"/>
        </w:rPr>
      </w:pPr>
    </w:p>
    <w:p>
      <w:pPr>
        <w:spacing w:after="0" w:line="206" w:lineRule="exact"/>
        <w:rPr>
          <w:rFonts w:ascii="Times New Roman" w:cs="Times New Roman" w:eastAsia="Times New Roman" w:hAnsi="Times New Roman"/>
          <w:sz w:val="19"/>
          <w:szCs w:val="19"/>
          <w:color w:val="auto"/>
        </w:rPr>
      </w:pPr>
    </w:p>
    <w:p>
      <w:pPr>
        <w:ind w:left="5480" w:hanging="128"/>
        <w:spacing w:after="0"/>
        <w:tabs>
          <w:tab w:leader="none" w:pos="5480"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3 -</w:t>
      </w:r>
    </w:p>
    <w:p>
      <w:pPr>
        <w:sectPr>
          <w:pgSz w:w="11900" w:h="16838" w:orient="portrait"/>
          <w:cols w:equalWidth="0" w:num="1">
            <w:col w:w="11140"/>
          </w:cols>
          <w:pgMar w:left="420" w:top="1261" w:right="339" w:bottom="1440" w:gutter="0" w:footer="0" w:header="0"/>
        </w:sectPr>
      </w:pPr>
    </w:p>
    <w:bookmarkStart w:id="86" w:name="page87"/>
    <w:bookmarkEnd w:id="86"/>
    <w:p>
      <w:pPr>
        <w:ind w:left="580" w:hanging="264"/>
        <w:spacing w:after="0"/>
        <w:tabs>
          <w:tab w:leader="none" w:pos="580" w:val="left"/>
        </w:tabs>
        <w:numPr>
          <w:ilvl w:val="0"/>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Additional Provisions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All provisions of the Plan not inconsistent with this Policy will apply to Awards granted to Outside Directors.</w:t>
      </w:r>
    </w:p>
    <w:p>
      <w:pPr>
        <w:spacing w:after="0" w:line="270" w:lineRule="exact"/>
        <w:rPr>
          <w:sz w:val="20"/>
          <w:szCs w:val="20"/>
          <w:color w:val="auto"/>
        </w:rPr>
      </w:pPr>
    </w:p>
    <w:p>
      <w:pPr>
        <w:ind w:left="580" w:hanging="264"/>
        <w:spacing w:after="0"/>
        <w:tabs>
          <w:tab w:leader="none" w:pos="580"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Adjustments</w:t>
      </w:r>
    </w:p>
    <w:p>
      <w:pPr>
        <w:spacing w:after="0" w:line="24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21"/>
          <w:szCs w:val="21"/>
          <w:color w:val="auto"/>
        </w:rPr>
        <w:t>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of Shares issuable pursuant to Awards granted under this Policy.</w:t>
      </w:r>
    </w:p>
    <w:p>
      <w:pPr>
        <w:spacing w:after="0" w:line="247" w:lineRule="exact"/>
        <w:rPr>
          <w:sz w:val="20"/>
          <w:szCs w:val="20"/>
          <w:color w:val="auto"/>
        </w:rPr>
      </w:pPr>
    </w:p>
    <w:p>
      <w:pPr>
        <w:ind w:left="580" w:hanging="264"/>
        <w:spacing w:after="0"/>
        <w:tabs>
          <w:tab w:leader="none" w:pos="580" w:val="left"/>
        </w:tabs>
        <w:numPr>
          <w:ilvl w:val="0"/>
          <w:numId w:val="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Limitations</w:t>
      </w: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No Outside Director may be granted, in any Fiscal Year, Awards (the value of which will be based on their grant date fair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value determined in accordance with U.S. generally accepted accounting principles) and any other compensation (including without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limitation any cash retainers or fees) that, in the aggregate, exceed $500,000, provided that such amount is increased 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$1,000,000 in the Fiscal Year of his or her initial service as an Outside Director. Any Awards or other compensation provided to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individual for his or her services as an Employee, or for his or her services as a Consultant other than as an Outside Director, will be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excluded for purposes of this Section.</w:t>
      </w:r>
    </w:p>
    <w:p>
      <w:pPr>
        <w:spacing w:after="0" w:line="248" w:lineRule="exact"/>
        <w:rPr>
          <w:sz w:val="20"/>
          <w:szCs w:val="20"/>
          <w:color w:val="auto"/>
        </w:rPr>
      </w:pPr>
    </w:p>
    <w:p>
      <w:pPr>
        <w:ind w:left="620" w:hanging="304"/>
        <w:spacing w:after="0"/>
        <w:tabs>
          <w:tab w:leader="none" w:pos="620"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w:t>
      </w:r>
      <w:r>
        <w:rPr>
          <w:rFonts w:ascii="Times New Roman" w:cs="Times New Roman" w:eastAsia="Times New Roman" w:hAnsi="Times New Roman"/>
          <w:sz w:val="16"/>
          <w:szCs w:val="16"/>
          <w:b w:val="1"/>
          <w:bCs w:val="1"/>
          <w:u w:val="single" w:color="auto"/>
          <w:color w:val="auto"/>
        </w:rPr>
        <w:t>ECTION</w:t>
      </w:r>
      <w:r>
        <w:rPr>
          <w:rFonts w:ascii="Times New Roman" w:cs="Times New Roman" w:eastAsia="Times New Roman" w:hAnsi="Times New Roman"/>
          <w:sz w:val="21"/>
          <w:szCs w:val="21"/>
          <w:b w:val="1"/>
          <w:bCs w:val="1"/>
          <w:u w:val="single" w:color="auto"/>
          <w:color w:val="auto"/>
        </w:rPr>
        <w:t xml:space="preserve"> 409A</w:t>
      </w:r>
    </w:p>
    <w:p>
      <w:pPr>
        <w:spacing w:after="0" w:line="227"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21"/>
          <w:szCs w:val="21"/>
          <w:color w:val="auto"/>
        </w:rPr>
        <w:t>In no event will cash payments under this Policy be paid after the later of (i) the 15th day of the 3rd month following the end of the Company’s fiscal year in which the compensation is earned or expenses are incurred, as applicable, or (ii) the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 or Subsidiaries have any responsibility, obligation, or liability to reimburse, indemnify, or hold harmless an Outside Director for any taxes imposed, or other costs incurred, as a result of Section 409A.</w:t>
      </w:r>
    </w:p>
    <w:p>
      <w:pPr>
        <w:spacing w:after="0" w:line="257" w:lineRule="exact"/>
        <w:rPr>
          <w:sz w:val="20"/>
          <w:szCs w:val="20"/>
          <w:color w:val="auto"/>
        </w:rPr>
      </w:pPr>
    </w:p>
    <w:p>
      <w:pPr>
        <w:ind w:left="580" w:hanging="264"/>
        <w:spacing w:after="0"/>
        <w:tabs>
          <w:tab w:leader="none" w:pos="580"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Revisions</w:t>
      </w:r>
    </w:p>
    <w:p>
      <w:pPr>
        <w:spacing w:after="0" w:line="24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The Board may amend, alter, suspend or terminate this Policy at any time and for any reason. Further, the Board may provide for cash, equity-based or other compensation to Outside Directors in addition to the compensation provided under this Policy. No amendment, alteration,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- 4 -</w:t>
      </w:r>
    </w:p>
    <w:p>
      <w:pPr>
        <w:sectPr>
          <w:pgSz w:w="11900" w:h="16838" w:orient="portrait"/>
          <w:cols w:equalWidth="0" w:num="1">
            <w:col w:w="11040"/>
          </w:cols>
          <w:pgMar w:left="420" w:top="1257" w:right="439" w:bottom="1440" w:gutter="0" w:footer="0" w:header="0"/>
        </w:sectPr>
      </w:pPr>
    </w:p>
    <w:bookmarkStart w:id="87" w:name="page88"/>
    <w:bookmarkEnd w:id="87"/>
    <w:p>
      <w:pPr>
        <w:jc w:val="both"/>
        <w:spacing w:after="0" w:line="252" w:lineRule="auto"/>
        <w:rPr>
          <w:sz w:val="20"/>
          <w:szCs w:val="20"/>
          <w:color w:val="auto"/>
        </w:rPr>
      </w:pPr>
      <w:r>
        <w:rPr>
          <w:rFonts w:ascii="Times New Roman" w:cs="Times New Roman" w:eastAsia="Times New Roman" w:hAnsi="Times New Roman"/>
          <w:sz w:val="21"/>
          <w:szCs w:val="21"/>
          <w:color w:val="auto"/>
        </w:rPr>
        <w:t>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172" w:lineRule="exact"/>
        <w:rPr>
          <w:sz w:val="20"/>
          <w:szCs w:val="20"/>
          <w:color w:val="auto"/>
        </w:rPr>
      </w:pPr>
    </w:p>
    <w:p>
      <w:pPr>
        <w:jc w:val="center"/>
        <w:spacing w:after="0"/>
        <w:tabs>
          <w:tab w:leader="none" w:pos="200" w:val="left"/>
          <w:tab w:leader="none" w:pos="180" w:val="left"/>
        </w:tabs>
        <w:rPr>
          <w:sz w:val="20"/>
          <w:szCs w:val="20"/>
          <w:color w:val="auto"/>
        </w:rPr>
      </w:pPr>
      <w:r>
        <w:rPr>
          <w:rFonts w:ascii="Times New Roman" w:cs="Times New Roman" w:eastAsia="Times New Roman" w:hAnsi="Times New Roman"/>
          <w:sz w:val="21"/>
          <w:szCs w:val="21"/>
          <w:color w:val="auto"/>
        </w:rPr>
        <w:t>*</w:t>
        <w:tab/>
        <w:t>*</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- 5 -</w:t>
      </w:r>
    </w:p>
    <w:p>
      <w:pPr>
        <w:sectPr>
          <w:pgSz w:w="11900" w:h="16838" w:orient="portrait"/>
          <w:cols w:equalWidth="0" w:num="1">
            <w:col w:w="11040"/>
          </w:cols>
          <w:pgMar w:left="420" w:top="1068" w:right="4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1"/>
          <w:szCs w:val="21"/>
          <w:b w:val="1"/>
          <w:bCs w:val="1"/>
          <w:color w:val="auto"/>
        </w:rPr>
        <w:t>Exhibit 31.1</w:t>
      </w:r>
    </w:p>
    <w:p>
      <w:pPr>
        <w:spacing w:after="0" w:line="103"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Christian Henry, certify that:</w:t>
      </w:r>
    </w:p>
    <w:p>
      <w:pPr>
        <w:spacing w:after="0" w:line="114" w:lineRule="exact"/>
        <w:rPr>
          <w:sz w:val="20"/>
          <w:szCs w:val="20"/>
          <w:color w:val="auto"/>
        </w:rPr>
      </w:pPr>
    </w:p>
    <w:p>
      <w:pPr>
        <w:ind w:left="620" w:hanging="230"/>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Pacific Biosciences of California, Inc.;</w:t>
      </w:r>
    </w:p>
    <w:p>
      <w:pPr>
        <w:spacing w:after="0" w:line="113" w:lineRule="exact"/>
        <w:rPr>
          <w:rFonts w:ascii="Times New Roman" w:cs="Times New Roman" w:eastAsia="Times New Roman" w:hAnsi="Times New Roman"/>
          <w:sz w:val="17"/>
          <w:szCs w:val="17"/>
          <w:color w:val="auto"/>
        </w:rPr>
      </w:pPr>
    </w:p>
    <w:p>
      <w:pPr>
        <w:ind w:right="620" w:firstLine="390"/>
        <w:spacing w:after="0" w:line="287" w:lineRule="auto"/>
        <w:tabs>
          <w:tab w:leader="none" w:pos="61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right="580" w:firstLine="390"/>
        <w:spacing w:after="0" w:line="287" w:lineRule="auto"/>
        <w:tabs>
          <w:tab w:leader="none" w:pos="61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right="340" w:firstLine="390"/>
        <w:spacing w:after="0" w:line="270" w:lineRule="auto"/>
        <w:tabs>
          <w:tab w:leader="none" w:pos="61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sz w:val="20"/>
          <w:szCs w:val="20"/>
          <w:color w:val="auto"/>
        </w:rPr>
      </w:pPr>
    </w:p>
    <w:p>
      <w:pPr>
        <w:ind w:right="80" w:firstLine="390"/>
        <w:spacing w:after="0" w:line="270" w:lineRule="auto"/>
        <w:tabs>
          <w:tab w:leader="none" w:pos="61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jc w:val="both"/>
        <w:ind w:right="200" w:firstLine="390"/>
        <w:spacing w:after="0" w:line="270" w:lineRule="auto"/>
        <w:tabs>
          <w:tab w:leader="none" w:pos="60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240" w:firstLine="390"/>
        <w:spacing w:after="0" w:line="287" w:lineRule="auto"/>
        <w:tabs>
          <w:tab w:leader="none" w:pos="61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right="100" w:firstLine="390"/>
        <w:spacing w:after="0" w:line="270" w:lineRule="auto"/>
        <w:tabs>
          <w:tab w:leader="none" w:pos="60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sz w:val="20"/>
          <w:szCs w:val="20"/>
          <w:color w:val="auto"/>
        </w:rPr>
      </w:pPr>
    </w:p>
    <w:p>
      <w:pPr>
        <w:ind w:right="340" w:firstLine="390"/>
        <w:spacing w:after="0" w:line="287" w:lineRule="auto"/>
        <w:tabs>
          <w:tab w:leader="none" w:pos="61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sz w:val="20"/>
          <w:szCs w:val="20"/>
          <w:color w:val="auto"/>
        </w:rPr>
      </w:pPr>
    </w:p>
    <w:p>
      <w:pPr>
        <w:ind w:right="180" w:firstLine="390"/>
        <w:spacing w:after="0" w:line="287" w:lineRule="auto"/>
        <w:tabs>
          <w:tab w:leader="none" w:pos="61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400" w:firstLine="390"/>
        <w:spacing w:after="0" w:line="287" w:lineRule="auto"/>
        <w:tabs>
          <w:tab w:leader="none" w:pos="60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5180" w:val="left"/>
          <w:tab w:leader="none" w:pos="7520" w:val="left"/>
        </w:tabs>
        <w:rPr>
          <w:sz w:val="20"/>
          <w:szCs w:val="20"/>
          <w:color w:val="auto"/>
        </w:rPr>
      </w:pPr>
      <w:r>
        <w:rPr>
          <w:rFonts w:ascii="Times New Roman" w:cs="Times New Roman" w:eastAsia="Times New Roman" w:hAnsi="Times New Roman"/>
          <w:sz w:val="17"/>
          <w:szCs w:val="17"/>
          <w:color w:val="auto"/>
        </w:rPr>
        <w:t>Date: May 8,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17145</wp:posOffset>
            </wp:positionV>
            <wp:extent cx="349567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0">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29"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7"/>
          <w:szCs w:val="17"/>
          <w:color w:val="auto"/>
        </w:rPr>
        <w:t>Christian O. Henry</w:t>
      </w:r>
    </w:p>
    <w:p>
      <w:pPr>
        <w:spacing w:after="0" w:line="28"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1"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03"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1"/>
          <w:szCs w:val="21"/>
          <w:b w:val="1"/>
          <w:bCs w:val="1"/>
          <w:color w:val="auto"/>
        </w:rPr>
        <w:t>Exhibit 31.2</w:t>
      </w:r>
    </w:p>
    <w:p>
      <w:pPr>
        <w:spacing w:after="0" w:line="103"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Jim Gibson, certify that:</w:t>
      </w:r>
    </w:p>
    <w:p>
      <w:pPr>
        <w:spacing w:after="0" w:line="114" w:lineRule="exact"/>
        <w:rPr>
          <w:sz w:val="20"/>
          <w:szCs w:val="20"/>
          <w:color w:val="auto"/>
        </w:rPr>
      </w:pPr>
    </w:p>
    <w:p>
      <w:pPr>
        <w:ind w:left="620" w:hanging="230"/>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Pacific Biosciences of California, Inc.;</w:t>
      </w:r>
    </w:p>
    <w:p>
      <w:pPr>
        <w:spacing w:after="0" w:line="113" w:lineRule="exact"/>
        <w:rPr>
          <w:rFonts w:ascii="Times New Roman" w:cs="Times New Roman" w:eastAsia="Times New Roman" w:hAnsi="Times New Roman"/>
          <w:sz w:val="17"/>
          <w:szCs w:val="17"/>
          <w:color w:val="auto"/>
        </w:rPr>
      </w:pPr>
    </w:p>
    <w:p>
      <w:pPr>
        <w:ind w:right="620" w:firstLine="390"/>
        <w:spacing w:after="0" w:line="287" w:lineRule="auto"/>
        <w:tabs>
          <w:tab w:leader="none" w:pos="61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right="580" w:firstLine="390"/>
        <w:spacing w:after="0" w:line="287" w:lineRule="auto"/>
        <w:tabs>
          <w:tab w:leader="none" w:pos="61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right="340" w:firstLine="390"/>
        <w:spacing w:after="0" w:line="270" w:lineRule="auto"/>
        <w:tabs>
          <w:tab w:leader="none" w:pos="619"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sz w:val="20"/>
          <w:szCs w:val="20"/>
          <w:color w:val="auto"/>
        </w:rPr>
      </w:pPr>
    </w:p>
    <w:p>
      <w:pPr>
        <w:ind w:right="80" w:firstLine="390"/>
        <w:spacing w:after="0" w:line="270" w:lineRule="auto"/>
        <w:tabs>
          <w:tab w:leader="none" w:pos="61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jc w:val="both"/>
        <w:ind w:right="200" w:firstLine="390"/>
        <w:spacing w:after="0" w:line="270" w:lineRule="auto"/>
        <w:tabs>
          <w:tab w:leader="none" w:pos="60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240" w:firstLine="390"/>
        <w:spacing w:after="0" w:line="287" w:lineRule="auto"/>
        <w:tabs>
          <w:tab w:leader="none" w:pos="61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ind w:right="100" w:firstLine="390"/>
        <w:spacing w:after="0" w:line="270" w:lineRule="auto"/>
        <w:tabs>
          <w:tab w:leader="none" w:pos="60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sz w:val="20"/>
          <w:szCs w:val="20"/>
          <w:color w:val="auto"/>
        </w:rPr>
      </w:pPr>
    </w:p>
    <w:p>
      <w:pPr>
        <w:ind w:right="340" w:firstLine="390"/>
        <w:spacing w:after="0" w:line="287" w:lineRule="auto"/>
        <w:tabs>
          <w:tab w:leader="none" w:pos="61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sz w:val="20"/>
          <w:szCs w:val="20"/>
          <w:color w:val="auto"/>
        </w:rPr>
      </w:pPr>
    </w:p>
    <w:p>
      <w:pPr>
        <w:ind w:right="180" w:firstLine="390"/>
        <w:spacing w:after="0" w:line="287" w:lineRule="auto"/>
        <w:tabs>
          <w:tab w:leader="none" w:pos="61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400" w:firstLine="390"/>
        <w:spacing w:after="0" w:line="287" w:lineRule="auto"/>
        <w:tabs>
          <w:tab w:leader="none" w:pos="607"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spacing w:after="0"/>
        <w:tabs>
          <w:tab w:leader="none" w:pos="5720" w:val="left"/>
          <w:tab w:leader="none" w:pos="8320" w:val="left"/>
        </w:tabs>
        <w:rPr>
          <w:sz w:val="20"/>
          <w:szCs w:val="20"/>
          <w:color w:val="auto"/>
        </w:rPr>
      </w:pPr>
      <w:r>
        <w:rPr>
          <w:rFonts w:ascii="Times New Roman" w:cs="Times New Roman" w:eastAsia="Times New Roman" w:hAnsi="Times New Roman"/>
          <w:sz w:val="17"/>
          <w:szCs w:val="17"/>
          <w:color w:val="auto"/>
        </w:rPr>
        <w:t>Date: May 8,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Jim 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3890645</wp:posOffset>
            </wp:positionH>
            <wp:positionV relativeFrom="paragraph">
              <wp:posOffset>17145</wp:posOffset>
            </wp:positionV>
            <wp:extent cx="3310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1">
                      <a:extLst>
                        <a:ext uri="{28A0092B-C50C-407E-A947-70E740481C1C}"/>
                      </a:extLst>
                    </a:blip>
                    <a:srcRect/>
                    <a:stretch>
                      <a:fillRect/>
                    </a:stretch>
                  </pic:blipFill>
                  <pic:spPr bwMode="auto">
                    <a:xfrm>
                      <a:off x="0" y="0"/>
                      <a:ext cx="3310255" cy="8255"/>
                    </a:xfrm>
                    <a:prstGeom prst="rect">
                      <a:avLst/>
                    </a:prstGeom>
                    <a:noFill/>
                  </pic:spPr>
                </pic:pic>
              </a:graphicData>
            </a:graphic>
          </wp:anchor>
        </w:drawing>
      </w:r>
    </w:p>
    <w:p>
      <w:pPr>
        <w:spacing w:after="0" w:line="2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7"/>
          <w:szCs w:val="17"/>
          <w:color w:val="auto"/>
        </w:rPr>
        <w:t>Jim R. Gibson</w:t>
      </w:r>
    </w:p>
    <w:p>
      <w:pPr>
        <w:spacing w:after="0" w:line="28"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89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Furnished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7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Pacific Biosciences of California, Inc. (the “Company”) on Form 10-Q for the period ended March 31, 2026,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w:t>
      </w:r>
    </w:p>
    <w:p>
      <w:pPr>
        <w:spacing w:after="0" w:line="127" w:lineRule="exact"/>
        <w:rPr>
          <w:sz w:val="20"/>
          <w:szCs w:val="20"/>
          <w:color w:val="auto"/>
        </w:rPr>
      </w:pPr>
    </w:p>
    <w:p>
      <w:pPr>
        <w:ind w:left="620" w:right="100" w:hanging="307"/>
        <w:spacing w:after="0" w:line="287" w:lineRule="auto"/>
        <w:tabs>
          <w:tab w:leader="none" w:pos="61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of the Company on Form 10-Q for the period ended March 31, 2026 (the “Report”), fully complies with the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20"/>
        <w:spacing w:after="0"/>
        <w:tabs>
          <w:tab w:leader="none" w:pos="5040" w:val="left"/>
          <w:tab w:leader="none" w:pos="7520" w:val="left"/>
        </w:tabs>
        <w:rPr>
          <w:sz w:val="20"/>
          <w:szCs w:val="20"/>
          <w:color w:val="auto"/>
        </w:rPr>
      </w:pPr>
      <w:r>
        <w:rPr>
          <w:rFonts w:ascii="Times New Roman" w:cs="Times New Roman" w:eastAsia="Times New Roman" w:hAnsi="Times New Roman"/>
          <w:sz w:val="17"/>
          <w:szCs w:val="17"/>
          <w:color w:val="auto"/>
        </w:rPr>
        <w:t>Date: May 8,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17145</wp:posOffset>
            </wp:positionV>
            <wp:extent cx="35693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2">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7"/>
          <w:szCs w:val="17"/>
          <w:color w:val="auto"/>
        </w:rPr>
        <w:t>Christian O. Henry</w:t>
      </w:r>
    </w:p>
    <w:p>
      <w:pPr>
        <w:spacing w:after="0" w:line="28"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1"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89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1"/>
          <w:szCs w:val="21"/>
          <w:b w:val="1"/>
          <w:bCs w:val="1"/>
          <w:color w:val="auto"/>
        </w:rPr>
        <w:t>Exhibit 32.2</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CFO Furnished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7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Pacific Biosciences of California, Inc. (the “Company”) on Form 10-Q for the period ended March 31, 2026, as filed with the Securities and Exchange Commission on the date hereof, I, Jim Gibson, Chief Financial Officer of the Company, certify for the purposes of section 1350 of chapter 63 of title 18 of the United States Code, as adopted pursuant to Section 906 of the Sarbanes-Oxley Act of 2002, that, to the best of my knowledge,</w:t>
      </w:r>
    </w:p>
    <w:p>
      <w:pPr>
        <w:spacing w:after="0" w:line="127" w:lineRule="exact"/>
        <w:rPr>
          <w:sz w:val="20"/>
          <w:szCs w:val="20"/>
          <w:color w:val="auto"/>
        </w:rPr>
      </w:pPr>
    </w:p>
    <w:p>
      <w:pPr>
        <w:ind w:left="620" w:right="100" w:hanging="307"/>
        <w:spacing w:after="0" w:line="287" w:lineRule="auto"/>
        <w:tabs>
          <w:tab w:leader="none" w:pos="61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of the Company on Form 10-Q for the period ended March 31, 2026 (the “Report”), fully complies with the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20"/>
        <w:spacing w:after="0"/>
        <w:tabs>
          <w:tab w:leader="none" w:pos="5220" w:val="left"/>
          <w:tab w:leader="none" w:pos="7820" w:val="left"/>
        </w:tabs>
        <w:rPr>
          <w:sz w:val="20"/>
          <w:szCs w:val="20"/>
          <w:color w:val="auto"/>
        </w:rPr>
      </w:pPr>
      <w:r>
        <w:rPr>
          <w:rFonts w:ascii="Times New Roman" w:cs="Times New Roman" w:eastAsia="Times New Roman" w:hAnsi="Times New Roman"/>
          <w:sz w:val="17"/>
          <w:szCs w:val="17"/>
          <w:color w:val="auto"/>
        </w:rPr>
        <w:t>Date: May 8, 2026</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Jim 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933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3">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color w:val="auto"/>
        </w:rPr>
        <w:t>Jim R. Gibson</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8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1)"/>
      <w:numFmt w:val="lowerRoman"/>
      <w:start w:val="5"/>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decimal"/>
      <w:start w:val="2"/>
    </w:lvl>
  </w:abstractNum>
  <w:abstractNum w:abstractNumId="36">
    <w:nsid w:val="7A6D8D3C"/>
    <w:multiLevelType w:val="hybridMultilevel"/>
    <w:lvl w:ilvl="0">
      <w:lvlJc w:val="left"/>
      <w:lvlText w:val="(%1)"/>
      <w:numFmt w:val="lowerLetter"/>
      <w:start w:val="1"/>
    </w:lvl>
    <w:lvl w:ilvl="1">
      <w:lvlJc w:val="left"/>
      <w:lvlText w:val="-"/>
      <w:numFmt w:val="bullet"/>
      <w:start w:val="1"/>
    </w:lvl>
  </w:abstractNum>
  <w:abstractNum w:abstractNumId="37">
    <w:nsid w:val="4B588F54"/>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abstractNum>
  <w:abstractNum w:abstractNumId="38">
    <w:nsid w:val="542289EC"/>
    <w:multiLevelType w:val="hybridMultilevel"/>
    <w:lvl w:ilvl="0">
      <w:lvlJc w:val="left"/>
      <w:lvlText w:val="(%1)"/>
      <w:numFmt w:val="lowerLetter"/>
      <w:start w:val="5"/>
    </w:lvl>
    <w:lvl w:ilvl="1">
      <w:lvlJc w:val="left"/>
      <w:lvlText w:val="%2"/>
      <w:numFmt w:val="lowerLetter"/>
      <w:start w:val="1"/>
    </w:lvl>
    <w:lvl w:ilvl="2">
      <w:lvlJc w:val="left"/>
      <w:lvlText w:val="-"/>
      <w:numFmt w:val="bullet"/>
      <w:start w:val="1"/>
    </w:lvl>
  </w:abstractNum>
  <w:abstractNum w:abstractNumId="39">
    <w:nsid w:val="6DE91B18"/>
    <w:multiLevelType w:val="hybridMultilevel"/>
    <w:lvl w:ilvl="0">
      <w:lvlJc w:val="left"/>
      <w:lvlText w:val="%1."/>
      <w:numFmt w:val="decimal"/>
      <w:start w:val="3"/>
    </w:lvl>
  </w:abstractNum>
  <w:abstractNum w:abstractNumId="40">
    <w:nsid w:val="38437FDB"/>
    <w:multiLevelType w:val="hybridMultilevel"/>
    <w:lvl w:ilvl="0">
      <w:lvlJc w:val="left"/>
      <w:lvlText w:val="%1."/>
      <w:numFmt w:val="decimal"/>
      <w:start w:val="4"/>
    </w:lvl>
  </w:abstractNum>
  <w:abstractNum w:abstractNumId="41">
    <w:nsid w:val="7644A45C"/>
    <w:multiLevelType w:val="hybridMultilevel"/>
    <w:lvl w:ilvl="0">
      <w:lvlJc w:val="left"/>
      <w:lvlText w:val="%1."/>
      <w:numFmt w:val="decimal"/>
      <w:start w:val="5"/>
    </w:lvl>
  </w:abstractNum>
  <w:abstractNum w:abstractNumId="42">
    <w:nsid w:val="32FFF902"/>
    <w:multiLevelType w:val="hybridMultilevel"/>
    <w:lvl w:ilvl="0">
      <w:lvlJc w:val="left"/>
      <w:lvlText w:val="%1."/>
      <w:numFmt w:val="decimal"/>
      <w:start w:val="6"/>
    </w:lvl>
  </w:abstractNum>
  <w:abstractNum w:abstractNumId="43">
    <w:nsid w:val="684A481A"/>
    <w:multiLevelType w:val="hybridMultilevel"/>
    <w:lvl w:ilvl="0">
      <w:lvlJc w:val="left"/>
      <w:lvlText w:val="%1."/>
      <w:numFmt w:val="decimal"/>
      <w:start w:val="7"/>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lowerLetter"/>
      <w:start w:val="1"/>
    </w:lvl>
  </w:abstractNum>
  <w:abstractNum w:abstractNumId="46">
    <w:nsid w:val="3DC240FB"/>
    <w:multiLevelType w:val="hybridMultilevel"/>
    <w:lvl w:ilvl="0">
      <w:lvlJc w:val="left"/>
      <w:lvlText w:val="%1."/>
      <w:numFmt w:val="decimal"/>
      <w:start w:val="5"/>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5"/>
    </w:lvl>
  </w:abstractNum>
  <w:abstractNum w:abstractNumId="51">
    <w:nsid w:val="70C6A529"/>
    <w:multiLevelType w:val="hybridMultilevel"/>
    <w:lvl w:ilvl="0">
      <w:lvlJc w:val="left"/>
      <w:lvlText w:val="%1)"/>
      <w:numFmt w:val="lowerLetter"/>
      <w:start w:val="1"/>
    </w:lvl>
  </w:abstractNum>
  <w:abstractNum w:abstractNumId="52">
    <w:nsid w:val="520EEDD1"/>
    <w:multiLevelType w:val="hybridMultilevel"/>
    <w:lvl w:ilvl="0">
      <w:lvlJc w:val="left"/>
      <w:lvlText w:val="(%1)"/>
      <w:numFmt w:val="lowerRoman"/>
      <w:start w:val="1"/>
    </w:lvl>
  </w:abstractNum>
  <w:abstractNum w:abstractNumId="53">
    <w:nsid w:val="374A3FE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jpe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png"/><Relationship Id="rId552" Type="http://schemas.openxmlformats.org/officeDocument/2006/relationships/image" Target="media/image540.png"/><Relationship Id="rId553" Type="http://schemas.openxmlformats.org/officeDocument/2006/relationships/image" Target="media/image541.png"/><Relationship Id="rId554" Type="http://schemas.openxmlformats.org/officeDocument/2006/relationships/image" Target="media/image542.png"/><Relationship Id="rId555" Type="http://schemas.openxmlformats.org/officeDocument/2006/relationships/image" Target="media/image543.jpeg"/><Relationship Id="rId556" Type="http://schemas.openxmlformats.org/officeDocument/2006/relationships/image" Target="media/image544.png"/><Relationship Id="rId557" Type="http://schemas.openxmlformats.org/officeDocument/2006/relationships/image" Target="media/image545.png"/><Relationship Id="rId558" Type="http://schemas.openxmlformats.org/officeDocument/2006/relationships/image" Target="media/image546.png"/><Relationship Id="rId559" Type="http://schemas.openxmlformats.org/officeDocument/2006/relationships/image" Target="media/image547.jpeg"/><Relationship Id="rId560" Type="http://schemas.openxmlformats.org/officeDocument/2006/relationships/image" Target="media/image548.png"/><Relationship Id="rId561" Type="http://schemas.openxmlformats.org/officeDocument/2006/relationships/image" Target="media/image549.png"/><Relationship Id="rId562" Type="http://schemas.openxmlformats.org/officeDocument/2006/relationships/image" Target="media/image550.png"/><Relationship Id="rId563" Type="http://schemas.openxmlformats.org/officeDocument/2006/relationships/image" Target="media/image551.png"/><Relationship Id="rId547" Type="http://schemas.openxmlformats.org/officeDocument/2006/relationships/hyperlink" Target="https://www.sec.gov/Archives/edgar/data/1299130/000119312511075269/dex31.htm" TargetMode="External"/><Relationship Id="rId548" Type="http://schemas.openxmlformats.org/officeDocument/2006/relationships/hyperlink" Target="https://www.sec.gov/Archives/edgar/data/0001299130/000129913024000146/exhibit31-certificateofame.htm" TargetMode="External"/><Relationship Id="rId549" Type="http://schemas.openxmlformats.org/officeDocument/2006/relationships/hyperlink" Target="https://www.sec.gov/Archives/edgar/data/0001299130/000129913024000146/exhibit32-certificateofame.htm" TargetMode="External"/><Relationship Id="rId550" Type="http://schemas.openxmlformats.org/officeDocument/2006/relationships/hyperlink" Target="https://www.sec.gov/Archives/edgar/data/1299130/000129913022000128/pacb-20221103xex3_1.htm" TargetMode="External"/><Relationship Id="rId551" Type="http://schemas.openxmlformats.org/officeDocument/2006/relationships/hyperlink" Target="https://www.sec.gov/Archives/edgar/data/1299130/000110465926009014/tm26475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2026-05-08T16:31:16Z</dcterms:created>
  <dcterms:modified xsi:type="dcterms:W3CDTF">2026-05-08T16:31:16Z</dcterms:modified>
</cp:coreProperties>
</file>