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437515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462280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ind w:left="200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4"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x 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 TRANSITION REPORT PURSUANT TO SECTION 13 OR 15(d) OF THE SECURITIES EXCHANGE ACT OF 1934</w:t>
      </w:r>
    </w:p>
    <w:p>
      <w:pPr>
        <w:spacing w:after="0" w:line="169" w:lineRule="exact"/>
        <w:rPr>
          <w:sz w:val="24"/>
          <w:szCs w:val="24"/>
          <w:color w:val="auto"/>
        </w:rPr>
      </w:pPr>
    </w:p>
    <w:p>
      <w:pPr>
        <w:ind w:left="4100"/>
        <w:spacing w:after="0"/>
        <w:tabs>
          <w:tab w:leader="none" w:pos="65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001-34899</w:t>
      </w:r>
    </w:p>
    <w:p>
      <w:pPr>
        <w:spacing w:after="0" w:line="19"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2497455</wp:posOffset>
            </wp:positionH>
            <wp:positionV relativeFrom="paragraph">
              <wp:posOffset>35560</wp:posOffset>
            </wp:positionV>
            <wp:extent cx="2147570" cy="495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7570" cy="495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Pacific Biosciences of California,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200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141" w:lineRule="exact"/>
        <w:rPr>
          <w:sz w:val="24"/>
          <w:szCs w:val="24"/>
          <w:color w:val="auto"/>
        </w:rPr>
      </w:pPr>
    </w:p>
    <w:tbl>
      <w:tblPr>
        <w:tblLayout w:type="fixed"/>
        <w:tblInd w:w="1660" w:type="dxa"/>
        <w:tblCellMar>
          <w:top w:w="0" w:type="dxa"/>
          <w:left w:w="0" w:type="dxa"/>
          <w:bottom w:w="0" w:type="dxa"/>
          <w:right w:w="0" w:type="dxa"/>
        </w:tblCellMar>
      </w:tblPr>
      <w:tr>
        <w:trPr>
          <w:trHeight w:val="180"/>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Delaware</w:t>
            </w:r>
          </w:p>
        </w:tc>
        <w:tc>
          <w:tcPr>
            <w:tcW w:w="4980" w:type="dxa"/>
            <w:vAlign w:val="bottom"/>
          </w:tcPr>
          <w:p>
            <w:pPr>
              <w:jc w:val="right"/>
              <w:ind w:right="151"/>
              <w:spacing w:after="0"/>
              <w:rPr>
                <w:sz w:val="20"/>
                <w:szCs w:val="20"/>
                <w:color w:val="auto"/>
              </w:rPr>
            </w:pPr>
            <w:r>
              <w:rPr>
                <w:rFonts w:ascii="Arial" w:cs="Arial" w:eastAsia="Arial" w:hAnsi="Arial"/>
                <w:sz w:val="14"/>
                <w:szCs w:val="14"/>
                <w:b w:val="1"/>
                <w:bCs w:val="1"/>
                <w:color w:val="auto"/>
              </w:rPr>
              <w:t>16-1590339</w:t>
            </w:r>
          </w:p>
        </w:tc>
      </w:tr>
      <w:tr>
        <w:trPr>
          <w:trHeight w:val="198"/>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0"/>
              </w:rPr>
              <w:t>(State or other jurisdiction of</w:t>
            </w:r>
          </w:p>
        </w:tc>
        <w:tc>
          <w:tcPr>
            <w:tcW w:w="4980" w:type="dxa"/>
            <w:vAlign w:val="bottom"/>
          </w:tcPr>
          <w:p>
            <w:pPr>
              <w:jc w:val="center"/>
              <w:ind w:left="3831"/>
              <w:spacing w:after="0"/>
              <w:rPr>
                <w:sz w:val="20"/>
                <w:szCs w:val="20"/>
                <w:color w:val="auto"/>
              </w:rPr>
            </w:pPr>
            <w:r>
              <w:rPr>
                <w:rFonts w:ascii="Arial" w:cs="Arial" w:eastAsia="Arial" w:hAnsi="Arial"/>
                <w:sz w:val="14"/>
                <w:szCs w:val="14"/>
                <w:b w:val="1"/>
                <w:bCs w:val="1"/>
                <w:color w:val="auto"/>
                <w:w w:val="93"/>
              </w:rPr>
              <w:t>(I.R.S. Employer</w:t>
            </w:r>
          </w:p>
        </w:tc>
      </w:tr>
      <w:tr>
        <w:trPr>
          <w:trHeight w:val="180"/>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incorporation or organization)</w:t>
            </w:r>
          </w:p>
        </w:tc>
        <w:tc>
          <w:tcPr>
            <w:tcW w:w="4980" w:type="dxa"/>
            <w:vAlign w:val="bottom"/>
          </w:tcPr>
          <w:p>
            <w:pPr>
              <w:jc w:val="center"/>
              <w:ind w:left="3831"/>
              <w:spacing w:after="0"/>
              <w:rPr>
                <w:sz w:val="20"/>
                <w:szCs w:val="20"/>
                <w:color w:val="auto"/>
              </w:rPr>
            </w:pPr>
            <w:r>
              <w:rPr>
                <w:rFonts w:ascii="Arial" w:cs="Arial" w:eastAsia="Arial" w:hAnsi="Arial"/>
                <w:sz w:val="14"/>
                <w:szCs w:val="14"/>
                <w:b w:val="1"/>
                <w:bCs w:val="1"/>
                <w:color w:val="auto"/>
                <w:w w:val="91"/>
              </w:rPr>
              <w:t>Identification No.)</w:t>
            </w:r>
          </w:p>
        </w:tc>
      </w:tr>
      <w:tr>
        <w:trPr>
          <w:trHeight w:val="367"/>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1305 O’Brien Drive</w:t>
            </w:r>
          </w:p>
        </w:tc>
        <w:tc>
          <w:tcPr>
            <w:tcW w:w="4980" w:type="dxa"/>
            <w:vAlign w:val="bottom"/>
          </w:tcPr>
          <w:p>
            <w:pPr>
              <w:spacing w:after="0"/>
              <w:rPr>
                <w:sz w:val="24"/>
                <w:szCs w:val="24"/>
                <w:color w:val="auto"/>
              </w:rPr>
            </w:pPr>
          </w:p>
        </w:tc>
      </w:tr>
      <w:tr>
        <w:trPr>
          <w:trHeight w:val="193"/>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5"/>
              </w:rPr>
              <w:t>Menlo Park, CA</w:t>
            </w:r>
          </w:p>
        </w:tc>
        <w:tc>
          <w:tcPr>
            <w:tcW w:w="4980" w:type="dxa"/>
            <w:vAlign w:val="bottom"/>
          </w:tcPr>
          <w:p>
            <w:pPr>
              <w:jc w:val="right"/>
              <w:ind w:right="311"/>
              <w:spacing w:after="0"/>
              <w:rPr>
                <w:sz w:val="20"/>
                <w:szCs w:val="20"/>
                <w:color w:val="auto"/>
              </w:rPr>
            </w:pPr>
            <w:r>
              <w:rPr>
                <w:rFonts w:ascii="Arial" w:cs="Arial" w:eastAsia="Arial" w:hAnsi="Arial"/>
                <w:sz w:val="14"/>
                <w:szCs w:val="14"/>
                <w:b w:val="1"/>
                <w:bCs w:val="1"/>
                <w:color w:val="auto"/>
              </w:rPr>
              <w:t>94025</w:t>
            </w:r>
          </w:p>
        </w:tc>
      </w:tr>
      <w:tr>
        <w:trPr>
          <w:trHeight w:val="221"/>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980" w:type="dxa"/>
            <w:vAlign w:val="bottom"/>
          </w:tcPr>
          <w:p>
            <w:pPr>
              <w:jc w:val="center"/>
              <w:ind w:left="3831"/>
              <w:spacing w:after="0"/>
              <w:rPr>
                <w:sz w:val="20"/>
                <w:szCs w:val="20"/>
                <w:color w:val="auto"/>
              </w:rPr>
            </w:pPr>
            <w:r>
              <w:rPr>
                <w:rFonts w:ascii="Arial" w:cs="Arial" w:eastAsia="Arial" w:hAnsi="Arial"/>
                <w:sz w:val="14"/>
                <w:szCs w:val="14"/>
                <w:b w:val="1"/>
                <w:bCs w:val="1"/>
                <w:color w:val="auto"/>
                <w:w w:val="92"/>
              </w:rPr>
              <w:t>(Zip Code)</w:t>
            </w:r>
          </w:p>
        </w:tc>
      </w:tr>
      <w:tr>
        <w:trPr>
          <w:trHeight w:val="432"/>
        </w:trPr>
        <w:tc>
          <w:tcPr>
            <w:tcW w:w="2340" w:type="dxa"/>
            <w:vAlign w:val="bottom"/>
          </w:tcPr>
          <w:p>
            <w:pPr>
              <w:spacing w:after="0"/>
              <w:rPr>
                <w:sz w:val="24"/>
                <w:szCs w:val="24"/>
                <w:color w:val="auto"/>
              </w:rPr>
            </w:pPr>
          </w:p>
        </w:tc>
        <w:tc>
          <w:tcPr>
            <w:tcW w:w="4980" w:type="dxa"/>
            <w:vAlign w:val="bottom"/>
          </w:tcPr>
          <w:p>
            <w:pPr>
              <w:jc w:val="right"/>
              <w:ind w:right="2851"/>
              <w:spacing w:after="0"/>
              <w:rPr>
                <w:sz w:val="20"/>
                <w:szCs w:val="20"/>
                <w:color w:val="auto"/>
              </w:rPr>
            </w:pPr>
            <w:r>
              <w:rPr>
                <w:rFonts w:ascii="Arial" w:cs="Arial" w:eastAsia="Arial" w:hAnsi="Arial"/>
                <w:sz w:val="14"/>
                <w:szCs w:val="14"/>
                <w:b w:val="1"/>
                <w:bCs w:val="1"/>
                <w:color w:val="auto"/>
              </w:rPr>
              <w:t>(650) 521-8000</w:t>
            </w:r>
          </w:p>
        </w:tc>
      </w:tr>
      <w:tr>
        <w:trPr>
          <w:trHeight w:val="180"/>
        </w:trPr>
        <w:tc>
          <w:tcPr>
            <w:tcW w:w="2340" w:type="dxa"/>
            <w:vAlign w:val="bottom"/>
          </w:tcPr>
          <w:p>
            <w:pPr>
              <w:spacing w:after="0"/>
              <w:rPr>
                <w:sz w:val="15"/>
                <w:szCs w:val="15"/>
                <w:color w:val="auto"/>
              </w:rPr>
            </w:pPr>
          </w:p>
        </w:tc>
        <w:tc>
          <w:tcPr>
            <w:tcW w:w="4980" w:type="dxa"/>
            <w:vAlign w:val="bottom"/>
          </w:tcPr>
          <w:p>
            <w:pPr>
              <w:jc w:val="center"/>
              <w:ind w:right="1671"/>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Name of each exchange on which registered</w:t>
            </w:r>
          </w:p>
        </w:tc>
      </w:tr>
      <w:tr>
        <w:trPr>
          <w:trHeight w:val="38"/>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176"/>
        </w:trPr>
        <w:tc>
          <w:tcPr>
            <w:tcW w:w="4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Common Stock, par value $0.001 per share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PACB</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38"/>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bl>
    <w:p>
      <w:pPr>
        <w:spacing w:after="0" w:line="125" w:lineRule="exact"/>
        <w:rPr>
          <w:sz w:val="24"/>
          <w:szCs w:val="24"/>
          <w:color w:val="auto"/>
        </w:rPr>
      </w:pPr>
    </w:p>
    <w:p>
      <w:pPr>
        <w:ind w:right="160" w:firstLine="468"/>
        <w:spacing w:after="0" w:line="33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4" w:lineRule="exact"/>
        <w:rPr>
          <w:sz w:val="24"/>
          <w:szCs w:val="24"/>
          <w:color w:val="auto"/>
        </w:rPr>
      </w:pPr>
    </w:p>
    <w:p>
      <w:pPr>
        <w:ind w:right="40" w:firstLine="46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7" w:lineRule="exact"/>
        <w:rPr>
          <w:sz w:val="24"/>
          <w:szCs w:val="24"/>
          <w:color w:val="auto"/>
        </w:rPr>
      </w:pPr>
    </w:p>
    <w:p>
      <w:pPr>
        <w:ind w:right="400" w:firstLine="468"/>
        <w:spacing w:after="0" w:line="31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1" w:right="339" w:bottom="1440" w:gutter="0" w:footer="0" w:header="0"/>
        </w:sectPr>
      </w:pP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1040"/>
              <w:spacing w:after="0"/>
              <w:rPr>
                <w:sz w:val="20"/>
                <w:szCs w:val="20"/>
                <w:color w:val="auto"/>
              </w:rPr>
            </w:pPr>
            <w:r>
              <w:rPr>
                <w:rFonts w:ascii="Arial" w:cs="Arial" w:eastAsia="Arial" w:hAnsi="Arial"/>
                <w:sz w:val="14"/>
                <w:szCs w:val="14"/>
                <w:color w:val="auto"/>
              </w:rPr>
              <w:t>x</w:t>
            </w:r>
          </w:p>
        </w:tc>
        <w:tc>
          <w:tcPr>
            <w:tcW w:w="2840" w:type="dxa"/>
            <w:vAlign w:val="bottom"/>
          </w:tcPr>
          <w:p>
            <w:pPr>
              <w:ind w:left="1320"/>
              <w:spacing w:after="0"/>
              <w:rPr>
                <w:sz w:val="20"/>
                <w:szCs w:val="20"/>
                <w:color w:val="auto"/>
              </w:rPr>
            </w:pPr>
            <w:r>
              <w:rPr>
                <w:rFonts w:ascii="Arial" w:cs="Arial" w:eastAsia="Arial" w:hAnsi="Arial"/>
                <w:sz w:val="14"/>
                <w:szCs w:val="14"/>
                <w:color w:val="auto"/>
              </w:rPr>
              <w:t>Accelerated filer</w:t>
            </w:r>
          </w:p>
        </w:tc>
      </w:tr>
      <w:tr>
        <w:trPr>
          <w:trHeight w:val="221"/>
        </w:trPr>
        <w:tc>
          <w:tcPr>
            <w:tcW w:w="2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1040"/>
              <w:spacing w:after="0"/>
              <w:rPr>
                <w:sz w:val="20"/>
                <w:szCs w:val="20"/>
                <w:color w:val="auto"/>
              </w:rPr>
            </w:pPr>
            <w:r>
              <w:rPr>
                <w:rFonts w:ascii="Arial" w:cs="Arial" w:eastAsia="Arial" w:hAnsi="Arial"/>
                <w:sz w:val="14"/>
                <w:szCs w:val="14"/>
                <w:color w:val="auto"/>
              </w:rPr>
              <w:t>o</w:t>
            </w:r>
          </w:p>
        </w:tc>
        <w:tc>
          <w:tcPr>
            <w:tcW w:w="2840" w:type="dxa"/>
            <w:vAlign w:val="bottom"/>
          </w:tcPr>
          <w:p>
            <w:pPr>
              <w:ind w:left="1320"/>
              <w:spacing w:after="0"/>
              <w:rPr>
                <w:sz w:val="20"/>
                <w:szCs w:val="20"/>
                <w:color w:val="auto"/>
              </w:rPr>
            </w:pPr>
            <w:r>
              <w:rPr>
                <w:rFonts w:ascii="Arial" w:cs="Arial" w:eastAsia="Arial" w:hAnsi="Arial"/>
                <w:sz w:val="14"/>
                <w:szCs w:val="14"/>
                <w:color w:val="auto"/>
                <w:w w:val="89"/>
              </w:rPr>
              <w:t>Smaller reporting company</w:t>
            </w:r>
          </w:p>
        </w:tc>
      </w:tr>
      <w:tr>
        <w:trPr>
          <w:trHeight w:val="221"/>
        </w:trPr>
        <w:tc>
          <w:tcPr>
            <w:tcW w:w="25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440" w:type="dxa"/>
            <w:vAlign w:val="bottom"/>
          </w:tcPr>
          <w:p>
            <w:pPr>
              <w:ind w:left="1040"/>
              <w:spacing w:after="0"/>
              <w:rPr>
                <w:sz w:val="20"/>
                <w:szCs w:val="20"/>
                <w:color w:val="auto"/>
              </w:rPr>
            </w:pPr>
            <w:r>
              <w:rPr>
                <w:rFonts w:ascii="Arial" w:cs="Arial" w:eastAsia="Arial" w:hAnsi="Arial"/>
                <w:sz w:val="14"/>
                <w:szCs w:val="14"/>
                <w:color w:val="auto"/>
              </w:rPr>
              <w:t>o</w:t>
            </w:r>
          </w:p>
        </w:tc>
        <w:tc>
          <w:tcPr>
            <w:tcW w:w="2840" w:type="dxa"/>
            <w:vAlign w:val="bottom"/>
          </w:tcPr>
          <w:p>
            <w:pPr>
              <w:spacing w:after="0"/>
              <w:rPr>
                <w:sz w:val="19"/>
                <w:szCs w:val="19"/>
                <w:color w:val="auto"/>
              </w:rPr>
            </w:pPr>
          </w:p>
        </w:tc>
      </w:tr>
    </w:tbl>
    <w:p>
      <w:pPr>
        <w:spacing w:after="0" w:line="267" w:lineRule="exact"/>
        <w:rPr>
          <w:sz w:val="24"/>
          <w:szCs w:val="24"/>
          <w:color w:val="auto"/>
        </w:rPr>
      </w:pPr>
    </w:p>
    <w:p>
      <w:pPr>
        <w:ind w:firstLine="468"/>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7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Number of shares outstanding of the issuer’s common stock as of October 31, 2023: 267,443,887.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714375</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66675</wp:posOffset>
            </wp:positionV>
            <wp:extent cx="6917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91440</wp:posOffset>
            </wp:positionV>
            <wp:extent cx="691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740" w:space="400"/>
            <w:col w:w="10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000" w:type="dxa"/>
            <w:vAlign w:val="bottom"/>
            <w:gridSpan w:val="23"/>
          </w:tcPr>
          <w:p>
            <w:pPr>
              <w:spacing w:after="0"/>
              <w:rPr>
                <w:sz w:val="20"/>
                <w:szCs w:val="20"/>
                <w:color w:val="auto"/>
              </w:rPr>
            </w:pPr>
            <w:r>
              <w:rPr>
                <w:rFonts w:ascii="Arial" w:cs="Arial" w:eastAsia="Arial" w:hAnsi="Arial"/>
                <w:sz w:val="17"/>
                <w:szCs w:val="17"/>
                <w:color w:val="0000FF"/>
              </w:rPr>
              <w:t>Table of Contents</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2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360" w:type="dxa"/>
            <w:vAlign w:val="bottom"/>
            <w:gridSpan w:val="8"/>
          </w:tcPr>
          <w:p>
            <w:pPr>
              <w:jc w:val="center"/>
              <w:ind w:right="33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gridSpan w:val="9"/>
          </w:tcPr>
          <w:p>
            <w:pPr>
              <w:jc w:val="center"/>
              <w:ind w:right="3320"/>
              <w:spacing w:after="0"/>
              <w:rPr>
                <w:sz w:val="20"/>
                <w:szCs w:val="20"/>
                <w:color w:val="auto"/>
              </w:rPr>
            </w:pPr>
            <w:r>
              <w:rPr>
                <w:rFonts w:ascii="Arial" w:cs="Arial" w:eastAsia="Arial" w:hAnsi="Arial"/>
                <w:sz w:val="17"/>
                <w:szCs w:val="17"/>
                <w:b w:val="1"/>
                <w:bCs w:val="1"/>
                <w:color w:val="auto"/>
              </w:rPr>
              <w:t>PART I. FINANCIAL INFORMATION</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 No.</w:t>
            </w:r>
          </w:p>
        </w:tc>
      </w:tr>
      <w:tr>
        <w:trPr>
          <w:trHeight w:val="500"/>
        </w:trPr>
        <w:tc>
          <w:tcPr>
            <w:tcW w:w="20" w:type="dxa"/>
            <w:vAlign w:val="bottom"/>
          </w:tcPr>
          <w:p>
            <w:pPr>
              <w:spacing w:after="0"/>
              <w:rPr>
                <w:sz w:val="24"/>
                <w:szCs w:val="24"/>
                <w:color w:val="auto"/>
              </w:rPr>
            </w:pPr>
          </w:p>
        </w:tc>
        <w:tc>
          <w:tcPr>
            <w:tcW w:w="31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Item 1. Financial Statements (unaudited):</w:t>
            </w:r>
          </w:p>
        </w:tc>
        <w:tc>
          <w:tcPr>
            <w:tcW w:w="68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rPr>
              <w:t>Condensed Consolidated Balance Sheets as of September 30, 2023 and December 31, 2022</w:t>
            </w:r>
          </w:p>
        </w:tc>
        <w:tc>
          <w:tcPr>
            <w:tcW w:w="2500" w:type="dxa"/>
            <w:vAlign w:val="bottom"/>
            <w:gridSpan w:val="5"/>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w:t>
            </w: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Condensed Consolidated Statements of Operations and Comprehensive Loss for the Three and Nine Months Ended</w:t>
            </w:r>
          </w:p>
        </w:tc>
        <w:tc>
          <w:tcPr>
            <w:tcW w:w="7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Borders>
              <w:bottom w:val="single" w:sz="8" w:color="0000FF"/>
            </w:tcBorders>
            <w:gridSpan w:val="10"/>
          </w:tcPr>
          <w:p>
            <w:pPr>
              <w:spacing w:after="0" w:line="189" w:lineRule="exact"/>
              <w:rPr>
                <w:sz w:val="20"/>
                <w:szCs w:val="20"/>
                <w:color w:val="auto"/>
              </w:rPr>
            </w:pPr>
            <w:r>
              <w:rPr>
                <w:rFonts w:ascii="Arial" w:cs="Arial" w:eastAsia="Arial" w:hAnsi="Arial"/>
                <w:sz w:val="17"/>
                <w:szCs w:val="17"/>
                <w:color w:val="0000FF"/>
              </w:rPr>
              <w:t>September 30, 2023 and 2022</w:t>
            </w:r>
          </w:p>
        </w:tc>
        <w:tc>
          <w:tcPr>
            <w:tcW w:w="7320" w:type="dxa"/>
            <w:vAlign w:val="bottom"/>
            <w:gridSpan w:val="11"/>
          </w:tcPr>
          <w:p>
            <w:pPr>
              <w:spacing w:after="0"/>
              <w:rPr>
                <w:sz w:val="16"/>
                <w:szCs w:val="16"/>
                <w:color w:val="auto"/>
              </w:rPr>
            </w:pPr>
          </w:p>
        </w:tc>
        <w:tc>
          <w:tcPr>
            <w:tcW w:w="12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4</w:t>
            </w: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Stockholders’ Equity for the Three and Nine Months Ended September 30, 2023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top w:val="single" w:sz="8" w:color="0000FF"/>
              <w:bottom w:val="single" w:sz="8" w:color="0000FF"/>
            </w:tcBorders>
          </w:tcPr>
          <w:p>
            <w:pPr>
              <w:spacing w:after="0" w:line="189" w:lineRule="exact"/>
              <w:rPr>
                <w:sz w:val="20"/>
                <w:szCs w:val="20"/>
                <w:color w:val="auto"/>
              </w:rPr>
            </w:pPr>
            <w:r>
              <w:rPr>
                <w:rFonts w:ascii="Arial" w:cs="Arial" w:eastAsia="Arial" w:hAnsi="Arial"/>
                <w:sz w:val="17"/>
                <w:szCs w:val="17"/>
                <w:color w:val="0000FF"/>
                <w:w w:val="98"/>
              </w:rPr>
              <w:t>and 2022</w:t>
            </w:r>
          </w:p>
        </w:tc>
        <w:tc>
          <w:tcPr>
            <w:tcW w:w="8520" w:type="dxa"/>
            <w:vAlign w:val="bottom"/>
            <w:tcBorders>
              <w:top w:val="single" w:sz="8" w:color="0000FF"/>
            </w:tcBorders>
            <w:gridSpan w:val="19"/>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5</w:t>
            </w: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2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Statements of Cash Flows for the Nine Months Ended September 30, 2023 and 2022</w:t>
            </w:r>
          </w:p>
        </w:tc>
        <w:tc>
          <w:tcPr>
            <w:tcW w:w="1140" w:type="dxa"/>
            <w:vAlign w:val="bottom"/>
            <w:gridSpan w:val="4"/>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740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2580" w:type="dxa"/>
            <w:vAlign w:val="bottom"/>
            <w:gridSpan w:val="6"/>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25</w:t>
            </w:r>
          </w:p>
        </w:tc>
      </w:tr>
      <w:tr>
        <w:trPr>
          <w:trHeight w:val="448"/>
        </w:trPr>
        <w:tc>
          <w:tcPr>
            <w:tcW w:w="20" w:type="dxa"/>
            <w:vAlign w:val="bottom"/>
          </w:tcPr>
          <w:p>
            <w:pPr>
              <w:spacing w:after="0"/>
              <w:rPr>
                <w:sz w:val="24"/>
                <w:szCs w:val="24"/>
                <w:color w:val="auto"/>
              </w:rPr>
            </w:pPr>
          </w:p>
        </w:tc>
        <w:tc>
          <w:tcPr>
            <w:tcW w:w="51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4860" w:type="dxa"/>
            <w:vAlign w:val="bottom"/>
            <w:gridSpan w:val="7"/>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36</w:t>
            </w:r>
          </w:p>
        </w:tc>
      </w:tr>
      <w:tr>
        <w:trPr>
          <w:trHeight w:val="448"/>
        </w:trPr>
        <w:tc>
          <w:tcPr>
            <w:tcW w:w="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Arial" w:cs="Arial" w:eastAsia="Arial" w:hAnsi="Arial"/>
                <w:sz w:val="17"/>
                <w:szCs w:val="17"/>
                <w:color w:val="0000FF"/>
              </w:rPr>
              <w:t>Item 4. Controls and Procedures</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37</w:t>
            </w:r>
          </w:p>
        </w:tc>
      </w:tr>
      <w:tr>
        <w:trPr>
          <w:trHeight w:val="49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gridSpan w:val="9"/>
          </w:tcPr>
          <w:p>
            <w:pPr>
              <w:jc w:val="center"/>
              <w:ind w:right="3320"/>
              <w:spacing w:after="0"/>
              <w:rPr>
                <w:sz w:val="20"/>
                <w:szCs w:val="20"/>
                <w:color w:val="auto"/>
              </w:rPr>
            </w:pPr>
            <w:r>
              <w:rPr>
                <w:rFonts w:ascii="Arial" w:cs="Arial" w:eastAsia="Arial" w:hAnsi="Arial"/>
                <w:sz w:val="17"/>
                <w:szCs w:val="17"/>
                <w:b w:val="1"/>
                <w:bCs w:val="1"/>
                <w:color w:val="auto"/>
              </w:rPr>
              <w:t>PART II. OTHER INFORMATION</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7"/>
        </w:trPr>
        <w:tc>
          <w:tcPr>
            <w:tcW w:w="20" w:type="dxa"/>
            <w:vAlign w:val="bottom"/>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Item 1. Legal Proceedings</w:t>
            </w:r>
          </w:p>
        </w:tc>
        <w:tc>
          <w:tcPr>
            <w:tcW w:w="7960" w:type="dxa"/>
            <w:vAlign w:val="bottom"/>
            <w:gridSpan w:val="15"/>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37</w:t>
            </w:r>
          </w:p>
        </w:tc>
      </w:tr>
      <w:tr>
        <w:trPr>
          <w:trHeight w:val="448"/>
        </w:trPr>
        <w:tc>
          <w:tcPr>
            <w:tcW w:w="20" w:type="dxa"/>
            <w:vAlign w:val="bottom"/>
          </w:tcPr>
          <w:p>
            <w:pPr>
              <w:spacing w:after="0"/>
              <w:rPr>
                <w:sz w:val="24"/>
                <w:szCs w:val="24"/>
                <w:color w:val="auto"/>
              </w:rPr>
            </w:pPr>
          </w:p>
        </w:tc>
        <w:tc>
          <w:tcPr>
            <w:tcW w:w="16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Item 1A. Risk Factors</w:t>
            </w:r>
          </w:p>
        </w:tc>
        <w:tc>
          <w:tcPr>
            <w:tcW w:w="8320" w:type="dxa"/>
            <w:vAlign w:val="bottom"/>
            <w:gridSpan w:val="17"/>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38</w:t>
            </w:r>
          </w:p>
        </w:tc>
      </w:tr>
      <w:tr>
        <w:trPr>
          <w:trHeight w:val="448"/>
        </w:trPr>
        <w:tc>
          <w:tcPr>
            <w:tcW w:w="20" w:type="dxa"/>
            <w:vAlign w:val="bottom"/>
          </w:tcPr>
          <w:p>
            <w:pPr>
              <w:spacing w:after="0"/>
              <w:rPr>
                <w:sz w:val="24"/>
                <w:szCs w:val="24"/>
                <w:color w:val="auto"/>
              </w:rPr>
            </w:pPr>
          </w:p>
        </w:tc>
        <w:tc>
          <w:tcPr>
            <w:tcW w:w="918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Item 2. Unregistered Sales of Equity Securities, Use of Proceeds, and Issuer Purchases of Equity Securities, and Issuer</w:t>
            </w:r>
          </w:p>
        </w:tc>
        <w:tc>
          <w:tcPr>
            <w:tcW w:w="8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236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7"/>
                <w:szCs w:val="17"/>
                <w:color w:val="0000FF"/>
              </w:rPr>
              <w:t>Purchases of Equity Securities</w:t>
            </w:r>
          </w:p>
        </w:tc>
        <w:tc>
          <w:tcPr>
            <w:tcW w:w="7620" w:type="dxa"/>
            <w:vAlign w:val="bottom"/>
            <w:gridSpan w:val="14"/>
          </w:tcPr>
          <w:p>
            <w:pPr>
              <w:spacing w:after="0"/>
              <w:rPr>
                <w:sz w:val="16"/>
                <w:szCs w:val="16"/>
                <w:color w:val="auto"/>
              </w:rPr>
            </w:pPr>
          </w:p>
        </w:tc>
        <w:tc>
          <w:tcPr>
            <w:tcW w:w="12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76</w:t>
            </w:r>
          </w:p>
        </w:tc>
      </w:tr>
      <w:tr>
        <w:trPr>
          <w:trHeight w:val="448"/>
        </w:trPr>
        <w:tc>
          <w:tcPr>
            <w:tcW w:w="20" w:type="dxa"/>
            <w:vAlign w:val="bottom"/>
          </w:tcPr>
          <w:p>
            <w:pPr>
              <w:spacing w:after="0"/>
              <w:rPr>
                <w:sz w:val="24"/>
                <w:szCs w:val="24"/>
                <w:color w:val="auto"/>
              </w:rPr>
            </w:pPr>
          </w:p>
        </w:tc>
        <w:tc>
          <w:tcPr>
            <w:tcW w:w="304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Item 3. Defaults Upon Senior Securities</w:t>
            </w:r>
          </w:p>
        </w:tc>
        <w:tc>
          <w:tcPr>
            <w:tcW w:w="6940" w:type="dxa"/>
            <w:vAlign w:val="bottom"/>
            <w:gridSpan w:val="10"/>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76</w:t>
            </w:r>
          </w:p>
        </w:tc>
      </w:tr>
      <w:tr>
        <w:trPr>
          <w:trHeight w:val="448"/>
        </w:trPr>
        <w:tc>
          <w:tcPr>
            <w:tcW w:w="20" w:type="dxa"/>
            <w:vAlign w:val="bottom"/>
          </w:tcPr>
          <w:p>
            <w:pPr>
              <w:spacing w:after="0"/>
              <w:rPr>
                <w:sz w:val="24"/>
                <w:szCs w:val="24"/>
                <w:color w:val="auto"/>
              </w:rPr>
            </w:pPr>
          </w:p>
        </w:tc>
        <w:tc>
          <w:tcPr>
            <w:tcW w:w="244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Item 4. Mine Safety Disclosures</w:t>
            </w:r>
          </w:p>
        </w:tc>
        <w:tc>
          <w:tcPr>
            <w:tcW w:w="7540" w:type="dxa"/>
            <w:vAlign w:val="bottom"/>
            <w:gridSpan w:val="13"/>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76</w:t>
            </w:r>
          </w:p>
        </w:tc>
      </w:tr>
      <w:tr>
        <w:trPr>
          <w:trHeight w:val="448"/>
        </w:trPr>
        <w:tc>
          <w:tcPr>
            <w:tcW w:w="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Arial" w:cs="Arial" w:eastAsia="Arial" w:hAnsi="Arial"/>
                <w:sz w:val="17"/>
                <w:szCs w:val="17"/>
                <w:color w:val="0000FF"/>
              </w:rPr>
              <w:t>Item 5. Other Information</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76</w:t>
            </w:r>
          </w:p>
        </w:tc>
      </w:tr>
      <w:tr>
        <w:trPr>
          <w:trHeight w:val="448"/>
        </w:trPr>
        <w:tc>
          <w:tcPr>
            <w:tcW w:w="20" w:type="dxa"/>
            <w:vAlign w:val="bottom"/>
          </w:tcPr>
          <w:p>
            <w:pPr>
              <w:spacing w:after="0"/>
              <w:rPr>
                <w:sz w:val="24"/>
                <w:szCs w:val="24"/>
                <w:color w:val="auto"/>
              </w:rPr>
            </w:pPr>
          </w:p>
        </w:tc>
        <w:tc>
          <w:tcPr>
            <w:tcW w:w="192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Item 6. Exhibits</w:t>
            </w:r>
          </w:p>
        </w:tc>
        <w:tc>
          <w:tcPr>
            <w:tcW w:w="8060" w:type="dxa"/>
            <w:vAlign w:val="bottom"/>
            <w:gridSpan w:val="16"/>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77</w:t>
            </w:r>
          </w:p>
        </w:tc>
      </w:tr>
      <w:tr>
        <w:trPr>
          <w:trHeight w:val="930"/>
        </w:trPr>
        <w:tc>
          <w:tcPr>
            <w:tcW w:w="20" w:type="dxa"/>
            <w:vAlign w:val="bottom"/>
          </w:tcPr>
          <w:p>
            <w:pPr>
              <w:spacing w:after="0"/>
              <w:rPr>
                <w:sz w:val="24"/>
                <w:szCs w:val="24"/>
                <w:color w:val="auto"/>
              </w:rPr>
            </w:pPr>
          </w:p>
        </w:tc>
        <w:tc>
          <w:tcPr>
            <w:tcW w:w="1180" w:type="dxa"/>
            <w:vAlign w:val="bottom"/>
            <w:tcBorders>
              <w:top w:val="single" w:sz="8" w:color="0000FF"/>
            </w:tcBorders>
            <w:gridSpan w:val="3"/>
          </w:tcPr>
          <w:p>
            <w:pPr>
              <w:spacing w:after="0"/>
              <w:rPr>
                <w:sz w:val="24"/>
                <w:szCs w:val="24"/>
                <w:color w:val="auto"/>
              </w:rPr>
            </w:pPr>
          </w:p>
        </w:tc>
        <w:tc>
          <w:tcPr>
            <w:tcW w:w="6220" w:type="dxa"/>
            <w:vAlign w:val="bottom"/>
            <w:gridSpan w:val="13"/>
          </w:tcPr>
          <w:p>
            <w:pPr>
              <w:jc w:val="right"/>
              <w:ind w:right="17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 FINANCIAL INFORMATION</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 thousands, except per share amounts)</w:t>
            </w:r>
          </w:p>
        </w:tc>
        <w:tc>
          <w:tcPr>
            <w:tcW w:w="22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5"/>
                <w:szCs w:val="15"/>
                <w:color w:val="auto"/>
              </w:rPr>
            </w:pPr>
          </w:p>
        </w:tc>
        <w:tc>
          <w:tcPr>
            <w:tcW w:w="1420" w:type="dxa"/>
            <w:vAlign w:val="bottom"/>
          </w:tcPr>
          <w:p>
            <w:pPr>
              <w:jc w:val="right"/>
              <w:ind w:right="26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97"/>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385,648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325,089</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Investments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382,141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447,229</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Accounts receivable, net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18,786</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Inventory, net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68,256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50,381</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15,466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10,289</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Short-term restricted cash</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34"/>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882,297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852,074</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40,340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41,580</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34,610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39,763</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Long-term restricted cash</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2,922</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461,838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410,245</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463,843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409,974</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long-term assets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10,528</w:t>
            </w:r>
          </w:p>
        </w:tc>
        <w:tc>
          <w:tcPr>
            <w:tcW w:w="0" w:type="dxa"/>
            <w:vAlign w:val="bottom"/>
          </w:tcPr>
          <w:p>
            <w:pPr>
              <w:spacing w:after="0"/>
              <w:rPr>
                <w:sz w:val="1"/>
                <w:szCs w:val="1"/>
                <w:color w:val="auto"/>
              </w:rPr>
            </w:pPr>
          </w:p>
        </w:tc>
      </w:tr>
      <w:tr>
        <w:trPr>
          <w:trHeight w:val="193"/>
        </w:trPr>
        <w:tc>
          <w:tcPr>
            <w:tcW w:w="7780" w:type="dxa"/>
            <w:vAlign w:val="bottom"/>
          </w:tcPr>
          <w:p>
            <w:pPr>
              <w:ind w:left="420"/>
              <w:spacing w:after="0"/>
              <w:rPr>
                <w:sz w:val="20"/>
                <w:szCs w:val="20"/>
                <w:color w:val="auto"/>
              </w:rPr>
            </w:pPr>
            <w:r>
              <w:rPr>
                <w:rFonts w:ascii="Arial" w:cs="Arial" w:eastAsia="Arial" w:hAnsi="Arial"/>
                <w:sz w:val="15"/>
                <w:szCs w:val="15"/>
                <w:color w:val="auto"/>
              </w:rPr>
              <w:t>Total assets</w:t>
            </w: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1,898,354</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1,767,086</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Accounts payable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12,028</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Accrued expenses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34,660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32,596</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Deferred revenue, current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30,498</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Operating lease liabilities, current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8,886</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Other liabilities, current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7,233</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Contingent consideration liability, current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96,193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172,094</w:t>
            </w:r>
          </w:p>
        </w:tc>
        <w:tc>
          <w:tcPr>
            <w:tcW w:w="0" w:type="dxa"/>
            <w:vAlign w:val="bottom"/>
          </w:tcPr>
          <w:p>
            <w:pPr>
              <w:spacing w:after="0"/>
              <w:rPr>
                <w:sz w:val="1"/>
                <w:szCs w:val="1"/>
                <w:color w:val="auto"/>
              </w:rPr>
            </w:pPr>
          </w:p>
        </w:tc>
      </w:tr>
      <w:tr>
        <w:trPr>
          <w:trHeight w:val="34"/>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183,961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263,335</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Deferred revenue, non-current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5,053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1,794</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consideration liability,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Operating lease liabilities, non-current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34,100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41,070</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Convertible senior notes, net,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891,996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896,683</w:t>
            </w: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color w:val="auto"/>
              </w:rPr>
              <w:t>Other liabilities, non-current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34"/>
        </w:trPr>
        <w:tc>
          <w:tcPr>
            <w:tcW w:w="7780" w:type="dxa"/>
            <w:vAlign w:val="bottom"/>
            <w:vMerge w:val="restart"/>
          </w:tcPr>
          <w:p>
            <w:pPr>
              <w:ind w:left="42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1,134,611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1,204,182</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78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Preferred stock, $0.001 par value:</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Authorized 50,000 shares; No shares issued or outstanding</w:t>
            </w:r>
          </w:p>
        </w:tc>
        <w:tc>
          <w:tcPr>
            <w:tcW w:w="2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Common stock, $0.001 par value:</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100"/>
              <w:spacing w:after="0"/>
              <w:rPr>
                <w:sz w:val="20"/>
                <w:szCs w:val="20"/>
                <w:color w:val="auto"/>
              </w:rPr>
            </w:pPr>
            <w:r>
              <w:rPr>
                <w:rFonts w:ascii="Arial" w:cs="Arial" w:eastAsia="Arial" w:hAnsi="Arial"/>
                <w:sz w:val="15"/>
                <w:szCs w:val="15"/>
                <w:color w:val="auto"/>
              </w:rPr>
              <w:t>Authorized 1,000,000 shares; issued and outstanding 258,374 and 226,505 shares at September 30, 2023 and</w:t>
            </w:r>
          </w:p>
        </w:tc>
        <w:tc>
          <w:tcPr>
            <w:tcW w:w="22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restart"/>
          </w:tcPr>
          <w:p>
            <w:pPr>
              <w:jc w:val="right"/>
              <w:ind w:right="6"/>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87"/>
        </w:trPr>
        <w:tc>
          <w:tcPr>
            <w:tcW w:w="7780" w:type="dxa"/>
            <w:vAlign w:val="bottom"/>
          </w:tcPr>
          <w:p>
            <w:pPr>
              <w:ind w:left="100"/>
              <w:spacing w:after="0"/>
              <w:rPr>
                <w:sz w:val="20"/>
                <w:szCs w:val="20"/>
                <w:color w:val="auto"/>
              </w:rPr>
            </w:pPr>
            <w:r>
              <w:rPr>
                <w:rFonts w:ascii="Arial" w:cs="Arial" w:eastAsia="Arial" w:hAnsi="Arial"/>
                <w:sz w:val="15"/>
                <w:szCs w:val="15"/>
                <w:color w:val="auto"/>
              </w:rPr>
              <w:t>December 31, 2022, respectively</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Additional paid-in capital</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2,522,382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2,099,782</w:t>
            </w:r>
          </w:p>
        </w:tc>
        <w:tc>
          <w:tcPr>
            <w:tcW w:w="0" w:type="dxa"/>
            <w:vAlign w:val="bottom"/>
          </w:tcPr>
          <w:p>
            <w:pPr>
              <w:spacing w:after="0"/>
              <w:rPr>
                <w:sz w:val="1"/>
                <w:szCs w:val="1"/>
                <w:color w:val="auto"/>
              </w:rPr>
            </w:pPr>
          </w:p>
        </w:tc>
      </w:tr>
      <w:tr>
        <w:trPr>
          <w:trHeight w:val="200"/>
        </w:trPr>
        <w:tc>
          <w:tcPr>
            <w:tcW w:w="778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(4,765)</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(1,757,057)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(1,532,340)</w:t>
            </w:r>
          </w:p>
        </w:tc>
        <w:tc>
          <w:tcPr>
            <w:tcW w:w="0" w:type="dxa"/>
            <w:vAlign w:val="bottom"/>
          </w:tcPr>
          <w:p>
            <w:pPr>
              <w:spacing w:after="0"/>
              <w:rPr>
                <w:sz w:val="1"/>
                <w:szCs w:val="1"/>
                <w:color w:val="auto"/>
              </w:rPr>
            </w:pPr>
          </w:p>
        </w:tc>
      </w:tr>
      <w:tr>
        <w:trPr>
          <w:trHeight w:val="193"/>
        </w:trPr>
        <w:tc>
          <w:tcPr>
            <w:tcW w:w="7780" w:type="dxa"/>
            <w:vAlign w:val="bottom"/>
          </w:tcPr>
          <w:p>
            <w:pPr>
              <w:ind w:left="42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763,743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562,904</w:t>
            </w:r>
          </w:p>
        </w:tc>
        <w:tc>
          <w:tcPr>
            <w:tcW w:w="0" w:type="dxa"/>
            <w:vAlign w:val="bottom"/>
          </w:tcPr>
          <w:p>
            <w:pPr>
              <w:spacing w:after="0"/>
              <w:rPr>
                <w:sz w:val="1"/>
                <w:szCs w:val="1"/>
                <w:color w:val="auto"/>
              </w:rPr>
            </w:pPr>
          </w:p>
        </w:tc>
      </w:tr>
      <w:tr>
        <w:trPr>
          <w:trHeight w:val="34"/>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1,898,354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1,767,086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ectPr>
          <w:pgSz w:w="11900" w:h="16838" w:orient="portrait"/>
          <w:cols w:equalWidth="0" w:num="1">
            <w:col w:w="11160"/>
          </w:cols>
          <w:pgMar w:left="320" w:top="128" w:right="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8" w:right="4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gridSpan w:val="7"/>
          </w:tcPr>
          <w:p>
            <w:pPr>
              <w:jc w:val="center"/>
              <w:ind w:left="2993"/>
              <w:spacing w:after="0"/>
              <w:rPr>
                <w:sz w:val="20"/>
                <w:szCs w:val="20"/>
                <w:color w:val="auto"/>
              </w:rPr>
            </w:pPr>
            <w:r>
              <w:rPr>
                <w:rFonts w:ascii="Arial" w:cs="Arial" w:eastAsia="Arial" w:hAnsi="Arial"/>
                <w:sz w:val="17"/>
                <w:szCs w:val="17"/>
                <w:b w:val="1"/>
                <w:bCs w:val="1"/>
                <w:color w:val="auto"/>
              </w:rPr>
              <w:t>PACIFIC BIOSCIENCES OF CALIFORNIA, INC.</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760" w:type="dxa"/>
            <w:vAlign w:val="bottom"/>
            <w:gridSpan w:val="10"/>
          </w:tcPr>
          <w:p>
            <w:pPr>
              <w:jc w:val="center"/>
              <w:ind w:left="1393"/>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(Unaudited)</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5"/>
          </w:tcPr>
          <w:p>
            <w:pPr>
              <w:ind w:left="60"/>
              <w:spacing w:after="0"/>
              <w:rPr>
                <w:sz w:val="20"/>
                <w:szCs w:val="20"/>
                <w:color w:val="auto"/>
              </w:rPr>
            </w:pPr>
            <w:r>
              <w:rPr>
                <w:rFonts w:ascii="Arial" w:cs="Arial" w:eastAsia="Arial" w:hAnsi="Arial"/>
                <w:sz w:val="17"/>
                <w:szCs w:val="17"/>
                <w:b w:val="1"/>
                <w:bCs w:val="1"/>
                <w:color w:val="auto"/>
              </w:rPr>
              <w:t>Three Months Ended September 30,</w:t>
            </w:r>
          </w:p>
        </w:tc>
        <w:tc>
          <w:tcPr>
            <w:tcW w:w="3060" w:type="dxa"/>
            <w:vAlign w:val="bottom"/>
            <w:gridSpan w:val="5"/>
          </w:tcPr>
          <w:p>
            <w:pPr>
              <w:jc w:val="right"/>
              <w:ind w:right="13"/>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53"/>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(in thousands, except per share amounts)</w:t>
            </w: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1"/>
        </w:trPr>
        <w:tc>
          <w:tcPr>
            <w:tcW w:w="47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85,928</w:t>
            </w: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Service and other revenue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15,023</w:t>
            </w:r>
          </w:p>
        </w:tc>
        <w:tc>
          <w:tcPr>
            <w:tcW w:w="0" w:type="dxa"/>
            <w:vAlign w:val="bottom"/>
          </w:tcPr>
          <w:p>
            <w:pPr>
              <w:spacing w:after="0"/>
              <w:rPr>
                <w:sz w:val="1"/>
                <w:szCs w:val="1"/>
                <w:color w:val="auto"/>
              </w:rPr>
            </w:pPr>
          </w:p>
        </w:tc>
      </w:tr>
      <w:tr>
        <w:trPr>
          <w:trHeight w:val="26"/>
        </w:trPr>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32,311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142,164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100,951</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Cost of product revenue</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87,697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46,437</w:t>
            </w: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Cost of service and other revenue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10,619</w:t>
            </w:r>
          </w:p>
        </w:tc>
        <w:tc>
          <w:tcPr>
            <w:tcW w:w="0" w:type="dxa"/>
            <w:vAlign w:val="bottom"/>
          </w:tcPr>
          <w:p>
            <w:pPr>
              <w:spacing w:after="0"/>
              <w:rPr>
                <w:sz w:val="1"/>
                <w:szCs w:val="1"/>
                <w:color w:val="auto"/>
              </w:rPr>
            </w:pPr>
          </w:p>
        </w:tc>
      </w:tr>
      <w:tr>
        <w:trPr>
          <w:trHeight w:val="26"/>
        </w:trPr>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18,764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57,056</w:t>
            </w:r>
          </w:p>
        </w:tc>
        <w:tc>
          <w:tcPr>
            <w:tcW w:w="0" w:type="dxa"/>
            <w:vAlign w:val="bottom"/>
          </w:tcPr>
          <w:p>
            <w:pPr>
              <w:spacing w:after="0"/>
              <w:rPr>
                <w:sz w:val="1"/>
                <w:szCs w:val="1"/>
                <w:color w:val="auto"/>
              </w:rPr>
            </w:pPr>
          </w:p>
        </w:tc>
      </w:tr>
      <w:tr>
        <w:trPr>
          <w:trHeight w:val="227"/>
        </w:trPr>
        <w:tc>
          <w:tcPr>
            <w:tcW w:w="4720" w:type="dxa"/>
            <w:vAlign w:val="bottom"/>
          </w:tcPr>
          <w:p>
            <w:pPr>
              <w:ind w:left="1280"/>
              <w:spacing w:after="0"/>
              <w:rPr>
                <w:sz w:val="20"/>
                <w:szCs w:val="20"/>
                <w:color w:val="auto"/>
              </w:rPr>
            </w:pPr>
            <w:r>
              <w:rPr>
                <w:rFonts w:ascii="Arial" w:cs="Arial" w:eastAsia="Arial" w:hAnsi="Arial"/>
                <w:sz w:val="17"/>
                <w:szCs w:val="17"/>
                <w:color w:val="auto"/>
              </w:rPr>
              <w:t>Gross profit</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17,902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13,547</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43,209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43,895</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47,514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47,092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142,626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150,377</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Sales, 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115,851</w:t>
            </w: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Merger-related expenses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8,979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Amortization of acquired intangible assets</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Change in fair value of contingent consideration</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(2,221)</w:t>
            </w:r>
          </w:p>
        </w:tc>
        <w:tc>
          <w:tcPr>
            <w:tcW w:w="0" w:type="dxa"/>
            <w:vAlign w:val="bottom"/>
          </w:tcPr>
          <w:p>
            <w:pPr>
              <w:spacing w:after="0"/>
              <w:rPr>
                <w:sz w:val="1"/>
                <w:szCs w:val="1"/>
                <w:color w:val="auto"/>
              </w:rPr>
            </w:pPr>
          </w:p>
        </w:tc>
      </w:tr>
      <w:tr>
        <w:trPr>
          <w:trHeight w:val="26"/>
        </w:trPr>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operating expense</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100,394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88,167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290,128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264,007</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(82,492)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(74,620)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(246,919)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(220,112)</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Loss on extinguishment of debt</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(11,042)</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Other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1,290</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Loss before benefit from income taxes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(77,575)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(76,971)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(235,423)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(229,864)</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(66,869)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(76,971)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(224,717)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(229,864)</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Unrealized gain (loss) on investments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(5,173)</w:t>
            </w:r>
          </w:p>
        </w:tc>
        <w:tc>
          <w:tcPr>
            <w:tcW w:w="0" w:type="dxa"/>
            <w:vAlign w:val="bottom"/>
          </w:tcPr>
          <w:p>
            <w:pPr>
              <w:spacing w:after="0"/>
              <w:rPr>
                <w:sz w:val="1"/>
                <w:szCs w:val="1"/>
                <w:color w:val="auto"/>
              </w:rPr>
            </w:pPr>
          </w:p>
        </w:tc>
      </w:tr>
      <w:tr>
        <w:trPr>
          <w:trHeight w:val="26"/>
        </w:trPr>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(77,774)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(235,037)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7"/>
                <w:szCs w:val="17"/>
                <w:color w:val="auto"/>
              </w:rPr>
              <w:t>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7"/>
                <w:szCs w:val="17"/>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(0.34)</w:t>
            </w:r>
          </w:p>
        </w:tc>
        <w:tc>
          <w:tcPr>
            <w:tcW w:w="80" w:type="dxa"/>
            <w:vAlign w:val="bottom"/>
          </w:tcPr>
          <w:p>
            <w:pPr>
              <w:spacing w:after="0"/>
              <w:rPr>
                <w:sz w:val="17"/>
                <w:szCs w:val="17"/>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spacing w:after="0"/>
              <w:rPr>
                <w:sz w:val="17"/>
                <w:szCs w:val="17"/>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Weighted average shares outstanding used in calculating</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loss per share:</w:t>
            </w: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255,001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225,123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223,981</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255,001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225,123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249,082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223,981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gridSpan w:val="3"/>
            <w:vMerge w:val="restart"/>
          </w:tcPr>
          <w:p>
            <w:pPr>
              <w:jc w:val="right"/>
              <w:ind w:right="364"/>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7"/>
                <w:szCs w:val="7"/>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7"/>
                <w:szCs w:val="7"/>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7"/>
                <w:szCs w:val="7"/>
                <w:color w:val="auto"/>
              </w:rPr>
            </w:pPr>
          </w:p>
        </w:tc>
        <w:tc>
          <w:tcPr>
            <w:tcW w:w="960" w:type="dxa"/>
            <w:vAlign w:val="bottom"/>
            <w:vMerge w:val="restart"/>
          </w:tcPr>
          <w:p>
            <w:pPr>
              <w:jc w:val="center"/>
              <w:ind w:right="84"/>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gridSpan w:val="3"/>
            <w:vMerge w:val="continue"/>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(Loss) Income</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5"/>
                <w:szCs w:val="15"/>
                <w:color w:val="auto"/>
              </w:rPr>
            </w:pPr>
          </w:p>
        </w:tc>
        <w:tc>
          <w:tcPr>
            <w:tcW w:w="960" w:type="dxa"/>
            <w:vAlign w:val="bottom"/>
          </w:tcPr>
          <w:p>
            <w:pPr>
              <w:jc w:val="center"/>
              <w:ind w:right="8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i w:val="1"/>
                <w:iCs w:val="1"/>
                <w:color w:val="auto"/>
              </w:rPr>
              <w:t>For the three months ended September 30, 2023</w:t>
            </w:r>
          </w:p>
        </w:tc>
        <w:tc>
          <w:tcPr>
            <w:tcW w:w="17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June 30, 2023</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250,473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2,334,623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(1,690,188)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641,999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(66,869)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(66,869)</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comprehensive income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Shares issuable following milestone achievement</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84,761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84,761</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Issuance of common stock in acquisition of Apton</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76,636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Issuance of common stock in connection with liquidity event bonus plan</w:t>
            </w:r>
          </w:p>
        </w:tc>
        <w:tc>
          <w:tcPr>
            <w:tcW w:w="1080" w:type="dxa"/>
            <w:vAlign w:val="bottom"/>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2,111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2,111</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Issuance of common stock in conjunction with equity plans</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4,562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Share-based compensation expense</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19,691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19,691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258,374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2,522,382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(1,757,057)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763,743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i w:val="1"/>
                <w:iCs w:val="1"/>
                <w:color w:val="auto"/>
              </w:rPr>
              <w:t>For the three months ended September 30, 2022</w:t>
            </w:r>
          </w:p>
        </w:tc>
        <w:tc>
          <w:tcPr>
            <w:tcW w:w="17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auto"/>
            </w:tcBorders>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June 30, 2022</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224,756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2,058,103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(1,370,985)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681,886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(76,971)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(76,971)</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Issuance of common stock in conjunction with equity plans</w:t>
            </w:r>
          </w:p>
        </w:tc>
        <w:tc>
          <w:tcPr>
            <w:tcW w:w="1080" w:type="dxa"/>
            <w:vAlign w:val="bottom"/>
          </w:tcPr>
          <w:p>
            <w:pPr>
              <w:jc w:val="right"/>
              <w:spacing w:after="0"/>
              <w:rPr>
                <w:sz w:val="20"/>
                <w:szCs w:val="20"/>
                <w:color w:val="auto"/>
              </w:rPr>
            </w:pPr>
            <w:r>
              <w:rPr>
                <w:rFonts w:ascii="Arial" w:cs="Arial" w:eastAsia="Arial" w:hAnsi="Arial"/>
                <w:sz w:val="11"/>
                <w:szCs w:val="11"/>
                <w:color w:val="auto"/>
              </w:rPr>
              <w:t>1,160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3,542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3,543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Share-based compensation expense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18,936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18,936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3"/>
          </w:tcPr>
          <w:p>
            <w:pPr>
              <w:spacing w:after="0"/>
              <w:rPr>
                <w:sz w:val="20"/>
                <w:szCs w:val="20"/>
                <w:color w:val="auto"/>
              </w:rPr>
            </w:pPr>
            <w:r>
              <w:rPr>
                <w:rFonts w:ascii="Arial" w:cs="Arial" w:eastAsia="Arial" w:hAnsi="Arial"/>
                <w:sz w:val="11"/>
                <w:szCs w:val="11"/>
                <w:b w:val="1"/>
                <w:bCs w:val="1"/>
                <w:color w:val="auto"/>
              </w:rPr>
              <w:t>Balance at September 30, 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225,916</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2,080,581</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(6,260)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(1,447,956)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626,591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gridSpan w:val="3"/>
          </w:tcPr>
          <w:p>
            <w:pPr>
              <w:spacing w:after="0"/>
              <w:rPr>
                <w:sz w:val="20"/>
                <w:szCs w:val="20"/>
                <w:color w:val="auto"/>
              </w:rPr>
            </w:pPr>
            <w:r>
              <w:rPr>
                <w:rFonts w:ascii="Arial" w:cs="Arial" w:eastAsia="Arial" w:hAnsi="Arial"/>
                <w:sz w:val="11"/>
                <w:szCs w:val="11"/>
                <w:b w:val="1"/>
                <w:bCs w:val="1"/>
                <w:i w:val="1"/>
                <w:iCs w:val="1"/>
                <w:color w:val="auto"/>
              </w:rPr>
              <w:t>For the nine months ended September 30, 2023</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80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226,505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2,099,782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(1,532,340)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562,904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(224,717)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(224,717)</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comprehensive income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Shares issuable following milestone achievement</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84,761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84,761</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Issuance of common stock in acquisition of Apton</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76,636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Issuance of common stock in connection with liquidity event bonus plan</w:t>
            </w:r>
          </w:p>
        </w:tc>
        <w:tc>
          <w:tcPr>
            <w:tcW w:w="1080" w:type="dxa"/>
            <w:vAlign w:val="bottom"/>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2,111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2,111</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Issuance of common stock from Underwritten Public Equity Offering, net of issuance</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costs</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20,125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189,180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189,200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Issuance of common stock in conjunction with equity plans</w:t>
            </w:r>
          </w:p>
        </w:tc>
        <w:tc>
          <w:tcPr>
            <w:tcW w:w="1080" w:type="dxa"/>
            <w:vAlign w:val="bottom"/>
          </w:tcPr>
          <w:p>
            <w:pPr>
              <w:jc w:val="right"/>
              <w:spacing w:after="0"/>
              <w:rPr>
                <w:sz w:val="20"/>
                <w:szCs w:val="20"/>
                <w:color w:val="auto"/>
              </w:rPr>
            </w:pPr>
            <w:r>
              <w:rPr>
                <w:rFonts w:ascii="Arial" w:cs="Arial" w:eastAsia="Arial" w:hAnsi="Arial"/>
                <w:sz w:val="11"/>
                <w:szCs w:val="11"/>
                <w:color w:val="auto"/>
              </w:rPr>
              <w:t>5,454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14,378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14,383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Share-based compensation expense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55,534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55,534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3"/>
          </w:tcPr>
          <w:p>
            <w:pPr>
              <w:spacing w:after="0"/>
              <w:rPr>
                <w:sz w:val="20"/>
                <w:szCs w:val="20"/>
                <w:color w:val="auto"/>
              </w:rPr>
            </w:pPr>
            <w:r>
              <w:rPr>
                <w:rFonts w:ascii="Arial" w:cs="Arial" w:eastAsia="Arial" w:hAnsi="Arial"/>
                <w:sz w:val="11"/>
                <w:szCs w:val="11"/>
                <w:b w:val="1"/>
                <w:bCs w:val="1"/>
                <w:color w:val="auto"/>
              </w:rPr>
              <w:t>Balance at September 30,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258,374</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258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2,522,382</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(1,840)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(1,757,057)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763,743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gridSpan w:val="3"/>
          </w:tcPr>
          <w:p>
            <w:pPr>
              <w:spacing w:after="0"/>
              <w:rPr>
                <w:sz w:val="20"/>
                <w:szCs w:val="20"/>
                <w:color w:val="auto"/>
              </w:rPr>
            </w:pPr>
            <w:r>
              <w:rPr>
                <w:rFonts w:ascii="Arial" w:cs="Arial" w:eastAsia="Arial" w:hAnsi="Arial"/>
                <w:sz w:val="11"/>
                <w:szCs w:val="11"/>
                <w:b w:val="1"/>
                <w:bCs w:val="1"/>
                <w:i w:val="1"/>
                <w:iCs w:val="1"/>
                <w:color w:val="auto"/>
              </w:rPr>
              <w:t>For the nine months ended September 30, 2022</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80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220,978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2,009,945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(1,218,092)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790,987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(229,864)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(229,864)</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1"/>
                <w:szCs w:val="11"/>
                <w:color w:val="auto"/>
              </w:rPr>
              <w:t>Issuance of common stock in conjunction with equity plans</w:t>
            </w:r>
          </w:p>
        </w:tc>
        <w:tc>
          <w:tcPr>
            <w:tcW w:w="1080" w:type="dxa"/>
            <w:vAlign w:val="bottom"/>
          </w:tcPr>
          <w:p>
            <w:pPr>
              <w:jc w:val="right"/>
              <w:spacing w:after="0"/>
              <w:rPr>
                <w:sz w:val="20"/>
                <w:szCs w:val="20"/>
                <w:color w:val="auto"/>
              </w:rPr>
            </w:pPr>
            <w:r>
              <w:rPr>
                <w:rFonts w:ascii="Arial" w:cs="Arial" w:eastAsia="Arial" w:hAnsi="Arial"/>
                <w:sz w:val="11"/>
                <w:szCs w:val="11"/>
                <w:color w:val="auto"/>
              </w:rPr>
              <w:t>4,938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9,978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9,983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Share-based compensation expense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60,658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60,658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3"/>
          </w:tcPr>
          <w:p>
            <w:pPr>
              <w:spacing w:after="0"/>
              <w:rPr>
                <w:sz w:val="20"/>
                <w:szCs w:val="20"/>
                <w:color w:val="auto"/>
              </w:rPr>
            </w:pPr>
            <w:r>
              <w:rPr>
                <w:rFonts w:ascii="Arial" w:cs="Arial" w:eastAsia="Arial" w:hAnsi="Arial"/>
                <w:sz w:val="11"/>
                <w:szCs w:val="11"/>
                <w:b w:val="1"/>
                <w:bCs w:val="1"/>
                <w:color w:val="auto"/>
              </w:rPr>
              <w:t>Balance at September 30, 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225,916</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2,080,581</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(6,260)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(1,447,956)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626,591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(224,717)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(229,864)</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Depreciation</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8,487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6,937</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Amortization of right-of-use assets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4,940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55,534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60,658</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Merger-related compensation expense</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3,395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Accretion of discount and amortization of premium on marketable securities, net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Change in the estimated fair value of contingent consideration</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13,960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2,033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Inventory provision</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4,691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667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8040" w:type="dxa"/>
            <w:vAlign w:val="bottom"/>
          </w:tcPr>
          <w:p>
            <w:pPr>
              <w:ind w:left="42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(11,700)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96"/>
        </w:trPr>
        <w:tc>
          <w:tcPr>
            <w:tcW w:w="8040" w:type="dxa"/>
            <w:vAlign w:val="bottom"/>
          </w:tcPr>
          <w:p>
            <w:pPr>
              <w:ind w:left="64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(22,849)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(23,367)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196"/>
        </w:trPr>
        <w:tc>
          <w:tcPr>
            <w:tcW w:w="8040" w:type="dxa"/>
            <w:vAlign w:val="bottom"/>
          </w:tcPr>
          <w:p>
            <w:pPr>
              <w:ind w:left="6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1,706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Accrued expenses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2,055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(11,054)</w:t>
            </w:r>
          </w:p>
        </w:tc>
        <w:tc>
          <w:tcPr>
            <w:tcW w:w="0" w:type="dxa"/>
            <w:vAlign w:val="bottom"/>
          </w:tcPr>
          <w:p>
            <w:pPr>
              <w:spacing w:after="0"/>
              <w:rPr>
                <w:sz w:val="1"/>
                <w:szCs w:val="1"/>
                <w:color w:val="auto"/>
              </w:rPr>
            </w:pPr>
          </w:p>
        </w:tc>
      </w:tr>
      <w:tr>
        <w:trPr>
          <w:trHeight w:val="196"/>
        </w:trPr>
        <w:tc>
          <w:tcPr>
            <w:tcW w:w="8040" w:type="dxa"/>
            <w:vAlign w:val="bottom"/>
          </w:tcPr>
          <w:p>
            <w:pPr>
              <w:ind w:left="64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Operating lease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0" w:type="dxa"/>
            <w:vAlign w:val="bottom"/>
          </w:tcPr>
          <w:p>
            <w:pPr>
              <w:spacing w:after="0"/>
              <w:rPr>
                <w:sz w:val="1"/>
                <w:szCs w:val="1"/>
                <w:color w:val="auto"/>
              </w:rPr>
            </w:pPr>
          </w:p>
        </w:tc>
      </w:tr>
      <w:tr>
        <w:trPr>
          <w:trHeight w:val="196"/>
        </w:trPr>
        <w:tc>
          <w:tcPr>
            <w:tcW w:w="8040" w:type="dxa"/>
            <w:vAlign w:val="bottom"/>
          </w:tcPr>
          <w:p>
            <w:pPr>
              <w:ind w:left="640"/>
              <w:spacing w:after="0"/>
              <w:rPr>
                <w:sz w:val="20"/>
                <w:szCs w:val="20"/>
                <w:color w:val="auto"/>
              </w:rPr>
            </w:pPr>
            <w:r>
              <w:rPr>
                <w:rFonts w:ascii="Arial" w:cs="Arial" w:eastAsia="Arial" w:hAnsi="Arial"/>
                <w:sz w:val="14"/>
                <w:szCs w:val="14"/>
                <w:color w:val="auto"/>
              </w:rPr>
              <w:t>Contingent consideration liability</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89"/>
        </w:trPr>
        <w:tc>
          <w:tcPr>
            <w:tcW w:w="8040" w:type="dxa"/>
            <w:vAlign w:val="bottom"/>
          </w:tcPr>
          <w:p>
            <w:pPr>
              <w:ind w:left="88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(201,613)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(202,645)</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Purchase of property and equipment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(11,846)</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paid for purchase of Apton, net of cash acquired</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Purchases of investments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(553,748)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(307,899)</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Sales of 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595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Maturities of investments</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631,253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355,425</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Net cash provided by investing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71,179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35,680</w:t>
            </w:r>
          </w:p>
        </w:tc>
        <w:tc>
          <w:tcPr>
            <w:tcW w:w="0" w:type="dxa"/>
            <w:vAlign w:val="bottom"/>
          </w:tcPr>
          <w:p>
            <w:pPr>
              <w:spacing w:after="0"/>
              <w:rPr>
                <w:sz w:val="1"/>
                <w:szCs w:val="1"/>
                <w:color w:val="auto"/>
              </w:rPr>
            </w:pPr>
          </w:p>
        </w:tc>
      </w:tr>
      <w:tr>
        <w:trPr>
          <w:trHeight w:val="195"/>
        </w:trPr>
        <w:tc>
          <w:tcPr>
            <w:tcW w:w="8040" w:type="dxa"/>
            <w:vAlign w:val="bottom"/>
          </w:tcPr>
          <w:p>
            <w:pPr>
              <w:ind w:left="10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Proceeds from issuance of common stock under equity offerings, net of issuance costs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189,200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Proceeds from issuance of common stock from equity plans</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14,383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Payment of contingent consideration</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Notes payable principal payoff</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89"/>
        </w:trPr>
        <w:tc>
          <w:tcPr>
            <w:tcW w:w="8040" w:type="dxa"/>
            <w:vAlign w:val="bottom"/>
          </w:tcPr>
          <w:p>
            <w:pPr>
              <w:ind w:left="88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190,493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8,803</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60,059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(158,162)</w:t>
            </w: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328,311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465,817</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388,370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307,655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385,648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304,433</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Restricted cash at end of period</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2,722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189"/>
        </w:trPr>
        <w:tc>
          <w:tcPr>
            <w:tcW w:w="8040" w:type="dxa"/>
            <w:vAlign w:val="bottom"/>
          </w:tcPr>
          <w:p>
            <w:pPr>
              <w:ind w:left="10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388,370</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307,655</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ectPr>
          <w:pgSz w:w="11900" w:h="16838" w:orient="portrait"/>
          <w:cols w:equalWidth="0" w:num="1">
            <w:col w:w="11240"/>
          </w:cols>
          <w:pgMar w:left="320" w:top="128"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11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existing HiFi long-read sequencing technology and our emerging short-read Sequencing by Binding (SBB</w:t>
      </w:r>
      <w:r>
        <w:rPr>
          <w:rFonts w:ascii="Arial" w:cs="Arial" w:eastAsia="Arial" w:hAnsi="Arial"/>
          <w:sz w:val="22"/>
          <w:szCs w:val="22"/>
          <w:color w:val="auto"/>
          <w:vertAlign w:val="superscript"/>
        </w:rPr>
        <w:t>TM</w:t>
      </w:r>
      <w:r>
        <w:rPr>
          <w:rFonts w:ascii="Arial" w:cs="Arial" w:eastAsia="Arial" w:hAnsi="Arial"/>
          <w:sz w:val="17"/>
          <w:szCs w:val="17"/>
          <w:color w:val="auto"/>
        </w:rPr>
        <w:t>) technology. Our products address solutions across a broad set of applications including human genomics, plant and animal sciences, infectious disease and microbiology, oncology, and other emerging applications. Our focus is on providing our customers with advanced sequencing solutions with higher throughput</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and improved workflows that we believe will enable dramatic advancements in routine healthcare. Our customers include academic and governmental research institutions, commercial testing and service laboratories, genome centers, public health labs, hospitals and clinical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research institutes, contract research organizations ("CROs"), pharmaceutical companies, and agricultural companies.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References in this report to “PacBio,” “we,” “us,” the “Company,” and “our” refer to Pacific Biosciences of California, Inc.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2022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current macroeconomic conditions on our business is highly uncertain, we considered information available related to assumptions and estimates used to determine the results reported and asset valuations as of September 30, 2023. Actual results could differ materially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Restricted Cash and Investments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and Other Risks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For the three and nine months ended September 30, 2023, no customer exceeded 10% of total revenue during each of the respective periods. For the three and nine months ended September 30, 2022, one customer accounted for approximately 13% and 11% of total revenue during the period.</w:t>
      </w: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2023, 45% of our accounts receivable were from domestic customers, compared to 57% as of December 31, 2022. As of September 30, 2023, no customer represented 10% or greater of our accounts receivable, while one customer represented approximately 10% of our net accounts receivable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October 2021, the FASB issued Accounting Standards Update ("ASU") No. 2021-08, Business Combinations (Topic 805): Accounting for Contract Assets and Contract Liabilities from Contracts with Customers. This ASU provides specific guidance on how to recognize contract assets and contract liabilities related to revenue contracts with customers acquired in a business combination. This amendment improves comparability for both the recognition and measurement of acquired revenue contracts with customers at the date of and after a business combination. We adopted this ASU on January 1, 2023. The adoption of this guidance did not have a material effect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fiscal year ended December 31, 2022.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Apton Biosystems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August 2, 2023, we acquired Apton Biosystems, Inc. (“Apton”), a California-based genomics company focused on developing a high throughput short-read sequencer using highly differentiated optics and image processing, paired with novel clustering and chemistry (the “Apton acquisition”).</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Apton acquisition, all outstanding equity securities of Apton were cancelled in exchange for shares of our common stock with a fair value of $76.6 million, cash of $0.2 million, and contingent consideration with a preliminary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5-year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allocated the consideration transferred to the identifiable assets acquired and liabilities assumed based on preliminary estimates of their respective fair values at the date of the completion of the Apton acquisition, and such allocation is subject to adjustment for up to one year after the close of the acquisition as additional information is obtained. The major classes of assets and liabilities to which we have allocated the total fair value of the consideration transferred, based on the preliminary estimated fair values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37400"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137400" cy="148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7400"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 liability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7400" cy="173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7335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consideration transferred</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hanging="1235"/>
        <w:spacing w:after="0"/>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97</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53,000</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53,869</w:t>
      </w:r>
    </w:p>
    <w:p>
      <w:pPr>
        <w:spacing w:after="0" w:line="50"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153</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(10,920)</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(2,191)</w:t>
      </w:r>
    </w:p>
    <w:p>
      <w:pPr>
        <w:spacing w:after="0" w:line="63" w:lineRule="exact"/>
        <w:rPr>
          <w:sz w:val="20"/>
          <w:szCs w:val="20"/>
          <w:color w:val="auto"/>
        </w:rPr>
      </w:pPr>
    </w:p>
    <w:p>
      <w:pPr>
        <w:ind w:left="940" w:hanging="935"/>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949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40" w:space="720"/>
            <w:col w:w="1480"/>
          </w:cols>
          <w:pgMar w:left="320" w:top="128" w:right="339" w:bottom="1440" w:gutter="0" w:footer="0" w:header="0"/>
          <w:type w:val="continuous"/>
        </w:sectPr>
      </w:pP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purchase price allocation is preliminary, primarily due to the pending finalization of the valuation analysis and review of various tax attributes. We continue to collect information regarding certain estimates and assumptions, including potential liabilities and contingencies. We will record adjustments to the fair value of the assets acquired, liabilities assumed and goodwill within the twelve months measurement period, if necessary.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incurred costs related to the Apton acquisition of approximately $9.0 million during the nine months ended September 30, 2023, which are included in merger-related expenses on the Condensed Consolidated Statement of Operations and Comprehensive Loss. Merger-related expenses include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excess of the value of consideration paid over the aggregate fair value of those net assets has been recorded as goodwill. We recognized goodwill of $ 53.9 million, based on preliminary estimates, which is primarily attributable to the synergies expected to occur from the integration of Apton and is not deductible for income tax purposes. We preliminarily allocated $53.0 million of the purchase price to acquired in-process research and development ("IPR&amp;D"). The fair value of the IPR&amp;D was determined, with the assistance of a third-party valuation firm, using an income approach based on a forecast of expected future cash flows. Expected future cash flows utilize significant assumptions such as assumed revenue growth, discount rate and obsolescence factors.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54" w:lineRule="exact"/>
        <w:rPr>
          <w:sz w:val="20"/>
          <w:szCs w:val="20"/>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16" w:lineRule="exact"/>
        <w:rPr>
          <w:rFonts w:ascii="Arial" w:cs="Arial" w:eastAsia="Arial" w:hAnsi="Arial"/>
          <w:sz w:val="17"/>
          <w:szCs w:val="17"/>
          <w:color w:val="auto"/>
        </w:rPr>
      </w:pPr>
    </w:p>
    <w:p>
      <w:pPr>
        <w:jc w:val="both"/>
        <w:ind w:left="620" w:hanging="304"/>
        <w:spacing w:after="0" w:line="271"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6" w:lineRule="exact"/>
        <w:rPr>
          <w:rFonts w:ascii="Arial" w:cs="Arial" w:eastAsia="Arial" w:hAnsi="Arial"/>
          <w:sz w:val="17"/>
          <w:szCs w:val="17"/>
          <w:color w:val="auto"/>
        </w:rPr>
      </w:pPr>
    </w:p>
    <w:p>
      <w:pPr>
        <w:ind w:left="620" w:hanging="304"/>
        <w:spacing w:after="0" w:line="286"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December 31, 2022</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196,621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189,027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187,453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325,089</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127,302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127,302</w:t>
            </w:r>
          </w:p>
        </w:tc>
        <w:tc>
          <w:tcPr>
            <w:tcW w:w="0" w:type="dxa"/>
            <w:vAlign w:val="bottom"/>
          </w:tcPr>
          <w:p>
            <w:pPr>
              <w:spacing w:after="0"/>
              <w:rPr>
                <w:sz w:val="1"/>
                <w:szCs w:val="1"/>
                <w:color w:val="auto"/>
              </w:rPr>
            </w:pPr>
          </w:p>
        </w:tc>
      </w:tr>
      <w:tr>
        <w:trPr>
          <w:trHeight w:val="196"/>
        </w:trPr>
        <w:tc>
          <w:tcPr>
            <w:tcW w:w="3200" w:type="dxa"/>
            <w:vAlign w:val="bottom"/>
          </w:tcPr>
          <w:p>
            <w:pPr>
              <w:ind w:left="100"/>
              <w:spacing w:after="0"/>
              <w:rPr>
                <w:sz w:val="20"/>
                <w:szCs w:val="20"/>
                <w:color w:val="auto"/>
              </w:rPr>
            </w:pPr>
            <w:r>
              <w:rPr>
                <w:rFonts w:ascii="Arial" w:cs="Arial" w:eastAsia="Arial" w:hAnsi="Arial"/>
                <w:sz w:val="14"/>
                <w:szCs w:val="14"/>
                <w:color w:val="auto"/>
              </w:rPr>
              <w:t>Corporate debt securities</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49,491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49,491</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government &amp; agency securities</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289,517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289,517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270,436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270,436</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382,141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382,141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447,229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447,229</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Total assets measured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199,343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571,168</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770,511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140,858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634,682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775,540</w:t>
            </w:r>
          </w:p>
        </w:tc>
        <w:tc>
          <w:tcPr>
            <w:tcW w:w="0" w:type="dxa"/>
            <w:vAlign w:val="bottom"/>
          </w:tcPr>
          <w:p>
            <w:pPr>
              <w:spacing w:after="0"/>
              <w:rPr>
                <w:sz w:val="1"/>
                <w:szCs w:val="1"/>
                <w:color w:val="auto"/>
              </w:rPr>
            </w:pPr>
          </w:p>
        </w:tc>
      </w:tr>
      <w:tr>
        <w:trPr>
          <w:trHeight w:val="2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172,094</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Total liabilities measured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18,450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172,094</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172,094</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September 20, 2023, we achieved the commercial milestone in connection with the acquisition of Omniome. Consequently, former Omniome securityholders were entitled to receive as milestone consideration, among other things, an aggregate of approximately $100.9 million in cash and approximately 9.0 million shares of our common stock, representing $95.9 million divided by the volume-weighted average of the trading prices of our common stock for the twenty trading days ending with and including the trading day that was two days immediately prior to the achievement of the milestone. The $95.9 million represents the $100.0 million that was to be paid in shares of our common stock offset by $4.1 million attributable to stock options issued by PacBio in replacement of Omniome’s unvested options as part of the transaction, pursuant to the terms of the Omniome merger agreement.</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Following the achievement of the commercial milestone, $5.1 million of the contingent consideration was paid during the three and nine months ended September 30, 2023. Additionally, as the shares payable pursuant to the commercial milestone became fixed, and the contingency was resolved, the value attributable to the shares to be issued of $84.8 million was reclassified to additional paid-in capital on the Condensed Consolidated Balance Sheets. Such shares were issued to the former Omniome securityholders and the remainder of the cash payment was in October 2023. The remaining liability balance attributable to the achievement of the commercial milestone in September 2023 of $96.2 million is included in contingent consideration liability, current, in the Condensed Consolidated Balance Sheets as of September 30, 2023.</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result of the achievement of the milestone, the contingent consideration liability incurred in connection with the acquisition of Omniome was no longer considered a Level 3 liability at September 30, 2023. There were no other transfers between Level 1, Level 2, or Level 3 assets or liabilities reported at fair value on a recurring basis for the nine months ended September 30, 2023, and our valuation techniques did not change compared to the prior year.</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the estimated fair value of the contingent consideration liability for the nine months ended September 30, 2023 were as follows (in thousands):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Level 3</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as of December 31, 2022</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172,094</w:t>
            </w:r>
          </w:p>
        </w:tc>
      </w:tr>
      <w:tr>
        <w:trPr>
          <w:trHeight w:val="225"/>
        </w:trPr>
        <w:tc>
          <w:tcPr>
            <w:tcW w:w="97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18,450</w:t>
            </w: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estimated fair value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13,960</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Achievement of milestone</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(186,054)</w:t>
            </w:r>
          </w:p>
        </w:tc>
      </w:tr>
      <w:tr>
        <w:trPr>
          <w:trHeight w:val="25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September 30, 2023</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to the fair value are recorded as change in fair value of contingent consideration in the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and investments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7"/>
              </w:rPr>
              <w:t>As of September 30,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8"/>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Amortized</w:t>
            </w:r>
          </w:p>
        </w:tc>
        <w:tc>
          <w:tcPr>
            <w:tcW w:w="1180" w:type="dxa"/>
            <w:vAlign w:val="bottom"/>
          </w:tcPr>
          <w:p>
            <w:pPr>
              <w:jc w:val="center"/>
              <w:ind w:left="222"/>
              <w:spacing w:after="0" w:line="182" w:lineRule="exact"/>
              <w:rPr>
                <w:sz w:val="20"/>
                <w:szCs w:val="20"/>
                <w:color w:val="auto"/>
              </w:rPr>
            </w:pPr>
            <w:r>
              <w:rPr>
                <w:rFonts w:ascii="Arial" w:cs="Arial" w:eastAsia="Arial" w:hAnsi="Arial"/>
                <w:sz w:val="16"/>
                <w:szCs w:val="16"/>
                <w:b w:val="1"/>
                <w:bCs w:val="1"/>
                <w:color w:val="auto"/>
                <w:w w:val="95"/>
              </w:rPr>
              <w:t>unrealized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5"/>
              </w:rPr>
              <w:t>unrealized</w:t>
            </w:r>
          </w:p>
        </w:tc>
        <w:tc>
          <w:tcPr>
            <w:tcW w:w="320" w:type="dxa"/>
            <w:vAlign w:val="bottom"/>
          </w:tcPr>
          <w:p>
            <w:pPr>
              <w:spacing w:after="0"/>
              <w:rPr>
                <w:sz w:val="15"/>
                <w:szCs w:val="15"/>
                <w:color w:val="auto"/>
              </w:rPr>
            </w:pPr>
          </w:p>
        </w:tc>
        <w:tc>
          <w:tcPr>
            <w:tcW w:w="1160" w:type="dxa"/>
            <w:vAlign w:val="bottom"/>
          </w:tcPr>
          <w:p>
            <w:pPr>
              <w:jc w:val="center"/>
              <w:ind w:right="242"/>
              <w:spacing w:after="0" w:line="182" w:lineRule="exact"/>
              <w:rPr>
                <w:sz w:val="20"/>
                <w:szCs w:val="20"/>
                <w:color w:val="auto"/>
              </w:rPr>
            </w:pPr>
            <w:r>
              <w:rPr>
                <w:rFonts w:ascii="Arial" w:cs="Arial" w:eastAsia="Arial" w:hAnsi="Arial"/>
                <w:sz w:val="16"/>
                <w:szCs w:val="16"/>
                <w:b w:val="1"/>
                <w:bCs w:val="1"/>
                <w:color w:val="auto"/>
                <w:w w:val="95"/>
              </w:rPr>
              <w:t>Fair</w:t>
            </w:r>
          </w:p>
        </w:tc>
      </w:t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Cost</w:t>
            </w: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5"/>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losses</w:t>
            </w:r>
          </w:p>
        </w:tc>
        <w:tc>
          <w:tcPr>
            <w:tcW w:w="320" w:type="dxa"/>
            <w:vAlign w:val="bottom"/>
          </w:tcPr>
          <w:p>
            <w:pPr>
              <w:spacing w:after="0"/>
              <w:rPr>
                <w:sz w:val="20"/>
                <w:szCs w:val="20"/>
                <w:color w:val="auto"/>
              </w:rPr>
            </w:pPr>
          </w:p>
        </w:tc>
        <w:tc>
          <w:tcPr>
            <w:tcW w:w="1160" w:type="dxa"/>
            <w:vAlign w:val="bottom"/>
          </w:tcPr>
          <w:p>
            <w:pPr>
              <w:jc w:val="center"/>
              <w:ind w:right="242"/>
              <w:spacing w:after="0"/>
              <w:rPr>
                <w:sz w:val="20"/>
                <w:szCs w:val="20"/>
                <w:color w:val="auto"/>
              </w:rPr>
            </w:pPr>
            <w:r>
              <w:rPr>
                <w:rFonts w:ascii="Arial" w:cs="Arial" w:eastAsia="Arial" w:hAnsi="Arial"/>
                <w:sz w:val="16"/>
                <w:szCs w:val="16"/>
                <w:b w:val="1"/>
                <w:bCs w:val="1"/>
                <w:color w:val="auto"/>
                <w:w w:val="93"/>
              </w:rPr>
              <w:t>Value</w:t>
            </w:r>
          </w:p>
        </w:tc>
      </w:tr>
      <w:tr>
        <w:trPr>
          <w:trHeight w:val="244"/>
        </w:trPr>
        <w:tc>
          <w:tcPr>
            <w:tcW w:w="50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385,619</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385,648</w:t>
            </w:r>
          </w:p>
        </w:tc>
      </w:tr>
      <w:tr>
        <w:trPr>
          <w:trHeight w:val="225"/>
        </w:trPr>
        <w:tc>
          <w:tcPr>
            <w:tcW w:w="50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w:t>
            </w:r>
          </w:p>
        </w:tc>
      </w:tr>
      <w:tr>
        <w:trPr>
          <w:trHeight w:val="225"/>
        </w:trPr>
        <w:tc>
          <w:tcPr>
            <w:tcW w:w="502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76,161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75,853</w:t>
            </w: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291,078</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289,517</w:t>
            </w:r>
          </w:p>
        </w:tc>
      </w:tr>
      <w:tr>
        <w:trPr>
          <w:trHeight w:val="227"/>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384,010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382,141</w:t>
            </w:r>
          </w:p>
        </w:tc>
      </w:tr>
      <w:tr>
        <w:trPr>
          <w:trHeight w:val="259"/>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769,629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767,789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17"/>
        </w:trPr>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97"/>
              </w:rPr>
              <w:t>As of December 31, 2022</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8"/>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Amortized</w:t>
            </w:r>
          </w:p>
        </w:tc>
        <w:tc>
          <w:tcPr>
            <w:tcW w:w="1180" w:type="dxa"/>
            <w:vAlign w:val="bottom"/>
          </w:tcPr>
          <w:p>
            <w:pPr>
              <w:jc w:val="center"/>
              <w:ind w:left="222"/>
              <w:spacing w:after="0" w:line="182" w:lineRule="exact"/>
              <w:rPr>
                <w:sz w:val="20"/>
                <w:szCs w:val="20"/>
                <w:color w:val="auto"/>
              </w:rPr>
            </w:pPr>
            <w:r>
              <w:rPr>
                <w:rFonts w:ascii="Arial" w:cs="Arial" w:eastAsia="Arial" w:hAnsi="Arial"/>
                <w:sz w:val="16"/>
                <w:szCs w:val="16"/>
                <w:b w:val="1"/>
                <w:bCs w:val="1"/>
                <w:color w:val="auto"/>
                <w:w w:val="95"/>
              </w:rPr>
              <w:t>unrealized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5"/>
              </w:rPr>
              <w:t>unrealized</w:t>
            </w:r>
          </w:p>
        </w:tc>
        <w:tc>
          <w:tcPr>
            <w:tcW w:w="320" w:type="dxa"/>
            <w:vAlign w:val="bottom"/>
          </w:tcPr>
          <w:p>
            <w:pPr>
              <w:spacing w:after="0"/>
              <w:rPr>
                <w:sz w:val="15"/>
                <w:szCs w:val="15"/>
                <w:color w:val="auto"/>
              </w:rPr>
            </w:pPr>
          </w:p>
        </w:tc>
        <w:tc>
          <w:tcPr>
            <w:tcW w:w="1160" w:type="dxa"/>
            <w:vAlign w:val="bottom"/>
          </w:tcPr>
          <w:p>
            <w:pPr>
              <w:jc w:val="center"/>
              <w:ind w:right="242"/>
              <w:spacing w:after="0" w:line="182" w:lineRule="exact"/>
              <w:rPr>
                <w:sz w:val="20"/>
                <w:szCs w:val="20"/>
                <w:color w:val="auto"/>
              </w:rPr>
            </w:pPr>
            <w:r>
              <w:rPr>
                <w:rFonts w:ascii="Arial" w:cs="Arial" w:eastAsia="Arial" w:hAnsi="Arial"/>
                <w:sz w:val="16"/>
                <w:szCs w:val="16"/>
                <w:b w:val="1"/>
                <w:bCs w:val="1"/>
                <w:color w:val="auto"/>
                <w:w w:val="95"/>
              </w:rPr>
              <w:t>Fair</w:t>
            </w:r>
          </w:p>
        </w:tc>
      </w:t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Cost</w:t>
            </w: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5"/>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losses</w:t>
            </w:r>
          </w:p>
        </w:tc>
        <w:tc>
          <w:tcPr>
            <w:tcW w:w="320" w:type="dxa"/>
            <w:vAlign w:val="bottom"/>
          </w:tcPr>
          <w:p>
            <w:pPr>
              <w:spacing w:after="0"/>
              <w:rPr>
                <w:sz w:val="20"/>
                <w:szCs w:val="20"/>
                <w:color w:val="auto"/>
              </w:rPr>
            </w:pPr>
          </w:p>
        </w:tc>
        <w:tc>
          <w:tcPr>
            <w:tcW w:w="1160" w:type="dxa"/>
            <w:vAlign w:val="bottom"/>
          </w:tcPr>
          <w:p>
            <w:pPr>
              <w:jc w:val="center"/>
              <w:ind w:right="242"/>
              <w:spacing w:after="0"/>
              <w:rPr>
                <w:sz w:val="20"/>
                <w:szCs w:val="20"/>
                <w:color w:val="auto"/>
              </w:rPr>
            </w:pPr>
            <w:r>
              <w:rPr>
                <w:rFonts w:ascii="Arial" w:cs="Arial" w:eastAsia="Arial" w:hAnsi="Arial"/>
                <w:sz w:val="16"/>
                <w:szCs w:val="16"/>
                <w:b w:val="1"/>
                <w:bCs w:val="1"/>
                <w:color w:val="auto"/>
                <w:w w:val="93"/>
              </w:rPr>
              <w:t>Value</w:t>
            </w:r>
          </w:p>
        </w:tc>
      </w:tr>
      <w:tr>
        <w:trPr>
          <w:trHeight w:val="244"/>
        </w:trPr>
        <w:tc>
          <w:tcPr>
            <w:tcW w:w="50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325,144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325,089</w:t>
            </w:r>
          </w:p>
        </w:tc>
      </w:tr>
      <w:tr>
        <w:trPr>
          <w:trHeight w:val="225"/>
        </w:trPr>
        <w:tc>
          <w:tcPr>
            <w:tcW w:w="50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127,626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127,302</w:t>
            </w:r>
          </w:p>
        </w:tc>
      </w:tr>
      <w:tr>
        <w:trPr>
          <w:trHeight w:val="225"/>
        </w:trPr>
        <w:tc>
          <w:tcPr>
            <w:tcW w:w="502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49,998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49,491</w:t>
            </w: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274,315</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270,436</w:t>
            </w:r>
          </w:p>
        </w:tc>
      </w:tr>
      <w:tr>
        <w:trPr>
          <w:trHeight w:val="227"/>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451,939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447,229</w:t>
            </w:r>
          </w:p>
        </w:tc>
      </w:tr>
      <w:tr>
        <w:trPr>
          <w:trHeight w:val="259"/>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777,083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772,318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2,922</w:t>
            </w:r>
          </w:p>
        </w:tc>
        <w:tc>
          <w:tcPr>
            <w:tcW w:w="100" w:type="dxa"/>
            <w:vAlign w:val="bottom"/>
          </w:tcPr>
          <w:p>
            <w:pPr>
              <w:spacing w:after="0"/>
              <w:rPr>
                <w:sz w:val="17"/>
                <w:szCs w:val="17"/>
                <w:color w:val="auto"/>
              </w:rPr>
            </w:pP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2,922</w:t>
            </w: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September 30, 2023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Fair Value</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498,366</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72,802</w:t>
            </w:r>
          </w:p>
        </w:tc>
      </w:tr>
      <w:tr>
        <w:trPr>
          <w:trHeight w:val="252"/>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571,168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Investment income included in other income, net on the Condensed Consolidated Statement of Operations and Comprehensive Loss was $9.2 million and $ 25.0 million for the three and nine months ended September 30, 2023, respectively, and $2.8 million and $4.3 million for the three and nine months ended September 30, 2022,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BALANCE SHEET COMPONENTS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net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inventory, net, consisted of the following components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24,139</w:t>
            </w:r>
          </w:p>
        </w:tc>
      </w:tr>
      <w:tr>
        <w:trPr>
          <w:trHeight w:val="225"/>
        </w:trPr>
        <w:tc>
          <w:tcPr>
            <w:tcW w:w="81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14,062</w:t>
            </w:r>
          </w:p>
        </w:tc>
      </w:tr>
      <w:tr>
        <w:trPr>
          <w:trHeight w:val="24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17,040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12,180</w:t>
            </w:r>
          </w:p>
        </w:tc>
      </w:tr>
      <w:tr>
        <w:trPr>
          <w:trHeight w:val="220"/>
        </w:trPr>
        <w:tc>
          <w:tcPr>
            <w:tcW w:w="8160" w:type="dxa"/>
            <w:vAlign w:val="bottom"/>
          </w:tcPr>
          <w:p>
            <w:pPr>
              <w:ind w:left="560"/>
              <w:spacing w:after="0"/>
              <w:rPr>
                <w:sz w:val="20"/>
                <w:szCs w:val="20"/>
                <w:color w:val="auto"/>
              </w:rPr>
            </w:pPr>
            <w:r>
              <w:rPr>
                <w:rFonts w:ascii="Arial" w:cs="Arial" w:eastAsia="Arial" w:hAnsi="Arial"/>
                <w:sz w:val="16"/>
                <w:szCs w:val="16"/>
                <w:color w:val="auto"/>
              </w:rPr>
              <w:t>Inventory,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68,256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50,381</w:t>
            </w:r>
          </w:p>
        </w:tc>
      </w:tr>
      <w:tr>
        <w:trPr>
          <w:trHeight w:val="26"/>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and Goodwill</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Intangible assets include acquired in-process research and development ("IPR&amp;D") of $53.0 million as a result of the Apton acquisition in August 2023.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IPR&amp;D, definite-lived intangible assets included the following (in thousands,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16"/>
                <w:szCs w:val="16"/>
                <w:b w:val="1"/>
                <w:bCs w:val="1"/>
                <w:color w:val="auto"/>
                <w:w w:val="96"/>
              </w:rPr>
              <w:t>As of September 30, 2023</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702"/>
              <w:spacing w:after="0"/>
              <w:rPr>
                <w:sz w:val="20"/>
                <w:szCs w:val="20"/>
                <w:color w:val="auto"/>
              </w:rPr>
            </w:pPr>
            <w:r>
              <w:rPr>
                <w:rFonts w:ascii="Arial" w:cs="Arial" w:eastAsia="Arial" w:hAnsi="Arial"/>
                <w:sz w:val="16"/>
                <w:szCs w:val="16"/>
                <w:b w:val="1"/>
                <w:bCs w:val="1"/>
                <w:color w:val="auto"/>
                <w:w w:val="97"/>
              </w:rPr>
              <w:t>As of December 31, 2022</w:t>
            </w:r>
          </w:p>
        </w:tc>
        <w:tc>
          <w:tcPr>
            <w:tcW w:w="940" w:type="dxa"/>
            <w:vAlign w:val="bottom"/>
            <w:tcBorders>
              <w:bottom w:val="single" w:sz="8" w:color="auto"/>
            </w:tcBorders>
          </w:tcPr>
          <w:p>
            <w:pPr>
              <w:spacing w:after="0"/>
              <w:rPr>
                <w:sz w:val="18"/>
                <w:szCs w:val="18"/>
                <w:color w:val="auto"/>
              </w:rPr>
            </w:pPr>
          </w:p>
        </w:tc>
      </w:tr>
      <w:tr>
        <w:trPr>
          <w:trHeight w:val="192"/>
        </w:trPr>
        <w:tc>
          <w:tcPr>
            <w:tcW w:w="23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Estimated</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Gross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b w:val="1"/>
                <w:bCs w:val="1"/>
                <w:color w:val="auto"/>
              </w:rPr>
              <w:t>Net</w:t>
            </w:r>
          </w:p>
        </w:tc>
      </w:tr>
      <w:tr>
        <w:trPr>
          <w:trHeight w:val="182"/>
        </w:trPr>
        <w:tc>
          <w:tcPr>
            <w:tcW w:w="2300" w:type="dxa"/>
            <w:vAlign w:val="bottom"/>
          </w:tcPr>
          <w:p>
            <w:pPr>
              <w:spacing w:after="0"/>
              <w:rPr>
                <w:sz w:val="15"/>
                <w:szCs w:val="15"/>
                <w:color w:val="auto"/>
              </w:rPr>
            </w:pPr>
          </w:p>
        </w:tc>
        <w:tc>
          <w:tcPr>
            <w:tcW w:w="12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7"/>
              </w:rPr>
              <w:t>Useful Life</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5"/>
                <w:szCs w:val="15"/>
                <w:color w:val="auto"/>
              </w:rPr>
            </w:pPr>
          </w:p>
        </w:tc>
        <w:tc>
          <w:tcPr>
            <w:tcW w:w="940" w:type="dxa"/>
            <w:vAlign w:val="bottom"/>
          </w:tcPr>
          <w:p>
            <w:pPr>
              <w:jc w:val="center"/>
              <w:ind w:right="102"/>
              <w:spacing w:after="0" w:line="182" w:lineRule="exact"/>
              <w:rPr>
                <w:sz w:val="20"/>
                <w:szCs w:val="20"/>
                <w:color w:val="auto"/>
              </w:rPr>
            </w:pPr>
            <w:r>
              <w:rPr>
                <w:rFonts w:ascii="Arial" w:cs="Arial" w:eastAsia="Arial" w:hAnsi="Arial"/>
                <w:sz w:val="16"/>
                <w:szCs w:val="16"/>
                <w:b w:val="1"/>
                <w:bCs w:val="1"/>
                <w:color w:val="auto"/>
                <w:w w:val="97"/>
              </w:rPr>
              <w:t>Carrying</w:t>
            </w:r>
          </w:p>
        </w:tc>
      </w:tr>
      <w:tr>
        <w:trPr>
          <w:trHeight w:val="217"/>
        </w:trPr>
        <w:tc>
          <w:tcPr>
            <w:tcW w:w="23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(in years)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Amortization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Amortization</w:t>
            </w:r>
          </w:p>
        </w:tc>
        <w:tc>
          <w:tcPr>
            <w:tcW w:w="20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b w:val="1"/>
                <w:bCs w:val="1"/>
                <w:color w:val="auto"/>
                <w:w w:val="95"/>
              </w:rPr>
              <w:t>Amount</w:t>
            </w: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12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r>
      <w:tr>
        <w:trPr>
          <w:trHeight w:val="227"/>
        </w:trPr>
        <w:tc>
          <w:tcPr>
            <w:tcW w:w="23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120" w:type="dxa"/>
            <w:vAlign w:val="bottom"/>
          </w:tcPr>
          <w:p>
            <w:pPr>
              <w:jc w:val="right"/>
              <w:ind w:right="4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59"/>
        </w:trPr>
        <w:tc>
          <w:tcPr>
            <w:tcW w:w="2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11,539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developed technology as of September 30, 2023 includes the completed IPR&amp;D from the Omniome acquisition that was completed in September 2023.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intangible assets with definite lives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r>
      <w:tr>
        <w:trPr>
          <w:trHeight w:val="225"/>
        </w:trPr>
        <w:tc>
          <w:tcPr>
            <w:tcW w:w="974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5"/>
        </w:trPr>
        <w:tc>
          <w:tcPr>
            <w:tcW w:w="9740" w:type="dxa"/>
            <w:vAlign w:val="bottom"/>
          </w:tcPr>
          <w:p>
            <w:pPr>
              <w:ind w:left="20"/>
              <w:spacing w:after="0"/>
              <w:rPr>
                <w:sz w:val="20"/>
                <w:szCs w:val="20"/>
                <w:color w:val="auto"/>
              </w:rPr>
            </w:pPr>
            <w:r>
              <w:rPr>
                <w:rFonts w:ascii="Arial" w:cs="Arial" w:eastAsia="Arial" w:hAnsi="Arial"/>
                <w:sz w:val="16"/>
                <w:szCs w:val="16"/>
                <w:color w:val="auto"/>
              </w:rPr>
              <w:t>2026</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and 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292,337</w:t>
            </w:r>
          </w:p>
        </w:tc>
      </w:tr>
      <w:tr>
        <w:trPr>
          <w:trHeight w:val="259"/>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408,838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Amortization of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The definite-lived intangible assets are amortized using the straight-line method over their estimated useful lives.</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review definite-lived intangible assets for impairment when indication of potential impairment exists, such as a significant reduction in cash flows associated with the assets.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had goodwill of $463.8 million as of September 30, 2023, which preliminarily increased by $53.9 million, due to the Apton acquisition, of which $10.9 million relates to a deferred income tax liability, as compared to $410.0 million as of December 31, 2022. Goodwill is reviewed for impairment at least annually during the second quarter, or more frequently if an event occurs indicating the potential for impairment. We performed our annual assessment for goodwill impairment in the second quarter of 2023, noting no impairment.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As of September 30, 2023, we had a total of $27.5 million of deferred revenue, $22.4 million of which was recorded as deferred revenue, current, and primarily relates to future performance obligations under the Amended and Restated Agreement with Invitae Corporation ("Invitae") and deferred service contract revenues. The deferred revenue, non-current balance of $5.1 million primarily relates to future performance obligations under the Amended and Restated Agreement with Invitae and deferred service contract revenues and is scheduled to be recognized in the next 5 years. The deferred revenue, non-current balance includes $3.0 million that was reclassified from deferred revenue, current to deferred revenue, non-current following receipt of a non-cancellable order from Invitae during the nine months ended September 30, 2023 for partial utilization of the available credits, which is expected to be recognized in revenue after 12 months from September 30, 2023. Revenue recorded in the three and nine months ended September 30, 2023 includes $3.7 million and $11.7 million, respectively, that was included in deferred revenue as of December 31, 2022, of which $2.1 million and $4.2 million was included in product revenue recognized from the partial utilization of available credits by Invitae during the three and nine months ended September 30, 2023, respectively. Refer to </w:t>
      </w:r>
      <w:r>
        <w:rPr>
          <w:rFonts w:ascii="Arial" w:cs="Arial" w:eastAsia="Arial" w:hAnsi="Arial"/>
          <w:sz w:val="17"/>
          <w:szCs w:val="17"/>
          <w:i w:val="1"/>
          <w:iCs w:val="1"/>
          <w:color w:val="auto"/>
        </w:rPr>
        <w:t>Note 3 – Invitae Collaboration</w:t>
      </w:r>
      <w:r>
        <w:rPr>
          <w:rFonts w:ascii="Arial" w:cs="Arial" w:eastAsia="Arial" w:hAnsi="Arial"/>
          <w:sz w:val="17"/>
          <w:szCs w:val="17"/>
          <w:color w:val="auto"/>
        </w:rPr>
        <w:t>, in Part II, Item 8 of the Annual Report on Form 10-K for the year ended December 31, 2022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2,862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center"/>
              <w:ind w:left="702"/>
              <w:spacing w:after="0"/>
              <w:rPr>
                <w:sz w:val="20"/>
                <w:szCs w:val="20"/>
                <w:color w:val="auto"/>
              </w:rPr>
            </w:pPr>
            <w:r>
              <w:rPr>
                <w:rFonts w:ascii="Arial" w:cs="Arial" w:eastAsia="Arial" w:hAnsi="Arial"/>
                <w:sz w:val="16"/>
                <w:szCs w:val="16"/>
                <w:color w:val="auto"/>
                <w:w w:val="99"/>
              </w:rPr>
              <w:t>1,651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r>
      <w:tr>
        <w:trPr>
          <w:trHeight w:val="225"/>
        </w:trPr>
        <w:tc>
          <w:tcPr>
            <w:tcW w:w="5040" w:type="dxa"/>
            <w:vAlign w:val="bottom"/>
          </w:tcPr>
          <w:p>
            <w:pPr>
              <w:ind w:left="20"/>
              <w:spacing w:after="0"/>
              <w:rPr>
                <w:sz w:val="20"/>
                <w:szCs w:val="20"/>
                <w:color w:val="auto"/>
              </w:rPr>
            </w:pPr>
            <w:r>
              <w:rPr>
                <w:rFonts w:ascii="Arial" w:cs="Arial" w:eastAsia="Arial" w:hAnsi="Arial"/>
                <w:sz w:val="16"/>
                <w:szCs w:val="16"/>
                <w:color w:val="auto"/>
              </w:rPr>
              <w:t>Additions charged to cost of product revenue</w:t>
            </w:r>
          </w:p>
        </w:tc>
        <w:tc>
          <w:tcPr>
            <w:tcW w:w="9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2,825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left="702"/>
              <w:spacing w:after="0"/>
              <w:rPr>
                <w:sz w:val="20"/>
                <w:szCs w:val="20"/>
                <w:color w:val="auto"/>
              </w:rPr>
            </w:pPr>
            <w:r>
              <w:rPr>
                <w:rFonts w:ascii="Arial" w:cs="Arial" w:eastAsia="Arial" w:hAnsi="Arial"/>
                <w:sz w:val="16"/>
                <w:szCs w:val="16"/>
                <w:color w:val="auto"/>
                <w:w w:val="99"/>
              </w:rPr>
              <w:t>5,675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2,644</w:t>
            </w: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Repairs and replacements</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(1,722)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6"/>
                <w:szCs w:val="16"/>
                <w:color w:val="auto"/>
                <w:w w:val="98"/>
              </w:rPr>
              <w:t>(3,361)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3,965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99"/>
              </w:rPr>
              <w:t>3,965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loans</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connection with the acquisition of Omniome, we acquired $ 1.3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 after the 24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month and before the 43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month after the commencement date, is 4% of the outstanding loan balance. Payments are made in equal monthly installments including principal and interest.</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2023, the carrying value of term loans outstanding was $0.9 million, recorded as part of other liabilities, current on the Condensed Consolidated Balance Sheet. The interest expense was $0.1 million and $0.2 million for the three and nine months ended September 30, 2023, which was included as part of interest expense in the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principal payments on the term loans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2024</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59"/>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CONVERTIBLE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Convertible Senior Notes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$441.0 million principal amount of the 2028 Notes (the “Exchange Transaction”), pursuant to exemptions from registration under the Securities Act of 1933, as amended, and the rules and regulations thereunder. The 2030 Notes were issued on June 30, 2023.</w:t>
      </w:r>
    </w:p>
    <w:p>
      <w:pPr>
        <w:spacing w:after="0" w:line="2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Exchange Transaction was accounted for as an extinguishment driven by the change in fair value of the embedded conversion option. We recorded a loss on extinguishment of debt of approximately $2.0 million in connection with the Exchange Transaction during the nine months ended September 30,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incurred issuance costs related to the 2030 Notes of approximately $7.3 million, which were recorded as debt issuance costs and are presented as a reduction to the 2030 Notes on our Consolidated Balance Sheets and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carrying amount of the liability for the 2030 Notes is included as convertible senior notes, net, non-current in the Condensed Consolidated Balance Sheets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6"/>
                <w:szCs w:val="16"/>
                <w:b w:val="1"/>
                <w:bCs w:val="1"/>
                <w:color w:val="auto"/>
              </w:rPr>
              <w:t>2022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25"/>
        </w:trPr>
        <w:tc>
          <w:tcPr>
            <w:tcW w:w="8160" w:type="dxa"/>
            <w:vAlign w:val="bottom"/>
          </w:tcPr>
          <w:p>
            <w:pPr>
              <w:ind w:left="20"/>
              <w:spacing w:after="0"/>
              <w:rPr>
                <w:sz w:val="20"/>
                <w:szCs w:val="20"/>
                <w:color w:val="auto"/>
              </w:rPr>
            </w:pPr>
            <w:r>
              <w:rPr>
                <w:rFonts w:ascii="Arial" w:cs="Arial" w:eastAsia="Arial" w:hAnsi="Arial"/>
                <w:sz w:val="16"/>
                <w:szCs w:val="16"/>
                <w:color w:val="auto"/>
              </w:rPr>
              <w:t>Unamortized debt premium</w:t>
            </w: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23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34"/>
        </w:trPr>
        <w:tc>
          <w:tcPr>
            <w:tcW w:w="816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434,449</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and 2022, interest expense for the 2030 Notes was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r>
      <w:tr>
        <w:trPr>
          <w:trHeight w:val="24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the estimated fair value (Level 2) of the 2030 Notes was $356.6 million. The fair value of the 2030 Notes is estimated using a binomial lattice model that is primarily affected by the trading price of our common stock, market interest rates and volatility.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(the “Purchaser”), a subsidiary of SoftBank Group Corp., relating to the issuance and sale to the Purchaser of $900.0 million in aggregate principal amount of the 2028 Notes. The 2028 Notes were issued on February 16, 2021. As discussed above, in June 2023 we completed an exchange of $441.0 million in aggregate principal amount of our 2028 Notes for $ 441.0 million aggregate principal amount of the 2030 Notes, leaving approximately $459.0 million in aggregate principal amount of 2028 Notes outstanding.</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2028 Notes are governed by an indenture (the “2028 Indenture”) between the Company and U.S. Bank National Association, as trustee. The 2028 Notes bear interest at a rate of 1.50% per annum. Interest on the 2028 Notes is payable semi-annually in arrears on February 15 and August 15 and commenced on August 15, 2021. The 2028 Notes will mature on February 15, 2028, subject to earlier conversion, redemption or repurchase.</w:t>
      </w:r>
    </w:p>
    <w:p>
      <w:pPr>
        <w:spacing w:after="0" w:line="2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2028 Indenture includes customary “events of default,” which may result in the acceleration of the maturity of the 2028 Notes under the 2028 Indenture. The 2028 Indenture also includes customary covenants for convertible notes of this type.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2028 Indenture). On the 361st day after such event of default (if the event of default relating to our failure to comply with its obligations is not cured or waived prior to such 361st day), the 2028 Notes shall be subject to acceleration as provided for in the 2028 Indenture.</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we may elect to settle any conversions entirely in shares, and because settlement in shares is the default settlement method, the liability is classified as non-current.</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requirement to repurchase the 2028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incurred issuance costs related to the 2028 Notes of approximately $4.5 million, which were recorded as debt issuance costs and are presented as a reduction to the 2028 Notes on our Consolidated Balance Sheets and are amortized to interest expense using the effective interest method over the term of the 2028 Notes, resulting in an effective interest rate of 1.6%.</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carrying amount of the liability for the 2028 Notes is included as convertible senior notes, net, non-current in the Condensed Consolidated Balance Sheets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r>
      <w:tr>
        <w:trPr>
          <w:trHeight w:val="25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457,547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896,683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and 2022, interest expense for the 2028 Notes was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10,125</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3,529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the estimated fair value (Level 2) of the 2028 Notes was $358.6 million. The fair value of the 2028 Notes is estimated using a binomial lattice model that is primarily affected by the trading price of our common stock, market interest rates and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COMMITMENTS AND CONTINGENCIES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Company has entered into various operating lease agreements, primarily relating to our corporate offices. See </w:t>
      </w:r>
      <w:r>
        <w:rPr>
          <w:rFonts w:ascii="Arial" w:cs="Arial" w:eastAsia="Arial" w:hAnsi="Arial"/>
          <w:sz w:val="17"/>
          <w:szCs w:val="17"/>
          <w:i w:val="1"/>
          <w:iCs w:val="1"/>
          <w:color w:val="auto"/>
        </w:rPr>
        <w:t>Note 8 –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subsection titled “Leases”, in Part II, Item 8 of the Annual Report on Form 10-K for the year ended December 31, 2022 for</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the Company’s maturity of lease liabilities under its lease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u w:val="single" w:color="auto"/>
          <w:color w:val="0000FF"/>
        </w:rPr>
        <w:t>Legal Proceedings, in Part II, Item 1</w:t>
      </w:r>
      <w:r>
        <w:rPr>
          <w:rFonts w:ascii="Arial" w:cs="Arial" w:eastAsia="Arial" w:hAnsi="Arial"/>
          <w:sz w:val="17"/>
          <w:szCs w:val="17"/>
          <w:color w:val="auto"/>
        </w:rPr>
        <w:t xml:space="preserve"> of this Quarterly Report on Form 10-Q.</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2023 and December 31, 2022.</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N</w:t>
      </w:r>
      <w:r>
        <w:rPr>
          <w:rFonts w:ascii="Arial" w:cs="Arial" w:eastAsia="Arial" w:hAnsi="Arial"/>
          <w:sz w:val="17"/>
          <w:szCs w:val="17"/>
          <w:b w:val="1"/>
          <w:bCs w:val="1"/>
          <w:color w:val="auto"/>
        </w:rPr>
        <w:t>OTE 7.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Underwritten Public Equity Offering</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Stockholders' Equity</w:t>
      </w:r>
      <w:r>
        <w:rPr>
          <w:rFonts w:ascii="Arial" w:cs="Arial" w:eastAsia="Arial" w:hAnsi="Arial"/>
          <w:sz w:val="17"/>
          <w:szCs w:val="17"/>
          <w:color w:val="auto"/>
        </w:rPr>
        <w:t>, in Part II, Item 8 of the Annual Report on Form 10-K for the year ended December 31, 2022 for more information on the Company's underwritten public equity offerings and private placement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Plans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2023,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2023, we had 12.3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6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Stockholders' Equity</w:t>
      </w:r>
      <w:r>
        <w:rPr>
          <w:rFonts w:ascii="Arial" w:cs="Arial" w:eastAsia="Arial" w:hAnsi="Arial"/>
          <w:sz w:val="17"/>
          <w:szCs w:val="17"/>
          <w:color w:val="auto"/>
        </w:rPr>
        <w:t>, in Part II, Item 8 of the Annual Report on Form 10-K for the year ended December 31, 2022 for more information on the Company's equity plans.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Time-based Stock Options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time-based awards (shares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82"/>
        </w:trPr>
        <w:tc>
          <w:tcPr>
            <w:tcW w:w="8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38"/>
              <w:spacing w:after="0" w:line="182" w:lineRule="exact"/>
              <w:rPr>
                <w:sz w:val="20"/>
                <w:szCs w:val="20"/>
                <w:color w:val="auto"/>
              </w:rPr>
            </w:pPr>
            <w:r>
              <w:rPr>
                <w:rFonts w:ascii="Arial" w:cs="Arial" w:eastAsia="Arial" w:hAnsi="Arial"/>
                <w:sz w:val="16"/>
                <w:szCs w:val="16"/>
                <w:b w:val="1"/>
                <w:bCs w:val="1"/>
                <w:color w:val="auto"/>
                <w:w w:val="99"/>
              </w:rPr>
              <w:t>average</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97"/>
              </w:rPr>
              <w:t>exercise price</w:t>
            </w: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5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13,211</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Performance-based Stock Options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180" w:type="dxa"/>
            <w:vAlign w:val="bottom"/>
          </w:tcPr>
          <w:p>
            <w:pPr>
              <w:spacing w:after="0"/>
              <w:rPr>
                <w:sz w:val="20"/>
                <w:szCs w:val="20"/>
                <w:color w:val="auto"/>
              </w:rPr>
            </w:pPr>
            <w:r>
              <w:rPr>
                <w:rFonts w:ascii="Arial" w:cs="Arial" w:eastAsia="Arial" w:hAnsi="Arial"/>
                <w:sz w:val="17"/>
                <w:szCs w:val="17"/>
                <w:color w:val="auto"/>
              </w:rPr>
              <w:t>The following table summarizes stock option activity for performance-based awards (shares in thousands):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ind w:right="58"/>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208"/>
        </w:trPr>
        <w:tc>
          <w:tcPr>
            <w:tcW w:w="8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8"/>
              <w:spacing w:after="0"/>
              <w:rPr>
                <w:sz w:val="20"/>
                <w:szCs w:val="20"/>
                <w:color w:val="auto"/>
              </w:rPr>
            </w:pPr>
            <w:r>
              <w:rPr>
                <w:rFonts w:ascii="Arial" w:cs="Arial" w:eastAsia="Arial" w:hAnsi="Arial"/>
                <w:sz w:val="17"/>
                <w:szCs w:val="17"/>
                <w:b w:val="1"/>
                <w:bCs w:val="1"/>
                <w:color w:val="auto"/>
              </w:rPr>
              <w:t>average</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 shares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7"/>
                <w:szCs w:val="17"/>
                <w:b w:val="1"/>
                <w:bCs w:val="1"/>
                <w:color w:val="auto"/>
              </w:rPr>
              <w:t>exercise price</w:t>
            </w:r>
          </w:p>
        </w:tc>
        <w:tc>
          <w:tcPr>
            <w:tcW w:w="0" w:type="dxa"/>
            <w:vAlign w:val="bottom"/>
          </w:tcPr>
          <w:p>
            <w:pPr>
              <w:spacing w:after="0"/>
              <w:rPr>
                <w:sz w:val="1"/>
                <w:szCs w:val="1"/>
                <w:color w:val="auto"/>
              </w:rPr>
            </w:pPr>
          </w:p>
        </w:tc>
      </w:tr>
      <w:tr>
        <w:trPr>
          <w:trHeight w:val="24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Canceled</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 and Performance Stock Units ("PSU")</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issue RSUs for which the respective shares vest when the requisite service period is achieved. We issue PSUs for which the number of shares issuable in the third year of the performance period based on performance relative to specified revenue targets and continued employment through the vesting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 (shares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rPr>
              <w:t>Weighted average grant date</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Restricted Stock</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Performance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jc w:val="right"/>
              <w:ind w:right="62"/>
              <w:spacing w:after="0"/>
              <w:rPr>
                <w:sz w:val="20"/>
                <w:szCs w:val="20"/>
                <w:color w:val="auto"/>
              </w:rPr>
            </w:pPr>
            <w:r>
              <w:rPr>
                <w:rFonts w:ascii="Arial" w:cs="Arial" w:eastAsia="Arial" w:hAnsi="Arial"/>
                <w:sz w:val="16"/>
                <w:szCs w:val="16"/>
                <w:b w:val="1"/>
                <w:bCs w:val="1"/>
                <w:color w:val="auto"/>
              </w:rPr>
              <w:t>fair value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Units (RSU)</w:t>
            </w: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Units (PSU)</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RSU</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PSU</w:t>
            </w:r>
          </w:p>
        </w:tc>
        <w:tc>
          <w:tcPr>
            <w:tcW w:w="0" w:type="dxa"/>
            <w:vAlign w:val="bottom"/>
          </w:tcPr>
          <w:p>
            <w:pPr>
              <w:spacing w:after="0"/>
              <w:rPr>
                <w:sz w:val="1"/>
                <w:szCs w:val="1"/>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center"/>
              <w:ind w:left="1262"/>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6,970</w:t>
            </w:r>
          </w:p>
        </w:tc>
        <w:tc>
          <w:tcPr>
            <w:tcW w:w="80" w:type="dxa"/>
            <w:vAlign w:val="bottom"/>
          </w:tcPr>
          <w:p>
            <w:pPr>
              <w:spacing w:after="0"/>
              <w:rPr>
                <w:sz w:val="19"/>
                <w:szCs w:val="19"/>
                <w:color w:val="auto"/>
              </w:rPr>
            </w:pPr>
          </w:p>
        </w:tc>
        <w:tc>
          <w:tcPr>
            <w:tcW w:w="1620" w:type="dxa"/>
            <w:vAlign w:val="bottom"/>
          </w:tcPr>
          <w:p>
            <w:pPr>
              <w:jc w:val="center"/>
              <w:ind w:left="1242"/>
              <w:spacing w:after="0"/>
              <w:rPr>
                <w:sz w:val="20"/>
                <w:szCs w:val="20"/>
                <w:color w:val="auto"/>
              </w:rPr>
            </w:pPr>
            <w:r>
              <w:rPr>
                <w:rFonts w:ascii="Arial" w:cs="Arial" w:eastAsia="Arial" w:hAnsi="Arial"/>
                <w:sz w:val="16"/>
                <w:szCs w:val="16"/>
                <w:color w:val="auto"/>
                <w:w w:val="97"/>
              </w:rPr>
              <w:t>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4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2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14.73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5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11,959</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center"/>
              <w:ind w:left="1242"/>
              <w:spacing w:after="0"/>
              <w:rPr>
                <w:sz w:val="20"/>
                <w:szCs w:val="20"/>
                <w:color w:val="auto"/>
              </w:rPr>
            </w:pPr>
            <w:r>
              <w:rPr>
                <w:rFonts w:ascii="Arial" w:cs="Arial" w:eastAsia="Arial" w:hAnsi="Arial"/>
                <w:sz w:val="16"/>
                <w:szCs w:val="16"/>
                <w:color w:val="auto"/>
                <w:w w:val="97"/>
              </w:rPr>
              <w:t>541</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12.23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 (“ESPP”)</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issued under our ESPP were 1,735,058 and 1,878,168 during the nine months ended September 30, 2023 and 2022, respectively. In February 2023, an additional 4.0 million shares were reserved under the ESPP. As of September 30, 2023, 12.2 million shares of our common stock remain available for issuance under our ESPP.</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share-based compensation expense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w:t>
            </w:r>
          </w:p>
        </w:tc>
      </w:tr>
      <w:tr>
        <w:trPr>
          <w:trHeight w:val="225"/>
        </w:trPr>
        <w:tc>
          <w:tcPr>
            <w:tcW w:w="50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7,519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24,232</w:t>
            </w:r>
          </w:p>
        </w:tc>
      </w:tr>
      <w:tr>
        <w:trPr>
          <w:trHeight w:val="237"/>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general and administrative</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12,384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10,483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32,746</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Total share-based compensation expense</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19,691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18,936</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60,658</w:t>
            </w: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7" w:lineRule="exact"/>
        <w:rPr>
          <w:sz w:val="20"/>
          <w:szCs w:val="20"/>
          <w:color w:val="auto"/>
        </w:rPr>
      </w:pPr>
    </w:p>
    <w:p>
      <w:pPr>
        <w:jc w:val="both"/>
        <w:ind w:left="620" w:hanging="304"/>
        <w:spacing w:after="0" w:line="271"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66" w:lineRule="exact"/>
        <w:rPr>
          <w:rFonts w:ascii="Arial" w:cs="Arial" w:eastAsia="Arial" w:hAnsi="Arial"/>
          <w:sz w:val="17"/>
          <w:szCs w:val="17"/>
          <w:color w:val="auto"/>
        </w:rPr>
      </w:pPr>
    </w:p>
    <w:p>
      <w:pPr>
        <w:ind w:left="620" w:hanging="304"/>
        <w:spacing w:after="0" w:line="286"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54" w:lineRule="exact"/>
        <w:rPr>
          <w:rFonts w:ascii="Arial" w:cs="Arial" w:eastAsia="Arial" w:hAnsi="Arial"/>
          <w:sz w:val="17"/>
          <w:szCs w:val="17"/>
          <w:color w:val="auto"/>
        </w:rPr>
      </w:pPr>
    </w:p>
    <w:p>
      <w:pPr>
        <w:ind w:left="620" w:hanging="304"/>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116" w:lineRule="exact"/>
        <w:rPr>
          <w:rFonts w:ascii="Arial" w:cs="Arial" w:eastAsia="Arial" w:hAnsi="Arial"/>
          <w:sz w:val="17"/>
          <w:szCs w:val="17"/>
          <w:color w:val="auto"/>
        </w:rPr>
      </w:pPr>
    </w:p>
    <w:p>
      <w:pPr>
        <w:ind w:left="620" w:hanging="304"/>
        <w:spacing w:after="0" w:line="286"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employee stock options was estimated using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19"/>
                <w:szCs w:val="19"/>
                <w:color w:val="auto"/>
              </w:rPr>
            </w:pPr>
          </w:p>
        </w:tc>
        <w:tc>
          <w:tcPr>
            <w:tcW w:w="30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 September 30,</w:t>
            </w:r>
          </w:p>
        </w:tc>
      </w:tr>
      <w:tr>
        <w:trPr>
          <w:trHeight w:val="227"/>
        </w:trPr>
        <w:tc>
          <w:tcPr>
            <w:tcW w:w="8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2022</w:t>
            </w: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522"/>
              <w:spacing w:after="0"/>
              <w:rPr>
                <w:sz w:val="20"/>
                <w:szCs w:val="20"/>
                <w:color w:val="auto"/>
              </w:rPr>
            </w:pPr>
            <w:r>
              <w:rPr>
                <w:rFonts w:ascii="Arial" w:cs="Arial" w:eastAsia="Arial" w:hAnsi="Arial"/>
                <w:sz w:val="16"/>
                <w:szCs w:val="16"/>
                <w:color w:val="auto"/>
                <w:w w:val="98"/>
              </w:rPr>
              <w:t>4.6</w:t>
            </w: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w:t>
            </w:r>
          </w:p>
        </w:tc>
        <w:tc>
          <w:tcPr>
            <w:tcW w:w="860" w:type="dxa"/>
            <w:vAlign w:val="bottom"/>
          </w:tcPr>
          <w:p>
            <w:pPr>
              <w:ind w:left="40"/>
              <w:spacing w:after="0"/>
              <w:rPr>
                <w:sz w:val="20"/>
                <w:szCs w:val="20"/>
                <w:color w:val="auto"/>
              </w:rPr>
            </w:pPr>
            <w:r>
              <w:rPr>
                <w:rFonts w:ascii="Arial" w:cs="Arial" w:eastAsia="Arial" w:hAnsi="Arial"/>
                <w:sz w:val="16"/>
                <w:szCs w:val="16"/>
                <w:color w:val="auto"/>
              </w:rPr>
              <w:t>— 76%</w:t>
            </w:r>
          </w:p>
        </w:tc>
      </w:tr>
      <w:tr>
        <w:trPr>
          <w:trHeight w:val="24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3.73% - 4.21%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3.66%</w:t>
            </w: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9"/>
                <w:szCs w:val="19"/>
                <w:color w:val="auto"/>
              </w:rPr>
            </w:pPr>
          </w:p>
        </w:tc>
        <w:tc>
          <w:tcPr>
            <w:tcW w:w="860" w:type="dxa"/>
            <w:vAlign w:val="bottom"/>
          </w:tcPr>
          <w:p>
            <w:pPr>
              <w:jc w:val="center"/>
              <w:ind w:right="542"/>
              <w:spacing w:after="0"/>
              <w:rPr>
                <w:sz w:val="20"/>
                <w:szCs w:val="20"/>
                <w:color w:val="auto"/>
              </w:rPr>
            </w:pPr>
            <w:r>
              <w:rPr>
                <w:rFonts w:ascii="Arial" w:cs="Arial" w:eastAsia="Arial" w:hAnsi="Arial"/>
                <w:sz w:val="16"/>
                <w:szCs w:val="16"/>
                <w:color w:val="auto"/>
                <w:w w:val="99"/>
              </w:rPr>
              <w:t>—</w:t>
            </w:r>
          </w:p>
        </w:tc>
      </w:tr>
      <w:tr>
        <w:trPr>
          <w:trHeight w:val="24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$7.89</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$5.93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to be issued under the ESPP was estimated using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80" w:type="dxa"/>
            <w:vAlign w:val="bottom"/>
          </w:tcPr>
          <w:p>
            <w:pPr>
              <w:spacing w:after="0"/>
              <w:rPr>
                <w:sz w:val="19"/>
                <w:szCs w:val="19"/>
                <w:color w:val="auto"/>
              </w:rPr>
            </w:pPr>
          </w:p>
        </w:tc>
        <w:tc>
          <w:tcPr>
            <w:tcW w:w="30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Nine Months Ended September 30,</w:t>
            </w:r>
          </w:p>
        </w:tc>
      </w:tr>
      <w:tr>
        <w:trPr>
          <w:trHeight w:val="227"/>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2.0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w:t>
            </w:r>
          </w:p>
        </w:tc>
      </w:tr>
      <w:tr>
        <w:trPr>
          <w:trHeight w:val="225"/>
        </w:trPr>
        <w:tc>
          <w:tcPr>
            <w:tcW w:w="81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 97%</w:t>
            </w: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840" w:type="dxa"/>
            <w:vAlign w:val="bottom"/>
          </w:tcPr>
          <w:p>
            <w:pPr>
              <w:ind w:left="20"/>
              <w:spacing w:after="0"/>
              <w:rPr>
                <w:sz w:val="20"/>
                <w:szCs w:val="20"/>
                <w:color w:val="auto"/>
              </w:rPr>
            </w:pPr>
            <w:r>
              <w:rPr>
                <w:rFonts w:ascii="Arial" w:cs="Arial" w:eastAsia="Arial" w:hAnsi="Arial"/>
                <w:sz w:val="16"/>
                <w:szCs w:val="16"/>
                <w:color w:val="auto"/>
              </w:rPr>
              <w:t>— 97%</w:t>
            </w:r>
          </w:p>
        </w:tc>
      </w:tr>
      <w:tr>
        <w:trPr>
          <w:trHeight w:val="24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5.47%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3.51%</w:t>
            </w:r>
          </w:p>
        </w:tc>
      </w:tr>
      <w:tr>
        <w:trPr>
          <w:trHeight w:val="225"/>
        </w:trPr>
        <w:tc>
          <w:tcPr>
            <w:tcW w:w="81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6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4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480" w:type="dxa"/>
            <w:vAlign w:val="bottom"/>
            <w:gridSpan w:val="2"/>
            <w:shd w:val="clear" w:color="auto" w:fill="CCEEFF"/>
          </w:tcPr>
          <w:p>
            <w:pPr>
              <w:jc w:val="right"/>
              <w:ind w:right="462"/>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462"/>
              <w:spacing w:after="0"/>
              <w:rPr>
                <w:sz w:val="20"/>
                <w:szCs w:val="20"/>
                <w:color w:val="auto"/>
              </w:rPr>
            </w:pPr>
            <w:r>
              <w:rPr>
                <w:rFonts w:ascii="Arial" w:cs="Arial" w:eastAsia="Arial" w:hAnsi="Arial"/>
                <w:sz w:val="16"/>
                <w:szCs w:val="16"/>
                <w:color w:val="auto"/>
              </w:rPr>
              <w:t>$4.28</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LOSS PER SHARE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the calculation of the basic and diluted net loss per share amounts presented in the Condensed Consolidated Statements of Operations and Comprehensive Loss (in thousands,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740" w:type="dxa"/>
            <w:vAlign w:val="bottom"/>
            <w:gridSpan w:val="4"/>
          </w:tcPr>
          <w:p>
            <w:pPr>
              <w:jc w:val="right"/>
              <w:ind w:right="72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(229,864)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Weighted average shares used in computing basic net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223,981</w:t>
            </w:r>
          </w:p>
        </w:tc>
        <w:tc>
          <w:tcPr>
            <w:tcW w:w="0" w:type="dxa"/>
            <w:vAlign w:val="bottom"/>
          </w:tcPr>
          <w:p>
            <w:pPr>
              <w:spacing w:after="0"/>
              <w:rPr>
                <w:sz w:val="1"/>
                <w:szCs w:val="1"/>
                <w:color w:val="auto"/>
              </w:rPr>
            </w:pPr>
          </w:p>
        </w:tc>
      </w:tr>
      <w:tr>
        <w:trPr>
          <w:trHeight w:val="25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share</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shares used in computing diluted net loss per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223,981</w:t>
            </w:r>
          </w:p>
        </w:tc>
        <w:tc>
          <w:tcPr>
            <w:tcW w:w="0" w:type="dxa"/>
            <w:vAlign w:val="bottom"/>
          </w:tcPr>
          <w:p>
            <w:pPr>
              <w:spacing w:after="0"/>
              <w:rPr>
                <w:sz w:val="1"/>
                <w:szCs w:val="1"/>
                <w:color w:val="auto"/>
              </w:rPr>
            </w:pPr>
          </w:p>
        </w:tc>
      </w:tr>
      <w:tr>
        <w:trPr>
          <w:trHeight w:val="220"/>
        </w:trPr>
        <w:tc>
          <w:tcPr>
            <w:tcW w:w="502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shares issuable upon conversion of the convertible senior notes and outstanding equity awards were excluded from the computation of diluted net loss per share for the periods presented because the effect of including such shares would have been antidilutive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5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ind w:left="800"/>
              <w:spacing w:after="0"/>
              <w:rPr>
                <w:sz w:val="20"/>
                <w:szCs w:val="20"/>
                <w:color w:val="auto"/>
              </w:rPr>
            </w:pPr>
            <w:r>
              <w:rPr>
                <w:rFonts w:ascii="Arial" w:cs="Arial" w:eastAsia="Arial" w:hAnsi="Arial"/>
                <w:sz w:val="16"/>
                <w:szCs w:val="16"/>
                <w:b w:val="1"/>
                <w:bCs w:val="1"/>
                <w:color w:val="auto"/>
              </w:rPr>
              <w:t>Nine Months Ended</w:t>
            </w:r>
          </w:p>
        </w:tc>
      </w:tr>
      <w:tr>
        <w:trPr>
          <w:trHeight w:val="221"/>
        </w:trPr>
        <w:tc>
          <w:tcPr>
            <w:tcW w:w="50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8"/>
              </w:rPr>
              <w:t>September 30,</w:t>
            </w:r>
          </w:p>
        </w:tc>
        <w:tc>
          <w:tcPr>
            <w:tcW w:w="960" w:type="dxa"/>
            <w:vAlign w:val="bottom"/>
            <w:tcBorders>
              <w:bottom w:val="single" w:sz="8" w:color="auto"/>
            </w:tcBorders>
          </w:tcPr>
          <w:p>
            <w:pPr>
              <w:spacing w:after="0"/>
              <w:rPr>
                <w:sz w:val="19"/>
                <w:szCs w:val="19"/>
                <w:color w:val="auto"/>
              </w:rPr>
            </w:pPr>
          </w:p>
        </w:tc>
      </w:tr>
      <w:tr>
        <w:trPr>
          <w:trHeight w:val="227"/>
        </w:trPr>
        <w:tc>
          <w:tcPr>
            <w:tcW w:w="5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issuable upon conversion of convertible senior notes</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31,063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93"/>
              </w:rPr>
              <w:t>31,063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20,690</w:t>
            </w:r>
          </w:p>
        </w:tc>
      </w:tr>
      <w:tr>
        <w:trPr>
          <w:trHeight w:val="215"/>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Equity Awards</w:t>
            </w:r>
          </w:p>
        </w:tc>
        <w:tc>
          <w:tcPr>
            <w:tcW w:w="520" w:type="dxa"/>
            <w:vAlign w:val="bottom"/>
          </w:tcPr>
          <w:p>
            <w:pPr>
              <w:ind w:left="20"/>
              <w:spacing w:after="0"/>
              <w:rPr>
                <w:sz w:val="20"/>
                <w:szCs w:val="20"/>
                <w:color w:val="auto"/>
              </w:rPr>
            </w:pPr>
            <w:r>
              <w:rPr>
                <w:rFonts w:ascii="Arial" w:cs="Arial" w:eastAsia="Arial" w:hAnsi="Arial"/>
                <w:sz w:val="16"/>
                <w:szCs w:val="16"/>
                <w:color w:val="auto"/>
                <w:w w:val="98"/>
              </w:rPr>
              <w:t>28,100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28,087</w:t>
            </w:r>
          </w:p>
        </w:tc>
        <w:tc>
          <w:tcPr>
            <w:tcW w:w="80" w:type="dxa"/>
            <w:vAlign w:val="bottom"/>
          </w:tcPr>
          <w:p>
            <w:pPr>
              <w:spacing w:after="0"/>
              <w:rPr>
                <w:sz w:val="18"/>
                <w:szCs w:val="18"/>
                <w:color w:val="auto"/>
              </w:rPr>
            </w:pPr>
          </w:p>
        </w:tc>
        <w:tc>
          <w:tcPr>
            <w:tcW w:w="1480" w:type="dxa"/>
            <w:vAlign w:val="bottom"/>
          </w:tcPr>
          <w:p>
            <w:pPr>
              <w:ind w:left="1000"/>
              <w:spacing w:after="0"/>
              <w:rPr>
                <w:sz w:val="20"/>
                <w:szCs w:val="20"/>
                <w:color w:val="auto"/>
              </w:rPr>
            </w:pPr>
            <w:r>
              <w:rPr>
                <w:rFonts w:ascii="Arial" w:cs="Arial" w:eastAsia="Arial" w:hAnsi="Arial"/>
                <w:sz w:val="16"/>
                <w:szCs w:val="16"/>
                <w:color w:val="auto"/>
                <w:w w:val="93"/>
              </w:rPr>
              <w:t>28,100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REVENUE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Pr>
          <w:p>
            <w:pPr>
              <w:spacing w:after="0"/>
              <w:rPr>
                <w:sz w:val="19"/>
                <w:szCs w:val="19"/>
                <w:color w:val="auto"/>
              </w:rPr>
            </w:pPr>
          </w:p>
        </w:tc>
        <w:tc>
          <w:tcPr>
            <w:tcW w:w="316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r>
      <w:tr>
        <w:trPr>
          <w:trHeight w:val="23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28,978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71,480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57,547</w:t>
            </w:r>
          </w:p>
        </w:tc>
      </w:tr>
      <w:tr>
        <w:trPr>
          <w:trHeight w:val="225"/>
        </w:trPr>
        <w:tc>
          <w:tcPr>
            <w:tcW w:w="502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29,594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17,432</w:t>
            </w:r>
          </w:p>
        </w:tc>
      </w:tr>
      <w:tr>
        <w:trPr>
          <w:trHeight w:val="24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Asia-Pacific</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15,719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41,090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25,972</w:t>
            </w:r>
          </w:p>
        </w:tc>
      </w:tr>
      <w:tr>
        <w:trPr>
          <w:trHeight w:val="220"/>
        </w:trPr>
        <w:tc>
          <w:tcPr>
            <w:tcW w:w="5020" w:type="dxa"/>
            <w:vAlign w:val="bottom"/>
          </w:tcPr>
          <w:p>
            <w:pPr>
              <w:ind w:left="2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55,691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142,164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100,951</w:t>
            </w:r>
          </w:p>
        </w:tc>
      </w:tr>
      <w:tr>
        <w:trPr>
          <w:trHeight w:val="26"/>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88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27"/>
        </w:trPr>
        <w:tc>
          <w:tcPr>
            <w:tcW w:w="50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 revenue</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34,694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42,611</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Consumable revenue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16,868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43,317</w:t>
            </w:r>
          </w:p>
        </w:tc>
      </w:tr>
      <w:tr>
        <w:trPr>
          <w:trHeight w:val="234"/>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 revenue</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51,562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85,928</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 and other revenue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15,023</w:t>
            </w:r>
          </w:p>
        </w:tc>
      </w:tr>
      <w:tr>
        <w:trPr>
          <w:trHeight w:val="252"/>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55,691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2022 filed with the U.S. Securities and Exchange Commission, or the SEC, on February 28, 2023, or our Annual Report on Form 10-K.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Our Management’s Discussion and Analysis (MD&amp;A) is organized into the following sections:</w:t>
      </w:r>
    </w:p>
    <w:p>
      <w:pPr>
        <w:spacing w:after="0" w:line="117" w:lineRule="exact"/>
        <w:rPr>
          <w:sz w:val="20"/>
          <w:szCs w:val="20"/>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Overview and Outlook</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Off Balance Sheet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About PacBio</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products and technology under development stem from two highly differentiated core technologies focused on accuracy, quality and completeness which include our existing HiFi long-read sequencing solutions and our emerging Sequencing by Binding ("SBB") short-read sequencing solution. Our products address solutions across a broad set of research applications including human genomics, plant and animal sciences, infectious disease and microbiology, oncology, and other emerging applications.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focus is on providing our customers with advanced sequencing solutions with higher throughput and improved workflows that we believe will enable dramatic advancements in routine healthcare.</w:t>
      </w:r>
    </w:p>
    <w:p>
      <w:pPr>
        <w:spacing w:after="0" w:line="5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our commercial team consisted of approximately 208 employees, including 64 quota-carrying representatives, many with advanced degrees in biology and significant experience in the genomics industry.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2023 strategic objectives are to:</w:t>
      </w:r>
    </w:p>
    <w:p>
      <w:pPr>
        <w:spacing w:after="0" w:line="214" w:lineRule="exact"/>
        <w:rPr>
          <w:sz w:val="20"/>
          <w:szCs w:val="20"/>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Drive rapid adoption of Revio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by converting existing Sequel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II/IIe customers and attracting new PacBio customers</w:t>
      </w: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Demonstrate Onso’s extraordinary level of accuracy in the field and show how it can transform research in needle-in-haystack applications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Progress development of ultra-high-throughput and benchtop long-read sequencers and next generation SBB</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short-read sequencer</w:t>
      </w: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Leverage current infrastructure to drive toward positive cash flow</w:t>
      </w:r>
    </w:p>
    <w:p>
      <w:pPr>
        <w:spacing w:after="0" w:line="12" w:lineRule="exact"/>
        <w:rPr>
          <w:rFonts w:ascii="Arial" w:cs="Arial" w:eastAsia="Arial" w:hAnsi="Arial"/>
          <w:sz w:val="17"/>
          <w:szCs w:val="17"/>
          <w:color w:val="auto"/>
        </w:rPr>
      </w:pPr>
    </w:p>
    <w:p>
      <w:pPr>
        <w:ind w:left="620" w:hanging="304"/>
        <w:spacing w:after="0" w:line="256"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Expand partnerships across ecosystem and workflow to drive customer adoption of SBB short-read sequencing and HiFi long-read sequencing</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continue to leverage our commercial organization and significantly improve our products' efficiency and usability to seek to reach a broader customer base. We believe the commercial investments we have recently made will further help drive growth in our business.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To increase the adoption of HiFi sequencing, we have various development programs in progress to expand our product portfolio, increase the throughput, and improve the usability of our existing sequencing solutions. We continue to focus on programs to accelerate new platform launches in the near to mid-term as well as increase applications for our technologies. In October 2022, we announced Revio, our new HiFi long-read sequencing system. We began taking orders in the fourth quarter of 2022 and commenced commercial Revio shipments in the first quarter of 2023. To address the oncology research markets with a highly differentiated alternative to existing third-party short-read sequencing products already on the market, we also progressed development of and, subsequent to the quarter ended June 30, 2023, commercialized Onso</w:t>
      </w:r>
      <w:r>
        <w:rPr>
          <w:rFonts w:ascii="Arial" w:cs="Arial" w:eastAsia="Arial" w:hAnsi="Arial"/>
          <w:sz w:val="22"/>
          <w:szCs w:val="22"/>
          <w:color w:val="auto"/>
          <w:vertAlign w:val="superscript"/>
        </w:rPr>
        <w:t>TM</w:t>
      </w:r>
      <w:r>
        <w:rPr>
          <w:rFonts w:ascii="Arial" w:cs="Arial" w:eastAsia="Arial" w:hAnsi="Arial"/>
          <w:sz w:val="17"/>
          <w:szCs w:val="17"/>
          <w:color w:val="auto"/>
        </w:rPr>
        <w:t>, our SBB short-read platform. We began taking orders in the first quarter of 2023, and in August 2023, we commenced customer shipments of the Onso short-read sequencing instrument.</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continue to believe that with the capabilities of our HiFi chemistry and SMRT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 we can be a market leader in whole-genome clinical sequencing. Leading institutions have adopted our products to study rare and inherited disease. We believe the market opportunity for clinical sequencing is significant and could drive substantial revenue growth for us. We plan to continue to pursue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nine months ended September 30, 2023 consolidated financial results include the following:</w:t>
      </w:r>
    </w:p>
    <w:p>
      <w:pPr>
        <w:spacing w:after="0" w:line="247" w:lineRule="exact"/>
        <w:rPr>
          <w:sz w:val="20"/>
          <w:szCs w:val="20"/>
          <w:color w:val="auto"/>
        </w:rPr>
      </w:pPr>
    </w:p>
    <w:p>
      <w:pPr>
        <w:jc w:val="both"/>
        <w:ind w:left="620" w:hanging="304"/>
        <w:spacing w:after="0" w:line="251" w:lineRule="auto"/>
        <w:tabs>
          <w:tab w:leader="none" w:pos="61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increased $41.2 million, or 41%, to $142.2 million for the nine months ended September 30, 2023, as compared to $101.0 million for the nine months ended September 30, 2022. Revenue was comprised of $85.3 million in instrument revenue, $44.6 million in consumables revenue and $12.3 million in service and other revenue for the nine months ended September 30, 2023. The increase was primarily driven by the launch of Revio in the first quarter of 2023, which is sold at a higher average selling price than our previous Sequel II and IIe platforms. We ended the quarter with an installed base of 129 Revio systems.</w:t>
      </w:r>
    </w:p>
    <w:p>
      <w:pPr>
        <w:spacing w:after="0" w:line="213" w:lineRule="exact"/>
        <w:rPr>
          <w:rFonts w:ascii="Arial" w:cs="Arial" w:eastAsia="Arial" w:hAnsi="Arial"/>
          <w:sz w:val="17"/>
          <w:szCs w:val="17"/>
          <w:color w:val="auto"/>
        </w:rPr>
      </w:pPr>
    </w:p>
    <w:p>
      <w:pPr>
        <w:jc w:val="both"/>
        <w:ind w:left="620" w:hanging="304"/>
        <w:spacing w:after="0" w:line="247" w:lineRule="auto"/>
        <w:tabs>
          <w:tab w:leader="none" w:pos="615"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profit as a percentage of revenue (gross margin) was 30% for the nine months ended September 30, 2023, compared to 43% for the nine months ended September 30, 2022. Gross margin declined due in part to instrument mix, as Revio instruments sold during the nine months ended September 30, 2023 had a lower margin primarily due to loyalty discounts provided and higher initial manufacturing costs, including warranty costs, as well as adjustments of approximately $3.5 million recognized in the first quarter of 2023 primarily relating to excess consumables inventory resulting from a faster-than-expected decline in demand of Sequel II/IIe consumables due to the product transition to Revio. Our gross margin in future periods will depend on several factors, including new product transitions and offerings, strategic product pricing; product mix as a result of higher-margin consumables; supply chain constraints and inflation increasing the costs of raw materials; manufacturing capacity and production volumes impacting the cost of inventory; warranty costs; freight costs; and excess or obsolete inventories.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left="620" w:hanging="304"/>
        <w:spacing w:after="0" w:line="252" w:lineRule="auto"/>
        <w:tabs>
          <w:tab w:leader="none" w:pos="615"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from operations increased $26.8 million, or 12%, to $246.9 million for the nine months ended September 30, 2023, as compared to $220.1 million for the nine months ended September 30, 2022, driven primarily by an increase of $26.1 million of operating expenses, including a $8.0 million increase in sales, general and administrative expenses, a $9.0 million increase in merger-related expenses, a $0.7 million increase in amortization of acquired intangible assets, and a $16.2 million increase in the change in the fair value of the contingent consideration, partially offset by a $7.8 million decrease in research and development expenses, and a decline in gross profit of $0.7 million.</w:t>
      </w: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ind w:left="620" w:hanging="304"/>
        <w:spacing w:after="0" w:line="270" w:lineRule="auto"/>
        <w:tabs>
          <w:tab w:leader="none" w:pos="615"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cash equivalents, and short-term investments were $767.8 million at September 30, 2023, which represents a 1% decrease compared to the balance at December 31, 2022.</w:t>
      </w:r>
    </w:p>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Macroeconomic dynamics including rising inflation, global supply chain constraints, volatile capital markets, competition, and fluctuating exchange rates have adversely impacted our customers and lengthened customer sales cycles. These factors could continue to impact our revenues and results of operations throughout the remainder of 2023; however, the size and duration of these impacts is uncertain, and as a result, we cannot reasonably estimate the future impact to our operations and financial results.</w:t>
      </w:r>
    </w:p>
    <w:p>
      <w:pPr>
        <w:spacing w:after="0" w:line="197"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 of the possible impact of the COVID-19 pandemic and other macroeconomic factors on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Apton Merger Agreement</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 2023, we entered into an agreement and plan of reorganization (the “Merger Agreement”), pursuant to which we acquired Apton Biosystems, Inc., a privately held genomics company (“Apton”). The transaction closed on August 2, 2023.</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the Merger Agreement, upon the closing of the acquisition, we, among other things, issued to holders of Apton’s outstanding equity interests approximately 6.3 million shares of our common stock. Additionally, subject to the terms and conditions of the Merger Agreement and the achievement of $50.0 million in revenue associated with a high throughput sequencer using Apton's technology, former holders of Apton's outstanding equity interests will also be entitled to receive $25.0 million, which we may elect to pay in cash, shares of our common stock or a combination of cash and shares of our common stock. At this time, the number of shares, if any, to be issued in connection with the achievement of the specified milestone is not known, and will be calculated based on the daily volume-weighted average price of shares of our common stock for the twenty trading days ending on and including the fifth trading day immediately prior to the occurrence of the specified milestone. Under the terms of the Merger Agreement, we may pay cash in lieu of common stock to ensure that the issuance of common stock as contemplated by the Merger Agreement does not exceed 19.9% of the shares of our common stock then outstanding.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2023 and 2022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14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4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r>
      <w:tr>
        <w:trPr>
          <w:trHeight w:val="212"/>
        </w:trPr>
        <w:tc>
          <w:tcPr>
            <w:tcW w:w="4940" w:type="dxa"/>
            <w:vAlign w:val="bottom"/>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51,562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27,509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24,053</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Service and other revenue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4,802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(14) %</w:t>
            </w:r>
          </w:p>
        </w:tc>
      </w:tr>
      <w:tr>
        <w:trPr>
          <w:trHeight w:val="234"/>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55,691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32,311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23,380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15,752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17,983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Cost of service and other revenue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1,042</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35 %</w:t>
            </w:r>
          </w:p>
        </w:tc>
      </w:tr>
      <w:tr>
        <w:trPr>
          <w:trHeight w:val="227"/>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37,789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18,764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19,025</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27"/>
        </w:trPr>
        <w:tc>
          <w:tcPr>
            <w:tcW w:w="494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4,355</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32 %</w:t>
            </w:r>
          </w:p>
        </w:tc>
      </w:tr>
      <w:tr>
        <w:trPr>
          <w:trHeight w:val="221"/>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5"/>
        </w:trPr>
        <w:tc>
          <w:tcPr>
            <w:tcW w:w="494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47,514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47,092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422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Sales, general and administrative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43,431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36,795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940" w:type="dxa"/>
            <w:vAlign w:val="bottom"/>
          </w:tcPr>
          <w:p>
            <w:pPr>
              <w:ind w:left="420"/>
              <w:spacing w:after="0"/>
              <w:rPr>
                <w:sz w:val="20"/>
                <w:szCs w:val="20"/>
                <w:color w:val="auto"/>
              </w:rPr>
            </w:pPr>
            <w:r>
              <w:rPr>
                <w:rFonts w:ascii="Arial" w:cs="Arial" w:eastAsia="Arial" w:hAnsi="Arial"/>
                <w:sz w:val="16"/>
                <w:szCs w:val="16"/>
                <w:color w:val="auto"/>
              </w:rPr>
              <w:t>Merger-related expenses</w:t>
            </w:r>
          </w:p>
        </w:tc>
        <w:tc>
          <w:tcPr>
            <w:tcW w:w="14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8,979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8,979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(106) %</w:t>
            </w:r>
          </w:p>
        </w:tc>
      </w:tr>
      <w:tr>
        <w:trPr>
          <w:trHeight w:val="227"/>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100,394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88,167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12,227</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25"/>
        </w:trPr>
        <w:tc>
          <w:tcPr>
            <w:tcW w:w="49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(82,492)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(74,620)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(7,872)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7,192</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548 %</w:t>
            </w:r>
          </w:p>
        </w:tc>
      </w:tr>
      <w:tr>
        <w:trPr>
          <w:trHeight w:val="23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27"/>
        </w:trPr>
        <w:tc>
          <w:tcPr>
            <w:tcW w:w="494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(10,706)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5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(66,869)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(76,971)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10,102</w:t>
            </w:r>
          </w:p>
        </w:tc>
        <w:tc>
          <w:tcPr>
            <w:tcW w:w="17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increased $23.4 million, or 72%, to $55.7 million for the three months ended September 30, 2023, as compared to $32.3 million for the three months ended September 30, 2022.</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Instrument revenue increased $23.3 million, or 203%, to $34.7 million for the three months ended September 30, 2023, as compared to $11.4 million for the three months ended September 30, 2022, primarily due to the sale of 52 Revio systems during the three months ended September 30, 2023 compared to 34 Sequel IIe systems during the three months ended September 30, 2022, as well as Revio's higher average selling price as compared to the Sequel IIe platform. We continue to expect the installed base of Revio instruments to grow, reflecting customer demand for the new product. As a result of this product launch, we anticipate installed base and sales volumes of Sequel II/IIe to continue to decline compared to prior periods. We commenced the shipment of Onso products during the three months ended September 30, 2023 and expect the installed base to continue to grow.</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Consumables revenue increased $0.8 million, or 5%, to $16.9 million for the three months ended September 30, 2023, as compared to $16.1 million for the three months ended September 30, 2022. The increase in consumable sales was primarily due to higher Revio consumables sales attributable to the growth in the Revio instrument installed base, partially offset by a decline in Sequel II and IIe consumables as customers transition to the new platform. We expect Revio consumable sales to increase as the installed base grows. While we expect to see a decline in Sequel II and IIe consumable sales resulting from the product transition, there is uncertainty as to the rate at which these sales will decline.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Service and other revenue decreased $0.7 million, or 14%, to $4.1 million for the three months ended September 30, 2023, as compared to $4.8 million for the three months ended September 30, 2022, primarily due to the change in 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Service revenue also declined as customers transition to the Revio, which includes a first-year warranty, and opt not to renew their Sequel II/IIe plans. We expect service revenue to continue to decline during the remainder of the year as we anticipate customers transitioning their service contracts to Revio following the standard warranty period, with fewer customers renewing Sequel and Sequel II/IIe service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Cost of product revenue increased $18.0 million, or 114%, for the three months ended September 30, 2023, compared to the three months ended September 30, 2022. The cost of product revenue increased primarily due to an increase in system placements and higher overall product costs on the Revio platform, including warranty costs, as compared to the Sequel II and IIe platforms. Cost of revenue included share-based compensation expense of $1.1 million and $0.9 million during the three months ended September 30, 2023 and 2022, respectively.</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Gross profit increased $4.4 million, or 32%, to $ 17.9 million for the three months ended September 30, 2023, compared to $ 13.5 million for the three months ended September 30, 2022. Gross margin was 32% for the three months ended September 30, 2023, compared to gross margin of 42% for the three months ended September 30, 2022. The decrease in gross margin was due in part to instrument mix, as Revio instruments sold during the quarter had higher initial manufacturing and warranty costs, in addition to charges for scrap inventory. Gross margin could fluctuate depending on the pace at which Sequel II/IIe consumable revenue declines, Revio consumable revenue ramps, manufacturing efficiencies and warranty costs improve, as well as fluctuations in average selling prices.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Research and development expense increased by $0.4 million, or 1%, to $47.5 million for the three months ended September 30, 2023, compared to $ 47.1 million for the three months ended September 30, 2022. The increase was primarily driven by an increase in personnel expenses, in part due to the Apton acquisition, offset by the transition of Revio from development to commercialization. Research and development expense included share-based compensation expense of $6.2 million and $7.5 million during the three months ended September 30, 2023 and 2022,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Sales, general and administrative expense increased by $6.6 million, or 18%, to $43.4 million for the three months ended September 30, 2023, compared to $36.8 million for the three months ended September 30, 2022. The increase was primarily driven by an increase in sales and marketing related personnel expenses in connection with the Revio and Onso product launches and as we continue to grow our commercial footprint. Sales, general, and administrative expense included share-based compensation expense of $12.4 million and $10.5 million during the three months ended September 30, 2023 and 2022,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Merger-Related Expenses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Merger-related expenses of $9.0 million during the three months ended September 30, 2023 consist of $4.9 million of transaction costs arising from the acquisition of Apton, $2.8 million of compensation expense resulting from the liquidity event bonus plan in connection with the Apton acquisition, and $1.3 million of share-based compensation expense resulting from the acceleration of certain equity awards in connection with the Apton acquisition. We recognized $1.3 million of share-based compensation expense for the acceleration that was not attributable to pre-combination services.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of acquired intangible assets of $0.7 million during the three months ended September 30, 2023 consists of amortization expense attributable to acquired intangible assets that are not directly related to sales generating activities.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Change in fair value of contingent consideration of $0.3 million during the three months ended September 30, 2023, represents the final remeasurement impact of the contingent consideration liability that became due upon the achievement of the milestone resulting from the Omniome acquisition, defined as the first commercial shipment to a customer of both an instrument and related consumables, utilizing SBB technology. As a result of the milestone achievement in September 2023, former Omniome securityholders were entitled to receive as milestone consideration, among other things, an aggregate of approximately $100.9 million in cash and approximately 9.0 million shares of our common stock.</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for the three months ended September 30, 2023, was $3.6 million compared to $3.7 million for the three months ended September 30, 2022 and was primarily comprised of interest on the convertible senior notes.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for the three months ended September 30, 2023, was $8.5 million compared to $1.3 million for the three months ended September 30, 2022. The $7.2 million increase was primarily due to investment income due to higher yields on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 deferred income tax benefit of $10.7 million for the three months ended September 30, 2023, is related to the release of the valuation allowance for deferred tax assets due to the recognition of deferred tax liabilities in connection with the Apton acquisition.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Loss for the three months ended September 30,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2023 and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160" w:type="dxa"/>
            <w:vAlign w:val="bottom"/>
          </w:tcPr>
          <w:p>
            <w:pPr>
              <w:spacing w:after="0"/>
              <w:rPr>
                <w:sz w:val="18"/>
                <w:szCs w:val="18"/>
                <w:color w:val="auto"/>
              </w:rPr>
            </w:pPr>
          </w:p>
        </w:tc>
        <w:tc>
          <w:tcPr>
            <w:tcW w:w="296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4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r>
      <w:tr>
        <w:trPr>
          <w:trHeight w:val="212"/>
        </w:trPr>
        <w:tc>
          <w:tcPr>
            <w:tcW w:w="4940" w:type="dxa"/>
            <w:vAlign w:val="bottom"/>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43,943</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Service and other revenue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(18) %</w:t>
            </w:r>
          </w:p>
        </w:tc>
      </w:tr>
      <w:tr>
        <w:trPr>
          <w:trHeight w:val="234"/>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142,164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41,213</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Cost of service and other revenue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6 %</w:t>
            </w:r>
          </w:p>
        </w:tc>
      </w:tr>
      <w:tr>
        <w:trPr>
          <w:trHeight w:val="227"/>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41,899</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27"/>
        </w:trPr>
        <w:tc>
          <w:tcPr>
            <w:tcW w:w="494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(2 %)</w:t>
            </w:r>
          </w:p>
        </w:tc>
      </w:tr>
      <w:tr>
        <w:trPr>
          <w:trHeight w:val="221"/>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5"/>
        </w:trPr>
        <w:tc>
          <w:tcPr>
            <w:tcW w:w="494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(7,751)</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 %</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Sales, general and administrative</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940" w:type="dxa"/>
            <w:vAlign w:val="bottom"/>
          </w:tcPr>
          <w:p>
            <w:pPr>
              <w:ind w:left="420"/>
              <w:spacing w:after="0"/>
              <w:rPr>
                <w:sz w:val="20"/>
                <w:szCs w:val="20"/>
                <w:color w:val="auto"/>
              </w:rPr>
            </w:pPr>
            <w:r>
              <w:rPr>
                <w:rFonts w:ascii="Arial" w:cs="Arial" w:eastAsia="Arial" w:hAnsi="Arial"/>
                <w:sz w:val="16"/>
                <w:szCs w:val="16"/>
                <w:color w:val="auto"/>
              </w:rPr>
              <w:t>Merger-related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8,979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16,181</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(729) %</w:t>
            </w:r>
          </w:p>
        </w:tc>
      </w:tr>
      <w:tr>
        <w:trPr>
          <w:trHeight w:val="227"/>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26,121</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25"/>
        </w:trPr>
        <w:tc>
          <w:tcPr>
            <w:tcW w:w="49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(26,807)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940" w:type="dxa"/>
            <w:vAlign w:val="bottom"/>
          </w:tcPr>
          <w:p>
            <w:pPr>
              <w:ind w:left="4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 %</w:t>
            </w:r>
          </w:p>
        </w:tc>
      </w:tr>
      <w:tr>
        <w:trPr>
          <w:trHeight w:val="237"/>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23,011</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1784 %</w:t>
            </w:r>
          </w:p>
        </w:tc>
      </w:tr>
      <w:tr>
        <w:trPr>
          <w:trHeight w:val="225"/>
        </w:trPr>
        <w:tc>
          <w:tcPr>
            <w:tcW w:w="4940" w:type="dxa"/>
            <w:vAlign w:val="bottom"/>
          </w:tcPr>
          <w:p>
            <w:pPr>
              <w:ind w:left="20"/>
              <w:spacing w:after="0"/>
              <w:rPr>
                <w:sz w:val="20"/>
                <w:szCs w:val="20"/>
                <w:color w:val="auto"/>
              </w:rPr>
            </w:pPr>
            <w:r>
              <w:rPr>
                <w:rFonts w:ascii="Arial" w:cs="Arial" w:eastAsia="Arial" w:hAnsi="Arial"/>
                <w:sz w:val="16"/>
                <w:szCs w:val="16"/>
                <w:color w:val="auto"/>
              </w:rPr>
              <w:t>Loss before benefit from income taxes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(5,559)</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2 %</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4"/>
        </w:trPr>
        <w:tc>
          <w:tcPr>
            <w:tcW w:w="4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(224,717)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(229,864)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5,147</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increased $41.2 million, or 41%, to $142.2 million for the nine months ended September 30, 2023, as compared to $101.0 million for the nine months ended September 30, 2022.</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Instrument revenue increased $42.7 million, or 100%, to $85.3 million for the nine months ended September 30, 2023, as compared to $42.6 million for the nine months ended September 30, 2022, primarily due to the sale of 129 Revio systems that have a higher average selling price as compared to the Sequel II/IIe platform. We expect the installed base of Revio instruments to grow, reflecting customer demand for the new product. As a result of this new product launch, we anticipate installed base and sales volumes of Sequel II/IIe to continue to decline compared to recent quarters. We commenced the shipment of Onso products during the nine months ended September 30, 2023 and expect the installed base to continue to grow.</w:t>
      </w:r>
    </w:p>
    <w:p>
      <w:pPr>
        <w:spacing w:after="0" w:line="2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Consumables revenue increased $1.3 million, or 3%, to $44.6 million for the nine months ended September 30, 2023, as compared to $43.3 million for the nine months ended September 30, 2022. The increase in consumable sales was primarily due to higher Revio consumables sales attributable to the growth in the Revio instrument installed base, partially offset by a decline in Sequel consumables as customers transition to the new platform.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Service and other revenue decreased $2.7 million, or 18%, to $12.3 million for the nine months ended September 30, 2023, as compared to $15.0 million for the nine months ended September 30, 2022, primarily due to the change in 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Service revenue also declined as customers transition to the Revio, which includes a first-year warranty, and opt not to renew their Sequel II/IIe plans. We expect service revenue to continue to decline during the remainder of the year as we anticipate customers transitioning their service contracts to Revio following the standard warranty period, with fewer customers renewing Sequel and Sequel II/IIe service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Cost of product revenue increased $41.3 million, or 89%, for the nine months ended September 30, 2023, compared to the nine months ended September 30, 2022. The cost of product revenue increased primarily due to an increase in system placements and higher overall product costs on the Revio platform, including warranty costs, as well as adjustments of approximately $3.5 million recognized during the first quarter of 2023 primarily relating to excess consumables inventory resulting from a faster-than-expected decline in demand of Sequel II/IIe consumables due to the product transition to Revio. Cost of revenue included share-based compensation expense of $4.3 million and $3.7 million during the nine months ended September 30, 2023 and 2022, respectively.</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Gross profit decreased $0.7 million, or 2%, to $43.2 million for the nine months ended September 30, 2023, compared to $43.9 million for the nine months ended September 30, 2022. Gross margin was 30% for the nine months ended September 30, 2023, compared to gross margin of 43% for the nine months ended September 30, 2022. The decrease in gross margin was due in part to instrument mix, as Revio instruments sold during the period had a lower margin primarily due to loyalty discounts provided and higher initial manufacturing costs, including warranty costs, in addition to charges for scrap inventory, as well as adjustments of approximately $3.5 million recognized during the first quarter of 2023 primarily relating to excess consumables inventory resulting from a faster-than-expected decline in demand of Sequel II/IIe consumables due to the product transition to Revio. Gross margin could fluctuate depending on the pace at which Sequel II/IIe consumable revenue declines, Revio consumable revenue ramps, manufacturing efficiencies and warranty costs improve, as well as fluctuations in average selling prices.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2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Research and development expense decreased by $7.8 million, or 5%, to $142.6 million for the nine months ended September 30, 2023, compared to $150.4 million for the nine months ended September 30, 2022. The decrease was primarily driven by the transition of Revio from development to commercialization. Research and development expense included share-based compensation expense of $18.3 million and $24.2 million during the nine months ended September 30, 2023 and 2022,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Sales, general and administrative expense increased by $8.0 million, or 7%, to $123.8 million for the nine months ended September 30, 2023, compared to $115.9 million for the nine months ended September 30, 2022. The increase in sales, general, and administrative expense was primarily driven by an increase in marketing expenses in connection with product launches and increased sales and marketing headcount as we continue to grow our commercial footprint. Sales, general, and administrative expense included share-based compensation expense of $33.0 million and $32.7 million during the nine months ended September 30, 2023 and September 30, 2022,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Merger-Related Expenses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Merger-related expenses of $9.0 million during the nine months ended September 30, 2023 consist of $4.9 million of transaction costs arising from the acquisition of Apton, $ 2.8 million of compensation expense resulting from the liquidity event bonus plan in connection with the Apton acquisition, and $1.3 million of share-based compensation expense resulting from the acceleration of certain equity awards in connection with the Apton acquisition. We recognized $1.3 million of share-based compensation expense for the acceleration that was not attributable to pre-combination services.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of acquired intangible assets of $0.7 million during the nine months ended September 30, 2023 consists of amortization expense attributable to acquired intangible assets that are not directly related to sales generating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Change in fair value of contingent consideration of $14.0 million during the nine months ended September 30, 2023, represents the remeasurement impact of the contingent consideration liability that was due upon the achievement of a milestone, defined as the first commercial shipment to a customer of both an instrument and related consumables, utilizing SBB technology. The increase in contingent consideration liability was primarily due to the passage of time and changes in the discount rates and probabilities of milestone achievement. As a result of the milestone achievement in September 2023, former Omniome securityholders were entitled to receive as milestone consideration, among other things, an aggregate of approximately $100.9 million in cash and approximately 9.0 million shares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Extinguishment of Debt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Loss on extinguishment of debt of $2.0 million during the nine months ended September 30, 2023, represents the loss resulting from the difference in the fair value of the 2030 Notes and the principal, in addition to the write-off of the unamortized debt issuance costs on the portion of the 2028 Notes that were exchanged as part of the debt modification during the nine months ended September 30, 2023.</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for the nine months ended September 30, 2023, was $10.8 million compared to $11.0 million for the nine months ended September 30, 2022 and was primarily comprised of interest on the convertible senior notes.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for the nine months ended September 30, 2023, was $24.3 million compared to $1.3 million for the nine months ended September 30, 2022. The $23.0 million increase was primarily due to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 deferred income tax benefit of $10.7 million for the nine months ended September 30, 2023, is related to the release of the valuation allowance for deferred tax assets due to the recognition of deferred tax liabilities in connection with the Apton acquisition.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Loss for the nine months ended September 30, 2023.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2023, we had cash, cash equivalents and investments of $ 767.8 million compared to $772.3 million as of December 31, 2022. We believe that our existing cash, cash equivalents and investments will be sufficient to fund our projected operating requirements beyond the next 12 months from the date of filing of this Quarterly Report on Form 10-Q for the quarter ended September 30, 2023.</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25"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 xml:space="preserve">In connection with the acquisition of Omniome in the third quarter of 2021, we entered into an arrangement where we are obligated to pay approximately $200.0 million in cash and equity dependent upon the achievement of a milestone event upon the first commercial shipment of products developed from our acquired sequencing solution. See </w:t>
      </w:r>
      <w:r>
        <w:rPr>
          <w:rFonts w:ascii="Arial" w:cs="Arial" w:eastAsia="Arial" w:hAnsi="Arial"/>
          <w:sz w:val="17"/>
          <w:szCs w:val="17"/>
          <w:i w:val="1"/>
          <w:iCs w:val="1"/>
          <w:color w:val="auto"/>
        </w:rPr>
        <w:t>Note 2 – Business Acquisitions,</w:t>
      </w:r>
      <w:r>
        <w:rPr>
          <w:rFonts w:ascii="Arial" w:cs="Arial" w:eastAsia="Arial" w:hAnsi="Arial"/>
          <w:sz w:val="17"/>
          <w:szCs w:val="17"/>
          <w:color w:val="auto"/>
        </w:rPr>
        <w:t xml:space="preserve"> in Part II, Item 8 of the Annual Report on Form</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10-K for the year ended December 31, 2022 for further information. In August 2023, we commenced customer shipments of the Onso short-read sequencing instrument. The milestone payment associated with PacBio’s acquisition of Omniome was triggered in September 2023 once both the Onso instrument and related consumables had been shipped to one customer. Consequently, we paid the former Omniome securityholders milestone consideration of an aggregate of approximately $100.9 million in cash and approximately 9.0 million shares of our common stock in October 2023.</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5-year anniversary of the closing date of the acquisition, which we may elect to pay in cash, shares of our common stock or a combination of cash and shares of our common stock. See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in Part I, Item 1 of this Quarterly Report on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31"/>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r>
      <w:tr>
        <w:trPr>
          <w:trHeight w:val="231"/>
        </w:trPr>
        <w:tc>
          <w:tcPr>
            <w:tcW w:w="8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used in operating activities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(201,613)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(202,645)</w:t>
            </w:r>
          </w:p>
        </w:tc>
      </w:tr>
      <w:tr>
        <w:trPr>
          <w:trHeight w:val="225"/>
        </w:trPr>
        <w:tc>
          <w:tcPr>
            <w:tcW w:w="8160" w:type="dxa"/>
            <w:vAlign w:val="bottom"/>
          </w:tcPr>
          <w:p>
            <w:pPr>
              <w:ind w:left="100"/>
              <w:spacing w:after="0"/>
              <w:rPr>
                <w:sz w:val="20"/>
                <w:szCs w:val="20"/>
                <w:color w:val="auto"/>
              </w:rPr>
            </w:pPr>
            <w:r>
              <w:rPr>
                <w:rFonts w:ascii="Arial" w:cs="Arial" w:eastAsia="Arial" w:hAnsi="Arial"/>
                <w:sz w:val="16"/>
                <w:szCs w:val="16"/>
                <w:color w:val="auto"/>
              </w:rPr>
              <w:t>Cash provided by investing activities</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71,179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35,680</w:t>
            </w:r>
          </w:p>
        </w:tc>
      </w:tr>
      <w:tr>
        <w:trPr>
          <w:trHeight w:val="237"/>
        </w:trPr>
        <w:tc>
          <w:tcPr>
            <w:tcW w:w="8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provided by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190,493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8,803</w:t>
            </w:r>
          </w:p>
        </w:tc>
      </w:tr>
      <w:tr>
        <w:trPr>
          <w:trHeight w:val="234"/>
        </w:trPr>
        <w:tc>
          <w:tcPr>
            <w:tcW w:w="8160" w:type="dxa"/>
            <w:vAlign w:val="bottom"/>
          </w:tcPr>
          <w:p>
            <w:pPr>
              <w:ind w:left="1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60,059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(158,162)</w:t>
            </w: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Cash used in operating activities for the nine months ended September 30, 2023 of $201.6 million was due primarily to a $224.7 million net loss that included non-cash items such as share-based compensation of $55.5 million, change in estimated fair value of contingent consideration of $14.0 million, depreciation expense of $8.5 million, amortization of right-of-use assets of $4.9 million, inventory provisions of $4.7 million, merger-related compensation expense of $3.4 million, and loss on extinguishment of debt of $2.0 million. This was offset by deferred income taxes of $10.7 million, the accretion of discount and amortization of premium on marketable securities, net of $10.1 million, and $51.2 million in net changes to operating assets and liabilities. Cash flow impact from changes in net operating assets and liabilities was primarily driven by increases in inventory, accounts receivable and prepaid and other assets, as well as decreases in operating lease liabilities, deferred revenue, other liabilities and the contingent consideration liability. These uses of cash were partially offset by an increase in accrued expenses and accounts payable.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Cash used in operating activities for the nine months ended September 30, 2022, of $202.6 million was due primarily to a $229.9 million net loss that included non-cash items such as share-based compensation of $60.7 million, depreciation expense of $6.9 million, amortization of right-of-use assets of $5.2 million, inventory provisions of $2.7 million, amortization of premium and accretion of discount on marketable securities, net of $1.1 million, partially offset by a $2.2 million decrease in liability due to the change in estimated fair value of contingent consideration, and a net cash outflow due to $48.3 million in net changes to operating assets and liabilities. Cash flow impact from changes in net operating assets and liabilities was primarily driven by increases in inventory and prepaid and other assets, as well as decreases in accrued expenses, operating lease liabilities, deferred revenue and other liabilities. These uses of cash were partially offset by a decrease in accounts receivable and an increase in accounts payable.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investing activities consist primarily of capital expenditures and investment purchases, sales, and maturities. Cash provided by investing activities for the nine months ended September 30, 2023, was due to $631.8 million of maturities and sales of investments offset by $553.7 million in purchases of investments, $6.8 million in purchases of property and equipment, and $0.1 million of cash paid for the Apton acquisition, net of cash acquired.</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investing activities consist primarily of capital expenditures and investment purchases, sales and maturities. Cash provided by investing activities for the nine months ended September 30, 2022, was due to $ 355.4 million of maturities and sales of investments offset by $307.9 million in purchases of investments, and $11.8 million in purchases of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Cash provided by financing activities during the nine months ended September 30, 2023 primarily resulted from $189.2 million in net proceeds related to the issuance of common stock from the underwritten public equity offering and $14.4 million from the issuance of common stock through our equity compensation plans partially offset by $7.3 million from the payment of debt issuance costs and $4.4 million from the payment of contingent consideration.</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financing activities during the nine months ended September 30, 2022 primarily resulted from proceeds of $10.0 million from the issuance of common stock through our equity compensation plans partially offset by $1.2 million of principal payoff of notes.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 Item 1 of this Quarterly Report on Form 10-Q for information regarding applicable recent accounting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we did not have any off-balance sheet arrangements.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7"/>
          <w:szCs w:val="17"/>
          <w:i w:val="1"/>
          <w:iCs w:val="1"/>
          <w:u w:val="single" w:color="auto"/>
          <w:color w:val="0000FF"/>
        </w:rPr>
        <w:t>Note 6. Commitments and Contingencies</w:t>
      </w:r>
      <w:r>
        <w:rPr>
          <w:rFonts w:ascii="Arial" w:cs="Arial" w:eastAsia="Arial" w:hAnsi="Arial"/>
          <w:sz w:val="17"/>
          <w:szCs w:val="17"/>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September 30, 2023.</w:t>
      </w:r>
    </w:p>
    <w:p>
      <w:pPr>
        <w:spacing w:after="0" w:line="169" w:lineRule="exact"/>
        <w:rPr>
          <w:sz w:val="20"/>
          <w:szCs w:val="20"/>
          <w:color w:val="auto"/>
        </w:rPr>
      </w:pPr>
    </w:p>
    <w:p>
      <w:pPr>
        <w:ind w:right="5600"/>
        <w:spacing w:after="0" w:line="429" w:lineRule="auto"/>
        <w:rPr>
          <w:sz w:val="20"/>
          <w:szCs w:val="20"/>
          <w:color w:val="auto"/>
        </w:rPr>
      </w:pPr>
      <w:r>
        <w:rPr>
          <w:rFonts w:ascii="Arial" w:cs="Arial" w:eastAsia="Arial" w:hAnsi="Arial"/>
          <w:sz w:val="17"/>
          <w:szCs w:val="17"/>
          <w:b w:val="1"/>
          <w:bCs w:val="1"/>
          <w:color w:val="auto"/>
        </w:rPr>
        <w:t>Item 3. Quantitative and Qualitative Disclosures About Market Risk Interest Rate and Market Risk</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The 2030 Notes were recorded at fair value as of the closing date of the Exchange Transaction, less debt issuance costs, on our Condensed Consolidated Balance Sheets. We carry our remaining 2028 Notes at the principal amount, less unamortized debt issuance costs, on our Condensed Consolidated Balance Sheets. Because the 2030 Notes and 2028 Notes have fixed annual interest rates of 1.375% and 1.50%, respectively,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 5. Convertible Senior Notes</w:t>
      </w:r>
      <w:r>
        <w:rPr>
          <w:rFonts w:ascii="Arial" w:cs="Arial" w:eastAsia="Arial" w:hAnsi="Arial"/>
          <w:sz w:val="17"/>
          <w:szCs w:val="17"/>
          <w:color w:val="auto"/>
        </w:rPr>
        <w:t xml:space="preserve"> in Part I, Item 1 of this Quarterly Report on Form 10-Q for additional information.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2023, we invested in cash equivalents, U.S. government and agency securities, U.S. Treasury securities, and corporate debt securities which were designated as cash equivalents and available-for-sale investments. Our cash equivalents and available-for-sale securities as of September 30, 2023 was $768 million.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September 30, 2023 would have affected the fair value of our investment portfolio by approximately $2.4 million.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other material changes in market risk from the information provided in our Annual Report on Form 10-K for the fiscal year ended December 31,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September 30, 2023 that materially affected, or is reasonably likely to materially affect, our internal control over financial reporting. There were no material changes in our internal control over financial reporting during the fiscal quarter ended September 30, 2023, that have materially affected, or were reasonably likely to materially affect, our internal control over financial reporting.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District Court Proceedings</w:t>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 which has scheduled a hearing for December 7,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We plan to vigorously defend against the remaining claims.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December 2022, Take2 Technologies, Ltd. ("Take2") and the Chinese University of Hong Kong filed a complaint in the U.S. District Court for Delaware against us alleging infringement of U.S. Patent No. 11,091,794 (the “’794 Patent”) (C.A. No. 22- cv-01595).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We also filed a motion to transfer the case to the Northern District of California which was granted on August 2, 2023 and the case was transferred on August 16, 2023 (C.A. No. 5:23-cv-04166). The hearing on the motion to dismiss is scheduled for December 13, 2023.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 expected to issue an order on the motion in due course. We filed a petition for inter parties review at the USTPO (IPR2024-00028) challenging the validity of all claims of the ’794 patent on October 17, 2023. A hearing was held on August 9, 2023. We believe the infringement allegations in the complaint lack merit and we intend to vigorously defend in this matter.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Proceedings in China</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Proceedings</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2" w:lineRule="exact"/>
        <w:rPr>
          <w:sz w:val="20"/>
          <w:szCs w:val="20"/>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market, commercialize, and sell current and future products and related maintenance services;</w:t>
      </w:r>
    </w:p>
    <w:p>
      <w:pPr>
        <w:spacing w:after="0" w:line="2"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achieve profitability for our business;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repay our debt and fund our long-term planned operations;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leverage and integrate our acquisitions and future acquisitions;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research, develop and timely manufacture our current and future products;</w:t>
      </w:r>
    </w:p>
    <w:p>
      <w:pPr>
        <w:spacing w:after="0" w:line="51"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2"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recent significant changes to our leadership team and resultant disruptions to our business;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retention, recruitment, and training of senior management, key personnel, scientists and engineers;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further penetrate nucleic acid sequencing applications, as well as grow product demand;</w:t>
      </w:r>
    </w:p>
    <w:p>
      <w:pPr>
        <w:spacing w:after="0" w:line="51"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outsourcing to other companies for manufacturing certain components and sub-assemblies, some of which are sole-sourced;</w:t>
      </w:r>
    </w:p>
    <w:p>
      <w:pPr>
        <w:spacing w:after="0" w:line="2"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2"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high amount of competition we face in our industry;</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attract customers and increase sales of current and future products;</w:t>
      </w:r>
    </w:p>
    <w:p>
      <w:pPr>
        <w:spacing w:after="0" w:line="51"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reliance on a limited number of customers for a significant portion of our revenues, including academic, research and government institutions;</w:t>
      </w:r>
    </w:p>
    <w:p>
      <w:pPr>
        <w:spacing w:after="0" w:line="2"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complexity of our products giving rise to defects or errors;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unpredictable and lengthy sales cycles;</w:t>
      </w:r>
    </w:p>
    <w:p>
      <w:pPr>
        <w:spacing w:after="0" w:line="51"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effects resulting from political and economic tensions between the United States and other countries, including China and Russia, and other geopolitical uncertainties;</w:t>
      </w:r>
    </w:p>
    <w:p>
      <w:pPr>
        <w:spacing w:after="0" w:line="2" w:lineRule="exact"/>
        <w:rPr>
          <w:rFonts w:ascii="Arial" w:cs="Arial" w:eastAsia="Arial" w:hAnsi="Arial"/>
          <w:sz w:val="17"/>
          <w:szCs w:val="17"/>
          <w:color w:val="auto"/>
        </w:rPr>
      </w:pPr>
    </w:p>
    <w:p>
      <w:pPr>
        <w:ind w:left="680" w:right="2620" w:hanging="333"/>
        <w:spacing w:after="0" w:line="27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securing and maintaining patent or other intellectual property protection for our products and related improvements;</w:t>
      </w:r>
    </w:p>
    <w:p>
      <w:pPr>
        <w:spacing w:after="0" w:line="2"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current and future legal proceedings filed against us claiming intellectual property infringement;</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adverse impact of health epidemics, including the ongoing COVID-19 pandemic;</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regulations that burden operations or narrow the market for our products;</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evolving ethical, legal, privacy, social, and regulatory concerns regarding genetic testing;</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volatility of the price of our common stock; and</w:t>
      </w:r>
    </w:p>
    <w:p>
      <w:pPr>
        <w:spacing w:after="0" w:line="51" w:lineRule="exact"/>
        <w:rPr>
          <w:rFonts w:ascii="Arial" w:cs="Arial" w:eastAsia="Arial" w:hAnsi="Arial"/>
          <w:sz w:val="17"/>
          <w:szCs w:val="17"/>
          <w:color w:val="auto"/>
        </w:rPr>
      </w:pPr>
    </w:p>
    <w:p>
      <w:pPr>
        <w:ind w:left="680" w:hanging="33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stock price falling as a result of future offerings or sales of securities.</w:t>
      </w: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recently announced our new Revio long-read sequencing system in the fourth quarter of 2022, and commenced commercial Revio shipments in the first quarter of 2023, and we also progressed development of and, in the quarter ended September 30, 2023, commenced commercial shipments of Onso, our SBB short-read platform.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w:t>
      </w:r>
    </w:p>
    <w:p>
      <w:pPr>
        <w:jc w:val="both"/>
        <w:spacing w:after="0" w:line="231" w:lineRule="auto"/>
        <w:rPr>
          <w:sz w:val="20"/>
          <w:szCs w:val="20"/>
          <w:color w:val="auto"/>
        </w:rPr>
      </w:pPr>
      <w:r>
        <w:rPr>
          <w:rFonts w:ascii="Arial" w:cs="Arial" w:eastAsia="Arial" w:hAnsi="Arial"/>
          <w:sz w:val="17"/>
          <w:szCs w:val="17"/>
          <w:color w:val="auto"/>
        </w:rPr>
        <w:t>addition, we may not be successful in transitioning our Revio product from our prior generation products, or transitioning users of other third party short-read sequencing platforms to Onso, and could incur related obsolete inventory charges. Customers may also be slower that we anticipate in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making new capital equipment acquisitions, especially in the current economic environment. However, due to challenges we may experience in developing and marketing our existing products and launching new products, we may not be able to effectively:</w:t>
      </w:r>
    </w:p>
    <w:p>
      <w:pPr>
        <w:spacing w:after="0" w:line="247" w:lineRule="exact"/>
        <w:rPr>
          <w:sz w:val="20"/>
          <w:szCs w:val="20"/>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 the timeliness of our new product introductions and the rate at which sales of our new products may cannibalize sales of our older products or manage sales and marketing of multiple sequencing platforms;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drive adoption of our current and future products, including the Sequel II/IIe Systems, the Revio system, the Onso system, and products under development, including acquired technologies;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our competitive position by continuing to attract and retain customers for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provide appropriate levels of customer training and support for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an effective marketing strategy to promote awareness of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 and implement an effective sales and distribution strategy for our current and future products;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comply with regulatory requirements applicable to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anticipate and adapt to changes in our market;</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deliver our beta systems to our external beta testing sites or complete our external beta testing program on our currently expected timelines;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overcome unexpected challenges discovered during beta testing;</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complete the scientific and technical validation of new products on our currently expected timeline or at all;</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deliver our future products in a timely manner to our customers;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grow our market share by marketing and selling our products for new and additional applications;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avoid infringement and misappropriation of third-party intellectual property;</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and maintain any necessary licenses to third-party intellectual property on commercially reasonable terms;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valid and enforceable patents that give us a competitive advantage or enforce existing patents;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protect our proprietary technology; and</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have incurred losses to date, and we expect to continue to incur significant losses as we develop our business and may never achieve profitability.</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We expect to continue to incur substantial losses and negative cash flow from operations for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52" w:lineRule="exact"/>
        <w:rPr>
          <w:sz w:val="20"/>
          <w:szCs w:val="20"/>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 the volatility of the price of our common stock;</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flexibility to react to changes in our business and the industry in which we operate;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place us at a disadvantage to other companies that offer nucleic acid sequencing equipment or consumables; and</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 An impairment in value of our tangible or intangible assets could also be recorded as a result of weaker economic conditions.</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are not cash flow positive and may not have sufficient cash to make required payments under the terms of our debt or fund our long-term planned operations.</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September 30, 2023, we had outstanding approximately $459.0 million aggregate principal amount of 1.50% convertible senior notes due 2028 (the “2028 Notes”) and $441.0 million aggregate principal amount of our 1.375% convertible senior notes due 2030 (the “2030 Notes” and, together with the 2028 Notes, the “Notes”).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fundraising through sales of additional shares of common stock or other equity securities will have a dilutive effect on our existing investors. We may be required to seek equity financing at a time when the market price for our common stock is low, which will further contribute to dilution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existing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including any improvements to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39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as we have previously with our acquisitions of Circulomics, Omniome and Apton in July 2021, September 2021 and August 2023,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16" w:lineRule="exact"/>
        <w:rPr>
          <w:sz w:val="20"/>
          <w:szCs w:val="20"/>
          <w:color w:val="auto"/>
        </w:rPr>
      </w:pPr>
    </w:p>
    <w:p>
      <w:pPr>
        <w:ind w:left="820" w:right="20" w:hanging="395"/>
        <w:spacing w:after="0" w:line="270"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or material delay in closing a transaction;</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transaction-related lawsuits or claims;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integrating the technologies, operations, existing contracts, and personnel of an acquired company;</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retaining key employees or business partners of an acquired company;</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retaining suppliers, partners, or customers of an acquired company;</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with integrating the brand identity of an acquired company with our own;</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existing operations or alternative acquisition opportunities;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realize the anticipated benefits or synergies of a transaction;</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developing technology post-acquisition;</w:t>
      </w:r>
    </w:p>
    <w:p>
      <w:pPr>
        <w:spacing w:after="0" w:line="51" w:lineRule="exact"/>
        <w:rPr>
          <w:rFonts w:ascii="Arial" w:cs="Arial" w:eastAsia="Arial" w:hAnsi="Arial"/>
          <w:sz w:val="17"/>
          <w:szCs w:val="17"/>
          <w:color w:val="auto"/>
        </w:rPr>
      </w:pPr>
    </w:p>
    <w:p>
      <w:pPr>
        <w:jc w:val="both"/>
        <w:ind w:left="820" w:right="20" w:hanging="395"/>
        <w:spacing w:after="0" w:line="255"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14"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that regulatory bodies do not approve our acquisitions or business combinations or delay such approvals;</w:t>
      </w:r>
    </w:p>
    <w:p>
      <w:pPr>
        <w:spacing w:after="0" w:line="51" w:lineRule="exact"/>
        <w:rPr>
          <w:rFonts w:ascii="Arial" w:cs="Arial" w:eastAsia="Arial" w:hAnsi="Arial"/>
          <w:sz w:val="17"/>
          <w:szCs w:val="17"/>
          <w:color w:val="auto"/>
        </w:rPr>
      </w:pPr>
    </w:p>
    <w:p>
      <w:pPr>
        <w:ind w:left="820" w:right="20" w:hanging="395"/>
        <w:spacing w:after="0" w:line="255"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234"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 that an acquired company or investment in new services cannibalizes a portion of our existing business; and</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 market reaction to an acquisition or other strategic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and Onso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manufacturing process of instruments or consumables related to our products, including with respect to SMRT Cells, reagents, Sequel II/IIe Systems, Revio, Onso, and other SMRT Cell, HiFi, and SBB products under development, including acquired technologies, and including any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research and development efforts may not result in the benefits that we anticipate, and our failure to successfully market, sell, and</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commercialize our current and future products could have a material adverse effect on our business, financial condition and results of operations.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Revio and Onso,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w:t>
      </w:r>
    </w:p>
    <w:p>
      <w:pPr>
        <w:spacing w:after="0" w:line="8" w:lineRule="exact"/>
        <w:rPr>
          <w:sz w:val="20"/>
          <w:szCs w:val="20"/>
          <w:color w:val="auto"/>
        </w:rPr>
      </w:pPr>
    </w:p>
    <w:p>
      <w:pPr>
        <w:jc w:val="both"/>
        <w:spacing w:after="0"/>
        <w:rPr>
          <w:sz w:val="20"/>
          <w:szCs w:val="20"/>
          <w:color w:val="auto"/>
        </w:rPr>
      </w:pPr>
      <w:r>
        <w:rPr>
          <w:rFonts w:ascii="Arial" w:cs="Arial" w:eastAsia="Arial" w:hAnsi="Arial"/>
          <w:sz w:val="17"/>
          <w:szCs w:val="17"/>
          <w:color w:val="auto"/>
        </w:rPr>
        <w:t>market, sell and commercialize our products for and in the markets we seek to reach. If we are unable to do so or are delayed, then this could materially and adversely affect our business, operations, financial condition, and prospects.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SMRT Cell, the Sequel II/IIe, Revio and Onso Systems, and the development of acquired technologies, and we may incur significant costs during these transitions and development, and these efforts may not result in the benefits we anticipate.</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Sequel II/IIe Systems, the Revio HiFi long-read sequencing system, and the Onso SBB short-read sequencing system,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acceptance and loss of sales of our existing products, materially adversely affecting our revenue and operating results. The introduction of new products, including the recent announcement of our Revio system, has had and may in the future also have a negative impact on our revenue in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Sequel II/IIe Systems, the Revio and Onso Systems, and any future long-read and short-read products, our business, operations, financial condition, and prospects may be materially and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any resurgence of COVID-19 cases or other outbreaks.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business has been and could be further adversely impacted by the effects of COVID-19 or other epidemics or pandemics. Although it is not possible at this time to estimate the impact that health epidemics, including the results of the COVID-19 pandemic and any future resurgence of COVID-19 cases or other outbreaks, could have on our business, any pandemic or public health outbreaks or related disruptions and the measures taken by the governments of countries affected could disrupt the supply chain and the manufacture of our products.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of COVID-19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could impact workforce availability at those locations and disrupt supply. For example, the Chinese government may re-impose lockdowns or similar measures to combat the spread of COVID-19 and such measures have had, and may continue to have in the future, a negative impact on manufacturing and/or supply chains, as well as customer demand for our products and demand through certain distributors.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For example, the COVID-19 pandemic caused us to modify our business practices, including limiting certain of our commercial operations and limiting certain employees from working in the office. We offered, and if there is a resurgence of COVID-19 or other outbreak, we may again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Even after the COVID-19 pandemic has further subsided, we may continue to experience an adverse impact to our business as a result of its global economic impact, including recessionary effects and inflationary pressures. Specifically, difficult macroeconomic conditions, such as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changes to our leadership team and the resulting management transitions might harm our future operating results.</w:t>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Oene was appointed effective January 8, 2021. Jeff Eidel was appointed Chief Commercial Officer effective August 16, 2022, succeeding Peter Fromen who resigned effective May 20, 2022. Also, our Vice President and Chief Accounting Officer Michele Farmer was appointed effective May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17, 2021, and our Chair of the Board Dr. John F. Milligan was appointed effective September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w:t>
      </w:r>
    </w:p>
    <w:p>
      <w:pPr>
        <w:jc w:val="both"/>
        <w:spacing w:after="0" w:line="231" w:lineRule="auto"/>
        <w:rPr>
          <w:sz w:val="20"/>
          <w:szCs w:val="20"/>
          <w:color w:val="auto"/>
        </w:rPr>
      </w:pPr>
      <w:r>
        <w:rPr>
          <w:rFonts w:ascii="Arial" w:cs="Arial" w:eastAsia="Arial" w:hAnsi="Arial"/>
          <w:sz w:val="17"/>
          <w:szCs w:val="17"/>
          <w:color w:val="auto"/>
        </w:rPr>
        <w:t>disruptions to gain a competitive advantage over us. Furthermore, these changes increase our dependency on the other members of our leadership team that remain with us, who are not contractually obligated to remain employed with us and may leave at any time. Any such</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personnel. Our industry is characterized by high demand and intense competition for talent, and the turnover rate has been and may continue to be high. We compete for qualified management and scientific personnel with other life science companies, academic institutions and research</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institutions, particularly those focusing on genomics. This competition had been exacerbated by the increase in employee resignations in 2021 and 2022, that had been experienced by us and reported by employers nationwide. In addition, we have experienced significant turnover in our senior management team in recent periods.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 new products. Our employees could leave our company with little or no prior notice and would be free to work for a competitor. In addition, changes to U.S. immigration policies, particularly to H-</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technologies and to introduce new products that capture a larger share of growing overall demand for sequencing. To accomplish this, we must successfully commercialize, and continue development of, our proprietary SMRT Sequencing technology for use in a variety of life science and</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Revio and Onso Systems, and related products may not grow sufficiently to cover our costs.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including with respect to the SMRT Cell, Sequel II/IIe Systems, Revio and Onso.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If the demand for our products grows more slowly than anticipated, if we are unable to successfully scale or otherwise ensure sufficient</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customer base or do not realize the growth with existing customers that we are expecting, our current and future sales and revenue may be materially and adversely harmed, or we may recognize an impairment loss, and our business may not succeed.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disruptions, and conditions related to COVID-19 or other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and these measures have had, and may continue to have in the future, a negative impact on manufacturing and/or supply chains, in addition to customer demand for our products and demand through certain distributors. If as a result of global economic or political</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instability, such as the political uncertainty associated with the Israel and Hamas conflict, an escalation of the war in Ukraine, potential uncertainty related to Taiwan and its relationship with China, other disease outbreaks, or supply issues, we or our contractors could experience shortages,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because our semiconductor suppliers are in regions that may have communities with low vaccination rates, any variants of COVID-19 that evolve in the future or other outbreaks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or other outbreaks among our employees, or if our suppliers are unable to meet our increased demand at a time when the supply chain is under duress due to potential dislocations and disruptions in product and employee availability due to COVID-19 or other outbreaks.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15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The size of the markets for our products, including our Revio and Onso instruments, may be smaller than estimated, and new market opportunities may not develop as quickly as we expect, or at all, limiting our ability to successfully sell our products.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necessary to allow them to purchase our products. In addition, sales of new products may take time to develop and mature and we cannot be certain that these market opportunities will develop as we expect. While we believe our assumptions and the data underlying our estimates of the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system, depends on a variety of factors, including the availability and cost-effectiveness of related tools for high-quality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systems may be negatively impaired. There can be no assurance that our current or future products will gain traction in the market. If the markets for our current and future</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7"/>
          <w:szCs w:val="17"/>
          <w:color w:val="auto"/>
        </w:rPr>
        <w:t>products are smaller than estimated or do not develop as we expect, our growth may be limited, and it could materially and adversely affect our business, operations, financial condition and prospects.</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39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operate in a highly competitive industry and if we are not able to compete effectively, our business and operating results will likely be harmed.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(also</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known as MGI or Complete Genomics), Thermo, ONT Ltd., Roche, Bionano, and Qiagen. Other companies recently entering the market include Ultima Genomics, Element Biosciences and Singular Genomics. Many of these companies currently have greater name recognition, more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w:t>
      </w:r>
    </w:p>
    <w:p>
      <w:pPr>
        <w:jc w:val="both"/>
        <w:spacing w:after="0" w:line="231" w:lineRule="auto"/>
        <w:rPr>
          <w:sz w:val="20"/>
          <w:szCs w:val="20"/>
          <w:color w:val="auto"/>
        </w:rPr>
      </w:pPr>
      <w:r>
        <w:rPr>
          <w:rFonts w:ascii="Arial" w:cs="Arial" w:eastAsia="Arial" w:hAnsi="Arial"/>
          <w:sz w:val="17"/>
          <w:szCs w:val="17"/>
          <w:color w:val="auto"/>
        </w:rPr>
        <w:t>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increase sales of our current products or market and sell our future products.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14" w:lineRule="exact"/>
        <w:rPr>
          <w:sz w:val="20"/>
          <w:szCs w:val="20"/>
          <w:color w:val="auto"/>
        </w:rPr>
      </w:pPr>
    </w:p>
    <w:p>
      <w:pPr>
        <w:ind w:left="820" w:right="20" w:hanging="395"/>
        <w:spacing w:after="0" w:line="270"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attract, retain and manage qualified sales, marketing, and service personnel necessary to expand market acceptance for our technologies;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performance and commercial availability expectations of our existing and potential customers with respect to new and existing products;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potential sales and distribution partners to sell our technologies, and our ability to attract and retain such sales and distribution partners;</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sales, marketing and service force may be unable to execute successful commercial activities.</w:t>
      </w:r>
    </w:p>
    <w:p>
      <w:pPr>
        <w:spacing w:after="0" w:line="35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receive a significant portion of our revenue from a limited number of customers. For example, for the years ended December 31, 2022, 2021, and 2020, one of our customers, who is our primary distributor in China, accounted for approximately 12%, 13%, and 14%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Revio and Onso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potential impacts of COVID-19 or other outbreaks.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Many events can cause an order to be delayed or not completed at all, some of which may be out of our control, including the potential impacts from COVID-19 or other outbreaks and our suppliers, especially our sole source suppliers, not being able to provide us with products or components. If we delay fulfilling customer orders or if customers reconsider their orders, those customers may seek to cancel or modify their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orders with us. Customers may otherwise seek to cancel or delay their orders even if we are prepared to fulfill them. If our orders in backlog do not result in sales, our operating results may suffer.</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and those sales cycles may result in lower units sold per cycle, as we introduce our Revio and Onso instruments and their associated consumables to the market, as our customers may have additional administrative, technical or other requirements associated with transitioning to</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7"/>
          <w:szCs w:val="17"/>
          <w:color w:val="3051F2"/>
        </w:rPr>
        <w:t>—</w:t>
      </w:r>
      <w:r>
        <w:rPr>
          <w:rFonts w:ascii="Arial" w:cs="Arial" w:eastAsia="Arial" w:hAnsi="Arial"/>
          <w:sz w:val="17"/>
          <w:szCs w:val="17"/>
          <w:i w:val="1"/>
          <w:iCs w:val="1"/>
          <w:u w:val="single" w:color="auto"/>
          <w:color w:val="0000FF"/>
        </w:rPr>
        <w:t>Our operating results fluctuate from quarter to quarter and year over year, which makes our future results difficult to predict and could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negatively impact the market price of our common stock</w:t>
      </w:r>
      <w:r>
        <w:rPr>
          <w:rFonts w:ascii="Arial" w:cs="Arial" w:eastAsia="Arial" w:hAnsi="Arial"/>
          <w:sz w:val="17"/>
          <w:szCs w:val="17"/>
          <w:u w:val="single" w:color="auto"/>
          <w:color w:val="0000FF"/>
        </w:rPr>
        <w:t>,” below</w:t>
      </w:r>
      <w:r>
        <w:rPr>
          <w:rFonts w:ascii="Arial" w:cs="Arial" w:eastAsia="Arial" w:hAnsi="Arial"/>
          <w:sz w:val="17"/>
          <w:szCs w:val="17"/>
          <w:color w:val="3051F2"/>
        </w:rPr>
        <w:t>.</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are subject to risks associated with political conflicts between the U.S. and China. A significant portion of our revenue is generated from China. For example, for the years ended December 31, 2022, 2021, and 2020, one of our customers, who is our primary distributor in China, accounted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for approximately 12%, 13%, and 14% of our total revenue, respectively. In addition, certain components, some of which are critical components, of our products are manufactured in China. These components are either sourced directly from companies in China or indirectly from third parties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that source from companies in China.</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7"/>
          <w:szCs w:val="17"/>
          <w:i w:val="1"/>
          <w:iCs w:val="1"/>
          <w:u w:val="single" w:color="auto"/>
          <w:color w:val="0000FF"/>
        </w:rPr>
        <w:t>Enhanced trade tariffs, import restrictions, export restrictions,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Chinese regulations or other trade barriers may materially harm our business,</w:t>
      </w:r>
      <w:r>
        <w:rPr>
          <w:rFonts w:ascii="Arial" w:cs="Arial" w:eastAsia="Arial" w:hAnsi="Arial"/>
          <w:sz w:val="17"/>
          <w:szCs w:val="17"/>
          <w:u w:val="single" w:color="auto"/>
          <w:color w:val="0000FF"/>
        </w:rPr>
        <w:t>” below</w:t>
      </w:r>
      <w:r>
        <w:rPr>
          <w:rFonts w:ascii="Arial" w:cs="Arial" w:eastAsia="Arial" w:hAnsi="Arial"/>
          <w:sz w:val="17"/>
          <w:szCs w:val="17"/>
          <w:color w:val="000000"/>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52" w:lineRule="exact"/>
        <w:rPr>
          <w:sz w:val="20"/>
          <w:szCs w:val="20"/>
          <w:color w:val="auto"/>
        </w:rPr>
      </w:pPr>
    </w:p>
    <w:p>
      <w:pPr>
        <w:jc w:val="both"/>
        <w:ind w:left="820" w:right="20" w:hanging="395"/>
        <w:spacing w:after="0" w:line="255"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interruptions to operations in China as a result of potential disease outbreaks, including any further COVID-19 related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14"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nationalization or other expropriation of private enterprises or intellectual property by the Chinese government.</w:t>
      </w:r>
    </w:p>
    <w:p>
      <w:pPr>
        <w:spacing w:after="0" w:line="3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Difficulties in this relationship may require us to take actions adverse to our business to comply with governmental restrictions on business and trade with China.</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face significant risks associated with doing business with Taiwanese suppliers and manufacturers due to the tense relationship between Taiwan and mainland China.</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operating results fluctuate from quarter to quarter and year over year, which makes our future results difficult to predict and could negatively impact the market price of our common stock.</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52" w:lineRule="exact"/>
        <w:rPr>
          <w:sz w:val="20"/>
          <w:szCs w:val="20"/>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acceptance for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length of our sales cycles, as discussed above;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achieve economies of scale and other manufacturing efficiencies at the rate we anticipate;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publications of studies by us, our competitors or third parties;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and timing of our costs and expenses;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regulatory environment in which we operate;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expenses associated with warranty obligations or unforeseen product quality issues;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hiring, training, and retention of key employees, including our ability to grow our sales organization;</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litigation or other claims against us for intellectual property infringement or otherwise;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obtain additional financing as necessary;</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or trends in new technologies and industry standards; and the potential impacts of COVID-19 or other outbreaks.</w:t>
      </w:r>
    </w:p>
    <w:p>
      <w:pPr>
        <w:spacing w:after="0" w:line="35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materially affect, our business, financial condition, results of operations, and prospects.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14" w:lineRule="exact"/>
        <w:rPr>
          <w:sz w:val="20"/>
          <w:szCs w:val="20"/>
          <w:color w:val="auto"/>
        </w:rPr>
      </w:pPr>
    </w:p>
    <w:p>
      <w:pPr>
        <w:ind w:left="820" w:right="20" w:hanging="395"/>
        <w:spacing w:after="0" w:line="270"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or issued patents;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for these inventions;</w:t>
      </w:r>
    </w:p>
    <w:p>
      <w:pPr>
        <w:spacing w:after="0" w:line="51" w:lineRule="exact"/>
        <w:rPr>
          <w:rFonts w:ascii="Arial" w:cs="Arial" w:eastAsia="Arial" w:hAnsi="Arial"/>
          <w:sz w:val="17"/>
          <w:szCs w:val="17"/>
          <w:color w:val="auto"/>
        </w:rPr>
      </w:pPr>
    </w:p>
    <w:p>
      <w:pPr>
        <w:ind w:left="820" w:right="20" w:hanging="395"/>
        <w:spacing w:after="0" w:line="255"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234" w:lineRule="exact"/>
        <w:rPr>
          <w:rFonts w:ascii="Arial" w:cs="Arial" w:eastAsia="Arial" w:hAnsi="Arial"/>
          <w:sz w:val="17"/>
          <w:szCs w:val="17"/>
          <w:color w:val="auto"/>
        </w:rPr>
      </w:pPr>
    </w:p>
    <w:p>
      <w:pPr>
        <w:jc w:val="both"/>
        <w:ind w:left="820" w:right="20" w:hanging="395"/>
        <w:spacing w:after="0" w:line="247"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820" w:right="20" w:hanging="395"/>
        <w:spacing w:after="0" w:line="255"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14" w:lineRule="exact"/>
        <w:rPr>
          <w:rFonts w:ascii="Arial" w:cs="Arial" w:eastAsia="Arial" w:hAnsi="Arial"/>
          <w:sz w:val="17"/>
          <w:szCs w:val="17"/>
          <w:color w:val="auto"/>
        </w:rPr>
      </w:pPr>
    </w:p>
    <w:p>
      <w:pPr>
        <w:ind w:left="820" w:hanging="395"/>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enforcement of patents and proprietary rights in other countries may be problematic or unpredictable;</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or our partners may not adequately protect our trade secrets;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51" w:lineRule="exact"/>
        <w:rPr>
          <w:rFonts w:ascii="Arial" w:cs="Arial" w:eastAsia="Arial" w:hAnsi="Arial"/>
          <w:sz w:val="17"/>
          <w:szCs w:val="17"/>
          <w:color w:val="auto"/>
        </w:rPr>
      </w:pPr>
    </w:p>
    <w:p>
      <w:pPr>
        <w:ind w:left="820" w:right="20" w:hanging="395"/>
        <w:spacing w:after="0" w:line="255"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200" w:lineRule="exact"/>
        <w:rPr>
          <w:sz w:val="20"/>
          <w:szCs w:val="20"/>
          <w:color w:val="auto"/>
        </w:rPr>
      </w:pPr>
    </w:p>
    <w:p>
      <w:pPr>
        <w:spacing w:after="0" w:line="3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Variability in intellectual property laws may adversely affect our intellectual property position.</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4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37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39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intellectual property may be subject to challenges in the United States or foreign jurisdictions that could adversely affect our intellectual property position.</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of certain patents that we have asserted against ONT Inc. and ONT Ltd. in litigation proceedings for patent infringement. While none of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technology is subject to “march-in” rights by the U.S. government.</w:t>
      </w:r>
    </w:p>
    <w:p>
      <w:pPr>
        <w:spacing w:after="0" w:line="24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safety needs, (iii) meet requirements of federal regulations, or (iv) give preference to U.S. industry. In addition, U.S. government-funded inventions must be reported to the government and such government funding must be disclosed in any resulting patent applications. Furthermore, our rights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to enforce our intellectual property rights.</w:t>
      </w:r>
    </w:p>
    <w:p>
      <w:pPr>
        <w:spacing w:after="0" w:line="24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w:t>
      </w:r>
    </w:p>
    <w:p>
      <w:pPr>
        <w:jc w:val="both"/>
        <w:spacing w:after="0" w:line="231" w:lineRule="auto"/>
        <w:rPr>
          <w:sz w:val="20"/>
          <w:szCs w:val="20"/>
          <w:color w:val="auto"/>
        </w:rPr>
      </w:pPr>
      <w:r>
        <w:rPr>
          <w:rFonts w:ascii="Arial" w:cs="Arial" w:eastAsia="Arial" w:hAnsi="Arial"/>
          <w:sz w:val="17"/>
          <w:szCs w:val="17"/>
          <w:color w:val="auto"/>
        </w:rPr>
        <w:t>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products could result in us paying substantial damage awards or being prevented from further developing or selling some or all of our products, which could materially and adversely affect our business.</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could adversely affect our ability to sell our products and subject us to possible litigation.</w:t>
      </w:r>
    </w:p>
    <w:p>
      <w:pPr>
        <w:spacing w:after="0" w:line="24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w:t>
      </w:r>
    </w:p>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are, and may become, subject to governmental regulations that may impose burdens on our operations, and the markets for our products may be narrowed.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result of certain geopolitical events and conflicts and any related political or economic responses and counter-responses or otherwise by various global actors. Following Russia’s invasion of Ukraine in February 2022, the United States and other countries imposed certain economic sanctions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restrictions on the ability to send certain products and technology related to semiconductors, semiconductor manufacturing, and supercomputing to China without an export license may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7"/>
          <w:szCs w:val="17"/>
          <w:color w:val="auto"/>
        </w:rPr>
        <w:t>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developed for clinical uses, could be subject to regulation by the U.S. Food and Drug Administration (“FDA”), or the FDA’s regulatory jurisdiction could be expanded to include our products. Also, even if our products are labeled, promoted, and intended as RUO, the FDA or comparable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that we will be able to obtain or to maintain such approvals. Furthermore, any approvals that we may obtain can be revoked if safety or efficacy problems develop.</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arise at any time during the development or marketing of our products, which may negatively affect our ability to obtain or maintain FDA or comparable regulatory approval of our products, if required. Further, sales of devices for diagnostic purposes may subject us to additional</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spacing w:after="0" w:line="20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and how future legislation by federal and state governments and FDA regulation will impact the industry, including our business and that of our customers.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If we elect to label and market our products for use as, or in the performance of, clinical diagnostics in the United States, thereby subjecting them</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to FDA regulation as medical devices, we would be required to obtain pre-market 510(k) clearance or pre-market approval from the FDA, unless an exception applies. It is possible, in the event we elect to submit 510(k) applications for certain of our products, that the FDA would take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position that a more burdensome pre-market application, such as a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reputation, and prospects.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regulations, even if successfully defended, could cause us to incur significant legal expenses and divert our management’s attention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Enhanced trade tariffs, import restrictions, export restrictions, Chinese regulations, or other trade barriers may materially harm our business.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15%, and 25% on the import of Chinese products, including non-U.S. components and materials that may be used in our products. Additionally, China also has imposed tariffs on imports into China from the United States. These tariffs have and could continue to raise our costs. Furthermore,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additional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Additionally, the U.S. government imposed controls restricting the ability to send certain products and technology related to semiconductors, semiconductor manufacturing, and supercomputing to China without an export license. These controls also apply to certain hardware containing these specified integrated circuits. In many cases, these licenses are subject to a policy of denial and will not be issued. It is possible that additional restrictions will be put in place. These existing and future controls may impact our ability to export certain products to customers or distributors in China or other locations and restrict our ability to use certain integrated circuits in our products. The U.S. government also continues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to add additional entities in China to restricted party lists impacting the ability of U.S. companies to provide items to these entities. Moreover, in November 2018, the U.S. Commerce Department’s Bureau of Industry and Security (“BIS”) released an advance notice of proposed rulemaking to</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international business could expose us to business, regulatory, political, operational, financial, and economic risks associated with doing business outside of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52" w:lineRule="exact"/>
        <w:rPr>
          <w:sz w:val="20"/>
          <w:szCs w:val="20"/>
          <w:color w:val="auto"/>
        </w:rPr>
      </w:pPr>
    </w:p>
    <w:p>
      <w:pPr>
        <w:jc w:val="both"/>
        <w:ind w:left="820" w:right="20" w:hanging="395"/>
        <w:spacing w:after="0" w:line="247"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2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hanging="395"/>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2" w:lineRule="exact"/>
        <w:rPr>
          <w:rFonts w:ascii="Arial" w:cs="Arial" w:eastAsia="Arial" w:hAnsi="Arial"/>
          <w:sz w:val="17"/>
          <w:szCs w:val="17"/>
          <w:color w:val="auto"/>
        </w:rPr>
      </w:pPr>
    </w:p>
    <w:p>
      <w:pPr>
        <w:jc w:val="both"/>
        <w:ind w:left="820" w:right="20" w:hanging="395"/>
        <w:spacing w:after="0" w:line="245"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Israel and Hamas conflict, the war in Ukraine, resulting sanctions imposed by the U.S. and other countries, and retaliatory actions taken by Russia in response to such sanctions;</w:t>
      </w:r>
    </w:p>
    <w:p>
      <w:pPr>
        <w:spacing w:after="0" w:line="25" w:lineRule="exact"/>
        <w:rPr>
          <w:rFonts w:ascii="Arial" w:cs="Arial" w:eastAsia="Arial" w:hAnsi="Arial"/>
          <w:sz w:val="17"/>
          <w:szCs w:val="17"/>
          <w:color w:val="auto"/>
        </w:rPr>
      </w:pPr>
    </w:p>
    <w:p>
      <w:pPr>
        <w:ind w:left="820" w:hanging="395"/>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w:t>
      </w:r>
    </w:p>
    <w:p>
      <w:pPr>
        <w:jc w:val="both"/>
        <w:spacing w:after="0" w:line="231" w:lineRule="auto"/>
        <w:rPr>
          <w:sz w:val="20"/>
          <w:szCs w:val="20"/>
          <w:color w:val="auto"/>
        </w:rPr>
      </w:pPr>
      <w:r>
        <w:rPr>
          <w:rFonts w:ascii="Arial" w:cs="Arial" w:eastAsia="Arial" w:hAnsi="Arial"/>
          <w:sz w:val="17"/>
          <w:szCs w:val="17"/>
          <w:color w:val="auto"/>
        </w:rPr>
        <w:t>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Ethical, legal, privacy, data protection and social concerns or governmental restrictions surrounding the use of genetic information could reduce demand for our technology.</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w:t>
      </w:r>
    </w:p>
    <w:p>
      <w:pPr>
        <w:jc w:val="both"/>
        <w:spacing w:after="0"/>
        <w:rPr>
          <w:sz w:val="20"/>
          <w:szCs w:val="20"/>
          <w:color w:val="auto"/>
        </w:rPr>
      </w:pPr>
      <w:r>
        <w:rPr>
          <w:rFonts w:ascii="Arial" w:cs="Arial" w:eastAsia="Arial" w:hAnsi="Arial"/>
          <w:sz w:val="17"/>
          <w:szCs w:val="17"/>
          <w:color w:val="auto"/>
        </w:rPr>
        <w:t>penalties, remediation costs, claims and litigation, regulatory investigations and proceedings, and other liability, any of which could have a material adverse effect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2" w:lineRule="exact"/>
        <w:rPr>
          <w:sz w:val="20"/>
          <w:szCs w:val="20"/>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new products, technological innovations or strategic partnerships by us or our competitors;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overall conditions in our industry and market;</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addition or loss of significant customers;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stock price and volume fluctuations attributable to inconsistent trading volume levels of our shares;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reports, guidance and ratings issued by securities or industry analysts;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hanging="395"/>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operating results below the expectations of securities analysts or investors; and</w:t>
      </w:r>
    </w:p>
    <w:p>
      <w:pPr>
        <w:spacing w:after="0" w:line="51" w:lineRule="exact"/>
        <w:rPr>
          <w:rFonts w:ascii="Arial" w:cs="Arial" w:eastAsia="Arial" w:hAnsi="Arial"/>
          <w:sz w:val="17"/>
          <w:szCs w:val="17"/>
          <w:color w:val="auto"/>
        </w:rPr>
      </w:pPr>
    </w:p>
    <w:p>
      <w:pPr>
        <w:jc w:val="both"/>
        <w:ind w:left="820" w:right="20" w:hanging="395"/>
        <w:spacing w:after="0" w:line="247"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and market conditions, which could be impacted by various events including COVID-19, other outbreaks or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Israel and Hamas conflict and, the war in Ukraine, as well as responses to such events including sanctions or other restrictive actions, by the United States and/or other countries.</w:t>
      </w:r>
    </w:p>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macroeconomic trends and geopolitical events, and have affected and continue to affect the market prices of equity securities of many companies. These fluctuations often have been unrelated or disproportionate to the operating performance of those companies. These broad market and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if our stockholders sell, or indicate an intent to sell, a large number of shares of our common stock in the public market, it could cause our stock price to fall, particularly if such sales occur over a short period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Concentration of ownership by our principal stockholders may result in control by such stockholders of the composition of our board of directors.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4" w:lineRule="exact"/>
        <w:rPr>
          <w:sz w:val="20"/>
          <w:szCs w:val="20"/>
          <w:color w:val="auto"/>
        </w:rPr>
      </w:pPr>
    </w:p>
    <w:p>
      <w:pPr>
        <w:ind w:left="820" w:right="20" w:hanging="395"/>
        <w:spacing w:after="0" w:line="270"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right="20" w:hanging="395"/>
        <w:spacing w:after="0" w:line="255"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4"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2"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2" w:lineRule="exact"/>
        <w:rPr>
          <w:rFonts w:ascii="Arial" w:cs="Arial" w:eastAsia="Arial" w:hAnsi="Arial"/>
          <w:sz w:val="17"/>
          <w:szCs w:val="17"/>
          <w:color w:val="auto"/>
        </w:rPr>
      </w:pPr>
    </w:p>
    <w:p>
      <w:pPr>
        <w:ind w:left="820" w:right="20" w:hanging="395"/>
        <w:spacing w:after="0" w:line="255"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4" w:lineRule="exact"/>
        <w:rPr>
          <w:rFonts w:ascii="Arial" w:cs="Arial" w:eastAsia="Arial" w:hAnsi="Arial"/>
          <w:sz w:val="17"/>
          <w:szCs w:val="17"/>
          <w:color w:val="auto"/>
        </w:rPr>
      </w:pPr>
    </w:p>
    <w:p>
      <w:pPr>
        <w:ind w:left="820" w:hanging="395"/>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3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w:t>
      </w:r>
    </w:p>
    <w:p>
      <w:pPr>
        <w:jc w:val="both"/>
        <w:spacing w:after="0"/>
        <w:rPr>
          <w:sz w:val="20"/>
          <w:szCs w:val="20"/>
          <w:color w:val="auto"/>
        </w:rPr>
      </w:pPr>
      <w:r>
        <w:rPr>
          <w:rFonts w:ascii="Arial" w:cs="Arial" w:eastAsia="Arial" w:hAnsi="Arial"/>
          <w:sz w:val="17"/>
          <w:szCs w:val="17"/>
          <w:color w:val="auto"/>
        </w:rPr>
        <w:t>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w:t>
      </w:r>
    </w:p>
    <w:p>
      <w:pPr>
        <w:jc w:val="both"/>
        <w:spacing w:after="0" w:line="231" w:lineRule="auto"/>
        <w:rPr>
          <w:sz w:val="20"/>
          <w:szCs w:val="20"/>
          <w:color w:val="auto"/>
        </w:rPr>
      </w:pPr>
      <w:r>
        <w:rPr>
          <w:rFonts w:ascii="Arial" w:cs="Arial" w:eastAsia="Arial" w:hAnsi="Arial"/>
          <w:sz w:val="17"/>
          <w:szCs w:val="17"/>
          <w:color w:val="auto"/>
        </w:rPr>
        <w:t>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large number of authorized but unissued shares of common stock may potentially dilute existing stockholders’ stockholdings.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Notes</w:t>
      </w:r>
    </w:p>
    <w:p>
      <w:pPr>
        <w:spacing w:after="0" w:line="2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65" w:lineRule="exact"/>
        <w:rPr>
          <w:sz w:val="20"/>
          <w:szCs w:val="20"/>
          <w:color w:val="auto"/>
        </w:rPr>
      </w:pPr>
    </w:p>
    <w:p>
      <w:pPr>
        <w:jc w:val="both"/>
        <w:ind w:right="340"/>
        <w:spacing w:after="0" w:line="255" w:lineRule="auto"/>
        <w:rPr>
          <w:sz w:val="20"/>
          <w:szCs w:val="20"/>
          <w:color w:val="auto"/>
        </w:rPr>
      </w:pPr>
      <w:r>
        <w:rPr>
          <w:rFonts w:ascii="Arial" w:cs="Arial" w:eastAsia="Arial" w:hAnsi="Arial"/>
          <w:sz w:val="17"/>
          <w:szCs w:val="17"/>
          <w:color w:val="auto"/>
        </w:rPr>
        <w:t>As of September 30, 2023, we had outstanding approximately $ 459.0 million aggregate principal amount of our 2028 Notes and $441.0 million aggregate principal amount of our 2030 Notes. The 2028 Notes will mature on February 15, 2028, subject to earlier conversion, redemption or repurchase, including upon a fundamental change.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2030 Notes will mature on December 15, 2030, subject to earlier conversion, redemption or repurchase, including upon a fundamental change. The 2030 Notes and 2028 Notes are collectively referred to as the Notes.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Notes are converted, it may adversely affect our financial condition and operating results.</w:t>
      </w:r>
    </w:p>
    <w:p>
      <w:pPr>
        <w:spacing w:after="0" w:line="24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the COVID-19 pandemic or other outbreaks as discussed above, and the overall demand for nucleic acid sequencing products may be particularly vulnerable to unfavorable economic conditions. A global financial crisis, inflation or a global or regional political</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disruption, as well as acts of terrorism, hostilities, military conflict and acts of war, including any further political uncertainty and military actions associated with the Israel and Hamas conflict and the war in Ukraine, as well as the related responses, could cause extreme volatility in the capital</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failure to deliver our products in a safe and timely manner may harm our relationship with our customers, increase our costs and otherwise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24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13" w:lineRule="exact"/>
        <w:rPr>
          <w:sz w:val="20"/>
          <w:szCs w:val="20"/>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limits to travel, which could result from further outbreaks of COVID-19 or other pandemics or epidemics;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potentially longer sales cycles and more time required to engage and educate customers on the benefits of our platform outside of the United States;</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potential need for localized software and documentation;</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2"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defending against intellectual property claims in other countries;</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2" w:lineRule="exact"/>
        <w:rPr>
          <w:rFonts w:ascii="Arial" w:cs="Arial" w:eastAsia="Arial" w:hAnsi="Arial"/>
          <w:sz w:val="17"/>
          <w:szCs w:val="17"/>
          <w:color w:val="auto"/>
        </w:rPr>
      </w:pPr>
    </w:p>
    <w:p>
      <w:pPr>
        <w:jc w:val="both"/>
        <w:ind w:left="820" w:right="20" w:hanging="395"/>
        <w:spacing w:after="0" w:line="255"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including semiconductors, and/or services to foreign persons;</w:t>
      </w:r>
    </w:p>
    <w:p>
      <w:pPr>
        <w:spacing w:after="0" w:line="14"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new tariffs, trade protection measures, import or export licensing requirements, trade embargoes, sanctions, and other trade barriers;</w:t>
      </w:r>
    </w:p>
    <w:p>
      <w:pPr>
        <w:spacing w:after="0" w:line="2" w:lineRule="exact"/>
        <w:rPr>
          <w:rFonts w:ascii="Arial" w:cs="Arial" w:eastAsia="Arial" w:hAnsi="Arial"/>
          <w:sz w:val="17"/>
          <w:szCs w:val="17"/>
          <w:color w:val="auto"/>
        </w:rPr>
      </w:pPr>
    </w:p>
    <w:p>
      <w:pPr>
        <w:jc w:val="both"/>
        <w:ind w:left="820" w:right="20" w:hanging="395"/>
        <w:spacing w:after="0" w:line="25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18"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deterioration of political relations between the U.S. and Russia, China, Japan, Korea, Canada, the United Kingdom (“U.K.”), and the E.U., which could have a material adverse effect on our sales and operations in these countries;</w:t>
      </w:r>
    </w:p>
    <w:p>
      <w:pPr>
        <w:spacing w:after="0" w:line="2" w:lineRule="exact"/>
        <w:rPr>
          <w:rFonts w:ascii="Arial" w:cs="Arial" w:eastAsia="Arial" w:hAnsi="Arial"/>
          <w:sz w:val="17"/>
          <w:szCs w:val="17"/>
          <w:color w:val="auto"/>
        </w:rPr>
      </w:pPr>
    </w:p>
    <w:p>
      <w:pPr>
        <w:jc w:val="both"/>
        <w:ind w:left="820" w:right="20" w:hanging="395"/>
        <w:spacing w:after="0" w:line="255"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14"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related effect on our results of operations;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to global trade due to disease outbreaks or conflicts;</w:t>
      </w:r>
    </w:p>
    <w:p>
      <w:pPr>
        <w:spacing w:after="0" w:line="51" w:lineRule="exact"/>
        <w:rPr>
          <w:rFonts w:ascii="Arial" w:cs="Arial" w:eastAsia="Arial" w:hAnsi="Arial"/>
          <w:sz w:val="17"/>
          <w:szCs w:val="17"/>
          <w:color w:val="auto"/>
        </w:rPr>
      </w:pPr>
    </w:p>
    <w:p>
      <w:pPr>
        <w:ind w:left="820" w:hanging="39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increases on tariffs or restrictions on trade generally; and</w:t>
      </w:r>
    </w:p>
    <w:p>
      <w:pPr>
        <w:spacing w:after="0" w:line="51" w:lineRule="exact"/>
        <w:rPr>
          <w:rFonts w:ascii="Arial" w:cs="Arial" w:eastAsia="Arial" w:hAnsi="Arial"/>
          <w:sz w:val="17"/>
          <w:szCs w:val="17"/>
          <w:color w:val="auto"/>
        </w:rPr>
      </w:pPr>
    </w:p>
    <w:p>
      <w:pPr>
        <w:ind w:left="820" w:right="20" w:hanging="395"/>
        <w:spacing w:after="0" w:line="270"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39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w:t>
      </w:r>
    </w:p>
    <w:p>
      <w:pPr>
        <w:jc w:val="both"/>
        <w:spacing w:after="0" w:line="231" w:lineRule="auto"/>
        <w:rPr>
          <w:sz w:val="20"/>
          <w:szCs w:val="20"/>
          <w:color w:val="auto"/>
        </w:rPr>
      </w:pPr>
      <w:r>
        <w:rPr>
          <w:rFonts w:ascii="Arial" w:cs="Arial" w:eastAsia="Arial" w:hAnsi="Arial"/>
          <w:sz w:val="17"/>
          <w:szCs w:val="17"/>
          <w:color w:val="auto"/>
        </w:rPr>
        <w:t>detected. 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changes in the United States political environment.</w:t>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associated with the Israel and Hamas conflict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Security breaches and other disruptions could compromise our information and expose us to liability, which would cause our business and reputation to suffer.</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cyber- or phishing-attacks, or breached or otherwise disrupted due to employee error, malfeasance, faulty password management or other disruptions. Third parties may attempt to fraudulently induce employees or other persons into disclosing usernames, passwords or other sensitive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could harm our business. Ensuring compliance with such laws could also impair our efforts to maintain and expand our future customer base, and thereby decrease our revenue.</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w:t>
      </w:r>
    </w:p>
    <w:p>
      <w:pPr>
        <w:jc w:val="both"/>
        <w:spacing w:after="0" w:line="231" w:lineRule="auto"/>
        <w:rPr>
          <w:sz w:val="20"/>
          <w:szCs w:val="20"/>
          <w:color w:val="auto"/>
        </w:rPr>
      </w:pPr>
      <w:r>
        <w:rPr>
          <w:rFonts w:ascii="Arial" w:cs="Arial" w:eastAsia="Arial" w:hAnsi="Arial"/>
          <w:sz w:val="17"/>
          <w:szCs w:val="17"/>
          <w:color w:val="auto"/>
        </w:rPr>
        <w:t>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communities, board and employee diversity, human capital management, employee health and safety practices, product quality, supply chain management, corporate governance and transparency, and employing ESG strategies in our operations, our brand, reputation and employee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200" w:lineRule="exact"/>
        <w:rPr>
          <w:sz w:val="20"/>
          <w:szCs w:val="20"/>
          <w:color w:val="auto"/>
        </w:rPr>
      </w:pPr>
    </w:p>
    <w:p>
      <w:pPr>
        <w:spacing w:after="0" w:line="21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Use of Proceeds, and Issuer Purchases of Equity Securities</w:t>
      </w:r>
    </w:p>
    <w:p>
      <w:pPr>
        <w:spacing w:after="0" w:line="24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Other than as previously reported on our Current Reports on Form 8-K filed with the SEC on August 2, 2023 and September 22, 2023, there have been no unregistered sales of our equity securities during the three months ended September 30, 2023.</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Plans of Directors and Executive Officers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Incorporated by reference herein</w:t>
            </w:r>
          </w:p>
        </w:tc>
      </w:tr>
      <w:tr>
        <w:trPr>
          <w:trHeight w:val="227"/>
        </w:trPr>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Exhibit No.</w:t>
            </w:r>
          </w:p>
        </w:tc>
        <w:tc>
          <w:tcPr>
            <w:tcW w:w="26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gridSpan w:val="9"/>
          </w:tcPr>
          <w:p>
            <w:pPr>
              <w:ind w:left="2460"/>
              <w:spacing w:after="0"/>
              <w:rPr>
                <w:sz w:val="20"/>
                <w:szCs w:val="20"/>
                <w:color w:val="auto"/>
              </w:rPr>
            </w:pPr>
            <w:r>
              <w:rPr>
                <w:rFonts w:ascii="Arial" w:cs="Arial" w:eastAsia="Arial" w:hAnsi="Arial"/>
                <w:sz w:val="16"/>
                <w:szCs w:val="16"/>
                <w:color w:val="auto"/>
              </w:rPr>
              <w:t>Description</w:t>
            </w:r>
          </w:p>
        </w:tc>
        <w:tc>
          <w:tcPr>
            <w:tcW w:w="72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color w:val="auto"/>
              </w:rPr>
              <w:t>Form</w:t>
            </w:r>
          </w:p>
        </w:tc>
        <w:tc>
          <w:tcPr>
            <w:tcW w:w="13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w w:val="95"/>
              </w:rPr>
              <w:t>Exhibit No.</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Filing Date</w:t>
            </w: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spacing w:after="0" w:line="182" w:lineRule="exact"/>
              <w:rPr>
                <w:rFonts w:ascii="Arial" w:cs="Arial" w:eastAsia="Arial" w:hAnsi="Arial"/>
                <w:sz w:val="16"/>
                <w:szCs w:val="16"/>
                <w:color w:val="0000FF"/>
                <w:w w:val="89"/>
              </w:rPr>
            </w:pPr>
            <w:hyperlink r:id="rId9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0000FF"/>
            </w:tcBorders>
            <w:gridSpan w:val="9"/>
            <w:shd w:val="clear" w:color="auto" w:fill="CCEEFF"/>
          </w:tcPr>
          <w:p>
            <w:pPr>
              <w:spacing w:after="0" w:line="182" w:lineRule="exact"/>
              <w:rPr>
                <w:rFonts w:ascii="Arial" w:cs="Arial" w:eastAsia="Arial" w:hAnsi="Arial"/>
                <w:sz w:val="16"/>
                <w:szCs w:val="16"/>
                <w:color w:val="0000FF"/>
                <w:w w:val="97"/>
              </w:rPr>
            </w:pPr>
            <w:hyperlink r:id="rId95">
              <w:r>
                <w:rPr>
                  <w:rFonts w:ascii="Arial" w:cs="Arial" w:eastAsia="Arial" w:hAnsi="Arial"/>
                  <w:sz w:val="16"/>
                  <w:szCs w:val="16"/>
                  <w:color w:val="0000FF"/>
                  <w:w w:val="97"/>
                </w:rPr>
                <w:t>Amended and Restated Certificate of Incorporation of Pacific Biosciences of California,</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ind w:left="102"/>
              <w:spacing w:after="0" w:line="182" w:lineRule="exact"/>
              <w:rPr>
                <w:sz w:val="20"/>
                <w:szCs w:val="20"/>
                <w:color w:val="auto"/>
              </w:rPr>
            </w:pPr>
            <w:r>
              <w:rPr>
                <w:rFonts w:ascii="Arial" w:cs="Arial" w:eastAsia="Arial" w:hAnsi="Arial"/>
                <w:sz w:val="16"/>
                <w:szCs w:val="16"/>
                <w:color w:val="auto"/>
              </w:rPr>
              <w:t>10-K</w:t>
            </w:r>
          </w:p>
        </w:tc>
        <w:tc>
          <w:tcPr>
            <w:tcW w:w="1340" w:type="dxa"/>
            <w:vAlign w:val="bottom"/>
            <w:tcBorders>
              <w:bottom w:val="single" w:sz="8" w:color="CCEEFF"/>
            </w:tcBorders>
            <w:shd w:val="clear" w:color="auto" w:fill="CCEEFF"/>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March 23, 2011</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95">
              <w:r>
                <w:rPr>
                  <w:rFonts w:ascii="Arial" w:cs="Arial" w:eastAsia="Arial" w:hAnsi="Arial"/>
                  <w:sz w:val="16"/>
                  <w:szCs w:val="16"/>
                  <w:color w:val="0000FF"/>
                  <w:w w:val="92"/>
                </w:rPr>
                <w:t>Inc.</w:t>
              </w:r>
            </w:hyperlink>
          </w:p>
        </w:tc>
        <w:tc>
          <w:tcPr>
            <w:tcW w:w="596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2"/>
        </w:trPr>
        <w:tc>
          <w:tcPr>
            <w:tcW w:w="320" w:type="dxa"/>
            <w:vAlign w:val="bottom"/>
            <w:gridSpan w:val="3"/>
          </w:tcPr>
          <w:p>
            <w:pPr>
              <w:ind w:left="20"/>
              <w:spacing w:after="0" w:line="182" w:lineRule="exact"/>
              <w:rPr>
                <w:rFonts w:ascii="Arial" w:cs="Arial" w:eastAsia="Arial" w:hAnsi="Arial"/>
                <w:sz w:val="16"/>
                <w:szCs w:val="16"/>
                <w:color w:val="0000FF"/>
              </w:rPr>
            </w:pPr>
            <w:hyperlink r:id="rId96">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840" w:type="dxa"/>
            <w:vAlign w:val="bottom"/>
          </w:tcPr>
          <w:p>
            <w:pPr>
              <w:spacing w:after="0"/>
              <w:rPr>
                <w:sz w:val="15"/>
                <w:szCs w:val="15"/>
                <w:color w:val="auto"/>
              </w:rPr>
            </w:pPr>
          </w:p>
        </w:tc>
        <w:tc>
          <w:tcPr>
            <w:tcW w:w="6220" w:type="dxa"/>
            <w:vAlign w:val="bottom"/>
            <w:gridSpan w:val="10"/>
          </w:tcPr>
          <w:p>
            <w:pPr>
              <w:spacing w:after="0" w:line="182" w:lineRule="exact"/>
              <w:rPr>
                <w:rFonts w:ascii="Arial" w:cs="Arial" w:eastAsia="Arial" w:hAnsi="Arial"/>
                <w:sz w:val="16"/>
                <w:szCs w:val="16"/>
                <w:color w:val="0000FF"/>
              </w:rPr>
            </w:pPr>
            <w:hyperlink r:id="rId96">
              <w:r>
                <w:rPr>
                  <w:rFonts w:ascii="Arial" w:cs="Arial" w:eastAsia="Arial" w:hAnsi="Arial"/>
                  <w:sz w:val="16"/>
                  <w:szCs w:val="16"/>
                  <w:color w:val="0000FF"/>
                </w:rPr>
                <w:t>Third Amended and Restated Bylaws of Pacific Biosciences of California, Inc.</w:t>
              </w:r>
            </w:hyperlink>
          </w:p>
        </w:tc>
        <w:tc>
          <w:tcPr>
            <w:tcW w:w="7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8-K</w:t>
            </w:r>
          </w:p>
        </w:tc>
        <w:tc>
          <w:tcPr>
            <w:tcW w:w="1340" w:type="dxa"/>
            <w:vAlign w:val="bottom"/>
          </w:tcPr>
          <w:p>
            <w:pPr>
              <w:jc w:val="center"/>
              <w:ind w:left="82"/>
              <w:spacing w:after="0" w:line="182" w:lineRule="exact"/>
              <w:rPr>
                <w:sz w:val="20"/>
                <w:szCs w:val="20"/>
                <w:color w:val="auto"/>
              </w:rPr>
            </w:pPr>
            <w:r>
              <w:rPr>
                <w:rFonts w:ascii="Arial" w:cs="Arial" w:eastAsia="Arial" w:hAnsi="Arial"/>
                <w:sz w:val="16"/>
                <w:szCs w:val="16"/>
                <w:color w:val="auto"/>
                <w:w w:val="98"/>
              </w:rPr>
              <w:t>3.2</w:t>
            </w: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7"/>
              </w:rPr>
              <w:t>November 7, 2022</w:t>
            </w:r>
          </w:p>
        </w:tc>
      </w:tr>
      <w:tr>
        <w:trPr>
          <w:trHeight w:val="32"/>
        </w:trPr>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6220" w:type="dxa"/>
            <w:vAlign w:val="bottom"/>
            <w:gridSpan w:val="10"/>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Exchange Act Rules 13a-14(a) and</w:t>
            </w: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5920" w:type="dxa"/>
            <w:vAlign w:val="bottom"/>
            <w:tcBorders>
              <w:top w:val="single" w:sz="8" w:color="0000FF"/>
            </w:tcBorders>
            <w:gridSpan w:val="6"/>
            <w:shd w:val="clear" w:color="auto" w:fill="CCEEFF"/>
          </w:tcPr>
          <w:p>
            <w:pPr>
              <w:spacing w:after="0" w:line="16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00" w:type="dxa"/>
            <w:vAlign w:val="bottom"/>
            <w:tcBorders>
              <w:top w:val="single" w:sz="8" w:color="CCEEFF"/>
            </w:tcBorders>
            <w:gridSpan w:val="4"/>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spacing w:after="0"/>
              <w:rPr>
                <w:sz w:val="14"/>
                <w:szCs w:val="14"/>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6220" w:type="dxa"/>
            <w:vAlign w:val="bottom"/>
            <w:gridSpan w:val="10"/>
          </w:tcPr>
          <w:p>
            <w:pPr>
              <w:spacing w:after="0" w:line="182" w:lineRule="exact"/>
              <w:rPr>
                <w:sz w:val="20"/>
                <w:szCs w:val="20"/>
                <w:color w:val="auto"/>
              </w:rPr>
            </w:pPr>
            <w:r>
              <w:rPr>
                <w:rFonts w:ascii="Arial" w:cs="Arial" w:eastAsia="Arial" w:hAnsi="Arial"/>
                <w:sz w:val="16"/>
                <w:szCs w:val="16"/>
                <w:color w:val="0000FF"/>
              </w:rPr>
              <w:t>Certification of Chief Financial Officer pursuant to Exchange Act Rules 13a-14(a) and</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42"/>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588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40" w:type="dxa"/>
            <w:vAlign w:val="bottom"/>
            <w:gridSpan w:val="5"/>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02"/>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6220" w:type="dxa"/>
            <w:vAlign w:val="bottom"/>
            <w:gridSpan w:val="10"/>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18 U.S.C. Section 1350, as adopted</w:t>
            </w: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6000" w:type="dxa"/>
            <w:vAlign w:val="bottom"/>
            <w:tcBorders>
              <w:top w:val="single" w:sz="8" w:color="0000FF"/>
            </w:tcBorders>
            <w:gridSpan w:val="8"/>
            <w:shd w:val="clear" w:color="auto" w:fill="CCEEFF"/>
          </w:tcPr>
          <w:p>
            <w:pPr>
              <w:spacing w:after="0" w:line="142" w:lineRule="exact"/>
              <w:rPr>
                <w:sz w:val="20"/>
                <w:szCs w:val="20"/>
                <w:color w:val="auto"/>
              </w:rPr>
            </w:pPr>
            <w:r>
              <w:rPr>
                <w:rFonts w:ascii="Arial" w:cs="Arial" w:eastAsia="Arial" w:hAnsi="Arial"/>
                <w:sz w:val="16"/>
                <w:szCs w:val="16"/>
                <w:color w:val="0000FF"/>
              </w:rPr>
              <w:t>pursuant to Section 906 of the Sarbanes-Oxley Act of 2002</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6220" w:type="dxa"/>
            <w:vAlign w:val="bottom"/>
            <w:gridSpan w:val="10"/>
          </w:tcPr>
          <w:p>
            <w:pPr>
              <w:spacing w:after="0" w:line="182" w:lineRule="exact"/>
              <w:rPr>
                <w:sz w:val="20"/>
                <w:szCs w:val="20"/>
                <w:color w:val="auto"/>
              </w:rPr>
            </w:pPr>
            <w:r>
              <w:rPr>
                <w:rFonts w:ascii="Arial" w:cs="Arial" w:eastAsia="Arial" w:hAnsi="Arial"/>
                <w:sz w:val="16"/>
                <w:szCs w:val="16"/>
                <w:color w:val="0000FF"/>
              </w:rPr>
              <w:t>Certification of Chief Financial Officer pursuant to 18 U.S.C. Section 1350, as adopted</w:t>
            </w: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40" w:type="dxa"/>
            <w:vAlign w:val="bottom"/>
          </w:tcPr>
          <w:p>
            <w:pPr>
              <w:spacing w:after="0"/>
              <w:rPr>
                <w:sz w:val="14"/>
                <w:szCs w:val="14"/>
                <w:color w:val="auto"/>
              </w:rPr>
            </w:pPr>
          </w:p>
        </w:tc>
        <w:tc>
          <w:tcPr>
            <w:tcW w:w="5940" w:type="dxa"/>
            <w:vAlign w:val="bottom"/>
            <w:tcBorders>
              <w:top w:val="single" w:sz="8" w:color="0000FF"/>
            </w:tcBorders>
            <w:gridSpan w:val="7"/>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8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00"/>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101.INS</w:t>
            </w:r>
          </w:p>
        </w:tc>
        <w:tc>
          <w:tcPr>
            <w:tcW w:w="6220" w:type="dxa"/>
            <w:vAlign w:val="bottom"/>
            <w:gridSpan w:val="10"/>
            <w:shd w:val="clear" w:color="auto" w:fill="CCEEFF"/>
          </w:tcPr>
          <w:p>
            <w:pPr>
              <w:spacing w:after="0"/>
              <w:rPr>
                <w:sz w:val="20"/>
                <w:szCs w:val="20"/>
                <w:color w:val="auto"/>
              </w:rPr>
            </w:pPr>
            <w:r>
              <w:rPr>
                <w:rFonts w:ascii="Arial" w:cs="Arial" w:eastAsia="Arial" w:hAnsi="Arial"/>
                <w:sz w:val="16"/>
                <w:szCs w:val="16"/>
                <w:color w:val="auto"/>
                <w:w w:val="97"/>
              </w:rPr>
              <w:t>XBRL Instance Document (the instance document does not appear in the Interactive Data</w:t>
            </w: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7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101.SCH</w:t>
            </w:r>
          </w:p>
        </w:tc>
        <w:tc>
          <w:tcPr>
            <w:tcW w:w="622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4"/>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101.CAL</w:t>
            </w:r>
          </w:p>
        </w:tc>
        <w:tc>
          <w:tcPr>
            <w:tcW w:w="62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5"/>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101.DEF</w:t>
            </w:r>
          </w:p>
        </w:tc>
        <w:tc>
          <w:tcPr>
            <w:tcW w:w="622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4"/>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101.LAB</w:t>
            </w:r>
          </w:p>
        </w:tc>
        <w:tc>
          <w:tcPr>
            <w:tcW w:w="62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5"/>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101.PRE</w:t>
            </w:r>
          </w:p>
        </w:tc>
        <w:tc>
          <w:tcPr>
            <w:tcW w:w="622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4"/>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840" w:type="dxa"/>
            <w:vAlign w:val="bottom"/>
            <w:shd w:val="clear" w:color="auto" w:fill="CCEEFF"/>
          </w:tcPr>
          <w:p>
            <w:pPr>
              <w:spacing w:after="0"/>
              <w:rPr>
                <w:sz w:val="21"/>
                <w:szCs w:val="21"/>
                <w:color w:val="auto"/>
              </w:rPr>
            </w:pPr>
          </w:p>
        </w:tc>
        <w:tc>
          <w:tcPr>
            <w:tcW w:w="62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Cover Page Interactive File (formatted as inline XBRL and contained in Exhibit 101)</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98" w:lineRule="exact"/>
        <w:rPr>
          <w:sz w:val="20"/>
          <w:szCs w:val="20"/>
          <w:color w:val="auto"/>
        </w:rPr>
      </w:pPr>
    </w:p>
    <w:p>
      <w:pPr>
        <w:jc w:val="both"/>
        <w:ind w:left="320" w:hanging="316"/>
        <w:spacing w:after="0" w:line="265" w:lineRule="auto"/>
        <w:tabs>
          <w:tab w:leader="none" w:pos="3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44"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35" w:lineRule="exact"/>
        <w:rPr>
          <w:sz w:val="20"/>
          <w:szCs w:val="20"/>
          <w:color w:val="auto"/>
        </w:rPr>
      </w:pPr>
    </w:p>
    <w:p>
      <w:pPr>
        <w:ind w:left="20"/>
        <w:spacing w:after="0"/>
        <w:tabs>
          <w:tab w:leader="none" w:pos="5560" w:val="left"/>
          <w:tab w:leader="none" w:pos="7660" w:val="left"/>
          <w:tab w:leader="none" w:pos="814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33020</wp:posOffset>
            </wp:positionV>
            <wp:extent cx="3321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Christian O. Henry</w:t>
      </w:r>
    </w:p>
    <w:p>
      <w:pPr>
        <w:spacing w:after="0" w:line="25"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5560" w:val="left"/>
          <w:tab w:leader="none" w:pos="7840" w:val="left"/>
          <w:tab w:leader="none" w:pos="83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33020</wp:posOffset>
            </wp:positionV>
            <wp:extent cx="3321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Susan G. Kim</w:t>
      </w:r>
    </w:p>
    <w:p>
      <w:pPr>
        <w:spacing w:after="0" w:line="25"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5560" w:val="left"/>
          <w:tab w:leader="none" w:pos="7780" w:val="left"/>
          <w:tab w:leader="none" w:pos="824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33020</wp:posOffset>
            </wp:positionV>
            <wp:extent cx="33210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Michele Farmer</w:t>
      </w:r>
    </w:p>
    <w:p>
      <w:pPr>
        <w:spacing w:after="0" w:line="25"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Vice President and Chief Accounting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2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1"/>
          <w:szCs w:val="21"/>
          <w:b w:val="1"/>
          <w:bCs w:val="1"/>
          <w:color w:val="auto"/>
        </w:rPr>
        <w:t>Exhibit 31.1</w:t>
      </w:r>
    </w:p>
    <w:p>
      <w:pPr>
        <w:spacing w:after="0" w:line="106" w:lineRule="exact"/>
        <w:rPr>
          <w:sz w:val="20"/>
          <w:szCs w:val="20"/>
          <w:color w:val="auto"/>
        </w:rPr>
      </w:pPr>
    </w:p>
    <w:p>
      <w:pPr>
        <w:jc w:val="center"/>
        <w:ind w:left="340" w:right="2000"/>
        <w:spacing w:after="0" w:line="274" w:lineRule="auto"/>
        <w:rPr>
          <w:sz w:val="20"/>
          <w:szCs w:val="20"/>
          <w:color w:val="auto"/>
        </w:rPr>
      </w:pPr>
      <w:r>
        <w:rPr>
          <w:rFonts w:ascii="Arial" w:cs="Arial" w:eastAsia="Arial" w:hAnsi="Arial"/>
          <w:sz w:val="17"/>
          <w:szCs w:val="17"/>
          <w:b w:val="1"/>
          <w:bCs w:val="1"/>
          <w:color w:val="auto"/>
        </w:rPr>
        <w:t>CERTIFICATION OF CHIEF EXECUTIVE OFFICER PURSUANT TO SECURITIES EXCHANGE ACT RULES 13a-14(a) AND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 Christian Henry, certify that:</w:t>
      </w:r>
    </w:p>
    <w:p>
      <w:pPr>
        <w:spacing w:after="0" w:line="117" w:lineRule="exact"/>
        <w:rPr>
          <w:sz w:val="20"/>
          <w:szCs w:val="20"/>
          <w:color w:val="auto"/>
        </w:rPr>
      </w:pPr>
    </w:p>
    <w:p>
      <w:pPr>
        <w:ind w:left="620" w:hanging="22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Pacific Biosciences of California, Inc.;</w:t>
      </w:r>
    </w:p>
    <w:p>
      <w:pPr>
        <w:spacing w:after="0" w:line="116" w:lineRule="exact"/>
        <w:rPr>
          <w:rFonts w:ascii="Arial" w:cs="Arial" w:eastAsia="Arial" w:hAnsi="Arial"/>
          <w:sz w:val="17"/>
          <w:szCs w:val="17"/>
          <w:color w:val="auto"/>
        </w:rPr>
      </w:pPr>
    </w:p>
    <w:p>
      <w:pPr>
        <w:ind w:right="520" w:firstLine="394"/>
        <w:spacing w:after="0" w:line="356" w:lineRule="auto"/>
        <w:tabs>
          <w:tab w:leader="none" w:pos="624"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5"/>
          <w:szCs w:val="15"/>
          <w:color w:val="auto"/>
        </w:rPr>
      </w:pPr>
    </w:p>
    <w:p>
      <w:pPr>
        <w:ind w:right="500" w:firstLine="394"/>
        <w:spacing w:after="0" w:line="286" w:lineRule="auto"/>
        <w:tabs>
          <w:tab w:leader="none" w:pos="6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right="240" w:firstLine="394"/>
        <w:spacing w:after="0" w:line="270" w:lineRule="auto"/>
        <w:tabs>
          <w:tab w:leader="none" w:pos="6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ind w:right="40" w:firstLine="394"/>
        <w:spacing w:after="0" w:line="270"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jc w:val="both"/>
        <w:ind w:right="100" w:firstLine="394"/>
        <w:spacing w:after="0" w:line="270" w:lineRule="auto"/>
        <w:tabs>
          <w:tab w:leader="none" w:pos="6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right="140" w:firstLine="394"/>
        <w:spacing w:after="0" w:line="286"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right="360" w:firstLine="394"/>
        <w:spacing w:after="0" w:line="270" w:lineRule="auto"/>
        <w:tabs>
          <w:tab w:leader="none" w:pos="6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40" w:firstLine="394"/>
        <w:spacing w:after="0" w:line="319" w:lineRule="auto"/>
        <w:tabs>
          <w:tab w:leader="none" w:pos="6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sz w:val="20"/>
          <w:szCs w:val="20"/>
          <w:color w:val="auto"/>
        </w:rPr>
      </w:pPr>
    </w:p>
    <w:p>
      <w:pPr>
        <w:ind w:right="80" w:firstLine="394"/>
        <w:spacing w:after="0" w:line="286"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right="300" w:firstLine="394"/>
        <w:spacing w:after="0" w:line="286" w:lineRule="auto"/>
        <w:tabs>
          <w:tab w:leader="none" w:pos="6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p>
      <w:pPr>
        <w:ind w:left="20"/>
        <w:spacing w:after="0"/>
        <w:tabs>
          <w:tab w:leader="none" w:pos="5180" w:val="left"/>
          <w:tab w:leader="none" w:pos="75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15875</wp:posOffset>
            </wp:positionV>
            <wp:extent cx="3494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7"/>
          <w:szCs w:val="17"/>
          <w:color w:val="auto"/>
        </w:rPr>
        <w:t>Christian O. Henry</w:t>
      </w:r>
    </w:p>
    <w:p>
      <w:pPr>
        <w:spacing w:after="0" w:line="25" w:lineRule="exact"/>
        <w:rPr>
          <w:sz w:val="20"/>
          <w:szCs w:val="20"/>
          <w:color w:val="auto"/>
        </w:rPr>
      </w:pPr>
    </w:p>
    <w:p>
      <w:pPr>
        <w:jc w:val="center"/>
        <w:ind w:left="534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jc w:val="center"/>
        <w:ind w:left="53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1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1"/>
          <w:szCs w:val="21"/>
          <w:b w:val="1"/>
          <w:bCs w:val="1"/>
          <w:color w:val="auto"/>
        </w:rPr>
        <w:t>Exhibit 31.2</w:t>
      </w:r>
    </w:p>
    <w:p>
      <w:pPr>
        <w:spacing w:after="0" w:line="106" w:lineRule="exact"/>
        <w:rPr>
          <w:sz w:val="20"/>
          <w:szCs w:val="20"/>
          <w:color w:val="auto"/>
        </w:rPr>
      </w:pPr>
    </w:p>
    <w:p>
      <w:pPr>
        <w:jc w:val="center"/>
        <w:ind w:left="340" w:right="2000"/>
        <w:spacing w:after="0" w:line="274" w:lineRule="auto"/>
        <w:rPr>
          <w:sz w:val="20"/>
          <w:szCs w:val="20"/>
          <w:color w:val="auto"/>
        </w:rPr>
      </w:pPr>
      <w:r>
        <w:rPr>
          <w:rFonts w:ascii="Arial" w:cs="Arial" w:eastAsia="Arial" w:hAnsi="Arial"/>
          <w:sz w:val="17"/>
          <w:szCs w:val="17"/>
          <w:b w:val="1"/>
          <w:bCs w:val="1"/>
          <w:color w:val="auto"/>
        </w:rPr>
        <w:t>CERTIFICATION OF CHIEF FINANCIAL OFFICER PURSUANT TO SECURITIES EXCHANGE ACT RULES 13a-14(a) AND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 Susan Kim, certify that:</w:t>
      </w:r>
    </w:p>
    <w:p>
      <w:pPr>
        <w:spacing w:after="0" w:line="117" w:lineRule="exact"/>
        <w:rPr>
          <w:sz w:val="20"/>
          <w:szCs w:val="20"/>
          <w:color w:val="auto"/>
        </w:rPr>
      </w:pPr>
    </w:p>
    <w:p>
      <w:pPr>
        <w:ind w:left="620" w:hanging="22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Pacific Biosciences of California, Inc.;</w:t>
      </w:r>
    </w:p>
    <w:p>
      <w:pPr>
        <w:spacing w:after="0" w:line="116" w:lineRule="exact"/>
        <w:rPr>
          <w:rFonts w:ascii="Arial" w:cs="Arial" w:eastAsia="Arial" w:hAnsi="Arial"/>
          <w:sz w:val="17"/>
          <w:szCs w:val="17"/>
          <w:color w:val="auto"/>
        </w:rPr>
      </w:pPr>
    </w:p>
    <w:p>
      <w:pPr>
        <w:ind w:right="520" w:firstLine="394"/>
        <w:spacing w:after="0" w:line="356" w:lineRule="auto"/>
        <w:tabs>
          <w:tab w:leader="none" w:pos="624"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5"/>
          <w:szCs w:val="15"/>
          <w:color w:val="auto"/>
        </w:rPr>
      </w:pPr>
    </w:p>
    <w:p>
      <w:pPr>
        <w:ind w:right="500" w:firstLine="394"/>
        <w:spacing w:after="0" w:line="286" w:lineRule="auto"/>
        <w:tabs>
          <w:tab w:leader="none" w:pos="6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right="240" w:firstLine="394"/>
        <w:spacing w:after="0" w:line="270" w:lineRule="auto"/>
        <w:tabs>
          <w:tab w:leader="none" w:pos="6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ind w:right="40" w:firstLine="394"/>
        <w:spacing w:after="0" w:line="270"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jc w:val="both"/>
        <w:ind w:right="100" w:firstLine="394"/>
        <w:spacing w:after="0" w:line="270" w:lineRule="auto"/>
        <w:tabs>
          <w:tab w:leader="none" w:pos="6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right="140" w:firstLine="394"/>
        <w:spacing w:after="0" w:line="286"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right="360" w:firstLine="394"/>
        <w:spacing w:after="0" w:line="270" w:lineRule="auto"/>
        <w:tabs>
          <w:tab w:leader="none" w:pos="6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40" w:firstLine="394"/>
        <w:spacing w:after="0" w:line="319" w:lineRule="auto"/>
        <w:tabs>
          <w:tab w:leader="none" w:pos="6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sz w:val="20"/>
          <w:szCs w:val="20"/>
          <w:color w:val="auto"/>
        </w:rPr>
      </w:pPr>
    </w:p>
    <w:p>
      <w:pPr>
        <w:ind w:right="80" w:firstLine="394"/>
        <w:spacing w:after="0" w:line="286"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right="300" w:firstLine="394"/>
        <w:spacing w:after="0" w:line="286" w:lineRule="auto"/>
        <w:tabs>
          <w:tab w:leader="none" w:pos="6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
        <w:spacing w:after="0"/>
        <w:tabs>
          <w:tab w:leader="none" w:pos="5720" w:val="left"/>
          <w:tab w:leader="none" w:pos="83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15875</wp:posOffset>
            </wp:positionV>
            <wp:extent cx="33077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307715" cy="8255"/>
                    </a:xfrm>
                    <a:prstGeom prst="rect">
                      <a:avLst/>
                    </a:prstGeom>
                    <a:noFill/>
                  </pic:spPr>
                </pic:pic>
              </a:graphicData>
            </a:graphic>
          </wp:anchor>
        </w:drawing>
      </w:r>
    </w:p>
    <w:p>
      <w:pPr>
        <w:spacing w:after="0" w:line="32"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Susan G. Kim</w:t>
      </w:r>
    </w:p>
    <w:p>
      <w:pPr>
        <w:spacing w:after="0" w:line="25" w:lineRule="exact"/>
        <w:rPr>
          <w:sz w:val="20"/>
          <w:szCs w:val="20"/>
          <w:color w:val="auto"/>
        </w:rPr>
      </w:pPr>
    </w:p>
    <w:p>
      <w:pPr>
        <w:ind w:left="812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90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1"/>
          <w:szCs w:val="21"/>
          <w:b w:val="1"/>
          <w:bCs w:val="1"/>
          <w:color w:val="auto"/>
        </w:rPr>
        <w:t>Exhibit 32.1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Furnished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2"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In connection with the Quarterly Report of Pacific Biosciences of California, Inc. (the “Company”) on Form 10-Q for the period ended September 30, 2023,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38" w:lineRule="exact"/>
        <w:rPr>
          <w:sz w:val="20"/>
          <w:szCs w:val="20"/>
          <w:color w:val="auto"/>
        </w:rPr>
      </w:pPr>
    </w:p>
    <w:p>
      <w:pPr>
        <w:ind w:left="620" w:right="240" w:hanging="304"/>
        <w:spacing w:after="0" w:line="286" w:lineRule="auto"/>
        <w:tabs>
          <w:tab w:leader="none" w:pos="6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September 30, 2023 (the “Report”), fully complies with the requirements of section 13(a) or 15(d) of the Securities Exchange Act of 1934, and</w:t>
      </w:r>
    </w:p>
    <w:p>
      <w:pPr>
        <w:spacing w:after="0" w:line="119" w:lineRule="exact"/>
        <w:rPr>
          <w:rFonts w:ascii="Arial" w:cs="Arial" w:eastAsia="Arial" w:hAnsi="Arial"/>
          <w:sz w:val="17"/>
          <w:szCs w:val="17"/>
          <w:color w:val="auto"/>
        </w:rPr>
      </w:pPr>
    </w:p>
    <w:p>
      <w:pPr>
        <w:ind w:left="620" w:hanging="304"/>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040" w:val="left"/>
          <w:tab w:leader="none" w:pos="750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15875</wp:posOffset>
            </wp:positionV>
            <wp:extent cx="3568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Christian O. Henry</w:t>
      </w:r>
    </w:p>
    <w:p>
      <w:pPr>
        <w:spacing w:after="0" w:line="25"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90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1"/>
          <w:szCs w:val="21"/>
          <w:b w:val="1"/>
          <w:bCs w:val="1"/>
          <w:color w:val="auto"/>
        </w:rPr>
        <w:t>Exhibit 32.2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Furnished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connection with the Quarterly Report of Pacific Biosciences of California, Inc. (the “Company”) on Form 10-Q for the period ended September 30, 2023,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38" w:lineRule="exact"/>
        <w:rPr>
          <w:sz w:val="20"/>
          <w:szCs w:val="20"/>
          <w:color w:val="auto"/>
        </w:rPr>
      </w:pPr>
    </w:p>
    <w:p>
      <w:pPr>
        <w:ind w:left="620" w:right="240" w:hanging="304"/>
        <w:spacing w:after="0" w:line="286" w:lineRule="auto"/>
        <w:tabs>
          <w:tab w:leader="none" w:pos="6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September 30, 2023 (the “Report”), fully complies with the requirements of section 13(a) or 15(d) of the Securities Exchange Act of 1934, and</w:t>
      </w:r>
    </w:p>
    <w:p>
      <w:pPr>
        <w:spacing w:after="0" w:line="119" w:lineRule="exact"/>
        <w:rPr>
          <w:rFonts w:ascii="Arial" w:cs="Arial" w:eastAsia="Arial" w:hAnsi="Arial"/>
          <w:sz w:val="17"/>
          <w:szCs w:val="17"/>
          <w:color w:val="auto"/>
        </w:rPr>
      </w:pPr>
    </w:p>
    <w:p>
      <w:pPr>
        <w:ind w:left="620" w:hanging="304"/>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ind w:left="20"/>
        <w:spacing w:after="0"/>
        <w:tabs>
          <w:tab w:leader="none" w:pos="5220" w:val="left"/>
          <w:tab w:leader="none" w:pos="78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8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jc w:val="center"/>
        <w:ind w:left="5600"/>
        <w:spacing w:after="0"/>
        <w:rPr>
          <w:sz w:val="20"/>
          <w:szCs w:val="20"/>
          <w:color w:val="auto"/>
        </w:rPr>
      </w:pPr>
      <w:r>
        <w:rPr>
          <w:rFonts w:ascii="Arial" w:cs="Arial" w:eastAsia="Arial" w:hAnsi="Arial"/>
          <w:sz w:val="17"/>
          <w:szCs w:val="17"/>
          <w:color w:val="auto"/>
        </w:rPr>
        <w:t>Susan G. Kim</w:t>
      </w:r>
    </w:p>
    <w:p>
      <w:pPr>
        <w:spacing w:after="0" w:line="25" w:lineRule="exact"/>
        <w:rPr>
          <w:sz w:val="20"/>
          <w:szCs w:val="20"/>
          <w:color w:val="auto"/>
        </w:rPr>
      </w:pPr>
    </w:p>
    <w:p>
      <w:pPr>
        <w:jc w:val="center"/>
        <w:ind w:left="560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jc w:val="center"/>
        <w:ind w:left="56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5" Type="http://schemas.openxmlformats.org/officeDocument/2006/relationships/hyperlink" Target="https://www.sec.gov/Archives/edgar/data/1299130/000119312511075269/dex31.htm" TargetMode="External"/><Relationship Id="rId96" Type="http://schemas.openxmlformats.org/officeDocument/2006/relationships/hyperlink" Target="https://www.sec.gov/Archives/edgar/data/1299130/000129913022000128/pacb-20221103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2023-11-03T15:38:27Z</dcterms:created>
  <dcterms:modified xsi:type="dcterms:W3CDTF">2023-11-03T15:38:27Z</dcterms:modified>
</cp:coreProperties>
</file>