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146050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1617980</wp:posOffset>
            </wp:positionH>
            <wp:positionV relativeFrom="paragraph">
              <wp:posOffset>70485</wp:posOffset>
            </wp:positionV>
            <wp:extent cx="39319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31920" cy="5715"/>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1617980</wp:posOffset>
            </wp:positionH>
            <wp:positionV relativeFrom="paragraph">
              <wp:posOffset>81915</wp:posOffset>
            </wp:positionV>
            <wp:extent cx="393192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1920" cy="571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 w:lineRule="exact"/>
        <w:rPr>
          <w:sz w:val="24"/>
          <w:szCs w:val="24"/>
          <w:color w:val="auto"/>
        </w:rPr>
      </w:pPr>
    </w:p>
    <w:p>
      <w:pPr>
        <w:ind w:left="4560" w:right="2760" w:hanging="1688"/>
        <w:spacing w:after="0" w:line="430" w:lineRule="auto"/>
        <w:tabs>
          <w:tab w:leader="none" w:pos="3050" w:val="left"/>
        </w:tabs>
        <w:numPr>
          <w:ilvl w:val="0"/>
          <w:numId w:val="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March 31, 2022</w:t>
      </w:r>
    </w:p>
    <w:p>
      <w:pPr>
        <w:spacing w:after="0" w:line="208" w:lineRule="exact"/>
        <w:rPr>
          <w:sz w:val="24"/>
          <w:szCs w:val="24"/>
          <w:color w:val="auto"/>
        </w:rPr>
      </w:pPr>
    </w:p>
    <w:p>
      <w:pPr>
        <w:ind w:left="3040" w:hanging="172"/>
        <w:spacing w:after="0"/>
        <w:tabs>
          <w:tab w:leader="none" w:pos="304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2540" w:type="dxa"/>
        <w:tblCellMar>
          <w:top w:w="0" w:type="dxa"/>
          <w:left w:w="0" w:type="dxa"/>
          <w:bottom w:w="0" w:type="dxa"/>
          <w:right w:w="0" w:type="dxa"/>
        </w:tblCellMar>
      </w:tblPr>
      <w:tr>
        <w:trPr>
          <w:trHeight w:val="142"/>
        </w:trPr>
        <w:tc>
          <w:tcPr>
            <w:tcW w:w="3580" w:type="dxa"/>
            <w:vAlign w:val="bottom"/>
          </w:tcPr>
          <w:p>
            <w:pPr>
              <w:ind w:left="2020"/>
              <w:spacing w:after="0"/>
              <w:rPr>
                <w:sz w:val="20"/>
                <w:szCs w:val="20"/>
                <w:color w:val="auto"/>
              </w:rPr>
            </w:pPr>
            <w:r>
              <w:rPr>
                <w:rFonts w:ascii="Times New Roman" w:cs="Times New Roman" w:eastAsia="Times New Roman" w:hAnsi="Times New Roman"/>
                <w:sz w:val="11"/>
                <w:szCs w:val="11"/>
                <w:b w:val="1"/>
                <w:bCs w:val="1"/>
                <w:color w:val="auto"/>
              </w:rPr>
              <w:t>For the transition period from</w:t>
            </w:r>
          </w:p>
        </w:tc>
        <w:tc>
          <w:tcPr>
            <w:tcW w:w="262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w:t>
            </w:r>
          </w:p>
        </w:tc>
      </w:tr>
      <w:tr>
        <w:trPr>
          <w:trHeight w:val="225"/>
        </w:trPr>
        <w:tc>
          <w:tcPr>
            <w:tcW w:w="6200" w:type="dxa"/>
            <w:vAlign w:val="bottom"/>
            <w:gridSpan w:val="2"/>
          </w:tcPr>
          <w:p>
            <w:pPr>
              <w:ind w:left="2260"/>
              <w:spacing w:after="0"/>
              <w:rPr>
                <w:sz w:val="20"/>
                <w:szCs w:val="20"/>
                <w:color w:val="auto"/>
              </w:rPr>
            </w:pPr>
            <w:r>
              <w:rPr>
                <w:rFonts w:ascii="Times New Roman" w:cs="Times New Roman" w:eastAsia="Times New Roman" w:hAnsi="Times New Roman"/>
                <w:sz w:val="11"/>
                <w:szCs w:val="11"/>
                <w:b w:val="1"/>
                <w:bCs w:val="1"/>
                <w:color w:val="auto"/>
              </w:rPr>
              <w:t>Commission File Number 001-34899</w:t>
            </w:r>
          </w:p>
        </w:tc>
      </w:tr>
      <w:tr>
        <w:trPr>
          <w:trHeight w:val="112"/>
        </w:trPr>
        <w:tc>
          <w:tcPr>
            <w:tcW w:w="35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2846705</wp:posOffset>
            </wp:positionH>
            <wp:positionV relativeFrom="paragraph">
              <wp:posOffset>34290</wp:posOffset>
            </wp:positionV>
            <wp:extent cx="1474470" cy="320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32004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Pacific Biosciences of California, Inc.</w:t>
            </w:r>
          </w:p>
        </w:tc>
        <w:tc>
          <w:tcPr>
            <w:tcW w:w="168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142"/>
        </w:trPr>
        <w:tc>
          <w:tcPr>
            <w:tcW w:w="25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168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12"/>
        </w:trPr>
        <w:tc>
          <w:tcPr>
            <w:tcW w:w="254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r>
      <w:tr>
        <w:trPr>
          <w:trHeight w:val="207"/>
        </w:trPr>
        <w:tc>
          <w:tcPr>
            <w:tcW w:w="2540" w:type="dxa"/>
            <w:vAlign w:val="bottom"/>
          </w:tcPr>
          <w:p>
            <w:pPr>
              <w:spacing w:after="0"/>
              <w:rPr>
                <w:sz w:val="17"/>
                <w:szCs w:val="17"/>
                <w:color w:val="auto"/>
              </w:rPr>
            </w:pPr>
          </w:p>
        </w:tc>
        <w:tc>
          <w:tcPr>
            <w:tcW w:w="1720" w:type="dxa"/>
            <w:vAlign w:val="bottom"/>
          </w:tcPr>
          <w:p>
            <w:pPr>
              <w:jc w:val="center"/>
              <w:ind w:right="1112"/>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28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16-1590339</w:t>
            </w:r>
          </w:p>
        </w:tc>
        <w:tc>
          <w:tcPr>
            <w:tcW w:w="2580" w:type="dxa"/>
            <w:vAlign w:val="bottom"/>
          </w:tcPr>
          <w:p>
            <w:pPr>
              <w:spacing w:after="0"/>
              <w:rPr>
                <w:sz w:val="17"/>
                <w:szCs w:val="17"/>
                <w:color w:val="auto"/>
              </w:rPr>
            </w:pPr>
          </w:p>
        </w:tc>
      </w:tr>
      <w:tr>
        <w:trPr>
          <w:trHeight w:val="108"/>
        </w:trPr>
        <w:tc>
          <w:tcPr>
            <w:tcW w:w="4260" w:type="dxa"/>
            <w:vAlign w:val="bottom"/>
            <w:gridSpan w:val="2"/>
          </w:tcPr>
          <w:p>
            <w:pPr>
              <w:jc w:val="center"/>
              <w:ind w:left="1332"/>
              <w:spacing w:after="0" w:line="108"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800" w:type="dxa"/>
            <w:vAlign w:val="bottom"/>
          </w:tcPr>
          <w:p>
            <w:pPr>
              <w:spacing w:after="0"/>
              <w:rPr>
                <w:sz w:val="9"/>
                <w:szCs w:val="9"/>
                <w:color w:val="auto"/>
              </w:rPr>
            </w:pPr>
          </w:p>
        </w:tc>
        <w:tc>
          <w:tcPr>
            <w:tcW w:w="4260" w:type="dxa"/>
            <w:vAlign w:val="bottom"/>
            <w:gridSpan w:val="2"/>
          </w:tcPr>
          <w:p>
            <w:pPr>
              <w:jc w:val="center"/>
              <w:ind w:right="1440"/>
              <w:spacing w:after="0" w:line="108" w:lineRule="exact"/>
              <w:rPr>
                <w:sz w:val="20"/>
                <w:szCs w:val="20"/>
                <w:color w:val="auto"/>
              </w:rPr>
            </w:pPr>
            <w:r>
              <w:rPr>
                <w:rFonts w:ascii="Times New Roman" w:cs="Times New Roman" w:eastAsia="Times New Roman" w:hAnsi="Times New Roman"/>
                <w:sz w:val="10"/>
                <w:szCs w:val="10"/>
                <w:b w:val="1"/>
                <w:bCs w:val="1"/>
                <w:color w:val="auto"/>
                <w:w w:val="96"/>
              </w:rPr>
              <w:t>(I.R.S. Employer</w:t>
            </w:r>
          </w:p>
        </w:tc>
      </w:tr>
      <w:tr>
        <w:trPr>
          <w:trHeight w:val="125"/>
        </w:trPr>
        <w:tc>
          <w:tcPr>
            <w:tcW w:w="4260" w:type="dxa"/>
            <w:vAlign w:val="bottom"/>
            <w:gridSpan w:val="2"/>
          </w:tcPr>
          <w:p>
            <w:pPr>
              <w:jc w:val="center"/>
              <w:ind w:left="1332"/>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2800" w:type="dxa"/>
            <w:vAlign w:val="bottom"/>
          </w:tcPr>
          <w:p>
            <w:pPr>
              <w:spacing w:after="0"/>
              <w:rPr>
                <w:sz w:val="10"/>
                <w:szCs w:val="10"/>
                <w:color w:val="auto"/>
              </w:rPr>
            </w:pPr>
          </w:p>
        </w:tc>
        <w:tc>
          <w:tcPr>
            <w:tcW w:w="4260" w:type="dxa"/>
            <w:vAlign w:val="bottom"/>
            <w:gridSpan w:val="2"/>
          </w:tcPr>
          <w:p>
            <w:pPr>
              <w:jc w:val="center"/>
              <w:ind w:right="1440"/>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199"/>
        </w:trPr>
        <w:tc>
          <w:tcPr>
            <w:tcW w:w="4260" w:type="dxa"/>
            <w:vAlign w:val="bottom"/>
            <w:gridSpan w:val="2"/>
          </w:tcPr>
          <w:p>
            <w:pPr>
              <w:jc w:val="center"/>
              <w:ind w:left="1332"/>
              <w:spacing w:after="0"/>
              <w:rPr>
                <w:sz w:val="20"/>
                <w:szCs w:val="20"/>
                <w:color w:val="auto"/>
              </w:rPr>
            </w:pPr>
            <w:r>
              <w:rPr>
                <w:rFonts w:ascii="Times New Roman" w:cs="Times New Roman" w:eastAsia="Times New Roman" w:hAnsi="Times New Roman"/>
                <w:sz w:val="10"/>
                <w:szCs w:val="10"/>
                <w:b w:val="1"/>
                <w:bCs w:val="1"/>
                <w:color w:val="auto"/>
                <w:w w:val="95"/>
              </w:rPr>
              <w:t>1305 O’Brien Drive</w:t>
            </w:r>
          </w:p>
        </w:tc>
        <w:tc>
          <w:tcPr>
            <w:tcW w:w="2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08"/>
        </w:trPr>
        <w:tc>
          <w:tcPr>
            <w:tcW w:w="4260" w:type="dxa"/>
            <w:vAlign w:val="bottom"/>
            <w:gridSpan w:val="2"/>
          </w:tcPr>
          <w:p>
            <w:pPr>
              <w:jc w:val="center"/>
              <w:ind w:left="1332"/>
              <w:spacing w:after="0" w:line="108" w:lineRule="exact"/>
              <w:rPr>
                <w:sz w:val="20"/>
                <w:szCs w:val="20"/>
                <w:color w:val="auto"/>
              </w:rPr>
            </w:pPr>
            <w:r>
              <w:rPr>
                <w:rFonts w:ascii="Times New Roman" w:cs="Times New Roman" w:eastAsia="Times New Roman" w:hAnsi="Times New Roman"/>
                <w:sz w:val="10"/>
                <w:szCs w:val="10"/>
                <w:b w:val="1"/>
                <w:bCs w:val="1"/>
                <w:color w:val="auto"/>
                <w:w w:val="96"/>
              </w:rPr>
              <w:t>Menlo Park, CA</w:t>
            </w:r>
          </w:p>
        </w:tc>
        <w:tc>
          <w:tcPr>
            <w:tcW w:w="2800" w:type="dxa"/>
            <w:vAlign w:val="bottom"/>
          </w:tcPr>
          <w:p>
            <w:pPr>
              <w:spacing w:after="0"/>
              <w:rPr>
                <w:sz w:val="9"/>
                <w:szCs w:val="9"/>
                <w:color w:val="auto"/>
              </w:rPr>
            </w:pPr>
          </w:p>
        </w:tc>
        <w:tc>
          <w:tcPr>
            <w:tcW w:w="1680" w:type="dxa"/>
            <w:vAlign w:val="bottom"/>
          </w:tcPr>
          <w:p>
            <w:pPr>
              <w:jc w:val="right"/>
              <w:ind w:right="112"/>
              <w:spacing w:after="0" w:line="108" w:lineRule="exact"/>
              <w:rPr>
                <w:sz w:val="20"/>
                <w:szCs w:val="20"/>
                <w:color w:val="auto"/>
              </w:rPr>
            </w:pPr>
            <w:r>
              <w:rPr>
                <w:rFonts w:ascii="Times New Roman" w:cs="Times New Roman" w:eastAsia="Times New Roman" w:hAnsi="Times New Roman"/>
                <w:sz w:val="10"/>
                <w:szCs w:val="10"/>
                <w:b w:val="1"/>
                <w:bCs w:val="1"/>
                <w:color w:val="auto"/>
              </w:rPr>
              <w:t>94025</w:t>
            </w:r>
          </w:p>
        </w:tc>
        <w:tc>
          <w:tcPr>
            <w:tcW w:w="2580" w:type="dxa"/>
            <w:vAlign w:val="bottom"/>
          </w:tcPr>
          <w:p>
            <w:pPr>
              <w:spacing w:after="0"/>
              <w:rPr>
                <w:sz w:val="9"/>
                <w:szCs w:val="9"/>
                <w:color w:val="auto"/>
              </w:rPr>
            </w:pPr>
          </w:p>
        </w:tc>
      </w:tr>
      <w:tr>
        <w:trPr>
          <w:trHeight w:val="125"/>
        </w:trPr>
        <w:tc>
          <w:tcPr>
            <w:tcW w:w="4260" w:type="dxa"/>
            <w:vAlign w:val="bottom"/>
            <w:gridSpan w:val="2"/>
          </w:tcPr>
          <w:p>
            <w:pPr>
              <w:jc w:val="center"/>
              <w:ind w:left="1332"/>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2800" w:type="dxa"/>
            <w:vAlign w:val="bottom"/>
          </w:tcPr>
          <w:p>
            <w:pPr>
              <w:spacing w:after="0"/>
              <w:rPr>
                <w:sz w:val="10"/>
                <w:szCs w:val="10"/>
                <w:color w:val="auto"/>
              </w:rPr>
            </w:pPr>
          </w:p>
        </w:tc>
        <w:tc>
          <w:tcPr>
            <w:tcW w:w="4260" w:type="dxa"/>
            <w:vAlign w:val="bottom"/>
            <w:gridSpan w:val="2"/>
          </w:tcPr>
          <w:p>
            <w:pPr>
              <w:jc w:val="center"/>
              <w:ind w:right="1440"/>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199"/>
        </w:trPr>
        <w:tc>
          <w:tcPr>
            <w:tcW w:w="2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(650) 521-8000</w:t>
            </w:r>
          </w:p>
        </w:tc>
        <w:tc>
          <w:tcPr>
            <w:tcW w:w="16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125"/>
        </w:trPr>
        <w:tc>
          <w:tcPr>
            <w:tcW w:w="25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w:t>
            </w:r>
          </w:p>
        </w:tc>
        <w:tc>
          <w:tcPr>
            <w:tcW w:w="1680" w:type="dxa"/>
            <w:vAlign w:val="bottom"/>
          </w:tcPr>
          <w:p>
            <w:pPr>
              <w:spacing w:after="0"/>
              <w:rPr>
                <w:sz w:val="10"/>
                <w:szCs w:val="10"/>
                <w:color w:val="auto"/>
              </w:rPr>
            </w:pPr>
          </w:p>
        </w:tc>
        <w:tc>
          <w:tcPr>
            <w:tcW w:w="2580" w:type="dxa"/>
            <w:vAlign w:val="bottom"/>
          </w:tcPr>
          <w:p>
            <w:pPr>
              <w:spacing w:after="0"/>
              <w:rPr>
                <w:sz w:val="10"/>
                <w:szCs w:val="10"/>
                <w:color w:val="auto"/>
              </w:rPr>
            </w:pPr>
          </w:p>
        </w:tc>
      </w:tr>
      <w:tr>
        <w:trPr>
          <w:trHeight w:val="107"/>
        </w:trPr>
        <w:tc>
          <w:tcPr>
            <w:tcW w:w="254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r>
      <w:tr>
        <w:trPr>
          <w:trHeight w:val="170"/>
        </w:trPr>
        <w:tc>
          <w:tcPr>
            <w:tcW w:w="2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Securities registered pursuant to Section 12(b) of the Act:</w:t>
            </w:r>
          </w:p>
        </w:tc>
        <w:tc>
          <w:tcPr>
            <w:tcW w:w="1680" w:type="dxa"/>
            <w:vAlign w:val="bottom"/>
          </w:tcPr>
          <w:p>
            <w:pPr>
              <w:spacing w:after="0"/>
              <w:rPr>
                <w:sz w:val="14"/>
                <w:szCs w:val="14"/>
                <w:color w:val="auto"/>
              </w:rPr>
            </w:pPr>
          </w:p>
        </w:tc>
        <w:tc>
          <w:tcPr>
            <w:tcW w:w="2580" w:type="dxa"/>
            <w:vAlign w:val="bottom"/>
          </w:tcPr>
          <w:p>
            <w:pPr>
              <w:spacing w:after="0"/>
              <w:rPr>
                <w:sz w:val="14"/>
                <w:szCs w:val="14"/>
                <w:color w:val="auto"/>
              </w:rPr>
            </w:pPr>
          </w:p>
        </w:tc>
      </w:tr>
      <w:tr>
        <w:trPr>
          <w:trHeight w:val="80"/>
        </w:trPr>
        <w:tc>
          <w:tcPr>
            <w:tcW w:w="4260" w:type="dxa"/>
            <w:vAlign w:val="bottom"/>
            <w:tcBorders>
              <w:bottom w:val="single" w:sz="8" w:color="auto"/>
            </w:tcBorders>
            <w:gridSpan w:val="2"/>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4260" w:type="dxa"/>
            <w:vAlign w:val="bottom"/>
            <w:tcBorders>
              <w:bottom w:val="single" w:sz="8" w:color="auto"/>
            </w:tcBorders>
            <w:gridSpan w:val="2"/>
          </w:tcPr>
          <w:p>
            <w:pPr>
              <w:spacing w:after="0"/>
              <w:rPr>
                <w:sz w:val="6"/>
                <w:szCs w:val="6"/>
                <w:color w:val="auto"/>
              </w:rPr>
            </w:pPr>
          </w:p>
        </w:tc>
      </w:tr>
      <w:tr>
        <w:trPr>
          <w:trHeight w:val="114"/>
        </w:trPr>
        <w:tc>
          <w:tcPr>
            <w:tcW w:w="4260" w:type="dxa"/>
            <w:vAlign w:val="bottom"/>
            <w:tcBorders>
              <w:left w:val="single" w:sz="8" w:color="auto"/>
              <w:bottom w:val="single" w:sz="8" w:color="auto"/>
              <w:right w:val="single" w:sz="8" w:color="auto"/>
            </w:tcBorders>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Title of each class</w:t>
            </w:r>
          </w:p>
        </w:tc>
        <w:tc>
          <w:tcPr>
            <w:tcW w:w="2800" w:type="dxa"/>
            <w:vAlign w:val="bottom"/>
            <w:tcBorders>
              <w:bottom w:val="single" w:sz="8" w:color="auto"/>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Trading Symbol(s)</w:t>
            </w:r>
          </w:p>
        </w:tc>
        <w:tc>
          <w:tcPr>
            <w:tcW w:w="4260" w:type="dxa"/>
            <w:vAlign w:val="bottom"/>
            <w:tcBorders>
              <w:bottom w:val="single" w:sz="8" w:color="auto"/>
              <w:right w:val="single" w:sz="8" w:color="auto"/>
            </w:tcBorders>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color w:val="auto"/>
                <w:w w:val="95"/>
              </w:rPr>
              <w:t>Name of each exchange on which registered</w:t>
            </w:r>
          </w:p>
        </w:tc>
      </w:tr>
      <w:tr>
        <w:trPr>
          <w:trHeight w:val="115"/>
        </w:trPr>
        <w:tc>
          <w:tcPr>
            <w:tcW w:w="426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6"/>
              </w:rPr>
              <w:t>Common Stock, par value $0.001 per share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1"/>
              </w:rPr>
              <w:t>PACB</w:t>
            </w:r>
          </w:p>
        </w:tc>
        <w:tc>
          <w:tcPr>
            <w:tcW w:w="42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5"/>
              </w:rPr>
              <w:t>The NASDAQ Stock Market LLC</w:t>
            </w:r>
          </w:p>
        </w:tc>
      </w:tr>
    </w:tbl>
    <w:p>
      <w:pPr>
        <w:spacing w:after="0" w:line="40" w:lineRule="exact"/>
        <w:rPr>
          <w:sz w:val="24"/>
          <w:szCs w:val="24"/>
          <w:color w:val="auto"/>
        </w:rPr>
      </w:pPr>
    </w:p>
    <w:p>
      <w:pPr>
        <w:ind w:right="240" w:firstLine="294"/>
        <w:spacing w:after="0" w:line="232" w:lineRule="auto"/>
        <w:rPr>
          <w:sz w:val="20"/>
          <w:szCs w:val="20"/>
          <w:color w:val="auto"/>
        </w:rPr>
      </w:pPr>
      <w:r>
        <w:rPr>
          <w:rFonts w:ascii="Times New Roman" w:cs="Times New Roman" w:eastAsia="Times New Roman" w:hAnsi="Times New Roman"/>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o</w:t>
      </w:r>
    </w:p>
    <w:p>
      <w:pPr>
        <w:spacing w:after="0" w:line="93" w:lineRule="exact"/>
        <w:rPr>
          <w:sz w:val="24"/>
          <w:szCs w:val="24"/>
          <w:color w:val="auto"/>
        </w:rPr>
      </w:pPr>
    </w:p>
    <w:p>
      <w:pPr>
        <w:ind w:right="100" w:firstLine="294"/>
        <w:spacing w:after="0" w:line="232" w:lineRule="auto"/>
        <w:rPr>
          <w:sz w:val="20"/>
          <w:szCs w:val="20"/>
          <w:color w:val="auto"/>
        </w:rPr>
      </w:pPr>
      <w:r>
        <w:rPr>
          <w:rFonts w:ascii="Times New Roman" w:cs="Times New Roman" w:eastAsia="Times New Roman" w:hAnsi="Times New Roman"/>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T No o</w:t>
      </w:r>
    </w:p>
    <w:p>
      <w:pPr>
        <w:spacing w:after="0" w:line="93" w:lineRule="exact"/>
        <w:rPr>
          <w:sz w:val="24"/>
          <w:szCs w:val="24"/>
          <w:color w:val="auto"/>
        </w:rPr>
      </w:pPr>
    </w:p>
    <w:p>
      <w:pPr>
        <w:ind w:right="300" w:firstLine="294"/>
        <w:spacing w:after="0" w:line="226"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98"/>
        </w:trPr>
        <w:tc>
          <w:tcPr>
            <w:tcW w:w="19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Large accelerated filer</w:t>
            </w:r>
          </w:p>
        </w:tc>
        <w:tc>
          <w:tcPr>
            <w:tcW w:w="3040" w:type="dxa"/>
            <w:vAlign w:val="bottom"/>
          </w:tcPr>
          <w:p>
            <w:pPr>
              <w:ind w:left="920"/>
              <w:spacing w:after="0" w:line="99" w:lineRule="exact"/>
              <w:rPr>
                <w:sz w:val="20"/>
                <w:szCs w:val="20"/>
                <w:color w:val="auto"/>
              </w:rPr>
            </w:pPr>
            <w:r>
              <w:rPr>
                <w:rFonts w:ascii="Times New Roman" w:cs="Times New Roman" w:eastAsia="Times New Roman" w:hAnsi="Times New Roman"/>
                <w:sz w:val="10"/>
                <w:szCs w:val="10"/>
                <w:color w:val="auto"/>
              </w:rPr>
              <w:t>T</w:t>
            </w:r>
          </w:p>
        </w:tc>
        <w:tc>
          <w:tcPr>
            <w:tcW w:w="5520" w:type="dxa"/>
            <w:vAlign w:val="bottom"/>
          </w:tcPr>
          <w:p>
            <w:pPr>
              <w:ind w:left="2840"/>
              <w:spacing w:after="0" w:line="99" w:lineRule="exact"/>
              <w:rPr>
                <w:sz w:val="20"/>
                <w:szCs w:val="20"/>
                <w:color w:val="auto"/>
              </w:rPr>
            </w:pPr>
            <w:r>
              <w:rPr>
                <w:rFonts w:ascii="Times New Roman" w:cs="Times New Roman" w:eastAsia="Times New Roman" w:hAnsi="Times New Roman"/>
                <w:sz w:val="10"/>
                <w:szCs w:val="10"/>
                <w:color w:val="auto"/>
              </w:rPr>
              <w:t>Accelerated filer</w:t>
            </w:r>
          </w:p>
        </w:tc>
        <w:tc>
          <w:tcPr>
            <w:tcW w:w="760" w:type="dxa"/>
            <w:vAlign w:val="bottom"/>
          </w:tcPr>
          <w:p>
            <w:pPr>
              <w:ind w:left="480"/>
              <w:spacing w:after="0" w:line="99" w:lineRule="exact"/>
              <w:rPr>
                <w:sz w:val="20"/>
                <w:szCs w:val="20"/>
                <w:color w:val="auto"/>
              </w:rPr>
            </w:pPr>
            <w:r>
              <w:rPr>
                <w:rFonts w:ascii="Times New Roman" w:cs="Times New Roman" w:eastAsia="Times New Roman" w:hAnsi="Times New Roman"/>
                <w:sz w:val="10"/>
                <w:szCs w:val="10"/>
                <w:color w:val="auto"/>
              </w:rPr>
              <w:t>o</w:t>
            </w:r>
          </w:p>
        </w:tc>
      </w:tr>
      <w:tr>
        <w:trPr>
          <w:trHeight w:val="123"/>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304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o</w:t>
            </w:r>
          </w:p>
        </w:tc>
        <w:tc>
          <w:tcPr>
            <w:tcW w:w="5520" w:type="dxa"/>
            <w:vAlign w:val="bottom"/>
          </w:tcPr>
          <w:p>
            <w:pPr>
              <w:ind w:left="284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76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o</w:t>
            </w:r>
          </w:p>
        </w:tc>
      </w:tr>
      <w:tr>
        <w:trPr>
          <w:trHeight w:val="126"/>
        </w:trPr>
        <w:tc>
          <w:tcPr>
            <w:tcW w:w="198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w:t>
            </w:r>
          </w:p>
        </w:tc>
        <w:tc>
          <w:tcPr>
            <w:tcW w:w="3040" w:type="dxa"/>
            <w:vAlign w:val="bottom"/>
          </w:tcPr>
          <w:p>
            <w:pPr>
              <w:ind w:left="920"/>
              <w:spacing w:after="0"/>
              <w:rPr>
                <w:sz w:val="20"/>
                <w:szCs w:val="20"/>
                <w:color w:val="auto"/>
              </w:rPr>
            </w:pPr>
            <w:r>
              <w:rPr>
                <w:rFonts w:ascii="Times New Roman" w:cs="Times New Roman" w:eastAsia="Times New Roman" w:hAnsi="Times New Roman"/>
                <w:sz w:val="10"/>
                <w:szCs w:val="10"/>
                <w:color w:val="auto"/>
              </w:rPr>
              <w:t>o</w:t>
            </w:r>
          </w:p>
        </w:tc>
        <w:tc>
          <w:tcPr>
            <w:tcW w:w="55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16"/>
        </w:trPr>
        <w:tc>
          <w:tcPr>
            <w:tcW w:w="105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tc>
        <w:tc>
          <w:tcPr>
            <w:tcW w:w="760" w:type="dxa"/>
            <w:vAlign w:val="bottom"/>
          </w:tcPr>
          <w:p>
            <w:pPr>
              <w:spacing w:after="0"/>
              <w:rPr>
                <w:sz w:val="18"/>
                <w:szCs w:val="18"/>
                <w:color w:val="auto"/>
              </w:rPr>
            </w:pPr>
          </w:p>
        </w:tc>
      </w:tr>
      <w:tr>
        <w:trPr>
          <w:trHeight w:val="207"/>
        </w:trPr>
        <w:tc>
          <w:tcPr>
            <w:tcW w:w="50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w w:val="97"/>
              </w:rPr>
              <w:t>Indicate by check mark whether the registrant is a shell company (as defined in Rule 12b-2 of the Exchange Act).  Yes o</w:t>
            </w:r>
          </w:p>
        </w:tc>
        <w:tc>
          <w:tcPr>
            <w:tcW w:w="552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No  T</w:t>
            </w:r>
          </w:p>
        </w:tc>
        <w:tc>
          <w:tcPr>
            <w:tcW w:w="760" w:type="dxa"/>
            <w:vAlign w:val="bottom"/>
          </w:tcPr>
          <w:p>
            <w:pPr>
              <w:spacing w:after="0"/>
              <w:rPr>
                <w:sz w:val="18"/>
                <w:szCs w:val="18"/>
                <w:color w:val="auto"/>
              </w:rPr>
            </w:pPr>
          </w:p>
        </w:tc>
      </w:tr>
      <w:tr>
        <w:trPr>
          <w:trHeight w:val="216"/>
        </w:trPr>
        <w:tc>
          <w:tcPr>
            <w:tcW w:w="50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Number of shares outstanding of the issuer’s common stock as of April 30, 2022: 224,383,347.</w:t>
            </w:r>
          </w:p>
        </w:tc>
        <w:tc>
          <w:tcPr>
            <w:tcW w:w="55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94"/>
        </w:trPr>
        <w:tc>
          <w:tcPr>
            <w:tcW w:w="19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40" w:type="dxa"/>
            <w:vAlign w:val="bottom"/>
            <w:gridSpan w:val="6"/>
          </w:tcPr>
          <w:p>
            <w:pPr>
              <w:jc w:val="center"/>
              <w:ind w:right="3620"/>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2"/>
              </w:rPr>
              <w:t>PAGE No.</w:t>
            </w:r>
          </w:p>
        </w:tc>
      </w:tr>
      <w:tr>
        <w:trPr>
          <w:trHeight w:val="232"/>
        </w:trPr>
        <w:tc>
          <w:tcPr>
            <w:tcW w:w="80" w:type="dxa"/>
            <w:vAlign w:val="bottom"/>
          </w:tcPr>
          <w:p>
            <w:pPr>
              <w:spacing w:after="0"/>
              <w:rPr>
                <w:sz w:val="20"/>
                <w:szCs w:val="20"/>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1. Financial Statements (unaudited):</w:t>
            </w: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2"/>
                <w:szCs w:val="12"/>
                <w:color w:val="0000FF"/>
              </w:rPr>
              <w:t>Condensed Consolidated Balance Sheets as of March 31, 2022 and December 31, 2021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2"/>
                <w:szCs w:val="12"/>
                <w:color w:val="0000FF"/>
              </w:rPr>
              <w:t>Condensed Consolidated Statements of Operations and Comprehensive Loss for the Three Months Ended March 31, 2022 and 2021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w:t>
            </w: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2"/>
                <w:szCs w:val="12"/>
                <w:color w:val="0000FF"/>
              </w:rPr>
              <w:t>Condensed Consolidated Statements of Stockholders’ Equity for the Three Months Ended March 31, 2022 and 2021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2"/>
                <w:szCs w:val="12"/>
                <w:color w:val="0000FF"/>
              </w:rPr>
              <w:t>Condensed Consolidated Statements of Cash Flows for the Three Months Ended March 31, 2022 and 2021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w:t>
            </w: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60" w:type="dxa"/>
            <w:vAlign w:val="bottom"/>
            <w:gridSpan w:val="15"/>
          </w:tcPr>
          <w:p>
            <w:pPr>
              <w:spacing w:after="0"/>
              <w:rPr>
                <w:sz w:val="20"/>
                <w:szCs w:val="20"/>
                <w:color w:val="auto"/>
              </w:rPr>
            </w:pPr>
            <w:r>
              <w:rPr>
                <w:rFonts w:ascii="Times New Roman" w:cs="Times New Roman" w:eastAsia="Times New Roman" w:hAnsi="Times New Roman"/>
                <w:sz w:val="12"/>
                <w:szCs w:val="12"/>
                <w:color w:val="0000FF"/>
              </w:rPr>
              <w:t>Notes to Condensed Consolidated Financial Statements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w:t>
            </w:r>
          </w:p>
        </w:tc>
      </w:tr>
      <w:tr>
        <w:trPr>
          <w:trHeight w:val="20"/>
        </w:trPr>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2. Management’s Discussion and Analysis of Financial Condition and Results of Operations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3. Quantitative and Qualitative Disclosures About Market Risk</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340" w:type="dxa"/>
            <w:vAlign w:val="bottom"/>
            <w:tcBorders>
              <w:left w:val="single" w:sz="8" w:color="0000FF"/>
            </w:tcBorders>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4. Controls and Procedures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w:t>
            </w:r>
          </w:p>
        </w:tc>
      </w:tr>
      <w:tr>
        <w:trPr>
          <w:trHeight w:val="259"/>
        </w:trPr>
        <w:tc>
          <w:tcPr>
            <w:tcW w:w="80" w:type="dxa"/>
            <w:vAlign w:val="bottom"/>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340" w:type="dxa"/>
            <w:vAlign w:val="bottom"/>
            <w:gridSpan w:val="6"/>
          </w:tcPr>
          <w:p>
            <w:pPr>
              <w:jc w:val="center"/>
              <w:ind w:right="3620"/>
              <w:spacing w:after="0"/>
              <w:rPr>
                <w:sz w:val="20"/>
                <w:szCs w:val="20"/>
                <w:color w:val="auto"/>
              </w:rPr>
            </w:pPr>
            <w:r>
              <w:rPr>
                <w:rFonts w:ascii="Times New Roman" w:cs="Times New Roman" w:eastAsia="Times New Roman" w:hAnsi="Times New Roman"/>
                <w:sz w:val="12"/>
                <w:szCs w:val="12"/>
                <w:b w:val="1"/>
                <w:bCs w:val="1"/>
                <w:color w:val="auto"/>
                <w:w w:val="98"/>
              </w:rPr>
              <w:t>PART II. OTHER INFORMATION</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25"/>
        </w:trPr>
        <w:tc>
          <w:tcPr>
            <w:tcW w:w="80" w:type="dxa"/>
            <w:vAlign w:val="bottom"/>
          </w:tcPr>
          <w:p>
            <w:pPr>
              <w:spacing w:after="0"/>
              <w:rPr>
                <w:sz w:val="19"/>
                <w:szCs w:val="19"/>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1. Legal Proceedings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1A. Risk Factors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2"/>
                <w:szCs w:val="12"/>
                <w:color w:val="0000FF"/>
              </w:rPr>
              <w:t>Item 2. Unregistered Sales of Equity Securities and Use of Proceeds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3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3"/>
              </w:rPr>
              <w:t>Item 3.</w:t>
            </w:r>
          </w:p>
        </w:tc>
        <w:tc>
          <w:tcPr>
            <w:tcW w:w="15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2"/>
                <w:szCs w:val="12"/>
                <w:color w:val="0000FF"/>
                <w:w w:val="98"/>
              </w:rPr>
              <w:t>Default Upon Senior Securities</w:t>
            </w:r>
          </w:p>
        </w:tc>
        <w:tc>
          <w:tcPr>
            <w:tcW w:w="8720" w:type="dxa"/>
            <w:vAlign w:val="bottom"/>
            <w:gridSpan w:val="9"/>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w:t>
            </w:r>
          </w:p>
        </w:tc>
      </w:tr>
      <w:tr>
        <w:trPr>
          <w:trHeight w:val="232"/>
        </w:trPr>
        <w:tc>
          <w:tcPr>
            <w:tcW w:w="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3"/>
              </w:rPr>
              <w:t>Item 4.</w:t>
            </w:r>
          </w:p>
        </w:tc>
        <w:tc>
          <w:tcPr>
            <w:tcW w:w="10240" w:type="dxa"/>
            <w:vAlign w:val="bottom"/>
            <w:gridSpan w:val="14"/>
          </w:tcPr>
          <w:p>
            <w:pPr>
              <w:ind w:left="20"/>
              <w:spacing w:after="0"/>
              <w:rPr>
                <w:sz w:val="20"/>
                <w:szCs w:val="20"/>
                <w:color w:val="auto"/>
              </w:rPr>
            </w:pPr>
            <w:r>
              <w:rPr>
                <w:rFonts w:ascii="Times New Roman" w:cs="Times New Roman" w:eastAsia="Times New Roman" w:hAnsi="Times New Roman"/>
                <w:sz w:val="12"/>
                <w:szCs w:val="12"/>
                <w:color w:val="0000FF"/>
              </w:rPr>
              <w:t>Mine Safety Disclosures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040" w:type="dxa"/>
            <w:vAlign w:val="bottom"/>
            <w:gridSpan w:val="1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3"/>
              </w:rPr>
              <w:t>Item 5.</w:t>
            </w:r>
          </w:p>
        </w:tc>
        <w:tc>
          <w:tcPr>
            <w:tcW w:w="10240" w:type="dxa"/>
            <w:vAlign w:val="bottom"/>
            <w:gridSpan w:val="14"/>
          </w:tcPr>
          <w:p>
            <w:pPr>
              <w:ind w:left="20"/>
              <w:spacing w:after="0"/>
              <w:rPr>
                <w:sz w:val="20"/>
                <w:szCs w:val="20"/>
                <w:color w:val="auto"/>
              </w:rPr>
            </w:pPr>
            <w:r>
              <w:rPr>
                <w:rFonts w:ascii="Times New Roman" w:cs="Times New Roman" w:eastAsia="Times New Roman" w:hAnsi="Times New Roman"/>
                <w:sz w:val="12"/>
                <w:szCs w:val="12"/>
                <w:color w:val="0000FF"/>
              </w:rPr>
              <w:t>Other Information</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36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2"/>
        </w:trPr>
        <w:tc>
          <w:tcPr>
            <w:tcW w:w="8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w w:val="93"/>
              </w:rPr>
              <w:t>Item 6.</w:t>
            </w:r>
          </w:p>
        </w:tc>
        <w:tc>
          <w:tcPr>
            <w:tcW w:w="10240" w:type="dxa"/>
            <w:vAlign w:val="bottom"/>
            <w:gridSpan w:val="14"/>
          </w:tcPr>
          <w:p>
            <w:pPr>
              <w:ind w:left="20"/>
              <w:spacing w:after="0"/>
              <w:rPr>
                <w:sz w:val="20"/>
                <w:szCs w:val="20"/>
                <w:color w:val="auto"/>
              </w:rPr>
            </w:pPr>
            <w:r>
              <w:rPr>
                <w:rFonts w:ascii="Times New Roman" w:cs="Times New Roman" w:eastAsia="Times New Roman" w:hAnsi="Times New Roman"/>
                <w:sz w:val="12"/>
                <w:szCs w:val="12"/>
                <w:color w:val="0000FF"/>
              </w:rPr>
              <w:t>Exhibits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w:t>
            </w:r>
          </w:p>
        </w:tc>
      </w:tr>
      <w:tr>
        <w:trPr>
          <w:trHeight w:val="682"/>
        </w:trPr>
        <w:tc>
          <w:tcPr>
            <w:tcW w:w="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020" w:type="dxa"/>
            <w:vAlign w:val="bottom"/>
            <w:gridSpan w:val="11"/>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7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7"/>
        </w:trPr>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349"/>
        </w:trPr>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500" w:type="dxa"/>
            <w:vAlign w:val="bottom"/>
          </w:tcPr>
          <w:p>
            <w:pPr>
              <w:jc w:val="center"/>
              <w:ind w:left="3040"/>
              <w:spacing w:after="0"/>
              <w:rPr>
                <w:sz w:val="20"/>
                <w:szCs w:val="20"/>
                <w:color w:val="auto"/>
              </w:rPr>
            </w:pPr>
            <w:r>
              <w:rPr>
                <w:rFonts w:ascii="Times New Roman" w:cs="Times New Roman" w:eastAsia="Times New Roman" w:hAnsi="Times New Roman"/>
                <w:sz w:val="12"/>
                <w:szCs w:val="12"/>
                <w:b w:val="1"/>
                <w:bCs w:val="1"/>
                <w:color w:val="auto"/>
                <w:w w:val="98"/>
              </w:rPr>
              <w:t>PART I. FINANCIAL INFORMATION</w:t>
            </w: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Item 1.</w:t>
            </w:r>
          </w:p>
        </w:tc>
        <w:tc>
          <w:tcPr>
            <w:tcW w:w="70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Financial Statements</w:t>
            </w: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00" w:type="dxa"/>
            <w:vAlign w:val="bottom"/>
          </w:tcPr>
          <w:p>
            <w:pPr>
              <w:jc w:val="center"/>
              <w:ind w:left="3040"/>
              <w:spacing w:after="0"/>
              <w:rPr>
                <w:sz w:val="20"/>
                <w:szCs w:val="20"/>
                <w:color w:val="auto"/>
              </w:rPr>
            </w:pPr>
            <w:r>
              <w:rPr>
                <w:rFonts w:ascii="Times New Roman" w:cs="Times New Roman" w:eastAsia="Times New Roman" w:hAnsi="Times New Roman"/>
                <w:sz w:val="12"/>
                <w:szCs w:val="12"/>
                <w:b w:val="1"/>
                <w:bCs w:val="1"/>
                <w:color w:val="auto"/>
                <w:w w:val="99"/>
              </w:rPr>
              <w:t>PACIFIC BIOSCIENCES OF CALIFORNIA, INC.</w:t>
            </w: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jc w:val="center"/>
              <w:ind w:left="3060"/>
              <w:spacing w:after="0"/>
              <w:rPr>
                <w:sz w:val="20"/>
                <w:szCs w:val="20"/>
                <w:color w:val="auto"/>
              </w:rPr>
            </w:pPr>
            <w:r>
              <w:rPr>
                <w:rFonts w:ascii="Times New Roman" w:cs="Times New Roman" w:eastAsia="Times New Roman" w:hAnsi="Times New Roman"/>
                <w:sz w:val="12"/>
                <w:szCs w:val="12"/>
                <w:b w:val="1"/>
                <w:bCs w:val="1"/>
                <w:color w:val="auto"/>
                <w:w w:val="99"/>
              </w:rPr>
              <w:t>Condensed Consolidated Balance Sheets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500" w:type="dxa"/>
            <w:vAlign w:val="bottom"/>
          </w:tcPr>
          <w:p>
            <w:pPr>
              <w:jc w:val="center"/>
              <w:ind w:left="30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266"/>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500" w:type="dxa"/>
            <w:vAlign w:val="bottom"/>
          </w:tcPr>
          <w:p>
            <w:pPr>
              <w:spacing w:after="0"/>
              <w:rPr>
                <w:sz w:val="23"/>
                <w:szCs w:val="23"/>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tcPr>
          <w:p>
            <w:pPr>
              <w:jc w:val="right"/>
              <w:ind w:right="609"/>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0"/>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1280" w:type="dxa"/>
            <w:vAlign w:val="bottom"/>
            <w:tcBorders>
              <w:bottom w:val="single" w:sz="8" w:color="auto"/>
            </w:tcBorders>
          </w:tcPr>
          <w:p>
            <w:pPr>
              <w:ind w:left="860"/>
              <w:spacing w:after="0" w:line="108" w:lineRule="exact"/>
              <w:rPr>
                <w:sz w:val="20"/>
                <w:szCs w:val="20"/>
                <w:color w:val="auto"/>
              </w:rPr>
            </w:pPr>
            <w:r>
              <w:rPr>
                <w:rFonts w:ascii="Times New Roman" w:cs="Times New Roman" w:eastAsia="Times New Roman" w:hAnsi="Times New Roman"/>
                <w:sz w:val="10"/>
                <w:szCs w:val="10"/>
                <w:b w:val="1"/>
                <w:bCs w:val="1"/>
                <w:color w:val="auto"/>
              </w:rPr>
              <w:t>2022</w:t>
            </w: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right"/>
              <w:ind w:right="809"/>
              <w:spacing w:after="0" w:line="10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97"/>
        </w:trPr>
        <w:tc>
          <w:tcPr>
            <w:tcW w:w="20" w:type="dxa"/>
            <w:vAlign w:val="bottom"/>
          </w:tcPr>
          <w:p>
            <w:pPr>
              <w:spacing w:after="0"/>
              <w:rPr>
                <w:sz w:val="8"/>
                <w:szCs w:val="8"/>
                <w:color w:val="auto"/>
              </w:rPr>
            </w:pPr>
          </w:p>
        </w:tc>
        <w:tc>
          <w:tcPr>
            <w:tcW w:w="34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Assets</w:t>
            </w:r>
          </w:p>
        </w:tc>
        <w:tc>
          <w:tcPr>
            <w:tcW w:w="50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119"/>
        </w:trPr>
        <w:tc>
          <w:tcPr>
            <w:tcW w:w="20" w:type="dxa"/>
            <w:vAlign w:val="bottom"/>
          </w:tcPr>
          <w:p>
            <w:pPr>
              <w:spacing w:after="0"/>
              <w:rPr>
                <w:sz w:val="10"/>
                <w:szCs w:val="10"/>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Current assets</w:t>
            </w:r>
          </w:p>
        </w:tc>
        <w:tc>
          <w:tcPr>
            <w:tcW w:w="1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08"/>
        </w:trPr>
        <w:tc>
          <w:tcPr>
            <w:tcW w:w="2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12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428,574</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460,725</w:t>
            </w: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Investments</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534,201</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583,675</w:t>
            </w:r>
          </w:p>
        </w:tc>
      </w:tr>
      <w:tr>
        <w:trPr>
          <w:trHeight w:val="108"/>
        </w:trPr>
        <w:tc>
          <w:tcPr>
            <w:tcW w:w="2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Accounts receivable, net</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27,852</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24,241</w:t>
            </w: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Inventory, net</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29,625</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24,599</w:t>
            </w:r>
          </w:p>
        </w:tc>
      </w:tr>
      <w:tr>
        <w:trPr>
          <w:trHeight w:val="108"/>
        </w:trPr>
        <w:tc>
          <w:tcPr>
            <w:tcW w:w="2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8,436</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7,394</w:t>
            </w:r>
          </w:p>
        </w:tc>
      </w:tr>
      <w:tr>
        <w:trPr>
          <w:trHeight w:val="108"/>
        </w:trPr>
        <w:tc>
          <w:tcPr>
            <w:tcW w:w="20" w:type="dxa"/>
            <w:vAlign w:val="bottom"/>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7000" w:type="dxa"/>
            <w:vAlign w:val="bottom"/>
            <w:tcBorders>
              <w:bottom w:val="single" w:sz="8" w:color="CCEEFF"/>
            </w:tcBorders>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Short-term restricted cash</w:t>
            </w:r>
          </w:p>
        </w:tc>
        <w:tc>
          <w:tcPr>
            <w:tcW w:w="1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500</w:t>
            </w: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500</w:t>
            </w:r>
          </w:p>
        </w:tc>
      </w:tr>
      <w:tr>
        <w:trPr>
          <w:trHeight w:val="97"/>
        </w:trPr>
        <w:tc>
          <w:tcPr>
            <w:tcW w:w="20" w:type="dxa"/>
            <w:vAlign w:val="bottom"/>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0" w:type="dxa"/>
            <w:vAlign w:val="bottom"/>
            <w:gridSpan w:val="2"/>
            <w:shd w:val="clear" w:color="auto" w:fill="CCEEFF"/>
          </w:tcPr>
          <w:p>
            <w:pPr>
              <w:ind w:left="240"/>
              <w:spacing w:after="0" w:line="97" w:lineRule="exact"/>
              <w:rPr>
                <w:sz w:val="20"/>
                <w:szCs w:val="20"/>
                <w:color w:val="auto"/>
              </w:rPr>
            </w:pPr>
            <w:r>
              <w:rPr>
                <w:rFonts w:ascii="Times New Roman" w:cs="Times New Roman" w:eastAsia="Times New Roman" w:hAnsi="Times New Roman"/>
                <w:sz w:val="10"/>
                <w:szCs w:val="10"/>
                <w:color w:val="auto"/>
              </w:rPr>
              <w:t>Total current assets</w:t>
            </w:r>
          </w:p>
        </w:tc>
        <w:tc>
          <w:tcPr>
            <w:tcW w:w="1280" w:type="dxa"/>
            <w:vAlign w:val="bottom"/>
            <w:shd w:val="clear" w:color="auto" w:fill="CCEEFF"/>
          </w:tcPr>
          <w:p>
            <w:pPr>
              <w:spacing w:after="0"/>
              <w:rPr>
                <w:sz w:val="8"/>
                <w:szCs w:val="8"/>
                <w:color w:val="auto"/>
              </w:rPr>
            </w:pPr>
          </w:p>
        </w:tc>
        <w:tc>
          <w:tcPr>
            <w:tcW w:w="64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1,029,188</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5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1,101,134</w:t>
            </w: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35,510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32,504</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lease right-of-use assets, net</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44,921</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46,617</w:t>
            </w: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Long-term restricted cash</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4,982</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4,592</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Intangible assets, net</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410,751</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410,979</w:t>
            </w: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Goodwill</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409,974</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409,974</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long-term assets</w:t>
            </w:r>
          </w:p>
        </w:tc>
        <w:tc>
          <w:tcPr>
            <w:tcW w:w="12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1,340</w:t>
            </w: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1,170</w:t>
            </w:r>
          </w:p>
        </w:tc>
      </w:tr>
      <w:tr>
        <w:trPr>
          <w:trHeight w:val="104"/>
        </w:trPr>
        <w:tc>
          <w:tcPr>
            <w:tcW w:w="20" w:type="dxa"/>
            <w:vAlign w:val="bottom"/>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7000" w:type="dxa"/>
            <w:vAlign w:val="bottom"/>
            <w:tcBorders>
              <w:bottom w:val="single" w:sz="8" w:color="CCEEFF"/>
            </w:tcBorders>
            <w:gridSpan w:val="2"/>
          </w:tcPr>
          <w:p>
            <w:pPr>
              <w:ind w:left="240"/>
              <w:spacing w:after="0" w:line="97" w:lineRule="exact"/>
              <w:rPr>
                <w:sz w:val="20"/>
                <w:szCs w:val="20"/>
                <w:color w:val="auto"/>
              </w:rPr>
            </w:pPr>
            <w:r>
              <w:rPr>
                <w:rFonts w:ascii="Times New Roman" w:cs="Times New Roman" w:eastAsia="Times New Roman" w:hAnsi="Times New Roman"/>
                <w:sz w:val="10"/>
                <w:szCs w:val="10"/>
                <w:color w:val="auto"/>
              </w:rPr>
              <w:t>Total assets</w:t>
            </w:r>
          </w:p>
        </w:tc>
        <w:tc>
          <w:tcPr>
            <w:tcW w:w="1280" w:type="dxa"/>
            <w:vAlign w:val="bottom"/>
            <w:tcBorders>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1,936,666</w:t>
            </w:r>
          </w:p>
        </w:tc>
        <w:tc>
          <w:tcPr>
            <w:tcW w:w="1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249"/>
              <w:spacing w:after="0" w:line="97"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2,006,970</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1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Accounts payable</w:t>
            </w:r>
          </w:p>
        </w:tc>
        <w:tc>
          <w:tcPr>
            <w:tcW w:w="12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17,607</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11,002</w:t>
            </w: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Accrued expenses</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19,489</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36,261</w:t>
            </w:r>
          </w:p>
        </w:tc>
      </w:tr>
      <w:tr>
        <w:trPr>
          <w:trHeight w:val="108"/>
        </w:trPr>
        <w:tc>
          <w:tcPr>
            <w:tcW w:w="2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Deferred revenue, current</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12,729</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10,977</w:t>
            </w: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Operating lease liabilities, current</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8,056</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7,710</w:t>
            </w:r>
          </w:p>
        </w:tc>
      </w:tr>
      <w:tr>
        <w:trPr>
          <w:trHeight w:val="108"/>
        </w:trPr>
        <w:tc>
          <w:tcPr>
            <w:tcW w:w="20" w:type="dxa"/>
            <w:vAlign w:val="bottom"/>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Other liabilities, current</w:t>
            </w:r>
          </w:p>
        </w:tc>
        <w:tc>
          <w:tcPr>
            <w:tcW w:w="12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3,129</w:t>
            </w: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5,759</w:t>
            </w:r>
          </w:p>
        </w:tc>
      </w:tr>
      <w:tr>
        <w:trPr>
          <w:trHeight w:val="97"/>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0" w:type="dxa"/>
            <w:vAlign w:val="bottom"/>
            <w:gridSpan w:val="2"/>
          </w:tcPr>
          <w:p>
            <w:pPr>
              <w:ind w:left="240"/>
              <w:spacing w:after="0" w:line="97" w:lineRule="exact"/>
              <w:rPr>
                <w:sz w:val="20"/>
                <w:szCs w:val="20"/>
                <w:color w:val="auto"/>
              </w:rPr>
            </w:pPr>
            <w:r>
              <w:rPr>
                <w:rFonts w:ascii="Times New Roman" w:cs="Times New Roman" w:eastAsia="Times New Roman" w:hAnsi="Times New Roman"/>
                <w:sz w:val="10"/>
                <w:szCs w:val="10"/>
                <w:color w:val="auto"/>
              </w:rPr>
              <w:t>Total current liabilities</w:t>
            </w:r>
          </w:p>
        </w:tc>
        <w:tc>
          <w:tcPr>
            <w:tcW w:w="1280" w:type="dxa"/>
            <w:vAlign w:val="bottom"/>
          </w:tcPr>
          <w:p>
            <w:pPr>
              <w:spacing w:after="0"/>
              <w:rPr>
                <w:sz w:val="8"/>
                <w:szCs w:val="8"/>
                <w:color w:val="auto"/>
              </w:rPr>
            </w:pPr>
          </w:p>
        </w:tc>
        <w:tc>
          <w:tcPr>
            <w:tcW w:w="640" w:type="dxa"/>
            <w:vAlign w:val="bottom"/>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61,010</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60" w:type="dxa"/>
            <w:vAlign w:val="bottom"/>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71,709</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Deferred revenue, non-current</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25,246</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25,049</w:t>
            </w: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Contingent consideration liability, non-current</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168,654</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169,717</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lease liabilities, non-current</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47,740</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49,970</w:t>
            </w: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Convertible senior notes, net, non-current</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896,220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896,067</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liabilities, non-current</w:t>
            </w:r>
          </w:p>
        </w:tc>
        <w:tc>
          <w:tcPr>
            <w:tcW w:w="12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3,218</w:t>
            </w: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3,471</w:t>
            </w:r>
          </w:p>
        </w:tc>
      </w:tr>
      <w:tr>
        <w:trPr>
          <w:trHeight w:val="97"/>
        </w:trPr>
        <w:tc>
          <w:tcPr>
            <w:tcW w:w="20" w:type="dxa"/>
            <w:vAlign w:val="bottom"/>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7000" w:type="dxa"/>
            <w:vAlign w:val="bottom"/>
            <w:tcBorders>
              <w:bottom w:val="single" w:sz="8" w:color="CCEEFF"/>
            </w:tcBorders>
            <w:gridSpan w:val="2"/>
          </w:tcPr>
          <w:p>
            <w:pPr>
              <w:ind w:left="240"/>
              <w:spacing w:after="0" w:line="97" w:lineRule="exact"/>
              <w:rPr>
                <w:sz w:val="20"/>
                <w:szCs w:val="20"/>
                <w:color w:val="auto"/>
              </w:rPr>
            </w:pPr>
            <w:r>
              <w:rPr>
                <w:rFonts w:ascii="Times New Roman" w:cs="Times New Roman" w:eastAsia="Times New Roman" w:hAnsi="Times New Roman"/>
                <w:sz w:val="10"/>
                <w:szCs w:val="10"/>
                <w:color w:val="auto"/>
              </w:rPr>
              <w:t>Total liabilities</w:t>
            </w:r>
          </w:p>
        </w:tc>
        <w:tc>
          <w:tcPr>
            <w:tcW w:w="1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1,202,088</w:t>
            </w: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1,215,983</w:t>
            </w:r>
          </w:p>
        </w:tc>
      </w:tr>
      <w:tr>
        <w:trPr>
          <w:trHeight w:val="97"/>
        </w:trPr>
        <w:tc>
          <w:tcPr>
            <w:tcW w:w="20" w:type="dxa"/>
            <w:vAlign w:val="bottom"/>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5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r>
      <w:tr>
        <w:trPr>
          <w:trHeight w:val="141"/>
        </w:trPr>
        <w:tc>
          <w:tcPr>
            <w:tcW w:w="20" w:type="dxa"/>
            <w:vAlign w:val="bottom"/>
          </w:tcPr>
          <w:p>
            <w:pPr>
              <w:spacing w:after="0"/>
              <w:rPr>
                <w:sz w:val="12"/>
                <w:szCs w:val="12"/>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Commitments and contingencies</w:t>
            </w: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11"/>
        </w:trPr>
        <w:tc>
          <w:tcPr>
            <w:tcW w:w="20" w:type="dxa"/>
            <w:vAlign w:val="bottom"/>
          </w:tcPr>
          <w:p>
            <w:pPr>
              <w:spacing w:after="0"/>
              <w:rPr>
                <w:sz w:val="9"/>
                <w:szCs w:val="9"/>
                <w:color w:val="auto"/>
              </w:rPr>
            </w:pPr>
          </w:p>
        </w:tc>
        <w:tc>
          <w:tcPr>
            <w:tcW w:w="840" w:type="dxa"/>
            <w:vAlign w:val="bottom"/>
            <w:gridSpan w:val="2"/>
            <w:shd w:val="clear" w:color="auto" w:fill="CCEEFF"/>
          </w:tcPr>
          <w:p>
            <w:pPr>
              <w:spacing w:after="0"/>
              <w:rPr>
                <w:sz w:val="9"/>
                <w:szCs w:val="9"/>
                <w:color w:val="auto"/>
              </w:rPr>
            </w:pPr>
          </w:p>
        </w:tc>
        <w:tc>
          <w:tcPr>
            <w:tcW w:w="65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73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1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Preferred stock, $0.001 par value:</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Authorized 50,000 shares; No shares issued or outstanding</w:t>
            </w:r>
          </w:p>
        </w:tc>
        <w:tc>
          <w:tcPr>
            <w:tcW w:w="1280" w:type="dxa"/>
            <w:vAlign w:val="bottom"/>
          </w:tcPr>
          <w:p>
            <w:pPr>
              <w:spacing w:after="0"/>
              <w:rPr>
                <w:sz w:val="9"/>
                <w:szCs w:val="9"/>
                <w:color w:val="auto"/>
              </w:rPr>
            </w:pPr>
          </w:p>
        </w:tc>
        <w:tc>
          <w:tcPr>
            <w:tcW w:w="74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Common stock, $0.001 par value:</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0"/>
                <w:szCs w:val="10"/>
                <w:color w:val="auto"/>
              </w:rPr>
              <w:t>Authorized 1,000,000 shares; issued and outstanding 224,329 and 220,978 shares at March 31, 2022 and December 31, 2021, respectively</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224</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221</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Additional paid-in capital</w:t>
            </w:r>
          </w:p>
        </w:tc>
        <w:tc>
          <w:tcPr>
            <w:tcW w:w="128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2,038,030</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2,009,945</w:t>
            </w:r>
          </w:p>
        </w:tc>
      </w:tr>
      <w:tr>
        <w:trPr>
          <w:trHeight w:val="108"/>
        </w:trPr>
        <w:tc>
          <w:tcPr>
            <w:tcW w:w="20" w:type="dxa"/>
            <w:vAlign w:val="bottom"/>
          </w:tcPr>
          <w:p>
            <w:pPr>
              <w:spacing w:after="0"/>
              <w:rPr>
                <w:sz w:val="9"/>
                <w:szCs w:val="9"/>
                <w:color w:val="auto"/>
              </w:rPr>
            </w:pPr>
          </w:p>
        </w:tc>
        <w:tc>
          <w:tcPr>
            <w:tcW w:w="7340" w:type="dxa"/>
            <w:vAlign w:val="bottom"/>
            <w:gridSpan w:val="3"/>
          </w:tcPr>
          <w:p>
            <w:pPr>
              <w:ind w:left="280"/>
              <w:spacing w:after="0" w:line="108"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280" w:type="dxa"/>
            <w:vAlign w:val="bottom"/>
          </w:tcPr>
          <w:p>
            <w:pPr>
              <w:spacing w:after="0"/>
              <w:rPr>
                <w:sz w:val="9"/>
                <w:szCs w:val="9"/>
                <w:color w:val="auto"/>
              </w:rPr>
            </w:pPr>
          </w:p>
        </w:tc>
        <w:tc>
          <w:tcPr>
            <w:tcW w:w="64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(4,085)</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(1,087)</w:t>
            </w:r>
          </w:p>
        </w:tc>
      </w:tr>
      <w:tr>
        <w:trPr>
          <w:trHeight w:val="108"/>
        </w:trPr>
        <w:tc>
          <w:tcPr>
            <w:tcW w:w="20" w:type="dxa"/>
            <w:vAlign w:val="bottom"/>
          </w:tcPr>
          <w:p>
            <w:pPr>
              <w:spacing w:after="0"/>
              <w:rPr>
                <w:sz w:val="9"/>
                <w:szCs w:val="9"/>
                <w:color w:val="auto"/>
              </w:rPr>
            </w:pPr>
          </w:p>
        </w:tc>
        <w:tc>
          <w:tcPr>
            <w:tcW w:w="7340" w:type="dxa"/>
            <w:vAlign w:val="bottom"/>
            <w:gridSpan w:val="3"/>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Accumulated deficit</w:t>
            </w:r>
          </w:p>
        </w:tc>
        <w:tc>
          <w:tcPr>
            <w:tcW w:w="12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(1,299,591)</w:t>
            </w:r>
          </w:p>
        </w:tc>
        <w:tc>
          <w:tcPr>
            <w:tcW w:w="10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(1,218,092)</w:t>
            </w:r>
          </w:p>
        </w:tc>
      </w:tr>
      <w:tr>
        <w:trPr>
          <w:trHeight w:val="97"/>
        </w:trPr>
        <w:tc>
          <w:tcPr>
            <w:tcW w:w="20" w:type="dxa"/>
            <w:vAlign w:val="bottom"/>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7000" w:type="dxa"/>
            <w:vAlign w:val="bottom"/>
            <w:tcBorders>
              <w:bottom w:val="single" w:sz="8" w:color="CCEEFF"/>
            </w:tcBorders>
            <w:gridSpan w:val="2"/>
          </w:tcPr>
          <w:p>
            <w:pPr>
              <w:ind w:left="240"/>
              <w:spacing w:after="0" w:line="97" w:lineRule="exact"/>
              <w:rPr>
                <w:sz w:val="20"/>
                <w:szCs w:val="20"/>
                <w:color w:val="auto"/>
              </w:rPr>
            </w:pPr>
            <w:r>
              <w:rPr>
                <w:rFonts w:ascii="Times New Roman" w:cs="Times New Roman" w:eastAsia="Times New Roman" w:hAnsi="Times New Roman"/>
                <w:sz w:val="10"/>
                <w:szCs w:val="10"/>
                <w:color w:val="auto"/>
              </w:rPr>
              <w:t>Total stockholders’ equity</w:t>
            </w:r>
          </w:p>
        </w:tc>
        <w:tc>
          <w:tcPr>
            <w:tcW w:w="1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734,578</w:t>
            </w: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790,987</w:t>
            </w:r>
          </w:p>
        </w:tc>
      </w:tr>
      <w:tr>
        <w:trPr>
          <w:trHeight w:val="104"/>
        </w:trPr>
        <w:tc>
          <w:tcPr>
            <w:tcW w:w="20" w:type="dxa"/>
            <w:vAlign w:val="bottom"/>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7000" w:type="dxa"/>
            <w:vAlign w:val="bottom"/>
            <w:tcBorders>
              <w:bottom w:val="single" w:sz="8" w:color="CCEEFF"/>
            </w:tcBorders>
            <w:gridSpan w:val="2"/>
            <w:shd w:val="clear" w:color="auto" w:fill="CCEEFF"/>
          </w:tcPr>
          <w:p>
            <w:pPr>
              <w:ind w:left="240"/>
              <w:spacing w:after="0" w:line="97"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280" w:type="dxa"/>
            <w:vAlign w:val="bottom"/>
            <w:tcBorders>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auto"/>
            </w:tcBorders>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1,936,666</w:t>
            </w:r>
          </w:p>
        </w:tc>
        <w:tc>
          <w:tcPr>
            <w:tcW w:w="10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ind w:right="249"/>
              <w:spacing w:after="0" w:line="97"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Borders>
              <w:bottom w:val="single" w:sz="8" w:color="auto"/>
            </w:tcBorders>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2,006,970</w:t>
            </w: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110"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PACIFIC BIOSCIENCES OF CALIFORNIA, INC.</w:t>
      </w:r>
    </w:p>
    <w:p>
      <w:pPr>
        <w:spacing w:after="0" w:line="10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Loss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980" w:type="dxa"/>
            <w:vAlign w:val="bottom"/>
            <w:gridSpan w:val="3"/>
          </w:tcPr>
          <w:p>
            <w:pPr>
              <w:jc w:val="right"/>
              <w:ind w:right="269"/>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460" w:type="dxa"/>
            <w:vAlign w:val="bottom"/>
          </w:tcPr>
          <w:p>
            <w:pPr>
              <w:spacing w:after="0"/>
              <w:rPr>
                <w:sz w:val="10"/>
                <w:szCs w:val="10"/>
                <w:color w:val="auto"/>
              </w:rPr>
            </w:pPr>
          </w:p>
        </w:tc>
      </w:tr>
      <w:tr>
        <w:trPr>
          <w:trHeight w:val="110"/>
        </w:trPr>
        <w:tc>
          <w:tcPr>
            <w:tcW w:w="6360" w:type="dxa"/>
            <w:vAlign w:val="bottom"/>
          </w:tcPr>
          <w:p>
            <w:pPr>
              <w:spacing w:after="0" w:line="110"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5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right"/>
              <w:ind w:right="869"/>
              <w:spacing w:after="0" w:line="110" w:lineRule="exact"/>
              <w:rPr>
                <w:sz w:val="20"/>
                <w:szCs w:val="20"/>
                <w:color w:val="auto"/>
              </w:rPr>
            </w:pPr>
            <w:r>
              <w:rPr>
                <w:rFonts w:ascii="Times New Roman" w:cs="Times New Roman" w:eastAsia="Times New Roman" w:hAnsi="Times New Roman"/>
                <w:sz w:val="10"/>
                <w:szCs w:val="10"/>
                <w:b w:val="1"/>
                <w:bCs w:val="1"/>
                <w:color w:val="auto"/>
              </w:rPr>
              <w:t>2022</w:t>
            </w:r>
          </w:p>
        </w:tc>
        <w:tc>
          <w:tcPr>
            <w:tcW w:w="8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right"/>
              <w:ind w:right="889"/>
              <w:spacing w:after="0" w:line="110"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08"/>
        </w:trPr>
        <w:tc>
          <w:tcPr>
            <w:tcW w:w="63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Revenue:</w:t>
            </w: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Product revenue</w:t>
            </w:r>
          </w:p>
        </w:tc>
        <w:tc>
          <w:tcPr>
            <w:tcW w:w="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28,244</w:t>
            </w: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50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25,303</w:t>
            </w:r>
          </w:p>
        </w:tc>
      </w:tr>
      <w:tr>
        <w:trPr>
          <w:trHeight w:val="108"/>
        </w:trPr>
        <w:tc>
          <w:tcPr>
            <w:tcW w:w="6360" w:type="dxa"/>
            <w:vAlign w:val="bottom"/>
            <w:tcBorders>
              <w:bottom w:val="single" w:sz="8" w:color="CCEEFF"/>
            </w:tcBorders>
          </w:tcPr>
          <w:p>
            <w:pPr>
              <w:ind w:left="280"/>
              <w:spacing w:after="0" w:line="108" w:lineRule="exact"/>
              <w:rPr>
                <w:sz w:val="20"/>
                <w:szCs w:val="20"/>
                <w:color w:val="auto"/>
              </w:rPr>
            </w:pPr>
            <w:r>
              <w:rPr>
                <w:rFonts w:ascii="Times New Roman" w:cs="Times New Roman" w:eastAsia="Times New Roman" w:hAnsi="Times New Roman"/>
                <w:sz w:val="10"/>
                <w:szCs w:val="10"/>
                <w:color w:val="auto"/>
              </w:rPr>
              <w:t>Service and other revenue</w:t>
            </w:r>
          </w:p>
        </w:tc>
        <w:tc>
          <w:tcPr>
            <w:tcW w:w="5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4,929</w:t>
            </w:r>
          </w:p>
        </w:tc>
        <w:tc>
          <w:tcPr>
            <w:tcW w:w="80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3,694</w:t>
            </w:r>
          </w:p>
        </w:tc>
      </w:tr>
      <w:tr>
        <w:trPr>
          <w:trHeight w:val="97"/>
        </w:trPr>
        <w:tc>
          <w:tcPr>
            <w:tcW w:w="6360" w:type="dxa"/>
            <w:vAlign w:val="bottom"/>
            <w:shd w:val="clear" w:color="auto" w:fill="CCEEFF"/>
          </w:tcPr>
          <w:p>
            <w:pPr>
              <w:ind w:left="500"/>
              <w:spacing w:after="0" w:line="97" w:lineRule="exact"/>
              <w:rPr>
                <w:sz w:val="20"/>
                <w:szCs w:val="20"/>
                <w:color w:val="auto"/>
              </w:rPr>
            </w:pPr>
            <w:r>
              <w:rPr>
                <w:rFonts w:ascii="Times New Roman" w:cs="Times New Roman" w:eastAsia="Times New Roman" w:hAnsi="Times New Roman"/>
                <w:sz w:val="10"/>
                <w:szCs w:val="10"/>
                <w:color w:val="auto"/>
              </w:rPr>
              <w:t>Total revenue</w:t>
            </w:r>
          </w:p>
        </w:tc>
        <w:tc>
          <w:tcPr>
            <w:tcW w:w="500" w:type="dxa"/>
            <w:vAlign w:val="bottom"/>
            <w:shd w:val="clear" w:color="auto" w:fill="CCEEFF"/>
          </w:tcPr>
          <w:p>
            <w:pPr>
              <w:spacing w:after="0"/>
              <w:rPr>
                <w:sz w:val="8"/>
                <w:szCs w:val="8"/>
                <w:color w:val="auto"/>
              </w:rPr>
            </w:pPr>
          </w:p>
        </w:tc>
        <w:tc>
          <w:tcPr>
            <w:tcW w:w="15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33,173</w:t>
            </w:r>
          </w:p>
        </w:tc>
        <w:tc>
          <w:tcPr>
            <w:tcW w:w="8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28,997</w:t>
            </w:r>
          </w:p>
        </w:tc>
      </w:tr>
      <w:tr>
        <w:trPr>
          <w:trHeight w:val="108"/>
        </w:trPr>
        <w:tc>
          <w:tcPr>
            <w:tcW w:w="63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Cost of revenue:</w:t>
            </w: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Cost of product revenue</w:t>
            </w:r>
          </w:p>
        </w:tc>
        <w:tc>
          <w:tcPr>
            <w:tcW w:w="50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14,820</w:t>
            </w: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12,697</w:t>
            </w:r>
          </w:p>
        </w:tc>
      </w:tr>
      <w:tr>
        <w:trPr>
          <w:trHeight w:val="108"/>
        </w:trPr>
        <w:tc>
          <w:tcPr>
            <w:tcW w:w="63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Cost of service and other revenue</w:t>
            </w:r>
          </w:p>
        </w:tc>
        <w:tc>
          <w:tcPr>
            <w:tcW w:w="500" w:type="dxa"/>
            <w:vAlign w:val="bottom"/>
          </w:tcPr>
          <w:p>
            <w:pPr>
              <w:spacing w:after="0"/>
              <w:rPr>
                <w:sz w:val="9"/>
                <w:szCs w:val="9"/>
                <w:color w:val="auto"/>
              </w:rPr>
            </w:pPr>
          </w:p>
        </w:tc>
        <w:tc>
          <w:tcPr>
            <w:tcW w:w="156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4,015</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3,323</w:t>
            </w: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Amortization of intangible assets</w:t>
            </w:r>
          </w:p>
        </w:tc>
        <w:tc>
          <w:tcPr>
            <w:tcW w:w="50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183</w:t>
            </w:r>
          </w:p>
        </w:tc>
        <w:tc>
          <w:tcPr>
            <w:tcW w:w="800" w:type="dxa"/>
            <w:vAlign w:val="bottom"/>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97"/>
        </w:trPr>
        <w:tc>
          <w:tcPr>
            <w:tcW w:w="6360" w:type="dxa"/>
            <w:vAlign w:val="bottom"/>
            <w:tcBorders>
              <w:bottom w:val="single" w:sz="8" w:color="CCEEFF"/>
            </w:tcBorders>
          </w:tcPr>
          <w:p>
            <w:pPr>
              <w:ind w:left="500"/>
              <w:spacing w:after="0" w:line="97" w:lineRule="exact"/>
              <w:rPr>
                <w:sz w:val="20"/>
                <w:szCs w:val="20"/>
                <w:color w:val="auto"/>
              </w:rPr>
            </w:pPr>
            <w:r>
              <w:rPr>
                <w:rFonts w:ascii="Times New Roman" w:cs="Times New Roman" w:eastAsia="Times New Roman" w:hAnsi="Times New Roman"/>
                <w:sz w:val="10"/>
                <w:szCs w:val="10"/>
                <w:color w:val="auto"/>
              </w:rPr>
              <w:t>Total cost of revenue</w:t>
            </w:r>
          </w:p>
        </w:tc>
        <w:tc>
          <w:tcPr>
            <w:tcW w:w="5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19,018</w:t>
            </w:r>
          </w:p>
        </w:tc>
        <w:tc>
          <w:tcPr>
            <w:tcW w:w="80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16,020</w:t>
            </w:r>
          </w:p>
        </w:tc>
      </w:tr>
      <w:tr>
        <w:trPr>
          <w:trHeight w:val="97"/>
        </w:trPr>
        <w:tc>
          <w:tcPr>
            <w:tcW w:w="6360" w:type="dxa"/>
            <w:vAlign w:val="bottom"/>
            <w:shd w:val="clear" w:color="auto" w:fill="CCEEFF"/>
          </w:tcPr>
          <w:p>
            <w:pPr>
              <w:ind w:left="780"/>
              <w:spacing w:after="0" w:line="97" w:lineRule="exact"/>
              <w:rPr>
                <w:sz w:val="20"/>
                <w:szCs w:val="20"/>
                <w:color w:val="auto"/>
              </w:rPr>
            </w:pPr>
            <w:r>
              <w:rPr>
                <w:rFonts w:ascii="Times New Roman" w:cs="Times New Roman" w:eastAsia="Times New Roman" w:hAnsi="Times New Roman"/>
                <w:sz w:val="10"/>
                <w:szCs w:val="10"/>
                <w:color w:val="auto"/>
              </w:rPr>
              <w:t>Gross profit</w:t>
            </w:r>
          </w:p>
        </w:tc>
        <w:tc>
          <w:tcPr>
            <w:tcW w:w="500" w:type="dxa"/>
            <w:vAlign w:val="bottom"/>
            <w:shd w:val="clear" w:color="auto" w:fill="CCEEFF"/>
          </w:tcPr>
          <w:p>
            <w:pPr>
              <w:spacing w:after="0"/>
              <w:rPr>
                <w:sz w:val="8"/>
                <w:szCs w:val="8"/>
                <w:color w:val="auto"/>
              </w:rPr>
            </w:pPr>
          </w:p>
        </w:tc>
        <w:tc>
          <w:tcPr>
            <w:tcW w:w="15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14,155</w:t>
            </w:r>
          </w:p>
        </w:tc>
        <w:tc>
          <w:tcPr>
            <w:tcW w:w="8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12,977</w:t>
            </w:r>
          </w:p>
        </w:tc>
      </w:tr>
      <w:tr>
        <w:trPr>
          <w:trHeight w:val="108"/>
        </w:trPr>
        <w:tc>
          <w:tcPr>
            <w:tcW w:w="63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Operating expense:</w:t>
            </w: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Research and development</w:t>
            </w:r>
          </w:p>
        </w:tc>
        <w:tc>
          <w:tcPr>
            <w:tcW w:w="50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52,937</w:t>
            </w: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20,548</w:t>
            </w:r>
          </w:p>
        </w:tc>
      </w:tr>
      <w:tr>
        <w:trPr>
          <w:trHeight w:val="108"/>
        </w:trPr>
        <w:tc>
          <w:tcPr>
            <w:tcW w:w="63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Sales, general and administrative</w:t>
            </w:r>
          </w:p>
        </w:tc>
        <w:tc>
          <w:tcPr>
            <w:tcW w:w="500" w:type="dxa"/>
            <w:vAlign w:val="bottom"/>
          </w:tcPr>
          <w:p>
            <w:pPr>
              <w:spacing w:after="0"/>
              <w:rPr>
                <w:sz w:val="9"/>
                <w:szCs w:val="9"/>
                <w:color w:val="auto"/>
              </w:rPr>
            </w:pPr>
          </w:p>
        </w:tc>
        <w:tc>
          <w:tcPr>
            <w:tcW w:w="156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39,804</w:t>
            </w: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26,139</w:t>
            </w: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Change in fair value of contingent consideration</w:t>
            </w:r>
          </w:p>
        </w:tc>
        <w:tc>
          <w:tcPr>
            <w:tcW w:w="50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(1,063)</w:t>
            </w:r>
          </w:p>
        </w:tc>
        <w:tc>
          <w:tcPr>
            <w:tcW w:w="800" w:type="dxa"/>
            <w:vAlign w:val="bottom"/>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97"/>
        </w:trPr>
        <w:tc>
          <w:tcPr>
            <w:tcW w:w="6360" w:type="dxa"/>
            <w:vAlign w:val="bottom"/>
          </w:tcPr>
          <w:p>
            <w:pPr>
              <w:ind w:left="500"/>
              <w:spacing w:after="0" w:line="97" w:lineRule="exact"/>
              <w:rPr>
                <w:sz w:val="20"/>
                <w:szCs w:val="20"/>
                <w:color w:val="auto"/>
              </w:rPr>
            </w:pPr>
            <w:r>
              <w:rPr>
                <w:rFonts w:ascii="Times New Roman" w:cs="Times New Roman" w:eastAsia="Times New Roman" w:hAnsi="Times New Roman"/>
                <w:sz w:val="10"/>
                <w:szCs w:val="10"/>
                <w:color w:val="auto"/>
              </w:rPr>
              <w:t>Total operating expense</w:t>
            </w:r>
          </w:p>
        </w:tc>
        <w:tc>
          <w:tcPr>
            <w:tcW w:w="500" w:type="dxa"/>
            <w:vAlign w:val="bottom"/>
          </w:tcPr>
          <w:p>
            <w:pPr>
              <w:spacing w:after="0"/>
              <w:rPr>
                <w:sz w:val="8"/>
                <w:szCs w:val="8"/>
                <w:color w:val="auto"/>
              </w:rPr>
            </w:pPr>
          </w:p>
        </w:tc>
        <w:tc>
          <w:tcPr>
            <w:tcW w:w="1560" w:type="dxa"/>
            <w:vAlign w:val="bottom"/>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91,678</w:t>
            </w: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60" w:type="dxa"/>
            <w:vAlign w:val="bottom"/>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46,687</w:t>
            </w:r>
          </w:p>
        </w:tc>
      </w:tr>
      <w:tr>
        <w:trPr>
          <w:trHeight w:val="108"/>
        </w:trPr>
        <w:tc>
          <w:tcPr>
            <w:tcW w:w="6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loss</w:t>
            </w:r>
          </w:p>
        </w:tc>
        <w:tc>
          <w:tcPr>
            <w:tcW w:w="50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(77,523)</w:t>
            </w: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(33,710)</w:t>
            </w:r>
          </w:p>
        </w:tc>
      </w:tr>
      <w:tr>
        <w:trPr>
          <w:trHeight w:val="108"/>
        </w:trPr>
        <w:tc>
          <w:tcPr>
            <w:tcW w:w="63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Loss from Continuation Advances from Illumina</w:t>
            </w:r>
          </w:p>
        </w:tc>
        <w:tc>
          <w:tcPr>
            <w:tcW w:w="500" w:type="dxa"/>
            <w:vAlign w:val="bottom"/>
          </w:tcPr>
          <w:p>
            <w:pPr>
              <w:spacing w:after="0"/>
              <w:rPr>
                <w:sz w:val="9"/>
                <w:szCs w:val="9"/>
                <w:color w:val="auto"/>
              </w:rPr>
            </w:pPr>
          </w:p>
        </w:tc>
        <w:tc>
          <w:tcPr>
            <w:tcW w:w="2360" w:type="dxa"/>
            <w:vAlign w:val="bottom"/>
            <w:gridSpan w:val="2"/>
          </w:tcPr>
          <w:p>
            <w:pPr>
              <w:jc w:val="right"/>
              <w:ind w:right="8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9"/>
                <w:szCs w:val="9"/>
                <w:color w:val="auto"/>
              </w:rPr>
            </w:pPr>
          </w:p>
        </w:tc>
        <w:tc>
          <w:tcPr>
            <w:tcW w:w="1460" w:type="dxa"/>
            <w:vAlign w:val="bottom"/>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(52,000)</w:t>
            </w: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Interest expense</w:t>
            </w:r>
          </w:p>
        </w:tc>
        <w:tc>
          <w:tcPr>
            <w:tcW w:w="500" w:type="dxa"/>
            <w:vAlign w:val="bottom"/>
            <w:shd w:val="clear" w:color="auto" w:fill="CCEEFF"/>
          </w:tcPr>
          <w:p>
            <w:pPr>
              <w:spacing w:after="0"/>
              <w:rPr>
                <w:sz w:val="9"/>
                <w:szCs w:val="9"/>
                <w:color w:val="auto"/>
              </w:rPr>
            </w:pPr>
          </w:p>
        </w:tc>
        <w:tc>
          <w:tcPr>
            <w:tcW w:w="156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(3,697)</w:t>
            </w: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60" w:type="dxa"/>
            <w:vAlign w:val="bottom"/>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(1,789)</w:t>
            </w:r>
          </w:p>
        </w:tc>
      </w:tr>
      <w:tr>
        <w:trPr>
          <w:trHeight w:val="108"/>
        </w:trPr>
        <w:tc>
          <w:tcPr>
            <w:tcW w:w="6360" w:type="dxa"/>
            <w:vAlign w:val="bottom"/>
            <w:tcBorders>
              <w:bottom w:val="single" w:sz="8" w:color="CCEEFF"/>
            </w:tcBorders>
          </w:tcPr>
          <w:p>
            <w:pPr>
              <w:ind w:left="280"/>
              <w:spacing w:after="0" w:line="108" w:lineRule="exact"/>
              <w:rPr>
                <w:sz w:val="20"/>
                <w:szCs w:val="20"/>
                <w:color w:val="auto"/>
              </w:rPr>
            </w:pPr>
            <w:r>
              <w:rPr>
                <w:rFonts w:ascii="Times New Roman" w:cs="Times New Roman" w:eastAsia="Times New Roman" w:hAnsi="Times New Roman"/>
                <w:sz w:val="10"/>
                <w:szCs w:val="10"/>
                <w:color w:val="auto"/>
              </w:rPr>
              <w:t>Other (expense) income, net</w:t>
            </w:r>
          </w:p>
        </w:tc>
        <w:tc>
          <w:tcPr>
            <w:tcW w:w="5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(279)</w:t>
            </w:r>
          </w:p>
        </w:tc>
        <w:tc>
          <w:tcPr>
            <w:tcW w:w="80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64</w:t>
            </w:r>
          </w:p>
        </w:tc>
      </w:tr>
      <w:tr>
        <w:trPr>
          <w:trHeight w:val="97"/>
        </w:trPr>
        <w:tc>
          <w:tcPr>
            <w:tcW w:w="636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Net loss</w:t>
            </w:r>
          </w:p>
        </w:tc>
        <w:tc>
          <w:tcPr>
            <w:tcW w:w="500" w:type="dxa"/>
            <w:vAlign w:val="bottom"/>
            <w:shd w:val="clear" w:color="auto" w:fill="CCEEFF"/>
          </w:tcPr>
          <w:p>
            <w:pPr>
              <w:spacing w:after="0"/>
              <w:rPr>
                <w:sz w:val="8"/>
                <w:szCs w:val="8"/>
                <w:color w:val="auto"/>
              </w:rPr>
            </w:pPr>
          </w:p>
        </w:tc>
        <w:tc>
          <w:tcPr>
            <w:tcW w:w="15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(81,499)</w:t>
            </w:r>
          </w:p>
        </w:tc>
        <w:tc>
          <w:tcPr>
            <w:tcW w:w="8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60" w:type="dxa"/>
            <w:vAlign w:val="bottom"/>
            <w:shd w:val="clear" w:color="auto" w:fill="CCEEFF"/>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(87,435)</w:t>
            </w:r>
          </w:p>
        </w:tc>
      </w:tr>
      <w:tr>
        <w:trPr>
          <w:trHeight w:val="108"/>
        </w:trPr>
        <w:tc>
          <w:tcPr>
            <w:tcW w:w="63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comprehensive loss:</w:t>
            </w: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08"/>
        </w:trPr>
        <w:tc>
          <w:tcPr>
            <w:tcW w:w="63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Unrealized loss on investments</w:t>
            </w:r>
          </w:p>
        </w:tc>
        <w:tc>
          <w:tcPr>
            <w:tcW w:w="500" w:type="dxa"/>
            <w:vAlign w:val="bottom"/>
            <w:tcBorders>
              <w:bottom w:val="single" w:sz="8" w:color="auto"/>
            </w:tcBorders>
            <w:shd w:val="clear" w:color="auto" w:fill="CCEEFF"/>
          </w:tcPr>
          <w:p>
            <w:pPr>
              <w:spacing w:after="0"/>
              <w:rPr>
                <w:sz w:val="9"/>
                <w:szCs w:val="9"/>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(2,998)</w:t>
            </w:r>
          </w:p>
        </w:tc>
        <w:tc>
          <w:tcPr>
            <w:tcW w:w="800" w:type="dxa"/>
            <w:vAlign w:val="bottom"/>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4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(11)</w:t>
            </w:r>
          </w:p>
        </w:tc>
      </w:tr>
      <w:tr>
        <w:trPr>
          <w:trHeight w:val="104"/>
        </w:trPr>
        <w:tc>
          <w:tcPr>
            <w:tcW w:w="6360" w:type="dxa"/>
            <w:vAlign w:val="bottom"/>
            <w:tcBorders>
              <w:bottom w:val="single" w:sz="8" w:color="CCEEFF"/>
            </w:tcBorders>
          </w:tcPr>
          <w:p>
            <w:pPr>
              <w:spacing w:after="0" w:line="97" w:lineRule="exact"/>
              <w:rPr>
                <w:sz w:val="20"/>
                <w:szCs w:val="20"/>
                <w:color w:val="auto"/>
              </w:rPr>
            </w:pPr>
            <w:r>
              <w:rPr>
                <w:rFonts w:ascii="Times New Roman" w:cs="Times New Roman" w:eastAsia="Times New Roman" w:hAnsi="Times New Roman"/>
                <w:sz w:val="10"/>
                <w:szCs w:val="10"/>
                <w:color w:val="auto"/>
              </w:rPr>
              <w:t>Comprehensive loss</w:t>
            </w:r>
          </w:p>
        </w:tc>
        <w:tc>
          <w:tcPr>
            <w:tcW w:w="500" w:type="dxa"/>
            <w:vAlign w:val="bottom"/>
            <w:tcBorders>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(84,497)</w:t>
            </w:r>
          </w:p>
        </w:tc>
        <w:tc>
          <w:tcPr>
            <w:tcW w:w="800" w:type="dxa"/>
            <w:vAlign w:val="bottom"/>
            <w:tcBorders>
              <w:bottom w:val="single" w:sz="8" w:color="CCEEFF"/>
            </w:tcBorders>
          </w:tcPr>
          <w:p>
            <w:pPr>
              <w:spacing w:after="0"/>
              <w:rPr>
                <w:sz w:val="9"/>
                <w:szCs w:val="9"/>
                <w:color w:val="auto"/>
              </w:rPr>
            </w:pPr>
          </w:p>
        </w:tc>
        <w:tc>
          <w:tcPr>
            <w:tcW w:w="620" w:type="dxa"/>
            <w:vAlign w:val="bottom"/>
            <w:tcBorders>
              <w:bottom w:val="single" w:sz="8" w:color="auto"/>
            </w:tcBorders>
          </w:tcPr>
          <w:p>
            <w:pPr>
              <w:jc w:val="right"/>
              <w:ind w:right="50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tcPr>
          <w:p>
            <w:pPr>
              <w:jc w:val="right"/>
              <w:ind w:right="29"/>
              <w:spacing w:after="0" w:line="97" w:lineRule="exact"/>
              <w:rPr>
                <w:sz w:val="20"/>
                <w:szCs w:val="20"/>
                <w:color w:val="auto"/>
              </w:rPr>
            </w:pPr>
            <w:r>
              <w:rPr>
                <w:rFonts w:ascii="Times New Roman" w:cs="Times New Roman" w:eastAsia="Times New Roman" w:hAnsi="Times New Roman"/>
                <w:sz w:val="10"/>
                <w:szCs w:val="10"/>
                <w:color w:val="auto"/>
              </w:rPr>
              <w:t>(87,446)</w:t>
            </w:r>
          </w:p>
        </w:tc>
      </w:tr>
      <w:tr>
        <w:trPr>
          <w:trHeight w:val="108"/>
        </w:trPr>
        <w:tc>
          <w:tcPr>
            <w:tcW w:w="63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Net loss per share:</w:t>
            </w:r>
          </w:p>
        </w:tc>
        <w:tc>
          <w:tcPr>
            <w:tcW w:w="5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115"/>
        </w:trPr>
        <w:tc>
          <w:tcPr>
            <w:tcW w:w="63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Basic</w:t>
            </w:r>
          </w:p>
        </w:tc>
        <w:tc>
          <w:tcPr>
            <w:tcW w:w="5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2360" w:type="dxa"/>
            <w:vAlign w:val="bottom"/>
            <w:gridSpan w:val="2"/>
          </w:tcPr>
          <w:p>
            <w:pPr>
              <w:jc w:val="right"/>
              <w:ind w:right="800"/>
              <w:spacing w:after="0" w:line="108" w:lineRule="exact"/>
              <w:rPr>
                <w:sz w:val="20"/>
                <w:szCs w:val="20"/>
                <w:color w:val="auto"/>
              </w:rPr>
            </w:pPr>
            <w:r>
              <w:rPr>
                <w:rFonts w:ascii="Times New Roman" w:cs="Times New Roman" w:eastAsia="Times New Roman" w:hAnsi="Times New Roman"/>
                <w:sz w:val="10"/>
                <w:szCs w:val="10"/>
                <w:color w:val="auto"/>
              </w:rPr>
              <w:t>(0.37)</w:t>
            </w:r>
          </w:p>
        </w:tc>
        <w:tc>
          <w:tcPr>
            <w:tcW w:w="620" w:type="dxa"/>
            <w:vAlign w:val="bottom"/>
          </w:tcPr>
          <w:p>
            <w:pPr>
              <w:jc w:val="right"/>
              <w:ind w:right="50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(0.45)</w:t>
            </w:r>
          </w:p>
        </w:tc>
      </w:tr>
      <w:tr>
        <w:trPr>
          <w:trHeight w:val="115"/>
        </w:trPr>
        <w:tc>
          <w:tcPr>
            <w:tcW w:w="6360" w:type="dxa"/>
            <w:vAlign w:val="bottom"/>
            <w:tcBorders>
              <w:top w:val="single" w:sz="8" w:color="CCEEFF"/>
              <w:bottom w:val="single" w:sz="8" w:color="CCEEFF"/>
            </w:tcBorders>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Diluted</w:t>
            </w:r>
          </w:p>
        </w:tc>
        <w:tc>
          <w:tcPr>
            <w:tcW w:w="500" w:type="dxa"/>
            <w:vAlign w:val="bottom"/>
            <w:tcBorders>
              <w:top w:val="single" w:sz="8" w:color="auto"/>
              <w:bottom w:val="single" w:sz="8" w:color="auto"/>
            </w:tcBorders>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(0.37)</w:t>
            </w: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ind w:right="50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(0.45)</w:t>
            </w:r>
          </w:p>
        </w:tc>
      </w:tr>
      <w:tr>
        <w:trPr>
          <w:trHeight w:val="108"/>
        </w:trPr>
        <w:tc>
          <w:tcPr>
            <w:tcW w:w="6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08"/>
        </w:trPr>
        <w:tc>
          <w:tcPr>
            <w:tcW w:w="63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Weighted average shares outstanding used in calculating net loss per share:</w:t>
            </w:r>
          </w:p>
        </w:tc>
        <w:tc>
          <w:tcPr>
            <w:tcW w:w="50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r>
        <w:trPr>
          <w:trHeight w:val="115"/>
        </w:trPr>
        <w:tc>
          <w:tcPr>
            <w:tcW w:w="6360" w:type="dxa"/>
            <w:vAlign w:val="bottom"/>
            <w:tcBorders>
              <w:bottom w:val="single" w:sz="8" w:color="CCEEFF"/>
            </w:tcBorders>
          </w:tcPr>
          <w:p>
            <w:pPr>
              <w:ind w:left="280"/>
              <w:spacing w:after="0" w:line="108" w:lineRule="exact"/>
              <w:rPr>
                <w:sz w:val="20"/>
                <w:szCs w:val="20"/>
                <w:color w:val="auto"/>
              </w:rPr>
            </w:pPr>
            <w:r>
              <w:rPr>
                <w:rFonts w:ascii="Times New Roman" w:cs="Times New Roman" w:eastAsia="Times New Roman" w:hAnsi="Times New Roman"/>
                <w:sz w:val="10"/>
                <w:szCs w:val="10"/>
                <w:color w:val="auto"/>
              </w:rPr>
              <w:t>Basic</w:t>
            </w:r>
          </w:p>
        </w:tc>
        <w:tc>
          <w:tcPr>
            <w:tcW w:w="5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rPr>
              <w:t>222,289</w:t>
            </w:r>
          </w:p>
        </w:tc>
        <w:tc>
          <w:tcPr>
            <w:tcW w:w="8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194,790</w:t>
            </w:r>
          </w:p>
        </w:tc>
      </w:tr>
      <w:tr>
        <w:trPr>
          <w:trHeight w:val="115"/>
        </w:trPr>
        <w:tc>
          <w:tcPr>
            <w:tcW w:w="6360" w:type="dxa"/>
            <w:vAlign w:val="bottom"/>
            <w:tcBorders>
              <w:bottom w:val="single" w:sz="8" w:color="CCEEFF"/>
            </w:tcBorders>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Diluted</w:t>
            </w:r>
          </w:p>
        </w:tc>
        <w:tc>
          <w:tcPr>
            <w:tcW w:w="500" w:type="dxa"/>
            <w:vAlign w:val="bottom"/>
            <w:tcBorders>
              <w:bottom w:val="single" w:sz="8" w:color="auto"/>
            </w:tcBorders>
            <w:shd w:val="clear" w:color="auto" w:fill="CCEEFF"/>
          </w:tcPr>
          <w:p>
            <w:pPr>
              <w:spacing w:after="0"/>
              <w:rPr>
                <w:sz w:val="10"/>
                <w:szCs w:val="10"/>
                <w:color w:val="auto"/>
              </w:rPr>
            </w:pPr>
          </w:p>
        </w:tc>
        <w:tc>
          <w:tcPr>
            <w:tcW w:w="15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222,289</w:t>
            </w:r>
          </w:p>
        </w:tc>
        <w:tc>
          <w:tcPr>
            <w:tcW w:w="8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460" w:type="dxa"/>
            <w:vAlign w:val="bottom"/>
            <w:tcBorders>
              <w:bottom w:val="single" w:sz="8" w:color="auto"/>
            </w:tcBorders>
            <w:shd w:val="clear" w:color="auto" w:fill="CCEEFF"/>
          </w:tcPr>
          <w:p>
            <w:pPr>
              <w:jc w:val="right"/>
              <w:ind w:right="29"/>
              <w:spacing w:after="0" w:line="108" w:lineRule="exact"/>
              <w:rPr>
                <w:sz w:val="20"/>
                <w:szCs w:val="20"/>
                <w:color w:val="auto"/>
              </w:rPr>
            </w:pPr>
            <w:r>
              <w:rPr>
                <w:rFonts w:ascii="Times New Roman" w:cs="Times New Roman" w:eastAsia="Times New Roman" w:hAnsi="Times New Roman"/>
                <w:sz w:val="10"/>
                <w:szCs w:val="10"/>
                <w:color w:val="auto"/>
              </w:rPr>
              <w:t>194,790</w:t>
            </w:r>
          </w:p>
        </w:tc>
      </w:tr>
    </w:tbl>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PACIFIC BIOSCIENCES OF CALIFORNIA,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318"/>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08"/>
        </w:trPr>
        <w:tc>
          <w:tcPr>
            <w:tcW w:w="1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tcPr>
          <w:p>
            <w:pPr>
              <w:jc w:val="center"/>
              <w:ind w:right="340"/>
              <w:spacing w:after="0" w:line="108"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1020" w:type="dxa"/>
            <w:vAlign w:val="bottom"/>
          </w:tcPr>
          <w:p>
            <w:pPr>
              <w:jc w:val="center"/>
              <w:ind w:left="338"/>
              <w:spacing w:after="0" w:line="108"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center"/>
              <w:ind w:right="132"/>
              <w:spacing w:after="0" w:line="108" w:lineRule="exact"/>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08"/>
        </w:trPr>
        <w:tc>
          <w:tcPr>
            <w:tcW w:w="17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5"/>
          </w:tcPr>
          <w:p>
            <w:pPr>
              <w:ind w:left="540"/>
              <w:spacing w:after="0" w:line="108"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Pr>
          <w:p>
            <w:pPr>
              <w:spacing w:after="0"/>
              <w:rPr>
                <w:sz w:val="9"/>
                <w:szCs w:val="9"/>
                <w:color w:val="auto"/>
              </w:rPr>
            </w:pPr>
          </w:p>
        </w:tc>
        <w:tc>
          <w:tcPr>
            <w:tcW w:w="106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1020" w:type="dxa"/>
            <w:vAlign w:val="bottom"/>
          </w:tcPr>
          <w:p>
            <w:pPr>
              <w:jc w:val="center"/>
              <w:ind w:left="298"/>
              <w:spacing w:after="0" w:line="108"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20"/>
              <w:spacing w:after="0" w:line="108"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180" w:type="dxa"/>
            <w:vAlign w:val="bottom"/>
          </w:tcPr>
          <w:p>
            <w:pPr>
              <w:spacing w:after="0"/>
              <w:rPr>
                <w:sz w:val="9"/>
                <w:szCs w:val="9"/>
                <w:color w:val="auto"/>
              </w:rPr>
            </w:pPr>
          </w:p>
        </w:tc>
        <w:tc>
          <w:tcPr>
            <w:tcW w:w="1000" w:type="dxa"/>
            <w:vAlign w:val="bottom"/>
          </w:tcPr>
          <w:p>
            <w:pPr>
              <w:jc w:val="center"/>
              <w:ind w:right="112"/>
              <w:spacing w:after="0" w:line="108" w:lineRule="exact"/>
              <w:rPr>
                <w:sz w:val="20"/>
                <w:szCs w:val="20"/>
                <w:color w:val="auto"/>
              </w:rPr>
            </w:pPr>
            <w:r>
              <w:rPr>
                <w:rFonts w:ascii="Times New Roman" w:cs="Times New Roman" w:eastAsia="Times New Roman" w:hAnsi="Times New Roman"/>
                <w:sz w:val="10"/>
                <w:szCs w:val="10"/>
                <w:b w:val="1"/>
                <w:bCs w:val="1"/>
                <w:color w:val="auto"/>
                <w:w w:val="95"/>
              </w:rPr>
              <w:t>Stockholders'</w:t>
            </w:r>
          </w:p>
        </w:tc>
      </w:tr>
      <w:tr>
        <w:trPr>
          <w:trHeight w:val="124"/>
        </w:trPr>
        <w:tc>
          <w:tcPr>
            <w:tcW w:w="40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80" w:type="dxa"/>
            <w:vAlign w:val="bottom"/>
          </w:tcPr>
          <w:p>
            <w:pPr>
              <w:spacing w:after="0"/>
              <w:rPr>
                <w:sz w:val="10"/>
                <w:szCs w:val="10"/>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20" w:type="dxa"/>
            <w:vAlign w:val="bottom"/>
          </w:tcPr>
          <w:p>
            <w:pPr>
              <w:jc w:val="center"/>
              <w:ind w:left="318"/>
              <w:spacing w:after="0"/>
              <w:rPr>
                <w:sz w:val="20"/>
                <w:szCs w:val="20"/>
                <w:color w:val="auto"/>
              </w:rPr>
            </w:pPr>
            <w:r>
              <w:rPr>
                <w:rFonts w:ascii="Times New Roman" w:cs="Times New Roman" w:eastAsia="Times New Roman" w:hAnsi="Times New Roman"/>
                <w:sz w:val="10"/>
                <w:szCs w:val="10"/>
                <w:b w:val="1"/>
                <w:bCs w:val="1"/>
                <w:color w:val="auto"/>
                <w:w w:val="96"/>
              </w:rPr>
              <w:t>(Loss) Income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80" w:type="dxa"/>
            <w:vAlign w:val="bottom"/>
          </w:tcPr>
          <w:p>
            <w:pPr>
              <w:spacing w:after="0"/>
              <w:rPr>
                <w:sz w:val="10"/>
                <w:szCs w:val="10"/>
                <w:color w:val="auto"/>
              </w:rPr>
            </w:pPr>
          </w:p>
        </w:tc>
        <w:tc>
          <w:tcPr>
            <w:tcW w:w="100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89"/>
              </w:rPr>
              <w:t>Equity</w:t>
            </w:r>
          </w:p>
        </w:tc>
      </w:tr>
      <w:tr>
        <w:trPr>
          <w:trHeight w:val="79"/>
        </w:trPr>
        <w:tc>
          <w:tcPr>
            <w:tcW w:w="1740" w:type="dxa"/>
            <w:vAlign w:val="bottom"/>
            <w:tcBorders>
              <w:bottom w:val="single" w:sz="8" w:color="auto"/>
            </w:tcBorders>
          </w:tcPr>
          <w:p>
            <w:pPr>
              <w:spacing w:after="0" w:line="79" w:lineRule="exact"/>
              <w:rPr>
                <w:sz w:val="20"/>
                <w:szCs w:val="20"/>
                <w:color w:val="auto"/>
              </w:rPr>
            </w:pPr>
            <w:r>
              <w:rPr>
                <w:rFonts w:ascii="Times New Roman" w:cs="Times New Roman" w:eastAsia="Times New Roman" w:hAnsi="Times New Roman"/>
                <w:sz w:val="8"/>
                <w:szCs w:val="8"/>
                <w:b w:val="1"/>
                <w:bCs w:val="1"/>
                <w:i w:val="1"/>
                <w:iCs w:val="1"/>
                <w:color w:val="auto"/>
              </w:rPr>
              <w:t>For the three months ended March 31, 2022</w:t>
            </w:r>
          </w:p>
        </w:tc>
        <w:tc>
          <w:tcPr>
            <w:tcW w:w="2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r>
      <w:tr>
        <w:trPr>
          <w:trHeight w:val="106"/>
        </w:trPr>
        <w:tc>
          <w:tcPr>
            <w:tcW w:w="40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Balance at December 31, 2021</w:t>
            </w:r>
          </w:p>
        </w:tc>
        <w:tc>
          <w:tcPr>
            <w:tcW w:w="1000" w:type="dxa"/>
            <w:vAlign w:val="bottom"/>
            <w:gridSpan w:val="3"/>
            <w:shd w:val="clear" w:color="auto" w:fill="CCEEFF"/>
          </w:tcPr>
          <w:p>
            <w:pPr>
              <w:jc w:val="right"/>
              <w:ind w:right="100"/>
              <w:spacing w:after="0" w:line="106" w:lineRule="exact"/>
              <w:rPr>
                <w:sz w:val="20"/>
                <w:szCs w:val="20"/>
                <w:color w:val="auto"/>
              </w:rPr>
            </w:pPr>
            <w:r>
              <w:rPr>
                <w:rFonts w:ascii="Times New Roman" w:cs="Times New Roman" w:eastAsia="Times New Roman" w:hAnsi="Times New Roman"/>
                <w:sz w:val="10"/>
                <w:szCs w:val="10"/>
                <w:color w:val="auto"/>
              </w:rPr>
              <w:t>220,978</w:t>
            </w:r>
          </w:p>
        </w:tc>
        <w:tc>
          <w:tcPr>
            <w:tcW w:w="160" w:type="dxa"/>
            <w:vAlign w:val="bottom"/>
            <w:shd w:val="clear" w:color="auto" w:fill="CCEEFF"/>
          </w:tcPr>
          <w:p>
            <w:pPr>
              <w:jc w:val="right"/>
              <w:ind w:right="52"/>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ind w:right="12"/>
              <w:spacing w:after="0" w:line="106" w:lineRule="exact"/>
              <w:rPr>
                <w:sz w:val="20"/>
                <w:szCs w:val="20"/>
                <w:color w:val="auto"/>
              </w:rPr>
            </w:pPr>
            <w:r>
              <w:rPr>
                <w:rFonts w:ascii="Times New Roman" w:cs="Times New Roman" w:eastAsia="Times New Roman" w:hAnsi="Times New Roman"/>
                <w:sz w:val="10"/>
                <w:szCs w:val="10"/>
                <w:color w:val="auto"/>
              </w:rPr>
              <w:t>221</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ind w:right="12"/>
              <w:spacing w:after="0" w:line="106" w:lineRule="exact"/>
              <w:rPr>
                <w:sz w:val="20"/>
                <w:szCs w:val="20"/>
                <w:color w:val="auto"/>
              </w:rPr>
            </w:pPr>
            <w:r>
              <w:rPr>
                <w:rFonts w:ascii="Times New Roman" w:cs="Times New Roman" w:eastAsia="Times New Roman" w:hAnsi="Times New Roman"/>
                <w:sz w:val="10"/>
                <w:szCs w:val="10"/>
                <w:color w:val="auto"/>
              </w:rPr>
              <w:t>2,009,945</w:t>
            </w: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ind w:right="32"/>
              <w:spacing w:after="0" w:line="106" w:lineRule="exact"/>
              <w:rPr>
                <w:sz w:val="20"/>
                <w:szCs w:val="20"/>
                <w:color w:val="auto"/>
              </w:rPr>
            </w:pPr>
            <w:r>
              <w:rPr>
                <w:rFonts w:ascii="Times New Roman" w:cs="Times New Roman" w:eastAsia="Times New Roman" w:hAnsi="Times New Roman"/>
                <w:sz w:val="10"/>
                <w:szCs w:val="10"/>
                <w:color w:val="auto"/>
                <w:w w:val="95"/>
              </w:rPr>
              <w:t>(1,087)</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shd w:val="clear" w:color="auto" w:fill="CCEEFF"/>
          </w:tcPr>
          <w:p>
            <w:pPr>
              <w:jc w:val="right"/>
              <w:ind w:right="32"/>
              <w:spacing w:after="0" w:line="106" w:lineRule="exact"/>
              <w:rPr>
                <w:sz w:val="20"/>
                <w:szCs w:val="20"/>
                <w:color w:val="auto"/>
              </w:rPr>
            </w:pPr>
            <w:r>
              <w:rPr>
                <w:rFonts w:ascii="Times New Roman" w:cs="Times New Roman" w:eastAsia="Times New Roman" w:hAnsi="Times New Roman"/>
                <w:sz w:val="10"/>
                <w:szCs w:val="10"/>
                <w:color w:val="auto"/>
              </w:rPr>
              <w:t>(1,218,092)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72"/>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ind w:right="32"/>
              <w:spacing w:after="0" w:line="106" w:lineRule="exact"/>
              <w:rPr>
                <w:sz w:val="20"/>
                <w:szCs w:val="20"/>
                <w:color w:val="auto"/>
              </w:rPr>
            </w:pPr>
            <w:r>
              <w:rPr>
                <w:rFonts w:ascii="Times New Roman" w:cs="Times New Roman" w:eastAsia="Times New Roman" w:hAnsi="Times New Roman"/>
                <w:sz w:val="10"/>
                <w:szCs w:val="10"/>
                <w:color w:val="auto"/>
              </w:rPr>
              <w:t>790,987</w:t>
            </w:r>
          </w:p>
        </w:tc>
      </w:tr>
      <w:tr>
        <w:trPr>
          <w:trHeight w:val="108"/>
        </w:trPr>
        <w:tc>
          <w:tcPr>
            <w:tcW w:w="40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0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9"/>
                <w:szCs w:val="9"/>
                <w:color w:val="auto"/>
              </w:rPr>
            </w:pPr>
          </w:p>
        </w:tc>
        <w:tc>
          <w:tcPr>
            <w:tcW w:w="4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08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(81,499)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(81,499)</w:t>
            </w:r>
          </w:p>
        </w:tc>
      </w:tr>
      <w:tr>
        <w:trPr>
          <w:trHeight w:val="108"/>
        </w:trPr>
        <w:tc>
          <w:tcPr>
            <w:tcW w:w="40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comprehensive income</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w w:val="95"/>
              </w:rPr>
              <w:t>(2,998)</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(2,998)</w:t>
            </w:r>
          </w:p>
        </w:tc>
      </w:tr>
      <w:tr>
        <w:trPr>
          <w:trHeight w:val="108"/>
        </w:trPr>
        <w:tc>
          <w:tcPr>
            <w:tcW w:w="40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Issuance of common stock in conjunction with equity plans</w:t>
            </w:r>
          </w:p>
        </w:tc>
        <w:tc>
          <w:tcPr>
            <w:tcW w:w="900" w:type="dxa"/>
            <w:vAlign w:val="bottom"/>
            <w:gridSpan w:val="2"/>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3,351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5,589</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5,592</w:t>
            </w:r>
          </w:p>
        </w:tc>
      </w:tr>
      <w:tr>
        <w:trPr>
          <w:trHeight w:val="108"/>
        </w:trPr>
        <w:tc>
          <w:tcPr>
            <w:tcW w:w="40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ind w:left="4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center"/>
              <w:ind w:left="492"/>
              <w:spacing w:after="0" w:line="108" w:lineRule="exact"/>
              <w:rPr>
                <w:sz w:val="20"/>
                <w:szCs w:val="20"/>
                <w:color w:val="auto"/>
              </w:rPr>
            </w:pPr>
            <w:r>
              <w:rPr>
                <w:rFonts w:ascii="Times New Roman" w:cs="Times New Roman" w:eastAsia="Times New Roman" w:hAnsi="Times New Roman"/>
                <w:sz w:val="10"/>
                <w:szCs w:val="10"/>
                <w:color w:val="auto"/>
              </w:rPr>
              <w:t>22,496</w:t>
            </w: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1180" w:type="dxa"/>
            <w:vAlign w:val="bottom"/>
            <w:gridSpan w:val="2"/>
            <w:shd w:val="clear" w:color="auto" w:fill="CCEEFF"/>
          </w:tcPr>
          <w:p>
            <w:pPr>
              <w:ind w:left="9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22,496</w:t>
            </w:r>
          </w:p>
        </w:tc>
      </w:tr>
      <w:tr>
        <w:trPr>
          <w:trHeight w:val="104"/>
        </w:trPr>
        <w:tc>
          <w:tcPr>
            <w:tcW w:w="4060" w:type="dxa"/>
            <w:vAlign w:val="bottom"/>
            <w:tcBorders>
              <w:bottom w:val="single" w:sz="8" w:color="CCEEFF"/>
            </w:tcBorders>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Balance at March 31, 2022</w:t>
            </w:r>
          </w:p>
        </w:tc>
        <w:tc>
          <w:tcPr>
            <w:tcW w:w="90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224,329</w:t>
            </w:r>
          </w:p>
        </w:tc>
        <w:tc>
          <w:tcPr>
            <w:tcW w:w="10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jc w:val="right"/>
              <w:ind w:right="5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224</w:t>
            </w:r>
          </w:p>
        </w:tc>
        <w:tc>
          <w:tcPr>
            <w:tcW w:w="12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jc w:val="right"/>
              <w:ind w:right="104"/>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center"/>
              <w:ind w:left="512"/>
              <w:spacing w:after="0" w:line="97" w:lineRule="exact"/>
              <w:rPr>
                <w:sz w:val="20"/>
                <w:szCs w:val="20"/>
                <w:color w:val="auto"/>
              </w:rPr>
            </w:pPr>
            <w:r>
              <w:rPr>
                <w:rFonts w:ascii="Times New Roman" w:cs="Times New Roman" w:eastAsia="Times New Roman" w:hAnsi="Times New Roman"/>
                <w:sz w:val="10"/>
                <w:szCs w:val="10"/>
                <w:color w:val="auto"/>
                <w:w w:val="94"/>
              </w:rPr>
              <w:t>2,038,030</w:t>
            </w:r>
          </w:p>
        </w:tc>
        <w:tc>
          <w:tcPr>
            <w:tcW w:w="120" w:type="dxa"/>
            <w:vAlign w:val="bottom"/>
            <w:tcBorders>
              <w:bottom w:val="single" w:sz="8" w:color="CCEEFF"/>
            </w:tcBorders>
          </w:tcPr>
          <w:p>
            <w:pPr>
              <w:spacing w:after="0"/>
              <w:rPr>
                <w:sz w:val="9"/>
                <w:szCs w:val="9"/>
                <w:color w:val="auto"/>
              </w:rPr>
            </w:pPr>
          </w:p>
        </w:tc>
        <w:tc>
          <w:tcPr>
            <w:tcW w:w="1020" w:type="dxa"/>
            <w:vAlign w:val="bottom"/>
            <w:tcBorders>
              <w:top w:val="single" w:sz="8" w:color="auto"/>
              <w:bottom w:val="single" w:sz="8" w:color="auto"/>
            </w:tcBorders>
          </w:tcPr>
          <w:p>
            <w:pPr>
              <w:jc w:val="right"/>
              <w:ind w:right="918"/>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(4,085)</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jc w:val="right"/>
              <w:ind w:right="104"/>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(1,299,591)</w:t>
            </w: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jc w:val="right"/>
              <w:ind w:right="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ind w:right="32"/>
              <w:spacing w:after="0" w:line="97" w:lineRule="exact"/>
              <w:rPr>
                <w:sz w:val="20"/>
                <w:szCs w:val="20"/>
                <w:color w:val="auto"/>
              </w:rPr>
            </w:pPr>
            <w:r>
              <w:rPr>
                <w:rFonts w:ascii="Times New Roman" w:cs="Times New Roman" w:eastAsia="Times New Roman" w:hAnsi="Times New Roman"/>
                <w:sz w:val="10"/>
                <w:szCs w:val="10"/>
                <w:color w:val="auto"/>
              </w:rPr>
              <w:t>734,578</w:t>
            </w:r>
          </w:p>
        </w:tc>
      </w:tr>
      <w:tr>
        <w:trPr>
          <w:trHeight w:val="108"/>
        </w:trPr>
        <w:tc>
          <w:tcPr>
            <w:tcW w:w="1740" w:type="dxa"/>
            <w:vAlign w:val="bottom"/>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90"/>
        </w:trPr>
        <w:tc>
          <w:tcPr>
            <w:tcW w:w="1740" w:type="dxa"/>
            <w:vAlign w:val="bottom"/>
            <w:tcBorders>
              <w:bottom w:val="single" w:sz="8" w:color="auto"/>
            </w:tcBorders>
          </w:tcPr>
          <w:p>
            <w:pPr>
              <w:spacing w:after="0" w:line="90" w:lineRule="exact"/>
              <w:rPr>
                <w:sz w:val="20"/>
                <w:szCs w:val="20"/>
                <w:color w:val="auto"/>
              </w:rPr>
            </w:pPr>
            <w:r>
              <w:rPr>
                <w:rFonts w:ascii="Times New Roman" w:cs="Times New Roman" w:eastAsia="Times New Roman" w:hAnsi="Times New Roman"/>
                <w:sz w:val="10"/>
                <w:szCs w:val="10"/>
                <w:b w:val="1"/>
                <w:bCs w:val="1"/>
                <w:i w:val="1"/>
                <w:iCs w:val="1"/>
                <w:color w:val="auto"/>
                <w:w w:val="94"/>
              </w:rPr>
              <w:t>For the three months ended March 31, 2021</w:t>
            </w:r>
          </w:p>
        </w:tc>
        <w:tc>
          <w:tcPr>
            <w:tcW w:w="2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06"/>
        </w:trPr>
        <w:tc>
          <w:tcPr>
            <w:tcW w:w="4060" w:type="dxa"/>
            <w:vAlign w:val="bottom"/>
            <w:gridSpan w:val="2"/>
            <w:shd w:val="clear" w:color="auto" w:fill="CCEEFF"/>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Balance at December 31, 2020</w:t>
            </w:r>
          </w:p>
        </w:tc>
        <w:tc>
          <w:tcPr>
            <w:tcW w:w="1000" w:type="dxa"/>
            <w:vAlign w:val="bottom"/>
            <w:gridSpan w:val="3"/>
            <w:shd w:val="clear" w:color="auto" w:fill="CCEEFF"/>
          </w:tcPr>
          <w:p>
            <w:pPr>
              <w:jc w:val="right"/>
              <w:ind w:right="100"/>
              <w:spacing w:after="0" w:line="106" w:lineRule="exact"/>
              <w:rPr>
                <w:sz w:val="20"/>
                <w:szCs w:val="20"/>
                <w:color w:val="auto"/>
              </w:rPr>
            </w:pPr>
            <w:r>
              <w:rPr>
                <w:rFonts w:ascii="Times New Roman" w:cs="Times New Roman" w:eastAsia="Times New Roman" w:hAnsi="Times New Roman"/>
                <w:sz w:val="10"/>
                <w:szCs w:val="10"/>
                <w:color w:val="auto"/>
              </w:rPr>
              <w:t>192,294</w:t>
            </w:r>
          </w:p>
        </w:tc>
        <w:tc>
          <w:tcPr>
            <w:tcW w:w="160" w:type="dxa"/>
            <w:vAlign w:val="bottom"/>
            <w:shd w:val="clear" w:color="auto" w:fill="CCEEFF"/>
          </w:tcPr>
          <w:p>
            <w:pPr>
              <w:jc w:val="right"/>
              <w:ind w:right="52"/>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ind w:right="12"/>
              <w:spacing w:after="0" w:line="106" w:lineRule="exact"/>
              <w:rPr>
                <w:sz w:val="20"/>
                <w:szCs w:val="20"/>
                <w:color w:val="auto"/>
              </w:rPr>
            </w:pPr>
            <w:r>
              <w:rPr>
                <w:rFonts w:ascii="Times New Roman" w:cs="Times New Roman" w:eastAsia="Times New Roman" w:hAnsi="Times New Roman"/>
                <w:sz w:val="10"/>
                <w:szCs w:val="10"/>
                <w:color w:val="auto"/>
              </w:rPr>
              <w:t>192</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CEEFF"/>
          </w:tcPr>
          <w:p>
            <w:pPr>
              <w:jc w:val="right"/>
              <w:ind w:right="12"/>
              <w:spacing w:after="0" w:line="106" w:lineRule="exact"/>
              <w:rPr>
                <w:sz w:val="20"/>
                <w:szCs w:val="20"/>
                <w:color w:val="auto"/>
              </w:rPr>
            </w:pPr>
            <w:r>
              <w:rPr>
                <w:rFonts w:ascii="Times New Roman" w:cs="Times New Roman" w:eastAsia="Times New Roman" w:hAnsi="Times New Roman"/>
                <w:sz w:val="10"/>
                <w:szCs w:val="10"/>
                <w:color w:val="auto"/>
              </w:rPr>
              <w:t>1,372,083</w:t>
            </w: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shd w:val="clear" w:color="auto" w:fill="CCEEFF"/>
          </w:tcPr>
          <w:p>
            <w:pPr>
              <w:jc w:val="right"/>
              <w:ind w:right="32"/>
              <w:spacing w:after="0" w:line="106" w:lineRule="exact"/>
              <w:rPr>
                <w:sz w:val="20"/>
                <w:szCs w:val="20"/>
                <w:color w:val="auto"/>
              </w:rPr>
            </w:pPr>
            <w:r>
              <w:rPr>
                <w:rFonts w:ascii="Times New Roman" w:cs="Times New Roman" w:eastAsia="Times New Roman" w:hAnsi="Times New Roman"/>
                <w:sz w:val="10"/>
                <w:szCs w:val="10"/>
                <w:color w:val="auto"/>
              </w:rPr>
              <w:t>85</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shd w:val="clear" w:color="auto" w:fill="CCEEFF"/>
          </w:tcPr>
          <w:p>
            <w:pPr>
              <w:jc w:val="right"/>
              <w:ind w:right="32"/>
              <w:spacing w:after="0" w:line="106" w:lineRule="exact"/>
              <w:rPr>
                <w:sz w:val="20"/>
                <w:szCs w:val="20"/>
                <w:color w:val="auto"/>
              </w:rPr>
            </w:pPr>
            <w:r>
              <w:rPr>
                <w:rFonts w:ascii="Times New Roman" w:cs="Times New Roman" w:eastAsia="Times New Roman" w:hAnsi="Times New Roman"/>
                <w:sz w:val="10"/>
                <w:szCs w:val="10"/>
                <w:color w:val="auto"/>
              </w:rPr>
              <w:t>(1,036,869)</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ind w:right="72"/>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ind w:right="32"/>
              <w:spacing w:after="0" w:line="106" w:lineRule="exact"/>
              <w:rPr>
                <w:sz w:val="20"/>
                <w:szCs w:val="20"/>
                <w:color w:val="auto"/>
              </w:rPr>
            </w:pPr>
            <w:r>
              <w:rPr>
                <w:rFonts w:ascii="Times New Roman" w:cs="Times New Roman" w:eastAsia="Times New Roman" w:hAnsi="Times New Roman"/>
                <w:sz w:val="10"/>
                <w:szCs w:val="10"/>
                <w:color w:val="auto"/>
              </w:rPr>
              <w:t>335,491</w:t>
            </w:r>
          </w:p>
        </w:tc>
      </w:tr>
      <w:tr>
        <w:trPr>
          <w:trHeight w:val="108"/>
        </w:trPr>
        <w:tc>
          <w:tcPr>
            <w:tcW w:w="40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7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06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spacing w:after="0"/>
              <w:rPr>
                <w:sz w:val="9"/>
                <w:szCs w:val="9"/>
                <w:color w:val="auto"/>
              </w:rPr>
            </w:pPr>
          </w:p>
        </w:tc>
        <w:tc>
          <w:tcPr>
            <w:tcW w:w="4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08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(87,435)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(87,435)</w:t>
            </w:r>
          </w:p>
        </w:tc>
      </w:tr>
      <w:tr>
        <w:trPr>
          <w:trHeight w:val="108"/>
        </w:trPr>
        <w:tc>
          <w:tcPr>
            <w:tcW w:w="40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comprehensive loss</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(11)</w:t>
            </w:r>
          </w:p>
        </w:tc>
      </w:tr>
      <w:tr>
        <w:trPr>
          <w:trHeight w:val="108"/>
        </w:trPr>
        <w:tc>
          <w:tcPr>
            <w:tcW w:w="406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Issuance of common stock in conjunction with equity plans</w:t>
            </w:r>
          </w:p>
        </w:tc>
        <w:tc>
          <w:tcPr>
            <w:tcW w:w="900" w:type="dxa"/>
            <w:vAlign w:val="bottom"/>
            <w:gridSpan w:val="2"/>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6,046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ind w:right="12"/>
              <w:spacing w:after="0" w:line="108" w:lineRule="exact"/>
              <w:rPr>
                <w:sz w:val="20"/>
                <w:szCs w:val="20"/>
                <w:color w:val="auto"/>
              </w:rPr>
            </w:pPr>
            <w:r>
              <w:rPr>
                <w:rFonts w:ascii="Times New Roman" w:cs="Times New Roman" w:eastAsia="Times New Roman" w:hAnsi="Times New Roman"/>
                <w:sz w:val="10"/>
                <w:szCs w:val="10"/>
                <w:color w:val="auto"/>
              </w:rPr>
              <w:t>22,337</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8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00" w:type="dxa"/>
            <w:vAlign w:val="bottom"/>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22,343</w:t>
            </w:r>
          </w:p>
        </w:tc>
      </w:tr>
      <w:tr>
        <w:trPr>
          <w:trHeight w:val="108"/>
        </w:trPr>
        <w:tc>
          <w:tcPr>
            <w:tcW w:w="40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ind w:left="4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jc w:val="center"/>
              <w:ind w:left="492"/>
              <w:spacing w:after="0" w:line="108" w:lineRule="exact"/>
              <w:rPr>
                <w:sz w:val="20"/>
                <w:szCs w:val="20"/>
                <w:color w:val="auto"/>
              </w:rPr>
            </w:pPr>
            <w:r>
              <w:rPr>
                <w:rFonts w:ascii="Times New Roman" w:cs="Times New Roman" w:eastAsia="Times New Roman" w:hAnsi="Times New Roman"/>
                <w:sz w:val="10"/>
                <w:szCs w:val="10"/>
                <w:color w:val="auto"/>
              </w:rPr>
              <w:t>10,165</w:t>
            </w: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1180" w:type="dxa"/>
            <w:vAlign w:val="bottom"/>
            <w:gridSpan w:val="2"/>
            <w:shd w:val="clear" w:color="auto" w:fill="CCEEFF"/>
          </w:tcPr>
          <w:p>
            <w:pPr>
              <w:ind w:left="9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1000" w:type="dxa"/>
            <w:vAlign w:val="bottom"/>
            <w:shd w:val="clear" w:color="auto" w:fill="CCEEFF"/>
          </w:tcPr>
          <w:p>
            <w:pPr>
              <w:jc w:val="right"/>
              <w:ind w:right="32"/>
              <w:spacing w:after="0" w:line="108" w:lineRule="exact"/>
              <w:rPr>
                <w:sz w:val="20"/>
                <w:szCs w:val="20"/>
                <w:color w:val="auto"/>
              </w:rPr>
            </w:pPr>
            <w:r>
              <w:rPr>
                <w:rFonts w:ascii="Times New Roman" w:cs="Times New Roman" w:eastAsia="Times New Roman" w:hAnsi="Times New Roman"/>
                <w:sz w:val="10"/>
                <w:szCs w:val="10"/>
                <w:color w:val="auto"/>
              </w:rPr>
              <w:t>10,165</w:t>
            </w:r>
          </w:p>
        </w:tc>
      </w:tr>
      <w:tr>
        <w:trPr>
          <w:trHeight w:val="104"/>
        </w:trPr>
        <w:tc>
          <w:tcPr>
            <w:tcW w:w="406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Balance at March 31, 2021</w:t>
            </w:r>
          </w:p>
        </w:tc>
        <w:tc>
          <w:tcPr>
            <w:tcW w:w="90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color w:val="auto"/>
              </w:rPr>
              <w:t>198,340</w:t>
            </w:r>
          </w:p>
        </w:tc>
        <w:tc>
          <w:tcPr>
            <w:tcW w:w="10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198</w:t>
            </w:r>
          </w:p>
        </w:tc>
        <w:tc>
          <w:tcPr>
            <w:tcW w:w="1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04"/>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tcPr>
          <w:p>
            <w:pPr>
              <w:jc w:val="center"/>
              <w:ind w:left="512"/>
              <w:spacing w:after="0" w:line="97" w:lineRule="exact"/>
              <w:rPr>
                <w:sz w:val="20"/>
                <w:szCs w:val="20"/>
                <w:color w:val="auto"/>
              </w:rPr>
            </w:pPr>
            <w:r>
              <w:rPr>
                <w:rFonts w:ascii="Times New Roman" w:cs="Times New Roman" w:eastAsia="Times New Roman" w:hAnsi="Times New Roman"/>
                <w:sz w:val="10"/>
                <w:szCs w:val="10"/>
                <w:color w:val="auto"/>
                <w:w w:val="94"/>
              </w:rPr>
              <w:t>1,404,585</w:t>
            </w:r>
          </w:p>
        </w:tc>
        <w:tc>
          <w:tcPr>
            <w:tcW w:w="120" w:type="dxa"/>
            <w:vAlign w:val="bottom"/>
          </w:tcPr>
          <w:p>
            <w:pPr>
              <w:spacing w:after="0"/>
              <w:rPr>
                <w:sz w:val="9"/>
                <w:szCs w:val="9"/>
                <w:color w:val="auto"/>
              </w:rPr>
            </w:pPr>
          </w:p>
        </w:tc>
        <w:tc>
          <w:tcPr>
            <w:tcW w:w="1020" w:type="dxa"/>
            <w:vAlign w:val="bottom"/>
            <w:tcBorders>
              <w:top w:val="single" w:sz="8" w:color="auto"/>
              <w:bottom w:val="single" w:sz="8" w:color="auto"/>
            </w:tcBorders>
          </w:tcPr>
          <w:p>
            <w:pPr>
              <w:jc w:val="right"/>
              <w:ind w:right="918"/>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74</w:t>
            </w:r>
          </w:p>
        </w:tc>
        <w:tc>
          <w:tcPr>
            <w:tcW w:w="10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104"/>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(1,124,304)</w:t>
            </w:r>
          </w:p>
        </w:tc>
        <w:tc>
          <w:tcPr>
            <w:tcW w:w="10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bottom w:val="single" w:sz="8" w:color="auto"/>
            </w:tcBorders>
          </w:tcPr>
          <w:p>
            <w:pPr>
              <w:jc w:val="right"/>
              <w:ind w:right="32"/>
              <w:spacing w:after="0" w:line="97" w:lineRule="exact"/>
              <w:rPr>
                <w:sz w:val="20"/>
                <w:szCs w:val="20"/>
                <w:color w:val="auto"/>
              </w:rPr>
            </w:pPr>
            <w:r>
              <w:rPr>
                <w:rFonts w:ascii="Times New Roman" w:cs="Times New Roman" w:eastAsia="Times New Roman" w:hAnsi="Times New Roman"/>
                <w:sz w:val="10"/>
                <w:szCs w:val="10"/>
                <w:color w:val="auto"/>
              </w:rPr>
              <w:t>280,553</w:t>
            </w: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PACIFIC BIOSCIENCES OF CALIFORNIA, INC.</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00" w:type="dxa"/>
            <w:vAlign w:val="bottom"/>
            <w:gridSpan w:val="3"/>
          </w:tcPr>
          <w:p>
            <w:pPr>
              <w:ind w:left="760"/>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980" w:type="dxa"/>
            <w:vAlign w:val="bottom"/>
          </w:tcPr>
          <w:p>
            <w:pPr>
              <w:spacing w:after="0"/>
              <w:rPr>
                <w:sz w:val="10"/>
                <w:szCs w:val="10"/>
                <w:color w:val="auto"/>
              </w:rPr>
            </w:pPr>
          </w:p>
        </w:tc>
      </w:tr>
      <w:tr>
        <w:trPr>
          <w:trHeight w:val="110"/>
        </w:trPr>
        <w:tc>
          <w:tcPr>
            <w:tcW w:w="76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589"/>
              <w:spacing w:after="0" w:line="108" w:lineRule="exact"/>
              <w:rPr>
                <w:sz w:val="20"/>
                <w:szCs w:val="20"/>
                <w:color w:val="auto"/>
              </w:rPr>
            </w:pPr>
            <w:r>
              <w:rPr>
                <w:rFonts w:ascii="Times New Roman" w:cs="Times New Roman" w:eastAsia="Times New Roman" w:hAnsi="Times New Roman"/>
                <w:sz w:val="10"/>
                <w:szCs w:val="10"/>
                <w:b w:val="1"/>
                <w:bCs w:val="1"/>
                <w:color w:val="auto"/>
              </w:rPr>
              <w:t>2022</w:t>
            </w:r>
          </w:p>
        </w:tc>
        <w:tc>
          <w:tcPr>
            <w:tcW w:w="6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89"/>
              <w:spacing w:after="0" w:line="10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08"/>
        </w:trPr>
        <w:tc>
          <w:tcPr>
            <w:tcW w:w="76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08"/>
        </w:trPr>
        <w:tc>
          <w:tcPr>
            <w:tcW w:w="76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loss</w:t>
            </w:r>
          </w:p>
        </w:tc>
        <w:tc>
          <w:tcPr>
            <w:tcW w:w="360" w:type="dxa"/>
            <w:vAlign w:val="bottom"/>
            <w:shd w:val="clear" w:color="auto" w:fill="CCEEFF"/>
          </w:tcPr>
          <w:p>
            <w:pPr>
              <w:jc w:val="right"/>
              <w:ind w:right="24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(81,499)</w:t>
            </w:r>
          </w:p>
        </w:tc>
        <w:tc>
          <w:tcPr>
            <w:tcW w:w="5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(87,435)</w:t>
            </w:r>
          </w:p>
        </w:tc>
      </w:tr>
      <w:tr>
        <w:trPr>
          <w:trHeight w:val="108"/>
        </w:trPr>
        <w:tc>
          <w:tcPr>
            <w:tcW w:w="76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08"/>
        </w:trPr>
        <w:tc>
          <w:tcPr>
            <w:tcW w:w="76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Loss from Continuation Advances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52,000</w:t>
            </w:r>
          </w:p>
        </w:tc>
      </w:tr>
      <w:tr>
        <w:trPr>
          <w:trHeight w:val="108"/>
        </w:trPr>
        <w:tc>
          <w:tcPr>
            <w:tcW w:w="76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Depreciation</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2,268</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1,606</w:t>
            </w:r>
          </w:p>
        </w:tc>
      </w:tr>
      <w:tr>
        <w:trPr>
          <w:trHeight w:val="108"/>
        </w:trPr>
        <w:tc>
          <w:tcPr>
            <w:tcW w:w="76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Amortization of intangible assets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228</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6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Amortization of right-of-use assets</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1,696</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790</w:t>
            </w:r>
          </w:p>
        </w:tc>
      </w:tr>
      <w:tr>
        <w:trPr>
          <w:trHeight w:val="108"/>
        </w:trPr>
        <w:tc>
          <w:tcPr>
            <w:tcW w:w="76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Amortization of debt discount and financing costs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159</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74</w:t>
            </w:r>
          </w:p>
        </w:tc>
      </w:tr>
      <w:tr>
        <w:trPr>
          <w:trHeight w:val="108"/>
        </w:trPr>
        <w:tc>
          <w:tcPr>
            <w:tcW w:w="76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Stock-based compensation</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22,703</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10,165</w:t>
            </w:r>
          </w:p>
        </w:tc>
      </w:tr>
      <w:tr>
        <w:trPr>
          <w:trHeight w:val="108"/>
        </w:trPr>
        <w:tc>
          <w:tcPr>
            <w:tcW w:w="76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Amortization from investment premium</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758</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565</w:t>
            </w:r>
          </w:p>
        </w:tc>
      </w:tr>
      <w:tr>
        <w:trPr>
          <w:trHeight w:val="108"/>
        </w:trPr>
        <w:tc>
          <w:tcPr>
            <w:tcW w:w="76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Change in the estimated fair value of contingent consideration</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(1,063)</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660" w:type="dxa"/>
            <w:vAlign w:val="bottom"/>
            <w:shd w:val="clear" w:color="auto" w:fill="CCEEFF"/>
          </w:tcPr>
          <w:p>
            <w:pPr>
              <w:ind w:left="280"/>
              <w:spacing w:after="0" w:line="108" w:lineRule="exact"/>
              <w:rPr>
                <w:sz w:val="20"/>
                <w:szCs w:val="20"/>
                <w:color w:val="auto"/>
              </w:rPr>
            </w:pPr>
            <w:r>
              <w:rPr>
                <w:rFonts w:ascii="Times New Roman" w:cs="Times New Roman" w:eastAsia="Times New Roman" w:hAnsi="Times New Roman"/>
                <w:sz w:val="10"/>
                <w:szCs w:val="10"/>
                <w:color w:val="auto"/>
              </w:rPr>
              <w:t>Loss on disposition of equipment</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100</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66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Changes in assets and liabilities</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08"/>
        </w:trPr>
        <w:tc>
          <w:tcPr>
            <w:tcW w:w="7660" w:type="dxa"/>
            <w:vAlign w:val="bottom"/>
            <w:shd w:val="clear" w:color="auto" w:fill="CCEEFF"/>
          </w:tcPr>
          <w:p>
            <w:pPr>
              <w:ind w:left="420"/>
              <w:spacing w:after="0" w:line="108" w:lineRule="exact"/>
              <w:rPr>
                <w:sz w:val="20"/>
                <w:szCs w:val="20"/>
                <w:color w:val="auto"/>
              </w:rPr>
            </w:pPr>
            <w:r>
              <w:rPr>
                <w:rFonts w:ascii="Times New Roman" w:cs="Times New Roman" w:eastAsia="Times New Roman" w:hAnsi="Times New Roman"/>
                <w:sz w:val="10"/>
                <w:szCs w:val="10"/>
                <w:color w:val="auto"/>
              </w:rPr>
              <w:t>Accounts receivable</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(3,611)</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3,931</w:t>
            </w:r>
          </w:p>
        </w:tc>
      </w:tr>
      <w:tr>
        <w:trPr>
          <w:trHeight w:val="108"/>
        </w:trPr>
        <w:tc>
          <w:tcPr>
            <w:tcW w:w="7660" w:type="dxa"/>
            <w:vAlign w:val="bottom"/>
          </w:tcPr>
          <w:p>
            <w:pPr>
              <w:ind w:left="420"/>
              <w:spacing w:after="0" w:line="108" w:lineRule="exact"/>
              <w:rPr>
                <w:sz w:val="20"/>
                <w:szCs w:val="20"/>
                <w:color w:val="auto"/>
              </w:rPr>
            </w:pPr>
            <w:r>
              <w:rPr>
                <w:rFonts w:ascii="Times New Roman" w:cs="Times New Roman" w:eastAsia="Times New Roman" w:hAnsi="Times New Roman"/>
                <w:sz w:val="10"/>
                <w:szCs w:val="10"/>
                <w:color w:val="auto"/>
              </w:rPr>
              <w:t>Inventory</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(6,275)</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(2,556)</w:t>
            </w:r>
          </w:p>
        </w:tc>
      </w:tr>
      <w:tr>
        <w:trPr>
          <w:trHeight w:val="108"/>
        </w:trPr>
        <w:tc>
          <w:tcPr>
            <w:tcW w:w="7660" w:type="dxa"/>
            <w:vAlign w:val="bottom"/>
            <w:shd w:val="clear" w:color="auto" w:fill="CCEEFF"/>
          </w:tcPr>
          <w:p>
            <w:pPr>
              <w:ind w:left="420"/>
              <w:spacing w:after="0" w:line="108" w:lineRule="exact"/>
              <w:rPr>
                <w:sz w:val="20"/>
                <w:szCs w:val="20"/>
                <w:color w:val="auto"/>
              </w:rPr>
            </w:pPr>
            <w:r>
              <w:rPr>
                <w:rFonts w:ascii="Times New Roman" w:cs="Times New Roman" w:eastAsia="Times New Roman" w:hAnsi="Times New Roman"/>
                <w:sz w:val="10"/>
                <w:szCs w:val="10"/>
                <w:color w:val="auto"/>
              </w:rPr>
              <w:t>Prepaid expenses and other assets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(1,185)</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(675)</w:t>
            </w:r>
          </w:p>
        </w:tc>
      </w:tr>
      <w:tr>
        <w:trPr>
          <w:trHeight w:val="108"/>
        </w:trPr>
        <w:tc>
          <w:tcPr>
            <w:tcW w:w="7660" w:type="dxa"/>
            <w:vAlign w:val="bottom"/>
          </w:tcPr>
          <w:p>
            <w:pPr>
              <w:ind w:left="420"/>
              <w:spacing w:after="0" w:line="108" w:lineRule="exact"/>
              <w:rPr>
                <w:sz w:val="20"/>
                <w:szCs w:val="20"/>
                <w:color w:val="auto"/>
              </w:rPr>
            </w:pPr>
            <w:r>
              <w:rPr>
                <w:rFonts w:ascii="Times New Roman" w:cs="Times New Roman" w:eastAsia="Times New Roman" w:hAnsi="Times New Roman"/>
                <w:sz w:val="10"/>
                <w:szCs w:val="10"/>
                <w:color w:val="auto"/>
              </w:rPr>
              <w:t>Accounts payable</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6,373</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153</w:t>
            </w:r>
          </w:p>
        </w:tc>
      </w:tr>
      <w:tr>
        <w:trPr>
          <w:trHeight w:val="108"/>
        </w:trPr>
        <w:tc>
          <w:tcPr>
            <w:tcW w:w="7660" w:type="dxa"/>
            <w:vAlign w:val="bottom"/>
            <w:shd w:val="clear" w:color="auto" w:fill="CCEEFF"/>
          </w:tcPr>
          <w:p>
            <w:pPr>
              <w:ind w:left="420"/>
              <w:spacing w:after="0" w:line="108" w:lineRule="exact"/>
              <w:rPr>
                <w:sz w:val="20"/>
                <w:szCs w:val="20"/>
                <w:color w:val="auto"/>
              </w:rPr>
            </w:pPr>
            <w:r>
              <w:rPr>
                <w:rFonts w:ascii="Times New Roman" w:cs="Times New Roman" w:eastAsia="Times New Roman" w:hAnsi="Times New Roman"/>
                <w:sz w:val="10"/>
                <w:szCs w:val="10"/>
                <w:color w:val="auto"/>
              </w:rPr>
              <w:t>Accrued expenses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(17,234)</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(2,680)</w:t>
            </w:r>
          </w:p>
        </w:tc>
      </w:tr>
      <w:tr>
        <w:trPr>
          <w:trHeight w:val="108"/>
        </w:trPr>
        <w:tc>
          <w:tcPr>
            <w:tcW w:w="7660" w:type="dxa"/>
            <w:vAlign w:val="bottom"/>
          </w:tcPr>
          <w:p>
            <w:pPr>
              <w:ind w:left="420"/>
              <w:spacing w:after="0" w:line="108" w:lineRule="exact"/>
              <w:rPr>
                <w:sz w:val="20"/>
                <w:szCs w:val="20"/>
                <w:color w:val="auto"/>
              </w:rPr>
            </w:pPr>
            <w:r>
              <w:rPr>
                <w:rFonts w:ascii="Times New Roman" w:cs="Times New Roman" w:eastAsia="Times New Roman" w:hAnsi="Times New Roman"/>
                <w:sz w:val="10"/>
                <w:szCs w:val="10"/>
                <w:color w:val="auto"/>
              </w:rPr>
              <w:t>Deferred revenue</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1,949</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5,004</w:t>
            </w:r>
          </w:p>
        </w:tc>
      </w:tr>
      <w:tr>
        <w:trPr>
          <w:trHeight w:val="108"/>
        </w:trPr>
        <w:tc>
          <w:tcPr>
            <w:tcW w:w="7660" w:type="dxa"/>
            <w:vAlign w:val="bottom"/>
            <w:shd w:val="clear" w:color="auto" w:fill="CCEEFF"/>
          </w:tcPr>
          <w:p>
            <w:pPr>
              <w:ind w:left="420"/>
              <w:spacing w:after="0" w:line="108" w:lineRule="exact"/>
              <w:rPr>
                <w:sz w:val="20"/>
                <w:szCs w:val="20"/>
                <w:color w:val="auto"/>
              </w:rPr>
            </w:pPr>
            <w:r>
              <w:rPr>
                <w:rFonts w:ascii="Times New Roman" w:cs="Times New Roman" w:eastAsia="Times New Roman" w:hAnsi="Times New Roman"/>
                <w:sz w:val="10"/>
                <w:szCs w:val="10"/>
                <w:color w:val="auto"/>
              </w:rPr>
              <w:t>Operating lease liabilities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(1,884)</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(1,066)</w:t>
            </w:r>
          </w:p>
        </w:tc>
      </w:tr>
      <w:tr>
        <w:trPr>
          <w:trHeight w:val="108"/>
        </w:trPr>
        <w:tc>
          <w:tcPr>
            <w:tcW w:w="7660" w:type="dxa"/>
            <w:vAlign w:val="bottom"/>
            <w:tcBorders>
              <w:bottom w:val="single" w:sz="8" w:color="CCEEFF"/>
            </w:tcBorders>
          </w:tcPr>
          <w:p>
            <w:pPr>
              <w:ind w:left="420"/>
              <w:spacing w:after="0" w:line="108" w:lineRule="exact"/>
              <w:rPr>
                <w:sz w:val="20"/>
                <w:szCs w:val="20"/>
                <w:color w:val="auto"/>
              </w:rPr>
            </w:pPr>
            <w:r>
              <w:rPr>
                <w:rFonts w:ascii="Times New Roman" w:cs="Times New Roman" w:eastAsia="Times New Roman" w:hAnsi="Times New Roman"/>
                <w:sz w:val="10"/>
                <w:szCs w:val="10"/>
                <w:color w:val="auto"/>
              </w:rPr>
              <w:t>Other liabilities</w:t>
            </w: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(2,512)</w:t>
            </w:r>
          </w:p>
        </w:tc>
        <w:tc>
          <w:tcPr>
            <w:tcW w:w="6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(2,980)</w:t>
            </w:r>
          </w:p>
        </w:tc>
      </w:tr>
      <w:tr>
        <w:trPr>
          <w:trHeight w:val="97"/>
        </w:trPr>
        <w:tc>
          <w:tcPr>
            <w:tcW w:w="7660" w:type="dxa"/>
            <w:vAlign w:val="bottom"/>
            <w:shd w:val="clear" w:color="auto" w:fill="CCEEFF"/>
          </w:tcPr>
          <w:p>
            <w:pPr>
              <w:ind w:left="640"/>
              <w:spacing w:after="0" w:line="97"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36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(79,029)</w:t>
            </w:r>
          </w:p>
        </w:tc>
        <w:tc>
          <w:tcPr>
            <w:tcW w:w="66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(23,104)</w:t>
            </w:r>
          </w:p>
        </w:tc>
      </w:tr>
      <w:tr>
        <w:trPr>
          <w:trHeight w:val="97"/>
        </w:trPr>
        <w:tc>
          <w:tcPr>
            <w:tcW w:w="7660" w:type="dxa"/>
            <w:vAlign w:val="bottom"/>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08"/>
        </w:trPr>
        <w:tc>
          <w:tcPr>
            <w:tcW w:w="76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(3,638)</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(401)</w:t>
            </w:r>
          </w:p>
        </w:tc>
      </w:tr>
      <w:tr>
        <w:trPr>
          <w:trHeight w:val="108"/>
        </w:trPr>
        <w:tc>
          <w:tcPr>
            <w:tcW w:w="766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Purchase of investments</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(76,369)</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(64,426)</w:t>
            </w:r>
          </w:p>
        </w:tc>
      </w:tr>
      <w:tr>
        <w:trPr>
          <w:trHeight w:val="108"/>
        </w:trPr>
        <w:tc>
          <w:tcPr>
            <w:tcW w:w="76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Sales of investments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4,597</w:t>
            </w:r>
          </w:p>
        </w:tc>
      </w:tr>
      <w:tr>
        <w:trPr>
          <w:trHeight w:val="108"/>
        </w:trPr>
        <w:tc>
          <w:tcPr>
            <w:tcW w:w="7660" w:type="dxa"/>
            <w:vAlign w:val="bottom"/>
            <w:tcBorders>
              <w:bottom w:val="single" w:sz="8" w:color="CCEEFF"/>
            </w:tcBorders>
          </w:tcPr>
          <w:p>
            <w:pPr>
              <w:ind w:left="60"/>
              <w:spacing w:after="0" w:line="108" w:lineRule="exact"/>
              <w:rPr>
                <w:sz w:val="20"/>
                <w:szCs w:val="20"/>
                <w:color w:val="auto"/>
              </w:rPr>
            </w:pPr>
            <w:r>
              <w:rPr>
                <w:rFonts w:ascii="Times New Roman" w:cs="Times New Roman" w:eastAsia="Times New Roman" w:hAnsi="Times New Roman"/>
                <w:sz w:val="10"/>
                <w:szCs w:val="10"/>
                <w:color w:val="auto"/>
              </w:rPr>
              <w:t>Maturities of investments</w:t>
            </w: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122,060</w:t>
            </w:r>
          </w:p>
        </w:tc>
        <w:tc>
          <w:tcPr>
            <w:tcW w:w="6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68,400</w:t>
            </w:r>
          </w:p>
        </w:tc>
      </w:tr>
      <w:tr>
        <w:trPr>
          <w:trHeight w:val="97"/>
        </w:trPr>
        <w:tc>
          <w:tcPr>
            <w:tcW w:w="7660" w:type="dxa"/>
            <w:vAlign w:val="bottom"/>
            <w:shd w:val="clear" w:color="auto" w:fill="CCEEFF"/>
          </w:tcPr>
          <w:p>
            <w:pPr>
              <w:ind w:left="640"/>
              <w:spacing w:after="0" w:line="97" w:lineRule="exact"/>
              <w:rPr>
                <w:sz w:val="20"/>
                <w:szCs w:val="20"/>
                <w:color w:val="auto"/>
              </w:rPr>
            </w:pPr>
            <w:r>
              <w:rPr>
                <w:rFonts w:ascii="Times New Roman" w:cs="Times New Roman" w:eastAsia="Times New Roman" w:hAnsi="Times New Roman"/>
                <w:sz w:val="10"/>
                <w:szCs w:val="10"/>
                <w:color w:val="auto"/>
              </w:rPr>
              <w:t>Net cash provided by investing activities</w:t>
            </w:r>
          </w:p>
        </w:tc>
        <w:tc>
          <w:tcPr>
            <w:tcW w:w="360" w:type="dxa"/>
            <w:vAlign w:val="bottom"/>
            <w:tcBorders>
              <w:bottom w:val="single" w:sz="8" w:color="auto"/>
            </w:tcBorders>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42,053</w:t>
            </w:r>
          </w:p>
        </w:tc>
        <w:tc>
          <w:tcPr>
            <w:tcW w:w="66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8,170</w:t>
            </w:r>
          </w:p>
        </w:tc>
      </w:tr>
      <w:tr>
        <w:trPr>
          <w:trHeight w:val="97"/>
        </w:trPr>
        <w:tc>
          <w:tcPr>
            <w:tcW w:w="7660" w:type="dxa"/>
            <w:vAlign w:val="bottom"/>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08"/>
        </w:trPr>
        <w:tc>
          <w:tcPr>
            <w:tcW w:w="76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Continuation Advances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(52,000)</w:t>
            </w:r>
          </w:p>
        </w:tc>
      </w:tr>
      <w:tr>
        <w:trPr>
          <w:trHeight w:val="108"/>
        </w:trPr>
        <w:tc>
          <w:tcPr>
            <w:tcW w:w="766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Proceeds from issuance of Convertible Senior Notes, net of issuance costs</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895,624</w:t>
            </w:r>
          </w:p>
        </w:tc>
      </w:tr>
      <w:tr>
        <w:trPr>
          <w:trHeight w:val="108"/>
        </w:trPr>
        <w:tc>
          <w:tcPr>
            <w:tcW w:w="76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Proceeds from issuance of common stock from equity plans</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5,592</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22,343</w:t>
            </w:r>
          </w:p>
        </w:tc>
      </w:tr>
      <w:tr>
        <w:trPr>
          <w:trHeight w:val="108"/>
        </w:trPr>
        <w:tc>
          <w:tcPr>
            <w:tcW w:w="7660" w:type="dxa"/>
            <w:vAlign w:val="bottom"/>
          </w:tcPr>
          <w:p>
            <w:pPr>
              <w:ind w:left="60"/>
              <w:spacing w:after="0" w:line="108" w:lineRule="exact"/>
              <w:rPr>
                <w:sz w:val="20"/>
                <w:szCs w:val="20"/>
                <w:color w:val="auto"/>
              </w:rPr>
            </w:pPr>
            <w:r>
              <w:rPr>
                <w:rFonts w:ascii="Times New Roman" w:cs="Times New Roman" w:eastAsia="Times New Roman" w:hAnsi="Times New Roman"/>
                <w:sz w:val="10"/>
                <w:szCs w:val="10"/>
                <w:color w:val="auto"/>
              </w:rPr>
              <w:t>Notes payable principal payoff</w:t>
            </w:r>
          </w:p>
        </w:tc>
        <w:tc>
          <w:tcPr>
            <w:tcW w:w="360" w:type="dxa"/>
            <w:vAlign w:val="bottom"/>
          </w:tcPr>
          <w:p>
            <w:pPr>
              <w:spacing w:after="0"/>
              <w:rPr>
                <w:sz w:val="9"/>
                <w:szCs w:val="9"/>
                <w:color w:val="auto"/>
              </w:rPr>
            </w:pPr>
          </w:p>
        </w:tc>
        <w:tc>
          <w:tcPr>
            <w:tcW w:w="1800" w:type="dxa"/>
            <w:vAlign w:val="bottom"/>
            <w:gridSpan w:val="2"/>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(377)</w:t>
            </w:r>
          </w:p>
        </w:tc>
        <w:tc>
          <w:tcPr>
            <w:tcW w:w="50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76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Other</w:t>
            </w:r>
          </w:p>
        </w:tc>
        <w:tc>
          <w:tcPr>
            <w:tcW w:w="360" w:type="dxa"/>
            <w:vAlign w:val="bottom"/>
            <w:shd w:val="clear" w:color="auto" w:fill="CCEEFF"/>
          </w:tcPr>
          <w:p>
            <w:pPr>
              <w:spacing w:after="0"/>
              <w:rPr>
                <w:sz w:val="9"/>
                <w:szCs w:val="9"/>
                <w:color w:val="auto"/>
              </w:rPr>
            </w:pPr>
          </w:p>
        </w:tc>
        <w:tc>
          <w:tcPr>
            <w:tcW w:w="1800" w:type="dxa"/>
            <w:vAlign w:val="bottom"/>
            <w:gridSpan w:val="2"/>
            <w:shd w:val="clear" w:color="auto" w:fill="CCEEFF"/>
          </w:tcPr>
          <w:p>
            <w:pPr>
              <w:jc w:val="right"/>
              <w:ind w:right="6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(246)</w:t>
            </w:r>
          </w:p>
        </w:tc>
      </w:tr>
      <w:tr>
        <w:trPr>
          <w:trHeight w:val="97"/>
        </w:trPr>
        <w:tc>
          <w:tcPr>
            <w:tcW w:w="7660" w:type="dxa"/>
            <w:vAlign w:val="bottom"/>
            <w:tcBorders>
              <w:bottom w:val="single" w:sz="8" w:color="CCEEFF"/>
            </w:tcBorders>
          </w:tcPr>
          <w:p>
            <w:pPr>
              <w:ind w:left="640"/>
              <w:spacing w:after="0" w:line="97"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360" w:type="dxa"/>
            <w:vAlign w:val="bottom"/>
            <w:tcBorders>
              <w:top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5,215</w:t>
            </w:r>
          </w:p>
        </w:tc>
        <w:tc>
          <w:tcPr>
            <w:tcW w:w="66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865,721</w:t>
            </w:r>
          </w:p>
        </w:tc>
      </w:tr>
      <w:tr>
        <w:trPr>
          <w:trHeight w:val="97"/>
        </w:trPr>
        <w:tc>
          <w:tcPr>
            <w:tcW w:w="7660" w:type="dxa"/>
            <w:vAlign w:val="bottom"/>
            <w:shd w:val="clear" w:color="auto" w:fill="CCEEFF"/>
          </w:tcPr>
          <w:p>
            <w:pPr>
              <w:ind w:left="60"/>
              <w:spacing w:after="0" w:line="97" w:lineRule="exact"/>
              <w:rPr>
                <w:sz w:val="20"/>
                <w:szCs w:val="20"/>
                <w:color w:val="auto"/>
              </w:rPr>
            </w:pPr>
            <w:r>
              <w:rPr>
                <w:rFonts w:ascii="Times New Roman" w:cs="Times New Roman" w:eastAsia="Times New Roman" w:hAnsi="Times New Roman"/>
                <w:sz w:val="10"/>
                <w:szCs w:val="10"/>
                <w:color w:val="auto"/>
              </w:rPr>
              <w:t>Net increase in cash and cash equivalents and restricted cash</w:t>
            </w: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(31,761)</w:t>
            </w: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850,787</w:t>
            </w:r>
          </w:p>
        </w:tc>
      </w:tr>
      <w:tr>
        <w:trPr>
          <w:trHeight w:val="108"/>
        </w:trPr>
        <w:tc>
          <w:tcPr>
            <w:tcW w:w="7660" w:type="dxa"/>
            <w:vAlign w:val="bottom"/>
            <w:tcBorders>
              <w:bottom w:val="single" w:sz="8" w:color="CCEEFF"/>
            </w:tcBorders>
          </w:tcPr>
          <w:p>
            <w:pPr>
              <w:ind w:left="60"/>
              <w:spacing w:after="0" w:line="108" w:lineRule="exact"/>
              <w:rPr>
                <w:sz w:val="20"/>
                <w:szCs w:val="20"/>
                <w:color w:val="auto"/>
              </w:rPr>
            </w:pPr>
            <w:r>
              <w:rPr>
                <w:rFonts w:ascii="Times New Roman" w:cs="Times New Roman" w:eastAsia="Times New Roman" w:hAnsi="Times New Roman"/>
                <w:sz w:val="10"/>
                <w:szCs w:val="10"/>
                <w:color w:val="auto"/>
              </w:rPr>
              <w:t>Cash and cash equivalents and restricted cash at beginning of period</w:t>
            </w: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465,817</w:t>
            </w:r>
          </w:p>
        </w:tc>
        <w:tc>
          <w:tcPr>
            <w:tcW w:w="66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85,947</w:t>
            </w:r>
          </w:p>
        </w:tc>
      </w:tr>
      <w:tr>
        <w:trPr>
          <w:trHeight w:val="117"/>
        </w:trPr>
        <w:tc>
          <w:tcPr>
            <w:tcW w:w="7660" w:type="dxa"/>
            <w:vAlign w:val="bottom"/>
            <w:tcBorders>
              <w:bottom w:val="single" w:sz="8" w:color="CCEEFF"/>
            </w:tcBorders>
            <w:shd w:val="clear" w:color="auto" w:fill="CCEEFF"/>
          </w:tcPr>
          <w:p>
            <w:pPr>
              <w:ind w:left="60"/>
              <w:spacing w:after="0" w:line="97" w:lineRule="exact"/>
              <w:rPr>
                <w:sz w:val="20"/>
                <w:szCs w:val="20"/>
                <w:color w:val="auto"/>
              </w:rPr>
            </w:pPr>
            <w:r>
              <w:rPr>
                <w:rFonts w:ascii="Times New Roman" w:cs="Times New Roman" w:eastAsia="Times New Roman" w:hAnsi="Times New Roman"/>
                <w:sz w:val="10"/>
                <w:szCs w:val="10"/>
                <w:color w:val="auto"/>
              </w:rPr>
              <w:t>Cash and cash equivalents and restricted cash at end of period</w:t>
            </w:r>
          </w:p>
        </w:tc>
        <w:tc>
          <w:tcPr>
            <w:tcW w:w="360" w:type="dxa"/>
            <w:vAlign w:val="bottom"/>
            <w:tcBorders>
              <w:bottom w:val="single" w:sz="8" w:color="auto"/>
            </w:tcBorders>
            <w:shd w:val="clear" w:color="auto" w:fill="CCEEFF"/>
          </w:tcPr>
          <w:p>
            <w:pPr>
              <w:jc w:val="right"/>
              <w:ind w:right="24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434,056</w:t>
            </w:r>
          </w:p>
        </w:tc>
        <w:tc>
          <w:tcPr>
            <w:tcW w:w="6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936,734</w:t>
            </w:r>
          </w:p>
        </w:tc>
      </w:tr>
      <w:tr>
        <w:trPr>
          <w:trHeight w:val="95"/>
        </w:trPr>
        <w:tc>
          <w:tcPr>
            <w:tcW w:w="766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auto"/>
              </w:rPr>
              <w:t>Cash and cash equivalents at end of period</w:t>
            </w:r>
          </w:p>
        </w:tc>
        <w:tc>
          <w:tcPr>
            <w:tcW w:w="360" w:type="dxa"/>
            <w:vAlign w:val="bottom"/>
          </w:tcPr>
          <w:p>
            <w:pPr>
              <w:spacing w:after="0"/>
              <w:rPr>
                <w:sz w:val="8"/>
                <w:szCs w:val="8"/>
                <w:color w:val="auto"/>
              </w:rPr>
            </w:pPr>
          </w:p>
        </w:tc>
        <w:tc>
          <w:tcPr>
            <w:tcW w:w="11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428,574</w:t>
            </w: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color w:val="auto"/>
              </w:rPr>
              <w:t>932,398</w:t>
            </w:r>
          </w:p>
        </w:tc>
      </w:tr>
      <w:tr>
        <w:trPr>
          <w:trHeight w:val="108"/>
        </w:trPr>
        <w:tc>
          <w:tcPr>
            <w:tcW w:w="7660" w:type="dxa"/>
            <w:vAlign w:val="bottom"/>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Restricted cash at end of period</w:t>
            </w:r>
          </w:p>
        </w:tc>
        <w:tc>
          <w:tcPr>
            <w:tcW w:w="360" w:type="dxa"/>
            <w:vAlign w:val="bottom"/>
            <w:tcBorders>
              <w:bottom w:val="single" w:sz="8" w:color="auto"/>
            </w:tcBorders>
            <w:shd w:val="clear" w:color="auto" w:fill="CCEEFF"/>
          </w:tcPr>
          <w:p>
            <w:pPr>
              <w:spacing w:after="0"/>
              <w:rPr>
                <w:sz w:val="9"/>
                <w:szCs w:val="9"/>
                <w:color w:val="auto"/>
              </w:rPr>
            </w:pPr>
          </w:p>
        </w:tc>
        <w:tc>
          <w:tcPr>
            <w:tcW w:w="114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5,482</w:t>
            </w:r>
          </w:p>
        </w:tc>
        <w:tc>
          <w:tcPr>
            <w:tcW w:w="66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4,336</w:t>
            </w:r>
          </w:p>
        </w:tc>
      </w:tr>
      <w:tr>
        <w:trPr>
          <w:trHeight w:val="104"/>
        </w:trPr>
        <w:tc>
          <w:tcPr>
            <w:tcW w:w="7660" w:type="dxa"/>
            <w:vAlign w:val="bottom"/>
          </w:tcPr>
          <w:p>
            <w:pPr>
              <w:ind w:left="60"/>
              <w:spacing w:after="0" w:line="97" w:lineRule="exact"/>
              <w:rPr>
                <w:sz w:val="20"/>
                <w:szCs w:val="20"/>
                <w:color w:val="auto"/>
              </w:rPr>
            </w:pPr>
            <w:r>
              <w:rPr>
                <w:rFonts w:ascii="Times New Roman" w:cs="Times New Roman" w:eastAsia="Times New Roman" w:hAnsi="Times New Roman"/>
                <w:sz w:val="10"/>
                <w:szCs w:val="10"/>
                <w:color w:val="auto"/>
              </w:rPr>
              <w:t>Cash and cash equivalents and restricted cash at end of period</w:t>
            </w:r>
          </w:p>
        </w:tc>
        <w:tc>
          <w:tcPr>
            <w:tcW w:w="360" w:type="dxa"/>
            <w:vAlign w:val="bottom"/>
            <w:tcBorders>
              <w:bottom w:val="single" w:sz="8" w:color="auto"/>
            </w:tcBorders>
          </w:tcPr>
          <w:p>
            <w:pPr>
              <w:jc w:val="right"/>
              <w:ind w:right="24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434,056</w:t>
            </w:r>
          </w:p>
        </w:tc>
        <w:tc>
          <w:tcPr>
            <w:tcW w:w="660" w:type="dxa"/>
            <w:vAlign w:val="bottom"/>
          </w:tcPr>
          <w:p>
            <w:pPr>
              <w:spacing w:after="0"/>
              <w:rPr>
                <w:sz w:val="9"/>
                <w:szCs w:val="9"/>
                <w:color w:val="auto"/>
              </w:rPr>
            </w:pPr>
          </w:p>
        </w:tc>
        <w:tc>
          <w:tcPr>
            <w:tcW w:w="500" w:type="dxa"/>
            <w:vAlign w:val="bottom"/>
            <w:tcBorders>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936,734</w:t>
            </w: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the condensed consolidated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PACIFIC BIOSCIENCES OF CALIFORNIA, INC.</w:t>
      </w:r>
    </w:p>
    <w:p>
      <w:pPr>
        <w:spacing w:after="0" w:line="5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ORGANIZATION AND SIGNIFICANT ACCOUNTING POLICIES</w:t>
      </w:r>
    </w:p>
    <w:p>
      <w:pPr>
        <w:spacing w:after="0" w:line="1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We are a life science technology company that designs, develops, and manufactures advanced sequencing solutions to help scientists and clinical researchers resolve genetically complex problems. Our products and technology under development stem from two highly differentiated core technologies focused on accuracy, quality and completeness which include our existing HiFi long read sequencing technology and our emerging short read Sequencing by Binding</w:t>
      </w:r>
    </w:p>
    <w:p>
      <w:pPr>
        <w:jc w:val="both"/>
        <w:spacing w:after="0" w:line="215" w:lineRule="auto"/>
        <w:rPr>
          <w:sz w:val="20"/>
          <w:szCs w:val="20"/>
          <w:color w:val="auto"/>
        </w:rPr>
      </w:pPr>
      <w:r>
        <w:rPr>
          <w:rFonts w:ascii="Times New Roman" w:cs="Times New Roman" w:eastAsia="Times New Roman" w:hAnsi="Times New Roman"/>
          <w:sz w:val="12"/>
          <w:szCs w:val="12"/>
          <w:color w:val="auto"/>
        </w:rPr>
        <w:t>(SBB</w:t>
      </w:r>
      <w:r>
        <w:rPr>
          <w:rFonts w:ascii="Times New Roman" w:cs="Times New Roman" w:eastAsia="Times New Roman" w:hAnsi="Times New Roman"/>
          <w:sz w:val="19"/>
          <w:szCs w:val="19"/>
          <w:color w:val="333333"/>
          <w:vertAlign w:val="superscript"/>
        </w:rPr>
        <w:t>®</w:t>
      </w:r>
      <w:r>
        <w:rPr>
          <w:rFonts w:ascii="Times New Roman" w:cs="Times New Roman" w:eastAsia="Times New Roman" w:hAnsi="Times New Roman"/>
          <w:sz w:val="12"/>
          <w:szCs w:val="12"/>
          <w:color w:val="auto"/>
        </w:rPr>
        <w:t>) technology. Our products address solutions across a broad set of applications including human germline sequencing, plant and animal sciences, infectious disease and microbiology, oncology, and other emerging applications. Our focus is on providing our customers with advanced sequencing technologies with higher throughput and improved workflows that we believe will enable dramatic advancements in routine healthcare.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References in this report to “PacBio,” “we,” “us,” the “Company,” and “our” refer to Pacific Biosciences of California, Inc. and its consolidated subsidiaries.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 and Consolidation</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2021 audited consolidated financial statements and include all adjustments, consisting of only normal recurring adjustments, necessary to fairly state our financial position, results of operations, comprehensive income (loss), and cash flows for the period, but are not necessarily indicative of the results to be expected for the entire year or any future periods. All intercompany transactions and balances have been eliminated.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financial statements should be read in conjunction with the audited consolidated financial statements and notes included in our Annual Report on Form 10-K for the year ended December 31,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3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ongoing COVID-19 pandemic on our business is highly uncertain, we considered information available related to assumptions and estimates used to determine the results reported and asset valuations as of March 31, 2022. Actual results could differ materially from these estimates.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Cash Equivalents, and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consider all highly liquid investments purchased with an original maturity of 90 days or less to be cash equivalents.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income in stockholders’ equity. Realized gains and losses, expected credit losses, as well as interest income, on available-for-sale securities are also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w:t>
      </w:r>
    </w:p>
    <w:p>
      <w:pPr>
        <w:spacing w:after="0" w:line="12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and Other Risks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For the three months ended March 31, 2022, two customers accounted for approximately 14% and 11%, respectively, of total revenue during the period. For the three months ended March 31, 2021, one customer accounted for approximately 12% of total revenue during the period. No other customers exceeded 10% during those periods.</w:t>
      </w:r>
    </w:p>
    <w:p>
      <w:pPr>
        <w:spacing w:after="0" w:line="12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As of March 31, 2022, 56% of our accounts receivable were from domestic customers, compared to 53% as of December 31, 2021. As of March 31, 2022, one customer represented 17% of our accounts receivable, while no customer represented 10% or greater of our net accounts receivable as of December 31, 2021.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Recently Adopted Accounting Standards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are no accounting standards updates (“ASUs”) that have been recently adopted.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Accounting Policies</w:t>
      </w:r>
    </w:p>
    <w:p>
      <w:pPr>
        <w:spacing w:after="0" w:line="13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There have been no changes to our significant accounting policies as disclosed in the Annual Report on Form 10-K for the fiscal year ended December 31, 2021, however, as a result of certain changes to the standard contractual terms and conditions with customers implemented during the quarter ended March 31, 2022, we concluded a change in the application of our accounting policy, in accordance with ASC 606, was appropriate.</w:t>
      </w:r>
    </w:p>
    <w:p>
      <w:pPr>
        <w:spacing w:after="0" w:line="1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Specifically, we modified the standard contractual terms with customers during the current quarter, to reflect transfer of title and risk of loss and right to invoice upon delivery. We also updated the terms of the warranty provided with the instrument to remove the service component. As a result, the warranty is no longer a separate performance obligation and, accordingly, we accrue for the cost of the assurance warranty when revenue of the instrument is recognized. In addition, because of technical enhancements associated with our more recent instrument releases, including the Sequel IIe systems, installation services are now distinct from the instrument itself. Therefore, instrument revenue is now recognized upon transfer of control of the asset to the customer, which is generally upon delivery for sales made to our non-distributor customers.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BUSINESS ACQUISITIONS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Omniome, Inc.</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On September 20, 2021, we completed our acquisition of Omniome, Inc. (“Omniome”), a San Diego-based company developing a highly differentiated, proprietary short-read DNA sequencing platform capable of delivering high accuracy.</w:t>
      </w:r>
    </w:p>
    <w:p>
      <w:pPr>
        <w:spacing w:after="0" w:line="1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connection with the acquisition, the contingent consideration of $200 million (composed of $100 million in cash and $100 million in shares of our common stock) is due upon the achievement of a milestone, defined as the first commercial shipment to a customer of a nucleotide sequencing platform, comprising both an instrument and related consumables, that utilizes SBB technology. The number of shares of stock to be issued will be determined using the volume-weighted average of the trading prices of our common stock for the twenty trading days ending with and including the trading day that is two days immediately prior to the achievement of the milestone. Of the $100 million in shares of our common stock to be issued as part of the milestone, $4.1 million was attributable to stock options issued by PacBio in replacement of Omniome’s unvested options as part of the transaction.</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scenario-based method which considers a range of possible outcomes and their assigned probabilities of occurrence. The potential outcomes are discounted to present value at a discount rate equal to the sum of the term-matched risk-free-interest rate plus PacBio’s credit spread.</w:t>
      </w:r>
    </w:p>
    <w:p>
      <w:pPr>
        <w:spacing w:after="0" w:line="12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The major classes of assets and liabilities to which we have allocated the total fair value of the consideration transferred were as follows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15,338</w:t>
            </w:r>
          </w:p>
        </w:tc>
      </w:tr>
      <w:tr>
        <w:trPr>
          <w:trHeight w:val="126"/>
        </w:trPr>
        <w:tc>
          <w:tcPr>
            <w:tcW w:w="8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Property and equipment, net</w:t>
            </w:r>
          </w:p>
        </w:tc>
        <w:tc>
          <w:tcPr>
            <w:tcW w:w="1040" w:type="dxa"/>
            <w:vAlign w:val="bottom"/>
          </w:tcPr>
          <w:p>
            <w:pPr>
              <w:spacing w:after="0"/>
              <w:rPr>
                <w:sz w:val="10"/>
                <w:szCs w:val="10"/>
                <w:color w:val="auto"/>
              </w:rPr>
            </w:pPr>
          </w:p>
        </w:tc>
        <w:tc>
          <w:tcPr>
            <w:tcW w:w="13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6,123</w:t>
            </w:r>
          </w:p>
        </w:tc>
      </w:tr>
      <w:tr>
        <w:trPr>
          <w:trHeight w:val="126"/>
        </w:trPr>
        <w:tc>
          <w:tcPr>
            <w:tcW w:w="8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Operating lease right-of-use assets, net</w:t>
            </w:r>
          </w:p>
        </w:tc>
        <w:tc>
          <w:tcPr>
            <w:tcW w:w="1040" w:type="dxa"/>
            <w:vAlign w:val="bottom"/>
            <w:shd w:val="clear" w:color="auto" w:fill="CCEEFF"/>
          </w:tcPr>
          <w:p>
            <w:pPr>
              <w:spacing w:after="0"/>
              <w:rPr>
                <w:sz w:val="10"/>
                <w:szCs w:val="10"/>
                <w:color w:val="auto"/>
              </w:rPr>
            </w:pPr>
          </w:p>
        </w:tc>
        <w:tc>
          <w:tcPr>
            <w:tcW w:w="13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18,095</w:t>
            </w:r>
          </w:p>
        </w:tc>
      </w:tr>
      <w:tr>
        <w:trPr>
          <w:trHeight w:val="126"/>
        </w:trPr>
        <w:tc>
          <w:tcPr>
            <w:tcW w:w="8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In-process research and development ("IPR&amp;D")</w:t>
            </w:r>
          </w:p>
        </w:tc>
        <w:tc>
          <w:tcPr>
            <w:tcW w:w="1040" w:type="dxa"/>
            <w:vAlign w:val="bottom"/>
          </w:tcPr>
          <w:p>
            <w:pPr>
              <w:spacing w:after="0"/>
              <w:rPr>
                <w:sz w:val="10"/>
                <w:szCs w:val="10"/>
                <w:color w:val="auto"/>
              </w:rPr>
            </w:pPr>
          </w:p>
        </w:tc>
        <w:tc>
          <w:tcPr>
            <w:tcW w:w="13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400,000</w:t>
            </w:r>
          </w:p>
        </w:tc>
      </w:tr>
      <w:tr>
        <w:trPr>
          <w:trHeight w:val="126"/>
        </w:trPr>
        <w:tc>
          <w:tcPr>
            <w:tcW w:w="8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Goodwill</w:t>
            </w:r>
          </w:p>
        </w:tc>
        <w:tc>
          <w:tcPr>
            <w:tcW w:w="1040" w:type="dxa"/>
            <w:vAlign w:val="bottom"/>
            <w:shd w:val="clear" w:color="auto" w:fill="CCEEFF"/>
          </w:tcPr>
          <w:p>
            <w:pPr>
              <w:spacing w:after="0"/>
              <w:rPr>
                <w:sz w:val="10"/>
                <w:szCs w:val="10"/>
                <w:color w:val="auto"/>
              </w:rPr>
            </w:pPr>
          </w:p>
        </w:tc>
        <w:tc>
          <w:tcPr>
            <w:tcW w:w="13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390,665</w:t>
            </w:r>
          </w:p>
        </w:tc>
      </w:tr>
      <w:tr>
        <w:trPr>
          <w:trHeight w:val="126"/>
        </w:trPr>
        <w:tc>
          <w:tcPr>
            <w:tcW w:w="8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Other assets</w:t>
            </w:r>
          </w:p>
        </w:tc>
        <w:tc>
          <w:tcPr>
            <w:tcW w:w="1040" w:type="dxa"/>
            <w:vAlign w:val="bottom"/>
          </w:tcPr>
          <w:p>
            <w:pPr>
              <w:spacing w:after="0"/>
              <w:rPr>
                <w:sz w:val="10"/>
                <w:szCs w:val="10"/>
                <w:color w:val="auto"/>
              </w:rPr>
            </w:pPr>
          </w:p>
        </w:tc>
        <w:tc>
          <w:tcPr>
            <w:tcW w:w="13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3,203</w:t>
            </w:r>
          </w:p>
        </w:tc>
      </w:tr>
      <w:tr>
        <w:trPr>
          <w:trHeight w:val="126"/>
        </w:trPr>
        <w:tc>
          <w:tcPr>
            <w:tcW w:w="8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Deferred income tax liability</w:t>
            </w:r>
          </w:p>
        </w:tc>
        <w:tc>
          <w:tcPr>
            <w:tcW w:w="1040" w:type="dxa"/>
            <w:vAlign w:val="bottom"/>
            <w:shd w:val="clear" w:color="auto" w:fill="CCEEFF"/>
          </w:tcPr>
          <w:p>
            <w:pPr>
              <w:spacing w:after="0"/>
              <w:rPr>
                <w:sz w:val="10"/>
                <w:szCs w:val="10"/>
                <w:color w:val="auto"/>
              </w:rPr>
            </w:pPr>
          </w:p>
        </w:tc>
        <w:tc>
          <w:tcPr>
            <w:tcW w:w="13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(91,814)</w:t>
            </w:r>
          </w:p>
        </w:tc>
      </w:tr>
      <w:tr>
        <w:trPr>
          <w:trHeight w:val="126"/>
        </w:trPr>
        <w:tc>
          <w:tcPr>
            <w:tcW w:w="888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Liabilities assumed</w:t>
            </w:r>
          </w:p>
        </w:tc>
        <w:tc>
          <w:tcPr>
            <w:tcW w:w="1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(26,821)</w:t>
            </w:r>
          </w:p>
        </w:tc>
      </w:tr>
      <w:tr>
        <w:trPr>
          <w:trHeight w:val="122"/>
        </w:trPr>
        <w:tc>
          <w:tcPr>
            <w:tcW w:w="8880" w:type="dxa"/>
            <w:vAlign w:val="bottom"/>
            <w:tcBorders>
              <w:bottom w:val="single" w:sz="8" w:color="CCEEFF"/>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Total consideration transferred</w:t>
            </w:r>
          </w:p>
        </w:tc>
        <w:tc>
          <w:tcPr>
            <w:tcW w:w="1040" w:type="dxa"/>
            <w:vAlign w:val="bottom"/>
            <w:tcBorders>
              <w:bottom w:val="single" w:sz="8" w:color="auto"/>
            </w:tcBorders>
            <w:shd w:val="clear" w:color="auto" w:fill="CCEEFF"/>
          </w:tcPr>
          <w:p>
            <w:pPr>
              <w:jc w:val="right"/>
              <w:ind w:right="903"/>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714,789</w:t>
            </w:r>
          </w:p>
        </w:tc>
      </w:tr>
    </w:tbl>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expect to finalize the purchase price allocation within 12 months of the acquisition date. We will recognize adjustments to the preliminary amounts with a corresponding adjustment to goodwill in the reporting period in which the adjustments to the preliminary amounts are determined, which we expect to be primarily due to the review of certain tax attributes.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Circulomics, Inc.</w:t>
      </w:r>
    </w:p>
    <w:p>
      <w:pPr>
        <w:spacing w:after="0" w:line="136" w:lineRule="exact"/>
        <w:rPr>
          <w:sz w:val="20"/>
          <w:szCs w:val="20"/>
          <w:color w:val="auto"/>
        </w:rPr>
      </w:pPr>
    </w:p>
    <w:p>
      <w:pPr>
        <w:ind w:left="5620" w:right="1060" w:hanging="5621"/>
        <w:spacing w:after="0" w:line="264" w:lineRule="auto"/>
        <w:rPr>
          <w:sz w:val="20"/>
          <w:szCs w:val="20"/>
          <w:color w:val="auto"/>
        </w:rPr>
      </w:pPr>
      <w:r>
        <w:rPr>
          <w:rFonts w:ascii="Times New Roman" w:cs="Times New Roman" w:eastAsia="Times New Roman" w:hAnsi="Times New Roman"/>
          <w:sz w:val="12"/>
          <w:szCs w:val="12"/>
          <w:color w:val="auto"/>
        </w:rPr>
        <w:t>On July 20, 2021, we acquired Circulomics Inc. (“Circulomics”), a Maryland-based biotechnology company focused on delivering highly differentiated sample preparation products that enable genomic workflows.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109855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paid $29.5 million in cash in exchange for all outstanding shares of common stock of Circulomics. We allocated the consideration transferred to the identifiable assets acquired and liabilities assumed based on their respective fair values at the date of the completion of the acquisition. The major classes of assets and liabilities to which we have allocated the total fair value of the consideration transferred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w:t>
            </w:r>
          </w:p>
        </w:tc>
      </w:tr>
      <w:tr>
        <w:trPr>
          <w:trHeight w:val="135"/>
        </w:trPr>
        <w:tc>
          <w:tcPr>
            <w:tcW w:w="8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Property and equipment, net</w:t>
            </w:r>
          </w:p>
        </w:tc>
        <w:tc>
          <w:tcPr>
            <w:tcW w:w="1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214</w:t>
            </w:r>
          </w:p>
        </w:tc>
      </w:tr>
      <w:tr>
        <w:trPr>
          <w:trHeight w:val="135"/>
        </w:trPr>
        <w:tc>
          <w:tcPr>
            <w:tcW w:w="8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Intangible assets</w:t>
            </w:r>
          </w:p>
        </w:tc>
        <w:tc>
          <w:tcPr>
            <w:tcW w:w="122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11,360</w:t>
            </w:r>
          </w:p>
        </w:tc>
      </w:tr>
      <w:tr>
        <w:trPr>
          <w:trHeight w:val="135"/>
        </w:trPr>
        <w:tc>
          <w:tcPr>
            <w:tcW w:w="8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Goodwill</w:t>
            </w:r>
          </w:p>
        </w:tc>
        <w:tc>
          <w:tcPr>
            <w:tcW w:w="1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19,309</w:t>
            </w:r>
          </w:p>
        </w:tc>
      </w:tr>
      <w:tr>
        <w:trPr>
          <w:trHeight w:val="135"/>
        </w:trPr>
        <w:tc>
          <w:tcPr>
            <w:tcW w:w="8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122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467</w:t>
            </w:r>
          </w:p>
        </w:tc>
      </w:tr>
      <w:tr>
        <w:trPr>
          <w:trHeight w:val="135"/>
        </w:trPr>
        <w:tc>
          <w:tcPr>
            <w:tcW w:w="8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Deferred income tax liability</w:t>
            </w:r>
          </w:p>
        </w:tc>
        <w:tc>
          <w:tcPr>
            <w:tcW w:w="122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(2,672)</w:t>
            </w:r>
          </w:p>
        </w:tc>
      </w:tr>
      <w:tr>
        <w:trPr>
          <w:trHeight w:val="135"/>
        </w:trPr>
        <w:tc>
          <w:tcPr>
            <w:tcW w:w="8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Liabilities assumed</w:t>
            </w:r>
          </w:p>
        </w:tc>
        <w:tc>
          <w:tcPr>
            <w:tcW w:w="122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(118)</w:t>
            </w:r>
          </w:p>
        </w:tc>
      </w:tr>
      <w:tr>
        <w:trPr>
          <w:trHeight w:val="131"/>
        </w:trPr>
        <w:tc>
          <w:tcPr>
            <w:tcW w:w="860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auto"/>
              </w:rPr>
              <w:t>Total consideration transferred</w:t>
            </w:r>
          </w:p>
        </w:tc>
        <w:tc>
          <w:tcPr>
            <w:tcW w:w="1220" w:type="dxa"/>
            <w:vAlign w:val="bottom"/>
            <w:tcBorders>
              <w:bottom w:val="single" w:sz="8" w:color="auto"/>
            </w:tcBorders>
          </w:tcPr>
          <w:p>
            <w:pPr>
              <w:jc w:val="right"/>
              <w:ind w:right="1083"/>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29,547</w:t>
            </w:r>
          </w:p>
        </w:tc>
      </w:tr>
    </w:tbl>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expect to finalize the purchase price allocation within 12 months of the acquisition date. We will record adjustments to the fair value of the assets acquired, liabilities assumed and goodwill within the twelve-month measurement period, if necessary, which we expect to be primarily due to the review of certain tax attributes.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INVITAE COLLABORATION</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On January 12, 2021 we entered into a multi-year Development and Commercialization Agreement (the “Development Agreement”) with Invitae Corporation (“Invitae”). Pursuant to the Development Agreement, Invitae is providing certain funding to us to develop products relating to production-scale high-throughput sequencing (“Program Products”). If Program Products become commercially available, Invitae may purchase the Program Products. We are currently renegotiating the terms of the Development Agreement. As of March 31, 2022 and December 31, 2021, we have recognized payments received from Invitae of $23.5 million in deferred revenue, non-current, on the Consolidated Balance Sheet.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TERMINATION OF MERGER WITH ILLUMINA</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Continuation Advances from Illumina</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As part of the Termination Agreement, Illumina paid us cash payments (“Continuation Advances”) totaling $52.0 million. 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11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2"/>
          <w:szCs w:val="12"/>
          <w:color w:val="auto"/>
        </w:rPr>
        <w:t>Resulting from the issuance and sale of $900 million of 1.50% Convertible Senior Notes due February 15, 2028, $52.0 million of Continuation Advances were paid without interest to Illumina in February 2021, and a corresponding non-operating expense was recorded in the Consolidated Statements of Operations and Comprehensive (Loss) Income during the quarter ended March 31, 2021.</w:t>
      </w: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FINANCIAL INSTRUMENTS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Fair value is the exchange price that would be received to sell an asset or paid to transfer a liability in an orderly transaction between market participants at the measurement date.</w:t>
      </w:r>
    </w:p>
    <w:p>
      <w:pPr>
        <w:spacing w:after="0" w:line="1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Level 1: quoted prices in active markets for identical assets or liabilities;</w:t>
      </w:r>
    </w:p>
    <w:p>
      <w:pPr>
        <w:spacing w:after="0" w:line="132"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Level 3: unobservable inputs that are supported by little or no market activity and that are significant to the fair value of the assets or liabilities.</w:t>
      </w:r>
    </w:p>
    <w:p>
      <w:pPr>
        <w:spacing w:after="0" w:line="1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101" w:lineRule="exact"/>
        <w:rPr>
          <w:sz w:val="20"/>
          <w:szCs w:val="20"/>
          <w:color w:val="auto"/>
        </w:rPr>
      </w:pPr>
    </w:p>
    <w:p>
      <w:pPr>
        <w:ind w:left="5580" w:right="1480" w:hanging="5593"/>
        <w:spacing w:after="0" w:line="248" w:lineRule="auto"/>
        <w:rPr>
          <w:sz w:val="20"/>
          <w:szCs w:val="20"/>
          <w:color w:val="auto"/>
        </w:rPr>
      </w:pPr>
      <w:r>
        <w:rPr>
          <w:rFonts w:ascii="Times New Roman" w:cs="Times New Roman" w:eastAsia="Times New Roman" w:hAnsi="Times New Roman"/>
          <w:sz w:val="12"/>
          <w:szCs w:val="12"/>
          <w:color w:val="auto"/>
        </w:rPr>
        <w:t>The carrying amount of our accounts receivable, prepaid expenses, other current assets, accounts payable, accrued expenses and other liabilities, current, approximate fair value due to their short maturities.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Assets and Liabilities Measured at Fair Value on a Recurring Basis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fair value of our financial assets and liabilities that were measured on a recurring basis as of March 31, 2022 and December 31,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March 31, 2022</w:t>
            </w: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9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00" w:type="dxa"/>
            <w:vAlign w:val="bottom"/>
          </w:tcPr>
          <w:p>
            <w:pPr>
              <w:spacing w:after="0"/>
              <w:rPr>
                <w:sz w:val="8"/>
                <w:szCs w:val="8"/>
                <w:color w:val="auto"/>
              </w:rPr>
            </w:pPr>
          </w:p>
        </w:tc>
        <w:tc>
          <w:tcPr>
            <w:tcW w:w="86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Pr>
          <w:p>
            <w:pPr>
              <w:spacing w:after="0"/>
              <w:rPr>
                <w:sz w:val="8"/>
                <w:szCs w:val="8"/>
                <w:color w:val="auto"/>
              </w:rPr>
            </w:pPr>
          </w:p>
        </w:tc>
        <w:tc>
          <w:tcPr>
            <w:tcW w:w="76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00" w:type="dxa"/>
            <w:vAlign w:val="bottom"/>
          </w:tcPr>
          <w:p>
            <w:pPr>
              <w:spacing w:after="0"/>
              <w:rPr>
                <w:sz w:val="8"/>
                <w:szCs w:val="8"/>
                <w:color w:val="auto"/>
              </w:rPr>
            </w:pPr>
          </w:p>
        </w:tc>
        <w:tc>
          <w:tcPr>
            <w:tcW w:w="720" w:type="dxa"/>
            <w:vAlign w:val="bottom"/>
          </w:tcPr>
          <w:p>
            <w:pPr>
              <w:jc w:val="right"/>
              <w:ind w:right="312"/>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ind w:left="140"/>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180" w:type="dxa"/>
            <w:vAlign w:val="bottom"/>
          </w:tcPr>
          <w:p>
            <w:pPr>
              <w:spacing w:after="0"/>
              <w:rPr>
                <w:sz w:val="8"/>
                <w:szCs w:val="8"/>
                <w:color w:val="auto"/>
              </w:rPr>
            </w:pPr>
          </w:p>
        </w:tc>
        <w:tc>
          <w:tcPr>
            <w:tcW w:w="86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6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jc w:val="right"/>
              <w:ind w:right="312"/>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940" w:type="dxa"/>
            <w:vAlign w:val="bottom"/>
            <w:gridSpan w:val="3"/>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Assets</w:t>
            </w: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940" w:type="dxa"/>
            <w:vAlign w:val="bottom"/>
            <w:gridSpan w:val="3"/>
          </w:tcPr>
          <w:p>
            <w:pPr>
              <w:spacing w:after="0" w:line="105" w:lineRule="exact"/>
              <w:rPr>
                <w:sz w:val="20"/>
                <w:szCs w:val="20"/>
                <w:color w:val="auto"/>
              </w:rPr>
            </w:pPr>
            <w:r>
              <w:rPr>
                <w:rFonts w:ascii="Times New Roman" w:cs="Times New Roman" w:eastAsia="Times New Roman" w:hAnsi="Times New Roman"/>
                <w:sz w:val="10"/>
                <w:szCs w:val="10"/>
                <w:color w:val="auto"/>
              </w:rPr>
              <w:t>Cash and cash equivalents:</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940" w:type="dxa"/>
            <w:vAlign w:val="bottom"/>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Cash and money market funds</w:t>
            </w:r>
          </w:p>
        </w:tc>
        <w:tc>
          <w:tcPr>
            <w:tcW w:w="200" w:type="dxa"/>
            <w:vAlign w:val="bottom"/>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227,251</w:t>
            </w:r>
          </w:p>
        </w:tc>
        <w:tc>
          <w:tcPr>
            <w:tcW w:w="200" w:type="dxa"/>
            <w:vAlign w:val="bottom"/>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ind w:right="1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ind w:left="56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227,251</w:t>
            </w:r>
          </w:p>
        </w:tc>
        <w:tc>
          <w:tcPr>
            <w:tcW w:w="2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327,315</w:t>
            </w:r>
          </w:p>
        </w:tc>
        <w:tc>
          <w:tcPr>
            <w:tcW w:w="1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5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ind w:left="2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327,315</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Commercial paper</w:t>
            </w:r>
          </w:p>
        </w:tc>
        <w:tc>
          <w:tcPr>
            <w:tcW w:w="20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143,958</w:t>
            </w:r>
          </w:p>
        </w:tc>
        <w:tc>
          <w:tcPr>
            <w:tcW w:w="280" w:type="dxa"/>
            <w:vAlign w:val="bottom"/>
          </w:tcPr>
          <w:p>
            <w:pPr>
              <w:spacing w:after="0"/>
              <w:rPr>
                <w:sz w:val="9"/>
                <w:szCs w:val="9"/>
                <w:color w:val="auto"/>
              </w:rPr>
            </w:pPr>
          </w:p>
        </w:tc>
        <w:tc>
          <w:tcPr>
            <w:tcW w:w="760" w:type="dxa"/>
            <w:vAlign w:val="bottom"/>
            <w:gridSpan w:val="2"/>
          </w:tcPr>
          <w:p>
            <w:pPr>
              <w:ind w:left="5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143,958</w:t>
            </w:r>
          </w:p>
        </w:tc>
        <w:tc>
          <w:tcPr>
            <w:tcW w:w="200" w:type="dxa"/>
            <w:vAlign w:val="bottom"/>
          </w:tcPr>
          <w:p>
            <w:pPr>
              <w:spacing w:after="0"/>
              <w:rPr>
                <w:sz w:val="9"/>
                <w:szCs w:val="9"/>
                <w:color w:val="auto"/>
              </w:rPr>
            </w:pPr>
          </w:p>
        </w:tc>
        <w:tc>
          <w:tcPr>
            <w:tcW w:w="9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133,185</w:t>
            </w:r>
          </w:p>
        </w:tc>
        <w:tc>
          <w:tcPr>
            <w:tcW w:w="620" w:type="dxa"/>
            <w:vAlign w:val="bottom"/>
          </w:tcPr>
          <w:p>
            <w:pPr>
              <w:spacing w:after="0"/>
              <w:rPr>
                <w:sz w:val="9"/>
                <w:szCs w:val="9"/>
                <w:color w:val="auto"/>
              </w:rPr>
            </w:pPr>
          </w:p>
        </w:tc>
        <w:tc>
          <w:tcPr>
            <w:tcW w:w="44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133,185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U.S. government &amp; agency securities</w:t>
            </w:r>
          </w:p>
        </w:tc>
        <w:tc>
          <w:tcPr>
            <w:tcW w:w="2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32,377</w:t>
            </w: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ind w:left="5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32,377</w:t>
            </w:r>
          </w:p>
        </w:tc>
        <w:tc>
          <w:tcPr>
            <w:tcW w:w="2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225</w:t>
            </w:r>
          </w:p>
        </w:tc>
        <w:tc>
          <w:tcPr>
            <w:tcW w:w="62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U.S. Treasury securities</w:t>
            </w:r>
          </w:p>
        </w:tc>
        <w:tc>
          <w:tcPr>
            <w:tcW w:w="20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24,988</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24,988</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9"/>
                <w:szCs w:val="9"/>
                <w:color w:val="auto"/>
              </w:rPr>
            </w:pPr>
          </w:p>
        </w:tc>
        <w:tc>
          <w:tcPr>
            <w:tcW w:w="4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940" w:type="dxa"/>
            <w:vAlign w:val="bottom"/>
            <w:tcBorders>
              <w:top w:val="single" w:sz="8" w:color="CCEEFF"/>
            </w:tcBorders>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Total cash and cash equivalents</w:t>
            </w:r>
          </w:p>
        </w:tc>
        <w:tc>
          <w:tcPr>
            <w:tcW w:w="20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227,251</w:t>
            </w: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201,323</w:t>
            </w: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428,574</w:t>
            </w:r>
          </w:p>
        </w:tc>
        <w:tc>
          <w:tcPr>
            <w:tcW w:w="1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327,315</w:t>
            </w: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133,410</w:t>
            </w: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460,725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color w:val="auto"/>
              </w:rPr>
              <w:t>Investments:</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940" w:type="dxa"/>
            <w:vAlign w:val="bottom"/>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Commercial paper</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141,976</w:t>
            </w:r>
          </w:p>
        </w:tc>
        <w:tc>
          <w:tcPr>
            <w:tcW w:w="280" w:type="dxa"/>
            <w:vAlign w:val="bottom"/>
            <w:shd w:val="clear" w:color="auto" w:fill="CCEEFF"/>
          </w:tcPr>
          <w:p>
            <w:pPr>
              <w:spacing w:after="0"/>
              <w:rPr>
                <w:sz w:val="8"/>
                <w:szCs w:val="8"/>
                <w:color w:val="auto"/>
              </w:rPr>
            </w:pPr>
          </w:p>
        </w:tc>
        <w:tc>
          <w:tcPr>
            <w:tcW w:w="760" w:type="dxa"/>
            <w:vAlign w:val="bottom"/>
            <w:gridSpan w:val="2"/>
            <w:shd w:val="clear" w:color="auto" w:fill="CCEEFF"/>
          </w:tcPr>
          <w:p>
            <w:pPr>
              <w:ind w:left="56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141,976</w:t>
            </w:r>
          </w:p>
        </w:tc>
        <w:tc>
          <w:tcPr>
            <w:tcW w:w="20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187,632</w:t>
            </w:r>
          </w:p>
        </w:tc>
        <w:tc>
          <w:tcPr>
            <w:tcW w:w="620" w:type="dxa"/>
            <w:vAlign w:val="bottom"/>
            <w:shd w:val="clear" w:color="auto" w:fill="CCEEFF"/>
          </w:tcPr>
          <w:p>
            <w:pPr>
              <w:spacing w:after="0"/>
              <w:rPr>
                <w:sz w:val="8"/>
                <w:szCs w:val="8"/>
                <w:color w:val="auto"/>
              </w:rPr>
            </w:pPr>
          </w:p>
        </w:tc>
        <w:tc>
          <w:tcPr>
            <w:tcW w:w="440" w:type="dxa"/>
            <w:vAlign w:val="bottom"/>
            <w:gridSpan w:val="2"/>
            <w:shd w:val="clear" w:color="auto" w:fill="CCEEFF"/>
          </w:tcPr>
          <w:p>
            <w:pPr>
              <w:ind w:left="2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187,632</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94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Corporate debt securities</w:t>
            </w:r>
          </w:p>
        </w:tc>
        <w:tc>
          <w:tcPr>
            <w:tcW w:w="20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5,313</w:t>
            </w:r>
          </w:p>
        </w:tc>
        <w:tc>
          <w:tcPr>
            <w:tcW w:w="280" w:type="dxa"/>
            <w:vAlign w:val="bottom"/>
          </w:tcPr>
          <w:p>
            <w:pPr>
              <w:spacing w:after="0"/>
              <w:rPr>
                <w:sz w:val="9"/>
                <w:szCs w:val="9"/>
                <w:color w:val="auto"/>
              </w:rPr>
            </w:pPr>
          </w:p>
        </w:tc>
        <w:tc>
          <w:tcPr>
            <w:tcW w:w="760" w:type="dxa"/>
            <w:vAlign w:val="bottom"/>
            <w:gridSpan w:val="2"/>
          </w:tcPr>
          <w:p>
            <w:pPr>
              <w:ind w:left="5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5,313</w:t>
            </w:r>
          </w:p>
        </w:tc>
        <w:tc>
          <w:tcPr>
            <w:tcW w:w="200" w:type="dxa"/>
            <w:vAlign w:val="bottom"/>
          </w:tcPr>
          <w:p>
            <w:pPr>
              <w:spacing w:after="0"/>
              <w:rPr>
                <w:sz w:val="9"/>
                <w:szCs w:val="9"/>
                <w:color w:val="auto"/>
              </w:rPr>
            </w:pPr>
          </w:p>
        </w:tc>
        <w:tc>
          <w:tcPr>
            <w:tcW w:w="90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8,968</w:t>
            </w:r>
          </w:p>
        </w:tc>
        <w:tc>
          <w:tcPr>
            <w:tcW w:w="620" w:type="dxa"/>
            <w:vAlign w:val="bottom"/>
          </w:tcPr>
          <w:p>
            <w:pPr>
              <w:spacing w:after="0"/>
              <w:rPr>
                <w:sz w:val="9"/>
                <w:szCs w:val="9"/>
                <w:color w:val="auto"/>
              </w:rPr>
            </w:pPr>
          </w:p>
        </w:tc>
        <w:tc>
          <w:tcPr>
            <w:tcW w:w="440" w:type="dxa"/>
            <w:vAlign w:val="bottom"/>
            <w:gridSpan w:val="2"/>
          </w:tcPr>
          <w:p>
            <w:pPr>
              <w:ind w:left="2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8,968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9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U.S. government &amp; agency securities</w:t>
            </w:r>
          </w:p>
        </w:tc>
        <w:tc>
          <w:tcPr>
            <w:tcW w:w="20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386,912</w:t>
            </w: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386,912</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387,075</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387,075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94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color w:val="auto"/>
              </w:rPr>
              <w:t>Total investments</w:t>
            </w: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534,201</w:t>
            </w: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534,201</w:t>
            </w:r>
          </w:p>
        </w:tc>
        <w:tc>
          <w:tcPr>
            <w:tcW w:w="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583,675</w:t>
            </w: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583,675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4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Short-term restricted cash:</w:t>
            </w: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20" w:type="dxa"/>
            <w:vAlign w:val="bottom"/>
            <w:tcBorders>
              <w:top w:val="single" w:sz="8" w:color="auto"/>
            </w:tcBorders>
            <w:gridSpan w:val="2"/>
          </w:tcPr>
          <w:p>
            <w:pPr>
              <w:spacing w:after="0" w:line="97" w:lineRule="exact"/>
              <w:rPr>
                <w:sz w:val="20"/>
                <w:szCs w:val="20"/>
                <w:color w:val="auto"/>
              </w:rPr>
            </w:pPr>
            <w:r>
              <w:rPr>
                <w:rFonts w:ascii="Times New Roman" w:cs="Times New Roman" w:eastAsia="Times New Roman" w:hAnsi="Times New Roman"/>
                <w:sz w:val="10"/>
                <w:szCs w:val="10"/>
                <w:color w:val="auto"/>
              </w:rPr>
              <w:t>Cash</w:t>
            </w:r>
          </w:p>
        </w:tc>
        <w:tc>
          <w:tcPr>
            <w:tcW w:w="192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500</w:t>
            </w:r>
          </w:p>
        </w:tc>
        <w:tc>
          <w:tcPr>
            <w:tcW w:w="20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CCEEFF"/>
            </w:tcBorders>
          </w:tcPr>
          <w:p>
            <w:pPr>
              <w:spacing w:after="0"/>
              <w:rPr>
                <w:sz w:val="8"/>
                <w:szCs w:val="8"/>
                <w:color w:val="auto"/>
              </w:rPr>
            </w:pPr>
          </w:p>
        </w:tc>
        <w:tc>
          <w:tcPr>
            <w:tcW w:w="760" w:type="dxa"/>
            <w:vAlign w:val="bottom"/>
            <w:tcBorders>
              <w:top w:val="single" w:sz="8" w:color="CCEEFF"/>
            </w:tcBorders>
            <w:gridSpan w:val="2"/>
          </w:tcPr>
          <w:p>
            <w:pPr>
              <w:ind w:left="56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500</w:t>
            </w:r>
          </w:p>
        </w:tc>
        <w:tc>
          <w:tcPr>
            <w:tcW w:w="20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500</w:t>
            </w:r>
          </w:p>
        </w:tc>
        <w:tc>
          <w:tcPr>
            <w:tcW w:w="1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top w:val="single" w:sz="8" w:color="CCEEFF"/>
            </w:tcBorders>
          </w:tcPr>
          <w:p>
            <w:pPr>
              <w:spacing w:after="0"/>
              <w:rPr>
                <w:sz w:val="8"/>
                <w:szCs w:val="8"/>
                <w:color w:val="auto"/>
              </w:rPr>
            </w:pPr>
          </w:p>
        </w:tc>
        <w:tc>
          <w:tcPr>
            <w:tcW w:w="440" w:type="dxa"/>
            <w:vAlign w:val="bottom"/>
            <w:tcBorders>
              <w:top w:val="single" w:sz="8" w:color="CCEEFF"/>
            </w:tcBorders>
            <w:gridSpan w:val="2"/>
          </w:tcPr>
          <w:p>
            <w:pPr>
              <w:ind w:left="2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40" w:type="dxa"/>
            <w:vAlign w:val="bottom"/>
            <w:gridSpan w:val="3"/>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Long-term restricted cash:</w:t>
            </w: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20" w:type="dxa"/>
            <w:vAlign w:val="bottom"/>
            <w:tcBorders>
              <w:top w:val="single" w:sz="8" w:color="auto"/>
            </w:tcBorders>
            <w:gridSpan w:val="2"/>
          </w:tcPr>
          <w:p>
            <w:pPr>
              <w:spacing w:after="0" w:line="97" w:lineRule="exact"/>
              <w:rPr>
                <w:sz w:val="20"/>
                <w:szCs w:val="20"/>
                <w:color w:val="auto"/>
              </w:rPr>
            </w:pPr>
            <w:r>
              <w:rPr>
                <w:rFonts w:ascii="Times New Roman" w:cs="Times New Roman" w:eastAsia="Times New Roman" w:hAnsi="Times New Roman"/>
                <w:sz w:val="10"/>
                <w:szCs w:val="10"/>
                <w:color w:val="auto"/>
              </w:rPr>
              <w:t>Cash</w:t>
            </w:r>
          </w:p>
        </w:tc>
        <w:tc>
          <w:tcPr>
            <w:tcW w:w="192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740" w:type="dxa"/>
            <w:vAlign w:val="bottom"/>
            <w:tcBorders>
              <w:top w:val="single" w:sz="8" w:color="CCEEFF"/>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4,982</w:t>
            </w:r>
          </w:p>
        </w:tc>
        <w:tc>
          <w:tcPr>
            <w:tcW w:w="12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top w:val="single" w:sz="8" w:color="CCEEFF"/>
            </w:tcBorders>
          </w:tcPr>
          <w:p>
            <w:pPr>
              <w:spacing w:after="0"/>
              <w:rPr>
                <w:sz w:val="8"/>
                <w:szCs w:val="8"/>
                <w:color w:val="auto"/>
              </w:rPr>
            </w:pPr>
          </w:p>
        </w:tc>
        <w:tc>
          <w:tcPr>
            <w:tcW w:w="76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4,982</w:t>
            </w:r>
          </w:p>
        </w:tc>
        <w:tc>
          <w:tcPr>
            <w:tcW w:w="16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4,592</w:t>
            </w:r>
          </w:p>
        </w:tc>
        <w:tc>
          <w:tcPr>
            <w:tcW w:w="12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top w:val="single" w:sz="8" w:color="CCEEFF"/>
            </w:tcBorders>
          </w:tcPr>
          <w:p>
            <w:pPr>
              <w:spacing w:after="0"/>
              <w:rPr>
                <w:sz w:val="8"/>
                <w:szCs w:val="8"/>
                <w:color w:val="auto"/>
              </w:rPr>
            </w:pPr>
          </w:p>
        </w:tc>
        <w:tc>
          <w:tcPr>
            <w:tcW w:w="440" w:type="dxa"/>
            <w:vAlign w:val="bottom"/>
            <w:tcBorders>
              <w:top w:val="single" w:sz="8" w:color="CCEEFF"/>
            </w:tcBorders>
            <w:gridSpan w:val="2"/>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4,592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940" w:type="dxa"/>
            <w:vAlign w:val="bottom"/>
            <w:tcBorders>
              <w:top w:val="single" w:sz="8" w:color="CCEEFF"/>
              <w:bottom w:val="single" w:sz="8" w:color="CCEEFF"/>
            </w:tcBorders>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Total assets measured at fair value</w:t>
            </w:r>
          </w:p>
        </w:tc>
        <w:tc>
          <w:tcPr>
            <w:tcW w:w="200" w:type="dxa"/>
            <w:vAlign w:val="bottom"/>
            <w:tcBorders>
              <w:top w:val="single" w:sz="8" w:color="auto"/>
              <w:bottom w:val="single" w:sz="8" w:color="auto"/>
            </w:tcBorders>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232,733</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735,524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1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968,257</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332,407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717,085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ind w:right="5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8"/>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1,049,492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9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94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Contingent consideration</w:t>
            </w:r>
          </w:p>
        </w:tc>
        <w:tc>
          <w:tcPr>
            <w:tcW w:w="200" w:type="dxa"/>
            <w:vAlign w:val="bottom"/>
            <w:shd w:val="clear" w:color="auto" w:fill="CCEEFF"/>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ind w:right="172"/>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168,654</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2"/>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168,654</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512"/>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92"/>
              </w:rPr>
              <w:t>169,717</w:t>
            </w: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jc w:val="right"/>
              <w:ind w:right="98"/>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169,717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94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color w:val="auto"/>
              </w:rPr>
              <w:t>Total liabilities measured at fair value</w:t>
            </w:r>
          </w:p>
        </w:tc>
        <w:tc>
          <w:tcPr>
            <w:tcW w:w="200" w:type="dxa"/>
            <w:vAlign w:val="bottom"/>
            <w:tcBorders>
              <w:top w:val="single" w:sz="8" w:color="auto"/>
              <w:bottom w:val="single" w:sz="8" w:color="auto"/>
            </w:tcBorders>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80" w:type="dxa"/>
            <w:vAlign w:val="bottom"/>
            <w:tcBorders>
              <w:top w:val="single" w:sz="8" w:color="auto"/>
              <w:bottom w:val="single" w:sz="8" w:color="auto"/>
            </w:tcBorders>
          </w:tcPr>
          <w:p>
            <w:pPr>
              <w:jc w:val="right"/>
              <w:ind w:right="17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168,654</w:t>
            </w:r>
          </w:p>
        </w:tc>
        <w:tc>
          <w:tcPr>
            <w:tcW w:w="1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168,654</w:t>
            </w:r>
          </w:p>
        </w:tc>
        <w:tc>
          <w:tcPr>
            <w:tcW w:w="16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20" w:type="dxa"/>
            <w:vAlign w:val="bottom"/>
            <w:tcBorders>
              <w:top w:val="single" w:sz="8" w:color="auto"/>
              <w:bottom w:val="single" w:sz="8" w:color="auto"/>
            </w:tcBorders>
          </w:tcPr>
          <w:p>
            <w:pPr>
              <w:jc w:val="right"/>
              <w:ind w:right="512"/>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w w:val="92"/>
              </w:rPr>
              <w:t>169,717</w:t>
            </w:r>
          </w:p>
        </w:tc>
        <w:tc>
          <w:tcPr>
            <w:tcW w:w="12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ind w:right="98"/>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169,717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classify contingent consideration, which was incurred in connection with the acquisition of Omniome, within Level 3 as factors used to develop the estimate of fair value include unobservable inputs that are not supported by market activity and are significant to the fair value.</w:t>
      </w:r>
    </w:p>
    <w:p>
      <w:pPr>
        <w:spacing w:after="0" w:line="1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On a quarterly basis, we estimate the fair value of the contingent consideration liability by discounting the probability-weighted outcomes to present value using an estimate of our borrowing rate and the risk-free rate. The potential outcomes of milestone achievement dates are within the period from December 31, 2022 to June 30, 2025. A decrease in the probability of an earlier scenario within this range would result in a decrease in the fair value of the liability. The discount rates used are the sum of the U.S. risk-free rate and the estimated subordinated credit spread for B- and B credit rating, which range from 5.7% to 6.7%. An increase in the discount rates used can also result in the decrease in the fair value of liability, which was the primary factor in the $1.1 million decrease in liability at March 31, 2022. Changes in our estimated subordinated credit spread can result in changes in the fair value of the contingent consideration liability, where a lower credit spread may result in an increased liability valuation.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20" w:type="dxa"/>
            <w:vAlign w:val="bottom"/>
          </w:tcPr>
          <w:p>
            <w:pPr>
              <w:spacing w:after="0"/>
              <w:rPr>
                <w:sz w:val="20"/>
                <w:szCs w:val="20"/>
                <w:color w:val="auto"/>
              </w:rPr>
            </w:pPr>
            <w:r>
              <w:rPr>
                <w:rFonts w:ascii="Times New Roman" w:cs="Times New Roman" w:eastAsia="Times New Roman" w:hAnsi="Times New Roman"/>
                <w:sz w:val="12"/>
                <w:szCs w:val="12"/>
                <w:color w:val="auto"/>
              </w:rPr>
              <w:t>Changes in the estimated fair value of the contingent consideration liability for the three months ended March 31, 2022 were as follows:</w:t>
            </w:r>
          </w:p>
        </w:tc>
        <w:tc>
          <w:tcPr>
            <w:tcW w:w="5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53"/>
        </w:trPr>
        <w:tc>
          <w:tcPr>
            <w:tcW w:w="8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Level 3</w:t>
            </w:r>
          </w:p>
        </w:tc>
      </w:tr>
      <w:tr>
        <w:trPr>
          <w:trHeight w:val="115"/>
        </w:trPr>
        <w:tc>
          <w:tcPr>
            <w:tcW w:w="89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Beginning balance as of December 31, 2021</w:t>
            </w:r>
          </w:p>
        </w:tc>
        <w:tc>
          <w:tcPr>
            <w:tcW w:w="580" w:type="dxa"/>
            <w:vAlign w:val="bottom"/>
            <w:shd w:val="clear" w:color="auto" w:fill="CCEEFF"/>
          </w:tcPr>
          <w:p>
            <w:pPr>
              <w:jc w:val="right"/>
              <w:ind w:right="4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169,717</w:t>
            </w:r>
          </w:p>
        </w:tc>
      </w:tr>
      <w:tr>
        <w:trPr>
          <w:trHeight w:val="126"/>
        </w:trPr>
        <w:tc>
          <w:tcPr>
            <w:tcW w:w="892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Change in estimated fair value</w:t>
            </w:r>
          </w:p>
        </w:tc>
        <w:tc>
          <w:tcPr>
            <w:tcW w:w="5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(1,063)</w:t>
            </w:r>
          </w:p>
        </w:tc>
      </w:tr>
      <w:tr>
        <w:trPr>
          <w:trHeight w:val="122"/>
        </w:trPr>
        <w:tc>
          <w:tcPr>
            <w:tcW w:w="892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Ending balance as of March 31, 2022</w:t>
            </w:r>
          </w:p>
        </w:tc>
        <w:tc>
          <w:tcPr>
            <w:tcW w:w="580" w:type="dxa"/>
            <w:vAlign w:val="bottom"/>
            <w:tcBorders>
              <w:bottom w:val="single" w:sz="8" w:color="auto"/>
            </w:tcBorders>
            <w:shd w:val="clear" w:color="auto" w:fill="CCEEFF"/>
          </w:tcPr>
          <w:p>
            <w:pPr>
              <w:jc w:val="right"/>
              <w:ind w:right="44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168,654</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Changes to the fair value are recorded as the Change in fair value of contingent consideration in the Condensed Consolidated Statement of Operations and Comprehensive Loss.</w:t>
      </w:r>
    </w:p>
    <w:p>
      <w:pPr>
        <w:spacing w:after="0" w:line="13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2"/>
          <w:szCs w:val="12"/>
          <w:color w:val="auto"/>
        </w:rPr>
        <w:t>For the three months ended March 31, 2022, there were no transfers between Level 1, Level 2, or Level 3 assets or liabilities reported at fair value on a recurring basis, and our valuation techniques did not change compared to the prior year.</w:t>
      </w: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summarize our cash, cash equivalents and investments as of March 31, 2022 and December 31, 2021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76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0"/>
                <w:szCs w:val="10"/>
                <w:b w:val="1"/>
                <w:bCs w:val="1"/>
                <w:color w:val="auto"/>
              </w:rPr>
              <w:t>As of March 31, 2022</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r>
        <w:trPr>
          <w:trHeight w:val="84"/>
        </w:trPr>
        <w:tc>
          <w:tcPr>
            <w:tcW w:w="5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center"/>
              <w:ind w:left="250"/>
              <w:spacing w:after="0" w:line="85" w:lineRule="exact"/>
              <w:rPr>
                <w:sz w:val="20"/>
                <w:szCs w:val="20"/>
                <w:color w:val="auto"/>
              </w:rPr>
            </w:pPr>
            <w:r>
              <w:rPr>
                <w:rFonts w:ascii="Times New Roman" w:cs="Times New Roman" w:eastAsia="Times New Roman" w:hAnsi="Times New Roman"/>
                <w:sz w:val="9"/>
                <w:szCs w:val="9"/>
                <w:b w:val="1"/>
                <w:bCs w:val="1"/>
                <w:color w:val="auto"/>
              </w:rPr>
              <w:t>Gross</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center"/>
              <w:ind w:left="310"/>
              <w:spacing w:after="0" w:line="85" w:lineRule="exact"/>
              <w:rPr>
                <w:sz w:val="20"/>
                <w:szCs w:val="20"/>
                <w:color w:val="auto"/>
              </w:rPr>
            </w:pPr>
            <w:r>
              <w:rPr>
                <w:rFonts w:ascii="Times New Roman" w:cs="Times New Roman" w:eastAsia="Times New Roman" w:hAnsi="Times New Roman"/>
                <w:sz w:val="9"/>
                <w:szCs w:val="9"/>
                <w:b w:val="1"/>
                <w:bCs w:val="1"/>
                <w:color w:val="auto"/>
              </w:rPr>
              <w:t>Gross</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08"/>
        </w:trPr>
        <w:tc>
          <w:tcPr>
            <w:tcW w:w="5760" w:type="dxa"/>
            <w:vAlign w:val="bottom"/>
          </w:tcPr>
          <w:p>
            <w:pPr>
              <w:spacing w:after="0"/>
              <w:rPr>
                <w:sz w:val="9"/>
                <w:szCs w:val="9"/>
                <w:color w:val="auto"/>
              </w:rPr>
            </w:pPr>
          </w:p>
        </w:tc>
        <w:tc>
          <w:tcPr>
            <w:tcW w:w="880" w:type="dxa"/>
            <w:vAlign w:val="bottom"/>
          </w:tcPr>
          <w:p>
            <w:pPr>
              <w:jc w:val="center"/>
              <w:ind w:left="369"/>
              <w:spacing w:after="0" w:line="108"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left="25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left="31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right"/>
              <w:ind w:right="509"/>
              <w:spacing w:after="0" w:line="108"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10"/>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880" w:type="dxa"/>
            <w:vAlign w:val="bottom"/>
            <w:tcBorders>
              <w:bottom w:val="single" w:sz="8" w:color="auto"/>
            </w:tcBorders>
          </w:tcPr>
          <w:p>
            <w:pPr>
              <w:jc w:val="center"/>
              <w:ind w:left="389"/>
              <w:spacing w:after="0" w:line="108" w:lineRule="exact"/>
              <w:rPr>
                <w:sz w:val="20"/>
                <w:szCs w:val="20"/>
                <w:color w:val="auto"/>
              </w:rPr>
            </w:pPr>
            <w:r>
              <w:rPr>
                <w:rFonts w:ascii="Times New Roman" w:cs="Times New Roman" w:eastAsia="Times New Roman" w:hAnsi="Times New Roman"/>
                <w:sz w:val="10"/>
                <w:szCs w:val="10"/>
                <w:b w:val="1"/>
                <w:bCs w:val="1"/>
                <w:color w:val="auto"/>
              </w:rPr>
              <w:t>Cost</w:t>
            </w: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left="230"/>
              <w:spacing w:after="0" w:line="108" w:lineRule="exact"/>
              <w:rPr>
                <w:sz w:val="20"/>
                <w:szCs w:val="20"/>
                <w:color w:val="auto"/>
              </w:rPr>
            </w:pPr>
            <w:r>
              <w:rPr>
                <w:rFonts w:ascii="Times New Roman" w:cs="Times New Roman" w:eastAsia="Times New Roman" w:hAnsi="Times New Roman"/>
                <w:sz w:val="10"/>
                <w:szCs w:val="10"/>
                <w:b w:val="1"/>
                <w:bCs w:val="1"/>
                <w:color w:val="auto"/>
              </w:rPr>
              <w:t>gains</w:t>
            </w: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auto"/>
            </w:tcBorders>
          </w:tcPr>
          <w:p>
            <w:pPr>
              <w:jc w:val="center"/>
              <w:ind w:left="290"/>
              <w:spacing w:after="0" w:line="108" w:lineRule="exact"/>
              <w:rPr>
                <w:sz w:val="20"/>
                <w:szCs w:val="20"/>
                <w:color w:val="auto"/>
              </w:rPr>
            </w:pPr>
            <w:r>
              <w:rPr>
                <w:rFonts w:ascii="Times New Roman" w:cs="Times New Roman" w:eastAsia="Times New Roman" w:hAnsi="Times New Roman"/>
                <w:sz w:val="10"/>
                <w:szCs w:val="10"/>
                <w:b w:val="1"/>
                <w:bCs w:val="1"/>
                <w:color w:val="auto"/>
              </w:rPr>
              <w:t>losses</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89"/>
              <w:spacing w:after="0" w:line="108" w:lineRule="exact"/>
              <w:rPr>
                <w:sz w:val="20"/>
                <w:szCs w:val="20"/>
                <w:color w:val="auto"/>
              </w:rPr>
            </w:pPr>
            <w:r>
              <w:rPr>
                <w:rFonts w:ascii="Times New Roman" w:cs="Times New Roman" w:eastAsia="Times New Roman" w:hAnsi="Times New Roman"/>
                <w:sz w:val="10"/>
                <w:szCs w:val="10"/>
                <w:b w:val="1"/>
                <w:bCs w:val="1"/>
                <w:color w:val="auto"/>
              </w:rPr>
              <w:t>Value</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and cash equivalents:</w:t>
            </w: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and money market funds</w:t>
            </w:r>
          </w:p>
        </w:tc>
        <w:tc>
          <w:tcPr>
            <w:tcW w:w="880" w:type="dxa"/>
            <w:vAlign w:val="bottom"/>
            <w:shd w:val="clear" w:color="auto" w:fill="CCEEFF"/>
          </w:tcPr>
          <w:p>
            <w:pPr>
              <w:jc w:val="right"/>
              <w:ind w:right="7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227,251</w:t>
            </w:r>
          </w:p>
        </w:tc>
        <w:tc>
          <w:tcPr>
            <w:tcW w:w="12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8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18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227,251</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Commercial paper</w:t>
            </w:r>
          </w:p>
        </w:tc>
        <w:tc>
          <w:tcPr>
            <w:tcW w:w="88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143,964</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w:t>
            </w:r>
          </w:p>
        </w:tc>
        <w:tc>
          <w:tcPr>
            <w:tcW w:w="94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3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143,958</w:t>
            </w: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U.S. government &amp; agency securities</w:t>
            </w:r>
          </w:p>
        </w:tc>
        <w:tc>
          <w:tcPr>
            <w:tcW w:w="8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32,386</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w:t>
            </w: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32,377</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U.S. Treasury securities</w:t>
            </w:r>
          </w:p>
        </w:tc>
        <w:tc>
          <w:tcPr>
            <w:tcW w:w="8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24,989</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3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24,988</w:t>
            </w:r>
          </w:p>
        </w:tc>
      </w:tr>
      <w:tr>
        <w:trPr>
          <w:trHeight w:val="97"/>
        </w:trPr>
        <w:tc>
          <w:tcPr>
            <w:tcW w:w="5760" w:type="dxa"/>
            <w:vAlign w:val="bottom"/>
            <w:tcBorders>
              <w:top w:val="single" w:sz="8" w:color="CCEEFF"/>
            </w:tcBorders>
            <w:shd w:val="clear" w:color="auto" w:fill="CCEEFF"/>
          </w:tcPr>
          <w:p>
            <w:pPr>
              <w:ind w:left="140"/>
              <w:spacing w:after="0" w:line="97" w:lineRule="exact"/>
              <w:rPr>
                <w:sz w:val="20"/>
                <w:szCs w:val="20"/>
                <w:color w:val="auto"/>
              </w:rPr>
            </w:pPr>
            <w:r>
              <w:rPr>
                <w:rFonts w:ascii="Times New Roman" w:cs="Times New Roman" w:eastAsia="Times New Roman" w:hAnsi="Times New Roman"/>
                <w:sz w:val="10"/>
                <w:szCs w:val="10"/>
                <w:color w:val="auto"/>
              </w:rPr>
              <w:t>Total cash and cash equivalents</w:t>
            </w:r>
          </w:p>
        </w:tc>
        <w:tc>
          <w:tcPr>
            <w:tcW w:w="88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428,590</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w:t>
            </w:r>
          </w:p>
        </w:tc>
        <w:tc>
          <w:tcPr>
            <w:tcW w:w="1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(18)</w:t>
            </w:r>
          </w:p>
        </w:tc>
        <w:tc>
          <w:tcPr>
            <w:tcW w:w="1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428,574</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Investments:</w:t>
            </w: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Commercial paper</w:t>
            </w:r>
          </w:p>
        </w:tc>
        <w:tc>
          <w:tcPr>
            <w:tcW w:w="8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142,266</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w:t>
            </w:r>
          </w:p>
        </w:tc>
        <w:tc>
          <w:tcPr>
            <w:tcW w:w="9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(291)</w:t>
            </w: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141,976</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Corporate debt securities</w:t>
            </w:r>
          </w:p>
        </w:tc>
        <w:tc>
          <w:tcPr>
            <w:tcW w:w="88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5,322</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w:t>
            </w:r>
          </w:p>
        </w:tc>
        <w:tc>
          <w:tcPr>
            <w:tcW w:w="3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5,313</w:t>
            </w: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U.S. government &amp; agency securities</w:t>
            </w:r>
          </w:p>
        </w:tc>
        <w:tc>
          <w:tcPr>
            <w:tcW w:w="8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390,682</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w:t>
            </w:r>
          </w:p>
        </w:tc>
        <w:tc>
          <w:tcPr>
            <w:tcW w:w="12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(3,777)</w:t>
            </w: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386,912</w:t>
            </w:r>
          </w:p>
        </w:tc>
      </w:tr>
      <w:tr>
        <w:trPr>
          <w:trHeight w:val="97"/>
        </w:trPr>
        <w:tc>
          <w:tcPr>
            <w:tcW w:w="5760" w:type="dxa"/>
            <w:vAlign w:val="bottom"/>
            <w:tcBorders>
              <w:bottom w:val="single" w:sz="8" w:color="CCEEFF"/>
            </w:tcBorders>
          </w:tcPr>
          <w:p>
            <w:pPr>
              <w:ind w:left="140"/>
              <w:spacing w:after="0" w:line="97" w:lineRule="exact"/>
              <w:rPr>
                <w:sz w:val="20"/>
                <w:szCs w:val="20"/>
                <w:color w:val="auto"/>
              </w:rPr>
            </w:pPr>
            <w:r>
              <w:rPr>
                <w:rFonts w:ascii="Times New Roman" w:cs="Times New Roman" w:eastAsia="Times New Roman" w:hAnsi="Times New Roman"/>
                <w:sz w:val="10"/>
                <w:szCs w:val="10"/>
                <w:color w:val="auto"/>
              </w:rPr>
              <w:t>Total investments</w:t>
            </w:r>
          </w:p>
        </w:tc>
        <w:tc>
          <w:tcPr>
            <w:tcW w:w="8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538,270</w:t>
            </w: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8</w:t>
            </w:r>
          </w:p>
        </w:tc>
        <w:tc>
          <w:tcPr>
            <w:tcW w:w="12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(4,077)</w:t>
            </w: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534,201</w:t>
            </w:r>
          </w:p>
        </w:tc>
      </w:tr>
      <w:tr>
        <w:trPr>
          <w:trHeight w:val="117"/>
        </w:trPr>
        <w:tc>
          <w:tcPr>
            <w:tcW w:w="5760" w:type="dxa"/>
            <w:vAlign w:val="bottom"/>
            <w:tcBorders>
              <w:bottom w:val="single" w:sz="8" w:color="CCEEFF"/>
            </w:tcBorders>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Total cash, cash equivalents and investments</w:t>
            </w:r>
          </w:p>
        </w:tc>
        <w:tc>
          <w:tcPr>
            <w:tcW w:w="880" w:type="dxa"/>
            <w:vAlign w:val="bottom"/>
            <w:tcBorders>
              <w:bottom w:val="single" w:sz="8" w:color="auto"/>
            </w:tcBorders>
            <w:shd w:val="clear" w:color="auto" w:fill="CCEEFF"/>
          </w:tcPr>
          <w:p>
            <w:pPr>
              <w:jc w:val="right"/>
              <w:ind w:right="76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966,860</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10</w:t>
            </w:r>
          </w:p>
        </w:tc>
        <w:tc>
          <w:tcPr>
            <w:tcW w:w="12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ind w:right="830"/>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(4,095)</w:t>
            </w: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ind w:right="18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962,775</w:t>
            </w:r>
          </w:p>
        </w:tc>
      </w:tr>
      <w:tr>
        <w:trPr>
          <w:trHeight w:val="95"/>
        </w:trPr>
        <w:tc>
          <w:tcPr>
            <w:tcW w:w="576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Short-term restricted cash:</w:t>
            </w:r>
          </w:p>
        </w:tc>
        <w:tc>
          <w:tcPr>
            <w:tcW w:w="8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r>
      <w:tr>
        <w:trPr>
          <w:trHeight w:val="12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w:t>
            </w:r>
          </w:p>
        </w:tc>
        <w:tc>
          <w:tcPr>
            <w:tcW w:w="880" w:type="dxa"/>
            <w:vAlign w:val="bottom"/>
            <w:shd w:val="clear" w:color="auto" w:fill="CCEEFF"/>
          </w:tcPr>
          <w:p>
            <w:pPr>
              <w:jc w:val="right"/>
              <w:ind w:right="7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500</w:t>
            </w:r>
          </w:p>
        </w:tc>
        <w:tc>
          <w:tcPr>
            <w:tcW w:w="12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8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18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500</w:t>
            </w:r>
          </w:p>
        </w:tc>
      </w:tr>
      <w:tr>
        <w:trPr>
          <w:trHeight w:val="95"/>
        </w:trPr>
        <w:tc>
          <w:tcPr>
            <w:tcW w:w="5760" w:type="dxa"/>
            <w:vAlign w:val="bottom"/>
            <w:tcBorders>
              <w:top w:val="single" w:sz="8" w:color="CCEEFF"/>
            </w:tcBorders>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Long-term restricted cash:</w:t>
            </w:r>
          </w:p>
        </w:tc>
        <w:tc>
          <w:tcPr>
            <w:tcW w:w="8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w:t>
            </w:r>
          </w:p>
        </w:tc>
        <w:tc>
          <w:tcPr>
            <w:tcW w:w="880" w:type="dxa"/>
            <w:vAlign w:val="bottom"/>
            <w:shd w:val="clear" w:color="auto" w:fill="CCEEFF"/>
          </w:tcPr>
          <w:p>
            <w:pPr>
              <w:jc w:val="right"/>
              <w:ind w:right="7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4,982</w:t>
            </w:r>
          </w:p>
        </w:tc>
        <w:tc>
          <w:tcPr>
            <w:tcW w:w="12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8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18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4,982</w:t>
            </w:r>
          </w:p>
        </w:tc>
      </w:tr>
      <w:tr>
        <w:trPr>
          <w:trHeight w:val="27"/>
        </w:trPr>
        <w:tc>
          <w:tcPr>
            <w:tcW w:w="57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gridSpan w:val="2"/>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216"/>
        </w:trPr>
        <w:tc>
          <w:tcPr>
            <w:tcW w:w="57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0"/>
                <w:szCs w:val="10"/>
                <w:b w:val="1"/>
                <w:bCs w:val="1"/>
                <w:color w:val="auto"/>
              </w:rPr>
              <w:t>As of December 31, 2021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84"/>
        </w:trPr>
        <w:tc>
          <w:tcPr>
            <w:tcW w:w="5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center"/>
              <w:ind w:left="250"/>
              <w:spacing w:after="0" w:line="85" w:lineRule="exact"/>
              <w:rPr>
                <w:sz w:val="20"/>
                <w:szCs w:val="20"/>
                <w:color w:val="auto"/>
              </w:rPr>
            </w:pPr>
            <w:r>
              <w:rPr>
                <w:rFonts w:ascii="Times New Roman" w:cs="Times New Roman" w:eastAsia="Times New Roman" w:hAnsi="Times New Roman"/>
                <w:sz w:val="9"/>
                <w:szCs w:val="9"/>
                <w:b w:val="1"/>
                <w:bCs w:val="1"/>
                <w:color w:val="auto"/>
              </w:rPr>
              <w:t>Gross</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center"/>
              <w:ind w:left="310"/>
              <w:spacing w:after="0" w:line="85" w:lineRule="exact"/>
              <w:rPr>
                <w:sz w:val="20"/>
                <w:szCs w:val="20"/>
                <w:color w:val="auto"/>
              </w:rPr>
            </w:pPr>
            <w:r>
              <w:rPr>
                <w:rFonts w:ascii="Times New Roman" w:cs="Times New Roman" w:eastAsia="Times New Roman" w:hAnsi="Times New Roman"/>
                <w:sz w:val="9"/>
                <w:szCs w:val="9"/>
                <w:b w:val="1"/>
                <w:bCs w:val="1"/>
                <w:color w:val="auto"/>
              </w:rPr>
              <w:t>Gross</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08"/>
        </w:trPr>
        <w:tc>
          <w:tcPr>
            <w:tcW w:w="5760" w:type="dxa"/>
            <w:vAlign w:val="bottom"/>
          </w:tcPr>
          <w:p>
            <w:pPr>
              <w:spacing w:after="0"/>
              <w:rPr>
                <w:sz w:val="9"/>
                <w:szCs w:val="9"/>
                <w:color w:val="auto"/>
              </w:rPr>
            </w:pPr>
          </w:p>
        </w:tc>
        <w:tc>
          <w:tcPr>
            <w:tcW w:w="880" w:type="dxa"/>
            <w:vAlign w:val="bottom"/>
          </w:tcPr>
          <w:p>
            <w:pPr>
              <w:jc w:val="center"/>
              <w:ind w:left="369"/>
              <w:spacing w:after="0" w:line="108"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left="25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left="310"/>
              <w:spacing w:after="0" w:line="108"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jc w:val="right"/>
              <w:ind w:right="509"/>
              <w:spacing w:after="0" w:line="108"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10"/>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880" w:type="dxa"/>
            <w:vAlign w:val="bottom"/>
            <w:tcBorders>
              <w:bottom w:val="single" w:sz="8" w:color="auto"/>
            </w:tcBorders>
          </w:tcPr>
          <w:p>
            <w:pPr>
              <w:jc w:val="center"/>
              <w:ind w:left="389"/>
              <w:spacing w:after="0" w:line="108" w:lineRule="exact"/>
              <w:rPr>
                <w:sz w:val="20"/>
                <w:szCs w:val="20"/>
                <w:color w:val="auto"/>
              </w:rPr>
            </w:pPr>
            <w:r>
              <w:rPr>
                <w:rFonts w:ascii="Times New Roman" w:cs="Times New Roman" w:eastAsia="Times New Roman" w:hAnsi="Times New Roman"/>
                <w:sz w:val="10"/>
                <w:szCs w:val="10"/>
                <w:b w:val="1"/>
                <w:bCs w:val="1"/>
                <w:color w:val="auto"/>
              </w:rPr>
              <w:t>Cost</w:t>
            </w: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left="230"/>
              <w:spacing w:after="0" w:line="108" w:lineRule="exact"/>
              <w:rPr>
                <w:sz w:val="20"/>
                <w:szCs w:val="20"/>
                <w:color w:val="auto"/>
              </w:rPr>
            </w:pPr>
            <w:r>
              <w:rPr>
                <w:rFonts w:ascii="Times New Roman" w:cs="Times New Roman" w:eastAsia="Times New Roman" w:hAnsi="Times New Roman"/>
                <w:sz w:val="10"/>
                <w:szCs w:val="10"/>
                <w:b w:val="1"/>
                <w:bCs w:val="1"/>
                <w:color w:val="auto"/>
              </w:rPr>
              <w:t>gains</w:t>
            </w: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Borders>
              <w:bottom w:val="single" w:sz="8" w:color="auto"/>
            </w:tcBorders>
          </w:tcPr>
          <w:p>
            <w:pPr>
              <w:jc w:val="center"/>
              <w:ind w:left="290"/>
              <w:spacing w:after="0" w:line="108" w:lineRule="exact"/>
              <w:rPr>
                <w:sz w:val="20"/>
                <w:szCs w:val="20"/>
                <w:color w:val="auto"/>
              </w:rPr>
            </w:pPr>
            <w:r>
              <w:rPr>
                <w:rFonts w:ascii="Times New Roman" w:cs="Times New Roman" w:eastAsia="Times New Roman" w:hAnsi="Times New Roman"/>
                <w:sz w:val="10"/>
                <w:szCs w:val="10"/>
                <w:b w:val="1"/>
                <w:bCs w:val="1"/>
                <w:color w:val="auto"/>
              </w:rPr>
              <w:t>losses</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89"/>
              <w:spacing w:after="0" w:line="108" w:lineRule="exact"/>
              <w:rPr>
                <w:sz w:val="20"/>
                <w:szCs w:val="20"/>
                <w:color w:val="auto"/>
              </w:rPr>
            </w:pPr>
            <w:r>
              <w:rPr>
                <w:rFonts w:ascii="Times New Roman" w:cs="Times New Roman" w:eastAsia="Times New Roman" w:hAnsi="Times New Roman"/>
                <w:sz w:val="10"/>
                <w:szCs w:val="10"/>
                <w:b w:val="1"/>
                <w:bCs w:val="1"/>
                <w:color w:val="auto"/>
              </w:rPr>
              <w:t>Value</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Cash and cash equivalents:</w:t>
            </w: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and money market funds</w:t>
            </w:r>
          </w:p>
        </w:tc>
        <w:tc>
          <w:tcPr>
            <w:tcW w:w="880" w:type="dxa"/>
            <w:vAlign w:val="bottom"/>
            <w:shd w:val="clear" w:color="auto" w:fill="CCEEFF"/>
          </w:tcPr>
          <w:p>
            <w:pPr>
              <w:jc w:val="right"/>
              <w:ind w:right="7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327,316</w:t>
            </w:r>
          </w:p>
        </w:tc>
        <w:tc>
          <w:tcPr>
            <w:tcW w:w="120" w:type="dxa"/>
            <w:vAlign w:val="bottom"/>
            <w:shd w:val="clear" w:color="auto" w:fill="CCEEFF"/>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8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18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327,316</w:t>
            </w: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Commercial paper</w:t>
            </w:r>
          </w:p>
        </w:tc>
        <w:tc>
          <w:tcPr>
            <w:tcW w:w="88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133,190</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w:t>
            </w:r>
          </w:p>
        </w:tc>
        <w:tc>
          <w:tcPr>
            <w:tcW w:w="3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133,185</w:t>
            </w: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U.S. government &amp; agency securities</w:t>
            </w:r>
          </w:p>
        </w:tc>
        <w:tc>
          <w:tcPr>
            <w:tcW w:w="8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225</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224</w:t>
            </w:r>
          </w:p>
        </w:tc>
      </w:tr>
      <w:tr>
        <w:trPr>
          <w:trHeight w:val="97"/>
        </w:trPr>
        <w:tc>
          <w:tcPr>
            <w:tcW w:w="5760" w:type="dxa"/>
            <w:vAlign w:val="bottom"/>
          </w:tcPr>
          <w:p>
            <w:pPr>
              <w:ind w:left="140"/>
              <w:spacing w:after="0" w:line="97" w:lineRule="exact"/>
              <w:rPr>
                <w:sz w:val="20"/>
                <w:szCs w:val="20"/>
                <w:color w:val="auto"/>
              </w:rPr>
            </w:pPr>
            <w:r>
              <w:rPr>
                <w:rFonts w:ascii="Times New Roman" w:cs="Times New Roman" w:eastAsia="Times New Roman" w:hAnsi="Times New Roman"/>
                <w:sz w:val="10"/>
                <w:szCs w:val="10"/>
                <w:color w:val="auto"/>
              </w:rPr>
              <w:t>Total cash and cash equivalents</w:t>
            </w:r>
          </w:p>
        </w:tc>
        <w:tc>
          <w:tcPr>
            <w:tcW w:w="8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460,731</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460,725</w:t>
            </w: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Investments:</w:t>
            </w:r>
          </w:p>
        </w:tc>
        <w:tc>
          <w:tcPr>
            <w:tcW w:w="8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Commercial paper</w:t>
            </w:r>
          </w:p>
        </w:tc>
        <w:tc>
          <w:tcPr>
            <w:tcW w:w="88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187,705</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4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(73)</w:t>
            </w:r>
          </w:p>
        </w:tc>
        <w:tc>
          <w:tcPr>
            <w:tcW w:w="300" w:type="dxa"/>
            <w:vAlign w:val="bottom"/>
          </w:tcPr>
          <w:p>
            <w:pPr>
              <w:spacing w:after="0"/>
              <w:rPr>
                <w:sz w:val="9"/>
                <w:szCs w:val="9"/>
                <w:color w:val="auto"/>
              </w:rPr>
            </w:pP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187,632</w:t>
            </w: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Corporate debt securities</w:t>
            </w:r>
          </w:p>
        </w:tc>
        <w:tc>
          <w:tcPr>
            <w:tcW w:w="8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8,964</w:t>
            </w: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9</w:t>
            </w:r>
          </w:p>
        </w:tc>
        <w:tc>
          <w:tcPr>
            <w:tcW w:w="9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w:t>
            </w: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8,968</w:t>
            </w:r>
          </w:p>
        </w:tc>
      </w:tr>
      <w:tr>
        <w:trPr>
          <w:trHeight w:val="108"/>
        </w:trPr>
        <w:tc>
          <w:tcPr>
            <w:tcW w:w="5760" w:type="dxa"/>
            <w:vAlign w:val="bottom"/>
            <w:tcBorders>
              <w:bottom w:val="single" w:sz="8" w:color="CCEEFF"/>
            </w:tcBorders>
          </w:tcPr>
          <w:p>
            <w:pPr>
              <w:spacing w:after="0" w:line="108" w:lineRule="exact"/>
              <w:rPr>
                <w:sz w:val="20"/>
                <w:szCs w:val="20"/>
                <w:color w:val="auto"/>
              </w:rPr>
            </w:pPr>
            <w:r>
              <w:rPr>
                <w:rFonts w:ascii="Times New Roman" w:cs="Times New Roman" w:eastAsia="Times New Roman" w:hAnsi="Times New Roman"/>
                <w:sz w:val="10"/>
                <w:szCs w:val="10"/>
                <w:color w:val="auto"/>
              </w:rPr>
              <w:t>U.S. government &amp; agency securities</w:t>
            </w:r>
          </w:p>
        </w:tc>
        <w:tc>
          <w:tcPr>
            <w:tcW w:w="8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388,088</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(1,014)</w:t>
            </w: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387,075</w:t>
            </w:r>
          </w:p>
        </w:tc>
      </w:tr>
      <w:tr>
        <w:trPr>
          <w:trHeight w:val="97"/>
        </w:trPr>
        <w:tc>
          <w:tcPr>
            <w:tcW w:w="5760" w:type="dxa"/>
            <w:vAlign w:val="bottom"/>
            <w:shd w:val="clear" w:color="auto" w:fill="CCEEFF"/>
          </w:tcPr>
          <w:p>
            <w:pPr>
              <w:ind w:left="140"/>
              <w:spacing w:after="0" w:line="97" w:lineRule="exact"/>
              <w:rPr>
                <w:sz w:val="20"/>
                <w:szCs w:val="20"/>
                <w:color w:val="auto"/>
              </w:rPr>
            </w:pPr>
            <w:r>
              <w:rPr>
                <w:rFonts w:ascii="Times New Roman" w:cs="Times New Roman" w:eastAsia="Times New Roman" w:hAnsi="Times New Roman"/>
                <w:sz w:val="10"/>
                <w:szCs w:val="10"/>
                <w:color w:val="auto"/>
              </w:rPr>
              <w:t>Total investments</w:t>
            </w:r>
          </w:p>
        </w:tc>
        <w:tc>
          <w:tcPr>
            <w:tcW w:w="8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584,757</w:t>
            </w: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10</w:t>
            </w:r>
          </w:p>
        </w:tc>
        <w:tc>
          <w:tcPr>
            <w:tcW w:w="120" w:type="dxa"/>
            <w:vAlign w:val="bottom"/>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(1,092)</w:t>
            </w:r>
          </w:p>
        </w:tc>
        <w:tc>
          <w:tcPr>
            <w:tcW w:w="10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583,675</w:t>
            </w:r>
          </w:p>
        </w:tc>
      </w:tr>
      <w:tr>
        <w:trPr>
          <w:trHeight w:val="104"/>
        </w:trPr>
        <w:tc>
          <w:tcPr>
            <w:tcW w:w="5760" w:type="dxa"/>
            <w:vAlign w:val="bottom"/>
            <w:tcBorders>
              <w:bottom w:val="single" w:sz="8" w:color="CCEEFF"/>
            </w:tcBorders>
          </w:tcPr>
          <w:p>
            <w:pPr>
              <w:ind w:left="280"/>
              <w:spacing w:after="0" w:line="97" w:lineRule="exact"/>
              <w:rPr>
                <w:sz w:val="20"/>
                <w:szCs w:val="20"/>
                <w:color w:val="auto"/>
              </w:rPr>
            </w:pPr>
            <w:r>
              <w:rPr>
                <w:rFonts w:ascii="Times New Roman" w:cs="Times New Roman" w:eastAsia="Times New Roman" w:hAnsi="Times New Roman"/>
                <w:sz w:val="10"/>
                <w:szCs w:val="10"/>
                <w:color w:val="auto"/>
              </w:rPr>
              <w:t>Total cash, cash equivalents and investments</w:t>
            </w:r>
          </w:p>
        </w:tc>
        <w:tc>
          <w:tcPr>
            <w:tcW w:w="880" w:type="dxa"/>
            <w:vAlign w:val="bottom"/>
            <w:tcBorders>
              <w:bottom w:val="single" w:sz="8" w:color="auto"/>
            </w:tcBorders>
          </w:tcPr>
          <w:p>
            <w:pPr>
              <w:jc w:val="right"/>
              <w:ind w:right="76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w w:val="99"/>
              </w:rPr>
              <w:t>1,045,488</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ind w:right="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10</w:t>
            </w:r>
          </w:p>
        </w:tc>
        <w:tc>
          <w:tcPr>
            <w:tcW w:w="12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tcPr>
          <w:p>
            <w:pPr>
              <w:jc w:val="right"/>
              <w:ind w:right="830"/>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(1,097)</w:t>
            </w:r>
          </w:p>
        </w:tc>
        <w:tc>
          <w:tcPr>
            <w:tcW w:w="10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189"/>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1,044,400</w:t>
            </w:r>
          </w:p>
        </w:tc>
      </w:tr>
      <w:tr>
        <w:trPr>
          <w:trHeight w:val="108"/>
        </w:trPr>
        <w:tc>
          <w:tcPr>
            <w:tcW w:w="57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Short-term restricted cash:</w:t>
            </w:r>
          </w:p>
        </w:tc>
        <w:tc>
          <w:tcPr>
            <w:tcW w:w="8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115"/>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w:t>
            </w:r>
          </w:p>
        </w:tc>
        <w:tc>
          <w:tcPr>
            <w:tcW w:w="880" w:type="dxa"/>
            <w:vAlign w:val="bottom"/>
          </w:tcPr>
          <w:p>
            <w:pPr>
              <w:jc w:val="right"/>
              <w:ind w:right="7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500</w:t>
            </w:r>
          </w:p>
        </w:tc>
        <w:tc>
          <w:tcPr>
            <w:tcW w:w="12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spacing w:after="0"/>
              <w:rPr>
                <w:sz w:val="10"/>
                <w:szCs w:val="10"/>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8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8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500</w:t>
            </w:r>
          </w:p>
        </w:tc>
      </w:tr>
      <w:tr>
        <w:trPr>
          <w:trHeight w:val="108"/>
        </w:trPr>
        <w:tc>
          <w:tcPr>
            <w:tcW w:w="5760" w:type="dxa"/>
            <w:vAlign w:val="bottom"/>
            <w:tcBorders>
              <w:top w:val="single" w:sz="8" w:color="CCEEFF"/>
            </w:tcBorders>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Long-term restricted cash:</w:t>
            </w:r>
          </w:p>
        </w:tc>
        <w:tc>
          <w:tcPr>
            <w:tcW w:w="8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r>
      <w:tr>
        <w:trPr>
          <w:trHeight w:val="108"/>
        </w:trPr>
        <w:tc>
          <w:tcPr>
            <w:tcW w:w="57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w:t>
            </w:r>
          </w:p>
        </w:tc>
        <w:tc>
          <w:tcPr>
            <w:tcW w:w="880" w:type="dxa"/>
            <w:vAlign w:val="bottom"/>
          </w:tcPr>
          <w:p>
            <w:pPr>
              <w:jc w:val="right"/>
              <w:ind w:right="76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4,592</w:t>
            </w:r>
          </w:p>
        </w:tc>
        <w:tc>
          <w:tcPr>
            <w:tcW w:w="120" w:type="dxa"/>
            <w:vAlign w:val="bottom"/>
          </w:tcPr>
          <w:p>
            <w:pPr>
              <w:jc w:val="right"/>
              <w:ind w:right="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spacing w:after="0"/>
              <w:rPr>
                <w:sz w:val="9"/>
                <w:szCs w:val="9"/>
                <w:color w:val="auto"/>
              </w:rPr>
            </w:pPr>
          </w:p>
        </w:tc>
        <w:tc>
          <w:tcPr>
            <w:tcW w:w="54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83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189"/>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4,592</w:t>
            </w:r>
          </w:p>
        </w:tc>
      </w:tr>
      <w:tr>
        <w:trPr>
          <w:trHeight w:val="27"/>
        </w:trPr>
        <w:tc>
          <w:tcPr>
            <w:tcW w:w="57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contractual maturities of our cash equivalents and available-for-sale investments, excluding money market funds, as of March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2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15"/>
        </w:trPr>
        <w:tc>
          <w:tcPr>
            <w:tcW w:w="3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Due in one year or less</w:t>
            </w:r>
          </w:p>
        </w:tc>
        <w:tc>
          <w:tcPr>
            <w:tcW w:w="52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6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651,213</w:t>
            </w:r>
          </w:p>
        </w:tc>
      </w:tr>
      <w:tr>
        <w:trPr>
          <w:trHeight w:val="126"/>
        </w:trPr>
        <w:tc>
          <w:tcPr>
            <w:tcW w:w="368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Due after one year through five years</w:t>
            </w:r>
          </w:p>
        </w:tc>
        <w:tc>
          <w:tcPr>
            <w:tcW w:w="52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84,311</w:t>
            </w:r>
          </w:p>
        </w:tc>
      </w:tr>
      <w:tr>
        <w:trPr>
          <w:trHeight w:val="135"/>
        </w:trPr>
        <w:tc>
          <w:tcPr>
            <w:tcW w:w="3680" w:type="dxa"/>
            <w:vAlign w:val="bottom"/>
            <w:tcBorders>
              <w:bottom w:val="single" w:sz="8" w:color="CCEEFF"/>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2"/>
                <w:szCs w:val="12"/>
                <w:color w:val="auto"/>
              </w:rPr>
              <w:t>Total investments</w:t>
            </w:r>
          </w:p>
        </w:tc>
        <w:tc>
          <w:tcPr>
            <w:tcW w:w="5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36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8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735,524</w:t>
            </w:r>
          </w:p>
        </w:tc>
      </w:tr>
      <w:tr>
        <w:trPr>
          <w:trHeight w:val="124"/>
        </w:trPr>
        <w:tc>
          <w:tcPr>
            <w:tcW w:w="3680" w:type="dxa"/>
            <w:vAlign w:val="bottom"/>
          </w:tcPr>
          <w:p>
            <w:pPr>
              <w:spacing w:after="0"/>
              <w:rPr>
                <w:sz w:val="10"/>
                <w:szCs w:val="10"/>
                <w:color w:val="auto"/>
              </w:rPr>
            </w:pPr>
          </w:p>
        </w:tc>
        <w:tc>
          <w:tcPr>
            <w:tcW w:w="5240" w:type="dxa"/>
            <w:vAlign w:val="bottom"/>
          </w:tcPr>
          <w:p>
            <w:pPr>
              <w:jc w:val="right"/>
              <w:ind w:right="3160"/>
              <w:spacing w:after="0" w:line="124" w:lineRule="exact"/>
              <w:rPr>
                <w:sz w:val="20"/>
                <w:szCs w:val="20"/>
                <w:color w:val="auto"/>
              </w:rPr>
            </w:pPr>
            <w:r>
              <w:rPr>
                <w:rFonts w:ascii="Times New Roman" w:cs="Times New Roman" w:eastAsia="Times New Roman" w:hAnsi="Times New Roman"/>
                <w:sz w:val="12"/>
                <w:szCs w:val="12"/>
                <w:color w:val="auto"/>
              </w:rPr>
              <w:t>13</w:t>
            </w:r>
          </w:p>
        </w:tc>
        <w:tc>
          <w:tcPr>
            <w:tcW w:w="50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214"/>
        </w:trPr>
        <w:tc>
          <w:tcPr>
            <w:tcW w:w="368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Actual maturities may differ from contractual maturities because issuers may have the right to call or prepay obligations without call or prepayment penalties.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BALANCE SHEET COMPONENTS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Short-term Restricted Cash</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2022 and December 31, 2021, the short-term restricted cash balance was $0.5 million, which was comprised of security deposits for the credit cards of employees.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Inventory, net</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As of March 31, 2022 and December 31, 2021, our inventory, net, consisted of the following components:</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vMerge w:val="continue"/>
          </w:tcPr>
          <w:p>
            <w:pPr>
              <w:spacing w:after="0"/>
              <w:rPr>
                <w:sz w:val="13"/>
                <w:szCs w:val="13"/>
                <w:color w:val="auto"/>
              </w:rPr>
            </w:pP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15"/>
        </w:trPr>
        <w:tc>
          <w:tcPr>
            <w:tcW w:w="80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Purchased materials</w:t>
            </w:r>
          </w:p>
        </w:tc>
        <w:tc>
          <w:tcPr>
            <w:tcW w:w="1100" w:type="dxa"/>
            <w:vAlign w:val="bottom"/>
            <w:shd w:val="clear" w:color="auto" w:fill="CCEEFF"/>
          </w:tcPr>
          <w:p>
            <w:pPr>
              <w:jc w:val="right"/>
              <w:ind w:right="98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11,530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7,993</w:t>
            </w:r>
          </w:p>
        </w:tc>
        <w:tc>
          <w:tcPr>
            <w:tcW w:w="0" w:type="dxa"/>
            <w:vAlign w:val="bottom"/>
          </w:tcPr>
          <w:p>
            <w:pPr>
              <w:spacing w:after="0"/>
              <w:rPr>
                <w:sz w:val="1"/>
                <w:szCs w:val="1"/>
                <w:color w:val="auto"/>
              </w:rPr>
            </w:pPr>
          </w:p>
        </w:tc>
      </w:tr>
      <w:tr>
        <w:trPr>
          <w:trHeight w:val="126"/>
        </w:trPr>
        <w:tc>
          <w:tcPr>
            <w:tcW w:w="80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Work in process</w:t>
            </w:r>
          </w:p>
        </w:tc>
        <w:tc>
          <w:tcPr>
            <w:tcW w:w="1100" w:type="dxa"/>
            <w:vAlign w:val="bottom"/>
          </w:tcPr>
          <w:p>
            <w:pPr>
              <w:spacing w:after="0"/>
              <w:rPr>
                <w:sz w:val="10"/>
                <w:szCs w:val="10"/>
                <w:color w:val="auto"/>
              </w:rPr>
            </w:pPr>
          </w:p>
        </w:tc>
        <w:tc>
          <w:tcPr>
            <w:tcW w:w="480" w:type="dxa"/>
            <w:vAlign w:val="bottom"/>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9,202</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8,611</w:t>
            </w:r>
          </w:p>
        </w:tc>
        <w:tc>
          <w:tcPr>
            <w:tcW w:w="0" w:type="dxa"/>
            <w:vAlign w:val="bottom"/>
          </w:tcPr>
          <w:p>
            <w:pPr>
              <w:spacing w:after="0"/>
              <w:rPr>
                <w:sz w:val="1"/>
                <w:szCs w:val="1"/>
                <w:color w:val="auto"/>
              </w:rPr>
            </w:pPr>
          </w:p>
        </w:tc>
      </w:tr>
      <w:tr>
        <w:trPr>
          <w:trHeight w:val="126"/>
        </w:trPr>
        <w:tc>
          <w:tcPr>
            <w:tcW w:w="8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Finished goods</w:t>
            </w:r>
          </w:p>
        </w:tc>
        <w:tc>
          <w:tcPr>
            <w:tcW w:w="110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8,893</w:t>
            </w:r>
          </w:p>
        </w:tc>
        <w:tc>
          <w:tcPr>
            <w:tcW w:w="1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7,995</w:t>
            </w:r>
          </w:p>
        </w:tc>
        <w:tc>
          <w:tcPr>
            <w:tcW w:w="0" w:type="dxa"/>
            <w:vAlign w:val="bottom"/>
          </w:tcPr>
          <w:p>
            <w:pPr>
              <w:spacing w:after="0"/>
              <w:rPr>
                <w:sz w:val="1"/>
                <w:szCs w:val="1"/>
                <w:color w:val="auto"/>
              </w:rPr>
            </w:pPr>
          </w:p>
        </w:tc>
      </w:tr>
      <w:tr>
        <w:trPr>
          <w:trHeight w:val="122"/>
        </w:trPr>
        <w:tc>
          <w:tcPr>
            <w:tcW w:w="8060" w:type="dxa"/>
            <w:vAlign w:val="bottom"/>
          </w:tcPr>
          <w:p>
            <w:pPr>
              <w:ind w:left="360"/>
              <w:spacing w:after="0" w:line="115" w:lineRule="exact"/>
              <w:rPr>
                <w:sz w:val="20"/>
                <w:szCs w:val="20"/>
                <w:color w:val="auto"/>
              </w:rPr>
            </w:pPr>
            <w:r>
              <w:rPr>
                <w:rFonts w:ascii="Times New Roman" w:cs="Times New Roman" w:eastAsia="Times New Roman" w:hAnsi="Times New Roman"/>
                <w:sz w:val="12"/>
                <w:szCs w:val="12"/>
                <w:color w:val="auto"/>
              </w:rPr>
              <w:t>Inventory</w:t>
            </w:r>
          </w:p>
        </w:tc>
        <w:tc>
          <w:tcPr>
            <w:tcW w:w="1100" w:type="dxa"/>
            <w:vAlign w:val="bottom"/>
            <w:tcBorders>
              <w:bottom w:val="single" w:sz="8" w:color="auto"/>
            </w:tcBorders>
          </w:tcPr>
          <w:p>
            <w:pPr>
              <w:jc w:val="right"/>
              <w:ind w:right="98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29,625</w:t>
            </w:r>
          </w:p>
        </w:tc>
        <w:tc>
          <w:tcPr>
            <w:tcW w:w="120" w:type="dxa"/>
            <w:vAlign w:val="bottom"/>
          </w:tcPr>
          <w:p>
            <w:pPr>
              <w:spacing w:after="0"/>
              <w:rPr>
                <w:sz w:val="10"/>
                <w:szCs w:val="10"/>
                <w:color w:val="auto"/>
              </w:rPr>
            </w:pPr>
          </w:p>
        </w:tc>
        <w:tc>
          <w:tcPr>
            <w:tcW w:w="24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24,599</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Long-term Restricted Cash</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For our facility located at 1305 O’Brien Drive, Menlo Park, California (the “O’Brien Lease”), we were required to establish a letter of credit for the benefit of the landlord and to submit $4.5 million as a deposit for the letter of credit in October 2015. Subsequently, pursuant to the terms of the O’Brien Lease, beginning on May 1, 2019, the amount of the letter of credit was reduced by $0.5 million each year thereafter on May 1. As such, $3.0 million was recorded in long-term restricted cash related to the O’Brien Lease in the Condensed Consolidated Balance Sheets as of March 31, 2022 and December 31, 2021, respectively. In connection with the acquisition of Omniome in September 2021, we acquired $1.6 million of long-term restricted cash related to a letter of credit established for a facility lease. At March 31, 2022, we had an additional $0.4 million in long-term restricted cash primarily related to lease deposits.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 and Goodwill</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Intangible assets include acquired in-process research and development (IPR&amp;D) of $400 million as a result of the Omniome acquisition in September 2021. The IPR&amp;D will remain on our consolidated balance sheet as an indefinite-lived intangible asset until the completion or abandonment of the associated research and development activities. During the development period following the acquisition, IPR&amp;D will not be amortized, but instead will be tested for impairment annually and more frequently if events or changes in circumstances indicate that it is more likely than not that the asset is impaired. Upon completion of the development, we will begin to amortize the asset over the life of the product, or record an impairment charge if the asset is determined to be impaired.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addition to IPR&amp;D, we had the following definite-lived intangible assets from business acquisitions (in thousands, except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60" w:type="dxa"/>
            <w:vAlign w:val="bottom"/>
          </w:tcPr>
          <w:p>
            <w:pPr>
              <w:spacing w:after="0"/>
              <w:rPr>
                <w:sz w:val="11"/>
                <w:szCs w:val="11"/>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Estimated</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As of March 31, 2022</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86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tcPr>
          <w:p>
            <w:pPr>
              <w:jc w:val="center"/>
              <w:ind w:right="260"/>
              <w:spacing w:after="0" w:line="86" w:lineRule="exact"/>
              <w:rPr>
                <w:sz w:val="20"/>
                <w:szCs w:val="20"/>
                <w:color w:val="auto"/>
              </w:rPr>
            </w:pPr>
            <w:r>
              <w:rPr>
                <w:rFonts w:ascii="Times New Roman" w:cs="Times New Roman" w:eastAsia="Times New Roman" w:hAnsi="Times New Roman"/>
                <w:sz w:val="9"/>
                <w:szCs w:val="9"/>
                <w:b w:val="1"/>
                <w:bCs w:val="1"/>
                <w:color w:val="auto"/>
              </w:rPr>
              <w:t>Gross</w:t>
            </w: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jc w:val="center"/>
              <w:ind w:right="88"/>
              <w:spacing w:after="0" w:line="86" w:lineRule="exact"/>
              <w:rPr>
                <w:sz w:val="20"/>
                <w:szCs w:val="20"/>
                <w:color w:val="auto"/>
              </w:rPr>
            </w:pPr>
            <w:r>
              <w:rPr>
                <w:rFonts w:ascii="Times New Roman" w:cs="Times New Roman" w:eastAsia="Times New Roman" w:hAnsi="Times New Roman"/>
                <w:sz w:val="9"/>
                <w:szCs w:val="9"/>
                <w:b w:val="1"/>
                <w:bCs w:val="1"/>
                <w:color w:val="auto"/>
              </w:rPr>
              <w:t>Net</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tcPr>
          <w:p>
            <w:pPr>
              <w:jc w:val="center"/>
              <w:ind w:right="260"/>
              <w:spacing w:after="0" w:line="86" w:lineRule="exact"/>
              <w:rPr>
                <w:sz w:val="20"/>
                <w:szCs w:val="20"/>
                <w:color w:val="auto"/>
              </w:rPr>
            </w:pPr>
            <w:r>
              <w:rPr>
                <w:rFonts w:ascii="Times New Roman" w:cs="Times New Roman" w:eastAsia="Times New Roman" w:hAnsi="Times New Roman"/>
                <w:sz w:val="9"/>
                <w:szCs w:val="9"/>
                <w:b w:val="1"/>
                <w:bCs w:val="1"/>
                <w:color w:val="auto"/>
              </w:rPr>
              <w:t>Gross</w:t>
            </w: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jc w:val="center"/>
              <w:ind w:right="128"/>
              <w:spacing w:after="0" w:line="86" w:lineRule="exact"/>
              <w:rPr>
                <w:sz w:val="20"/>
                <w:szCs w:val="20"/>
                <w:color w:val="auto"/>
              </w:rPr>
            </w:pPr>
            <w:r>
              <w:rPr>
                <w:rFonts w:ascii="Times New Roman" w:cs="Times New Roman" w:eastAsia="Times New Roman" w:hAnsi="Times New Roman"/>
                <w:sz w:val="9"/>
                <w:szCs w:val="9"/>
                <w:b w:val="1"/>
                <w:bCs w:val="1"/>
                <w:color w:val="auto"/>
              </w:rPr>
              <w:t>Net</w:t>
            </w: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142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Useful Life</w:t>
            </w: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60" w:type="dxa"/>
            <w:vAlign w:val="bottom"/>
          </w:tcPr>
          <w:p>
            <w:pPr>
              <w:spacing w:after="0"/>
              <w:rPr>
                <w:sz w:val="10"/>
                <w:szCs w:val="10"/>
                <w:color w:val="auto"/>
              </w:rPr>
            </w:pPr>
          </w:p>
        </w:tc>
        <w:tc>
          <w:tcPr>
            <w:tcW w:w="1200" w:type="dxa"/>
            <w:vAlign w:val="bottom"/>
            <w:gridSpan w:val="2"/>
          </w:tcPr>
          <w:p>
            <w:pPr>
              <w:jc w:val="center"/>
              <w:ind w:right="540"/>
              <w:spacing w:after="0" w:line="117"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160" w:type="dxa"/>
            <w:vAlign w:val="bottom"/>
          </w:tcPr>
          <w:p>
            <w:pPr>
              <w:spacing w:after="0"/>
              <w:rPr>
                <w:sz w:val="10"/>
                <w:szCs w:val="10"/>
                <w:color w:val="auto"/>
              </w:rPr>
            </w:pPr>
          </w:p>
        </w:tc>
        <w:tc>
          <w:tcPr>
            <w:tcW w:w="9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160" w:type="dxa"/>
            <w:vAlign w:val="bottom"/>
          </w:tcPr>
          <w:p>
            <w:pPr>
              <w:spacing w:after="0"/>
              <w:rPr>
                <w:sz w:val="10"/>
                <w:szCs w:val="10"/>
                <w:color w:val="auto"/>
              </w:rPr>
            </w:pPr>
          </w:p>
        </w:tc>
        <w:tc>
          <w:tcPr>
            <w:tcW w:w="110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0"/>
                <w:szCs w:val="10"/>
                <w:color w:val="auto"/>
              </w:rPr>
            </w:pPr>
          </w:p>
        </w:tc>
        <w:tc>
          <w:tcPr>
            <w:tcW w:w="820" w:type="dxa"/>
            <w:vAlign w:val="bottom"/>
          </w:tcPr>
          <w:p>
            <w:pPr>
              <w:jc w:val="center"/>
              <w:ind w:right="108"/>
              <w:spacing w:after="0" w:line="117" w:lineRule="exact"/>
              <w:rPr>
                <w:sz w:val="20"/>
                <w:szCs w:val="20"/>
                <w:color w:val="auto"/>
              </w:rPr>
            </w:pPr>
            <w:r>
              <w:rPr>
                <w:rFonts w:ascii="Times New Roman" w:cs="Times New Roman" w:eastAsia="Times New Roman" w:hAnsi="Times New Roman"/>
                <w:sz w:val="11"/>
                <w:szCs w:val="11"/>
                <w:b w:val="1"/>
                <w:bCs w:val="1"/>
                <w:color w:val="auto"/>
                <w:w w:val="96"/>
              </w:rPr>
              <w:t>Carrying</w:t>
            </w: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(in years)</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60" w:type="dxa"/>
            <w:vAlign w:val="bottom"/>
          </w:tcPr>
          <w:p>
            <w:pPr>
              <w:spacing w:after="0"/>
              <w:rPr>
                <w:sz w:val="11"/>
                <w:szCs w:val="11"/>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60" w:type="dxa"/>
            <w:vAlign w:val="bottom"/>
          </w:tcPr>
          <w:p>
            <w:pPr>
              <w:spacing w:after="0"/>
              <w:rPr>
                <w:sz w:val="11"/>
                <w:szCs w:val="11"/>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60" w:type="dxa"/>
            <w:vAlign w:val="bottom"/>
          </w:tcPr>
          <w:p>
            <w:pPr>
              <w:spacing w:after="0"/>
              <w:rPr>
                <w:sz w:val="11"/>
                <w:szCs w:val="11"/>
                <w:color w:val="auto"/>
              </w:rPr>
            </w:pPr>
          </w:p>
        </w:tc>
        <w:tc>
          <w:tcPr>
            <w:tcW w:w="820" w:type="dxa"/>
            <w:vAlign w:val="bottom"/>
          </w:tcPr>
          <w:p>
            <w:pPr>
              <w:jc w:val="center"/>
              <w:ind w:right="108"/>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0" w:type="dxa"/>
            <w:vAlign w:val="bottom"/>
          </w:tcPr>
          <w:p>
            <w:pPr>
              <w:spacing w:after="0"/>
              <w:rPr>
                <w:sz w:val="1"/>
                <w:szCs w:val="1"/>
                <w:color w:val="auto"/>
              </w:rPr>
            </w:pPr>
          </w:p>
        </w:tc>
      </w:tr>
      <w:tr>
        <w:trPr>
          <w:trHeight w:val="106"/>
        </w:trPr>
        <w:tc>
          <w:tcPr>
            <w:tcW w:w="28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Developed technology</w:t>
            </w:r>
          </w:p>
        </w:tc>
        <w:tc>
          <w:tcPr>
            <w:tcW w:w="1040" w:type="dxa"/>
            <w:vAlign w:val="bottom"/>
            <w:tcBorders>
              <w:top w:val="single" w:sz="8" w:color="auto"/>
            </w:tcBorders>
            <w:shd w:val="clear" w:color="auto" w:fill="CCEEFF"/>
          </w:tcPr>
          <w:p>
            <w:pPr>
              <w:jc w:val="right"/>
              <w:ind w:right="406"/>
              <w:spacing w:after="0" w:line="106" w:lineRule="exact"/>
              <w:rPr>
                <w:sz w:val="20"/>
                <w:szCs w:val="20"/>
                <w:color w:val="auto"/>
              </w:rPr>
            </w:pPr>
            <w:r>
              <w:rPr>
                <w:rFonts w:ascii="Times New Roman" w:cs="Times New Roman" w:eastAsia="Times New Roman" w:hAnsi="Times New Roman"/>
                <w:sz w:val="11"/>
                <w:szCs w:val="11"/>
                <w:color w:val="auto"/>
              </w:rPr>
              <w:t>15</w:t>
            </w:r>
          </w:p>
        </w:tc>
        <w:tc>
          <w:tcPr>
            <w:tcW w:w="3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11,000</w:t>
            </w: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rPr>
              <w:t>(489)</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10,511</w:t>
            </w:r>
          </w:p>
        </w:tc>
        <w:tc>
          <w:tcPr>
            <w:tcW w:w="3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11,000</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EFF"/>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rPr>
              <w:t>(306)</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10,694</w:t>
            </w:r>
          </w:p>
        </w:tc>
        <w:tc>
          <w:tcPr>
            <w:tcW w:w="0" w:type="dxa"/>
            <w:vAlign w:val="bottom"/>
          </w:tcPr>
          <w:p>
            <w:pPr>
              <w:spacing w:after="0"/>
              <w:rPr>
                <w:sz w:val="1"/>
                <w:szCs w:val="1"/>
                <w:color w:val="auto"/>
              </w:rPr>
            </w:pPr>
          </w:p>
        </w:tc>
      </w:tr>
      <w:tr>
        <w:trPr>
          <w:trHeight w:val="117"/>
        </w:trPr>
        <w:tc>
          <w:tcPr>
            <w:tcW w:w="2860" w:type="dxa"/>
            <w:vAlign w:val="bottom"/>
            <w:tcBorders>
              <w:bottom w:val="single" w:sz="8" w:color="CCEEFF"/>
            </w:tcBorders>
          </w:tcPr>
          <w:p>
            <w:pPr>
              <w:spacing w:after="0" w:line="117" w:lineRule="exact"/>
              <w:rPr>
                <w:sz w:val="20"/>
                <w:szCs w:val="20"/>
                <w:color w:val="auto"/>
              </w:rPr>
            </w:pPr>
            <w:r>
              <w:rPr>
                <w:rFonts w:ascii="Times New Roman" w:cs="Times New Roman" w:eastAsia="Times New Roman" w:hAnsi="Times New Roman"/>
                <w:sz w:val="11"/>
                <w:szCs w:val="11"/>
                <w:color w:val="auto"/>
              </w:rPr>
              <w:t>Customer relationships</w:t>
            </w:r>
          </w:p>
        </w:tc>
        <w:tc>
          <w:tcPr>
            <w:tcW w:w="1040" w:type="dxa"/>
            <w:vAlign w:val="bottom"/>
            <w:tcBorders>
              <w:bottom w:val="single" w:sz="8" w:color="CCEEFF"/>
            </w:tcBorders>
          </w:tcPr>
          <w:p>
            <w:pPr>
              <w:jc w:val="right"/>
              <w:ind w:right="446"/>
              <w:spacing w:after="0" w:line="117" w:lineRule="exact"/>
              <w:rPr>
                <w:sz w:val="20"/>
                <w:szCs w:val="20"/>
                <w:color w:val="auto"/>
              </w:rPr>
            </w:pPr>
            <w:r>
              <w:rPr>
                <w:rFonts w:ascii="Times New Roman" w:cs="Times New Roman" w:eastAsia="Times New Roman" w:hAnsi="Times New Roman"/>
                <w:sz w:val="11"/>
                <w:szCs w:val="11"/>
                <w:color w:val="auto"/>
              </w:rPr>
              <w:t>2</w:t>
            </w:r>
          </w:p>
        </w:tc>
        <w:tc>
          <w:tcPr>
            <w:tcW w:w="3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8"/>
              <w:spacing w:after="0" w:line="117"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(120)</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8"/>
              <w:spacing w:after="0" w:line="117" w:lineRule="exact"/>
              <w:rPr>
                <w:sz w:val="20"/>
                <w:szCs w:val="20"/>
                <w:color w:val="auto"/>
              </w:rPr>
            </w:pPr>
            <w:r>
              <w:rPr>
                <w:rFonts w:ascii="Times New Roman" w:cs="Times New Roman" w:eastAsia="Times New Roman" w:hAnsi="Times New Roman"/>
                <w:sz w:val="11"/>
                <w:szCs w:val="11"/>
                <w:color w:val="auto"/>
              </w:rPr>
              <w:t>240</w:t>
            </w:r>
          </w:p>
        </w:tc>
        <w:tc>
          <w:tcPr>
            <w:tcW w:w="3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8"/>
              <w:spacing w:after="0" w:line="117" w:lineRule="exact"/>
              <w:rPr>
                <w:sz w:val="20"/>
                <w:szCs w:val="20"/>
                <w:color w:val="auto"/>
              </w:rPr>
            </w:pPr>
            <w:r>
              <w:rPr>
                <w:rFonts w:ascii="Times New Roman" w:cs="Times New Roman" w:eastAsia="Times New Roman" w:hAnsi="Times New Roman"/>
                <w:sz w:val="11"/>
                <w:szCs w:val="11"/>
                <w:color w:val="auto"/>
              </w:rPr>
              <w:t>360</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26"/>
              <w:spacing w:after="0" w:line="117" w:lineRule="exact"/>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8"/>
              <w:spacing w:after="0" w:line="117" w:lineRule="exact"/>
              <w:rPr>
                <w:sz w:val="20"/>
                <w:szCs w:val="20"/>
                <w:color w:val="auto"/>
              </w:rPr>
            </w:pPr>
            <w:r>
              <w:rPr>
                <w:rFonts w:ascii="Times New Roman" w:cs="Times New Roman" w:eastAsia="Times New Roman" w:hAnsi="Times New Roman"/>
                <w:sz w:val="11"/>
                <w:szCs w:val="11"/>
                <w:color w:val="auto"/>
              </w:rPr>
              <w:t>285</w:t>
            </w:r>
          </w:p>
        </w:tc>
        <w:tc>
          <w:tcPr>
            <w:tcW w:w="0" w:type="dxa"/>
            <w:vAlign w:val="bottom"/>
          </w:tcPr>
          <w:p>
            <w:pPr>
              <w:spacing w:after="0"/>
              <w:rPr>
                <w:sz w:val="1"/>
                <w:szCs w:val="1"/>
                <w:color w:val="auto"/>
              </w:rPr>
            </w:pPr>
          </w:p>
        </w:tc>
      </w:tr>
      <w:tr>
        <w:trPr>
          <w:trHeight w:val="113"/>
        </w:trPr>
        <w:tc>
          <w:tcPr>
            <w:tcW w:w="2860" w:type="dxa"/>
            <w:vAlign w:val="bottom"/>
            <w:tcBorders>
              <w:bottom w:val="single" w:sz="8" w:color="CCEEFF"/>
            </w:tcBorders>
            <w:shd w:val="clear" w:color="auto" w:fill="CCEEFF"/>
          </w:tcPr>
          <w:p>
            <w:pPr>
              <w:ind w:left="360"/>
              <w:spacing w:after="0" w:line="106" w:lineRule="exact"/>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9"/>
                <w:szCs w:val="9"/>
                <w:color w:val="auto"/>
              </w:rPr>
            </w:pPr>
          </w:p>
        </w:tc>
        <w:tc>
          <w:tcPr>
            <w:tcW w:w="3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11,360</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rPr>
              <w:t>(609)</w:t>
            </w: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10,751</w:t>
            </w:r>
          </w:p>
        </w:tc>
        <w:tc>
          <w:tcPr>
            <w:tcW w:w="3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11,360</w:t>
            </w: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rPr>
              <w:t>(381)</w:t>
            </w: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8"/>
              <w:spacing w:after="0" w:line="106" w:lineRule="exact"/>
              <w:rPr>
                <w:sz w:val="20"/>
                <w:szCs w:val="20"/>
                <w:color w:val="auto"/>
              </w:rPr>
            </w:pPr>
            <w:r>
              <w:rPr>
                <w:rFonts w:ascii="Times New Roman" w:cs="Times New Roman" w:eastAsia="Times New Roman" w:hAnsi="Times New Roman"/>
                <w:sz w:val="11"/>
                <w:szCs w:val="11"/>
                <w:color w:val="auto"/>
              </w:rPr>
              <w:t>10,979</w:t>
            </w:r>
          </w:p>
        </w:tc>
        <w:tc>
          <w:tcPr>
            <w:tcW w:w="0" w:type="dxa"/>
            <w:vAlign w:val="bottom"/>
          </w:tcPr>
          <w:p>
            <w:pPr>
              <w:spacing w:after="0"/>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920" w:type="dxa"/>
            <w:vAlign w:val="bottom"/>
          </w:tcPr>
          <w:p>
            <w:pPr>
              <w:spacing w:after="0"/>
              <w:rPr>
                <w:sz w:val="20"/>
                <w:szCs w:val="20"/>
                <w:color w:val="auto"/>
              </w:rPr>
            </w:pPr>
            <w:r>
              <w:rPr>
                <w:rFonts w:ascii="Times New Roman" w:cs="Times New Roman" w:eastAsia="Times New Roman" w:hAnsi="Times New Roman"/>
                <w:sz w:val="12"/>
                <w:szCs w:val="12"/>
                <w:color w:val="auto"/>
              </w:rPr>
              <w:t>The estimated future amortization expense of acquisition-related intangible assets with definite lives is estimated as follows:</w:t>
            </w:r>
          </w:p>
        </w:tc>
        <w:tc>
          <w:tcPr>
            <w:tcW w:w="480" w:type="dxa"/>
            <w:vAlign w:val="bottom"/>
          </w:tcPr>
          <w:p>
            <w:pPr>
              <w:spacing w:after="0"/>
              <w:rPr>
                <w:sz w:val="13"/>
                <w:szCs w:val="13"/>
                <w:color w:val="auto"/>
              </w:rPr>
            </w:pPr>
          </w:p>
        </w:tc>
        <w:tc>
          <w:tcPr>
            <w:tcW w:w="1900" w:type="dxa"/>
            <w:vAlign w:val="bottom"/>
            <w:vMerge w:val="restart"/>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44"/>
        </w:trPr>
        <w:tc>
          <w:tcPr>
            <w:tcW w:w="89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9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Remainder of 2022</w:t>
            </w:r>
          </w:p>
        </w:tc>
        <w:tc>
          <w:tcPr>
            <w:tcW w:w="480" w:type="dxa"/>
            <w:vAlign w:val="bottom"/>
            <w:shd w:val="clear" w:color="auto" w:fill="CCEEFF"/>
          </w:tcPr>
          <w:p>
            <w:pPr>
              <w:jc w:val="right"/>
              <w:ind w:right="36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685</w:t>
            </w:r>
          </w:p>
        </w:tc>
        <w:tc>
          <w:tcPr>
            <w:tcW w:w="0" w:type="dxa"/>
            <w:vAlign w:val="bottom"/>
          </w:tcPr>
          <w:p>
            <w:pPr>
              <w:spacing w:after="0"/>
              <w:rPr>
                <w:sz w:val="1"/>
                <w:szCs w:val="1"/>
                <w:color w:val="auto"/>
              </w:rPr>
            </w:pPr>
          </w:p>
        </w:tc>
      </w:tr>
      <w:tr>
        <w:trPr>
          <w:trHeight w:val="126"/>
        </w:trPr>
        <w:tc>
          <w:tcPr>
            <w:tcW w:w="8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2023</w:t>
            </w:r>
          </w:p>
        </w:tc>
        <w:tc>
          <w:tcPr>
            <w:tcW w:w="480" w:type="dxa"/>
            <w:vAlign w:val="bottom"/>
          </w:tcPr>
          <w:p>
            <w:pPr>
              <w:spacing w:after="0"/>
              <w:rPr>
                <w:sz w:val="10"/>
                <w:szCs w:val="10"/>
                <w:color w:val="auto"/>
              </w:rPr>
            </w:pPr>
          </w:p>
        </w:tc>
        <w:tc>
          <w:tcPr>
            <w:tcW w:w="1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838</w:t>
            </w:r>
          </w:p>
        </w:tc>
        <w:tc>
          <w:tcPr>
            <w:tcW w:w="0" w:type="dxa"/>
            <w:vAlign w:val="bottom"/>
          </w:tcPr>
          <w:p>
            <w:pPr>
              <w:spacing w:after="0"/>
              <w:rPr>
                <w:sz w:val="1"/>
                <w:szCs w:val="1"/>
                <w:color w:val="auto"/>
              </w:rPr>
            </w:pPr>
          </w:p>
        </w:tc>
      </w:tr>
      <w:tr>
        <w:trPr>
          <w:trHeight w:val="126"/>
        </w:trPr>
        <w:tc>
          <w:tcPr>
            <w:tcW w:w="8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2024</w:t>
            </w:r>
          </w:p>
        </w:tc>
        <w:tc>
          <w:tcPr>
            <w:tcW w:w="480" w:type="dxa"/>
            <w:vAlign w:val="bottom"/>
            <w:shd w:val="clear" w:color="auto" w:fill="CCEEFF"/>
          </w:tcPr>
          <w:p>
            <w:pPr>
              <w:spacing w:after="0"/>
              <w:rPr>
                <w:sz w:val="10"/>
                <w:szCs w:val="10"/>
                <w:color w:val="auto"/>
              </w:rPr>
            </w:pPr>
          </w:p>
        </w:tc>
        <w:tc>
          <w:tcPr>
            <w:tcW w:w="19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26"/>
        </w:trPr>
        <w:tc>
          <w:tcPr>
            <w:tcW w:w="8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2025</w:t>
            </w:r>
          </w:p>
        </w:tc>
        <w:tc>
          <w:tcPr>
            <w:tcW w:w="480" w:type="dxa"/>
            <w:vAlign w:val="bottom"/>
          </w:tcPr>
          <w:p>
            <w:pPr>
              <w:spacing w:after="0"/>
              <w:rPr>
                <w:sz w:val="10"/>
                <w:szCs w:val="10"/>
                <w:color w:val="auto"/>
              </w:rPr>
            </w:pPr>
          </w:p>
        </w:tc>
        <w:tc>
          <w:tcPr>
            <w:tcW w:w="1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26"/>
        </w:trPr>
        <w:tc>
          <w:tcPr>
            <w:tcW w:w="8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2026</w:t>
            </w:r>
          </w:p>
        </w:tc>
        <w:tc>
          <w:tcPr>
            <w:tcW w:w="480" w:type="dxa"/>
            <w:vAlign w:val="bottom"/>
            <w:shd w:val="clear" w:color="auto" w:fill="CCEEFF"/>
          </w:tcPr>
          <w:p>
            <w:pPr>
              <w:spacing w:after="0"/>
              <w:rPr>
                <w:sz w:val="10"/>
                <w:szCs w:val="10"/>
                <w:color w:val="auto"/>
              </w:rPr>
            </w:pPr>
          </w:p>
        </w:tc>
        <w:tc>
          <w:tcPr>
            <w:tcW w:w="19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733</w:t>
            </w:r>
          </w:p>
        </w:tc>
        <w:tc>
          <w:tcPr>
            <w:tcW w:w="0" w:type="dxa"/>
            <w:vAlign w:val="bottom"/>
          </w:tcPr>
          <w:p>
            <w:pPr>
              <w:spacing w:after="0"/>
              <w:rPr>
                <w:sz w:val="1"/>
                <w:szCs w:val="1"/>
                <w:color w:val="auto"/>
              </w:rPr>
            </w:pPr>
          </w:p>
        </w:tc>
      </w:tr>
      <w:tr>
        <w:trPr>
          <w:trHeight w:val="126"/>
        </w:trPr>
        <w:tc>
          <w:tcPr>
            <w:tcW w:w="892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2027 and thereafter</w:t>
            </w:r>
          </w:p>
        </w:tc>
        <w:tc>
          <w:tcPr>
            <w:tcW w:w="4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7,029</w:t>
            </w:r>
          </w:p>
        </w:tc>
        <w:tc>
          <w:tcPr>
            <w:tcW w:w="0" w:type="dxa"/>
            <w:vAlign w:val="bottom"/>
          </w:tcPr>
          <w:p>
            <w:pPr>
              <w:spacing w:after="0"/>
              <w:rPr>
                <w:sz w:val="1"/>
                <w:szCs w:val="1"/>
                <w:color w:val="auto"/>
              </w:rPr>
            </w:pPr>
          </w:p>
        </w:tc>
      </w:tr>
      <w:tr>
        <w:trPr>
          <w:trHeight w:val="122"/>
        </w:trPr>
        <w:tc>
          <w:tcPr>
            <w:tcW w:w="8920" w:type="dxa"/>
            <w:vAlign w:val="bottom"/>
            <w:tcBorders>
              <w:bottom w:val="single" w:sz="8" w:color="CCEEFF"/>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bottom w:val="single" w:sz="8" w:color="auto"/>
            </w:tcBorders>
            <w:shd w:val="clear" w:color="auto" w:fill="CCEEFF"/>
          </w:tcPr>
          <w:p>
            <w:pPr>
              <w:jc w:val="right"/>
              <w:ind w:right="343"/>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9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10,751</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review definite-lived intangible assets for impairment when indication of potential impairment exists, such as a significant reduction in cash flows associated with the assets.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Goodwill is reviewed for impairment at least annually during the second quarter, or more frequently if an event occurs indicating the potential for impairment. We had no indicators of impairment related to goodwill during the three months ended March 31, 2022.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Deferred revenue</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 xml:space="preserve">As of March 31, 2022, we had a total of $38.0 million of deferred revenue, $12.7 million of which was recorded as deferred revenue, current and primarily relates to deferred service contract revenues to be recognized over the next year and the remaining $25.2 million was recorded as deferred revenue, non-current. Of the deferred revenue, non-current balance, $23.5 million relates to payments received under the Invitae collaboration described in </w:t>
      </w:r>
      <w:r>
        <w:rPr>
          <w:rFonts w:ascii="Times New Roman" w:cs="Times New Roman" w:eastAsia="Times New Roman" w:hAnsi="Times New Roman"/>
          <w:sz w:val="12"/>
          <w:szCs w:val="12"/>
          <w:i w:val="1"/>
          <w:iCs w:val="1"/>
          <w:u w:val="single" w:color="auto"/>
          <w:color w:val="0000FF"/>
        </w:rPr>
        <w:t>Note 3. Invitae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0000FF"/>
        </w:rPr>
        <w:t>Collaboration</w:t>
      </w:r>
      <w:r>
        <w:rPr>
          <w:rFonts w:ascii="Times New Roman" w:cs="Times New Roman" w:eastAsia="Times New Roman" w:hAnsi="Times New Roman"/>
          <w:sz w:val="12"/>
          <w:szCs w:val="12"/>
          <w:i w:val="1"/>
          <w:iCs w:val="1"/>
          <w:color w:val="0000FF"/>
        </w:rPr>
        <w:t xml:space="preserve"> </w:t>
      </w:r>
      <w:r>
        <w:rPr>
          <w:rFonts w:ascii="Times New Roman" w:cs="Times New Roman" w:eastAsia="Times New Roman" w:hAnsi="Times New Roman"/>
          <w:sz w:val="12"/>
          <w:szCs w:val="12"/>
          <w:color w:val="000000"/>
        </w:rPr>
        <w:t>in Part I, Item 1 of this Quarterly Report on Form 10-Q and $1.7 million primarily relates to deferred service contract revenues and is scheduled to be recognized in the next 5 years. Revenue recorded in the three months</w:t>
      </w:r>
      <w:r>
        <w:rPr>
          <w:rFonts w:ascii="Times New Roman" w:cs="Times New Roman" w:eastAsia="Times New Roman" w:hAnsi="Times New Roman"/>
          <w:sz w:val="12"/>
          <w:szCs w:val="12"/>
          <w:i w:val="1"/>
          <w:iCs w:val="1"/>
          <w:color w:val="0000FF"/>
        </w:rPr>
        <w:t xml:space="preserve"> </w:t>
      </w:r>
      <w:r>
        <w:rPr>
          <w:rFonts w:ascii="Times New Roman" w:cs="Times New Roman" w:eastAsia="Times New Roman" w:hAnsi="Times New Roman"/>
          <w:sz w:val="12"/>
          <w:szCs w:val="12"/>
          <w:color w:val="000000"/>
        </w:rPr>
        <w:t>ended March 31, 2022 includes $4.0 million of previously deferred revenue that was included in deferred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revenue, current as of December 31, 2021. Contract assets as of March 31, 2022 and December 31, 2021 were not material.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2022, we had a total of $0.6 million of deferred commissions included in prepaid expenses and other current assets which is recognized as sales, general and administrative expense as the related revenue is recognized.</w:t>
      </w:r>
    </w:p>
    <w:p>
      <w:pPr>
        <w:spacing w:after="0"/>
        <w:rPr>
          <w:sz w:val="20"/>
          <w:szCs w:val="20"/>
          <w:color w:val="auto"/>
        </w:rPr>
      </w:pPr>
      <w:r>
        <w:rPr>
          <w:rFonts w:ascii="Times New Roman" w:cs="Times New Roman" w:eastAsia="Times New Roman" w:hAnsi="Times New Roman"/>
          <w:sz w:val="12"/>
          <w:szCs w:val="12"/>
          <w:color w:val="auto"/>
        </w:rPr>
        <w:t>Costs to obtain a contract are expensed as incurred if the amortization period would have been a year or less.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 loans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w:t>
      </w:r>
    </w:p>
    <w:p>
      <w:pPr>
        <w:jc w:val="both"/>
        <w:spacing w:after="0" w:line="206" w:lineRule="auto"/>
        <w:rPr>
          <w:sz w:val="20"/>
          <w:szCs w:val="20"/>
          <w:color w:val="auto"/>
        </w:rPr>
      </w:pPr>
      <w:r>
        <w:rPr>
          <w:rFonts w:ascii="Times New Roman" w:cs="Times New Roman" w:eastAsia="Times New Roman" w:hAnsi="Times New Roman"/>
          <w:sz w:val="12"/>
          <w:szCs w:val="12"/>
          <w:color w:val="auto"/>
        </w:rPr>
        <w:t>not less than all, of the borrowed amounts at any time after the 24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month and before the 43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month after the commencement date, is 4% of the outstanding loan balance. Payments are made in equal monthly installments including principal and interest. The following table presents the future principal payments on the term loans: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82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26"/>
        </w:trPr>
        <w:tc>
          <w:tcPr>
            <w:tcW w:w="7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Remainder of 2022</w:t>
            </w:r>
          </w:p>
        </w:tc>
        <w:tc>
          <w:tcPr>
            <w:tcW w:w="1820" w:type="dxa"/>
            <w:vAlign w:val="bottom"/>
            <w:shd w:val="clear" w:color="auto" w:fill="CCEEFF"/>
          </w:tcPr>
          <w:p>
            <w:pPr>
              <w:jc w:val="right"/>
              <w:ind w:right="1703"/>
              <w:spacing w:after="0"/>
              <w:rPr>
                <w:sz w:val="20"/>
                <w:szCs w:val="20"/>
                <w:color w:val="auto"/>
              </w:rPr>
            </w:pPr>
            <w:r>
              <w:rPr>
                <w:rFonts w:ascii="Times New Roman" w:cs="Times New Roman" w:eastAsia="Times New Roman" w:hAnsi="Times New Roman"/>
                <w:sz w:val="11"/>
                <w:szCs w:val="11"/>
                <w:color w:val="auto"/>
                <w:w w:val="71"/>
              </w:rPr>
              <w:t>$</w:t>
            </w:r>
          </w:p>
        </w:tc>
        <w:tc>
          <w:tcPr>
            <w:tcW w:w="20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1,231</w:t>
            </w:r>
          </w:p>
        </w:tc>
      </w:tr>
      <w:tr>
        <w:trPr>
          <w:trHeight w:val="126"/>
        </w:trPr>
        <w:tc>
          <w:tcPr>
            <w:tcW w:w="74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2023</w:t>
            </w:r>
          </w:p>
        </w:tc>
        <w:tc>
          <w:tcPr>
            <w:tcW w:w="1820" w:type="dxa"/>
            <w:vAlign w:val="bottom"/>
          </w:tcPr>
          <w:p>
            <w:pPr>
              <w:spacing w:after="0"/>
              <w:rPr>
                <w:sz w:val="10"/>
                <w:szCs w:val="10"/>
                <w:color w:val="auto"/>
              </w:rPr>
            </w:pPr>
          </w:p>
        </w:tc>
        <w:tc>
          <w:tcPr>
            <w:tcW w:w="20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1,842</w:t>
            </w:r>
          </w:p>
        </w:tc>
      </w:tr>
      <w:tr>
        <w:trPr>
          <w:trHeight w:val="126"/>
        </w:trPr>
        <w:tc>
          <w:tcPr>
            <w:tcW w:w="74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2024</w:t>
            </w:r>
          </w:p>
        </w:tc>
        <w:tc>
          <w:tcPr>
            <w:tcW w:w="1820" w:type="dxa"/>
            <w:vAlign w:val="bottom"/>
            <w:tcBorders>
              <w:bottom w:val="single" w:sz="8" w:color="auto"/>
            </w:tcBorders>
            <w:shd w:val="clear" w:color="auto" w:fill="CCEEFF"/>
          </w:tcPr>
          <w:p>
            <w:pPr>
              <w:spacing w:after="0"/>
              <w:rPr>
                <w:sz w:val="10"/>
                <w:szCs w:val="10"/>
                <w:color w:val="auto"/>
              </w:rPr>
            </w:pPr>
          </w:p>
        </w:tc>
        <w:tc>
          <w:tcPr>
            <w:tcW w:w="20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490</w:t>
            </w:r>
          </w:p>
        </w:tc>
      </w:tr>
      <w:tr>
        <w:trPr>
          <w:trHeight w:val="122"/>
        </w:trPr>
        <w:tc>
          <w:tcPr>
            <w:tcW w:w="7460" w:type="dxa"/>
            <w:vAlign w:val="bottom"/>
          </w:tcPr>
          <w:p>
            <w:pPr>
              <w:ind w:left="20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820" w:type="dxa"/>
            <w:vAlign w:val="bottom"/>
            <w:tcBorders>
              <w:bottom w:val="single" w:sz="8" w:color="auto"/>
            </w:tcBorders>
          </w:tcPr>
          <w:p>
            <w:pPr>
              <w:jc w:val="right"/>
              <w:ind w:right="1683"/>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3,563</w:t>
            </w: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CONVERTIBLE SENIOR NOTES</w:t>
      </w:r>
    </w:p>
    <w:p>
      <w:pPr>
        <w:spacing w:after="0" w:line="13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On February 9, 2021, we entered into an investment agreement (the “Investment Agreement”) with SB Northstar LP (the “Purchaser”), a subsidiary of SoftBank Group Corp., relating to the issuance and sale to the Purchaser of $900 million in aggregate principal amount of our 1.50% Convertible Senior Notes (the “Notes”). The Notes were issued on February 16, 2021.</w:t>
      </w:r>
    </w:p>
    <w:p>
      <w:pPr>
        <w:spacing w:after="0" w:line="1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11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On or after February 20, 2026,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 (i) 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spacing w:after="0" w:line="1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12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2"/>
          <w:szCs w:val="12"/>
          <w:color w:val="auto"/>
        </w:rPr>
        <w:t xml:space="preserve">The requirement to repurchase the Notes including unpaid interest to the maturity date in the event of a Fundamental Change is considered a put option for certain periods requiring bifurcation under ASC 815 – </w:t>
      </w:r>
      <w:r>
        <w:rPr>
          <w:rFonts w:ascii="Times New Roman" w:cs="Times New Roman" w:eastAsia="Times New Roman" w:hAnsi="Times New Roman"/>
          <w:sz w:val="12"/>
          <w:szCs w:val="12"/>
          <w:i w:val="1"/>
          <w:iCs w:val="1"/>
          <w:color w:val="auto"/>
        </w:rPr>
        <w:t>Derivatives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Hedging. </w:t>
      </w:r>
      <w:r>
        <w:rPr>
          <w:rFonts w:ascii="Times New Roman" w:cs="Times New Roman" w:eastAsia="Times New Roman" w:hAnsi="Times New Roman"/>
          <w:sz w:val="12"/>
          <w:szCs w:val="12"/>
          <w:color w:val="auto"/>
        </w:rPr>
        <w:t>However, given the low probability of a Fundamental Change occurring during the applicable periods, the value of the embedded derivative is immaterial.</w:t>
      </w:r>
    </w:p>
    <w:p>
      <w:pPr>
        <w:spacing w:after="0" w:line="10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10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We incurred issuance costs related to the Notes of approximately $4.5 million, which were recorded as debt issuance cost and are presented as a reduction to the Notes on our Consolidated Balance Sheets and are amortized to interest expense using the effective interest method over the term of the Notes, resulting in an effective interest rate of 1.6%.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2022 and December 31, 2021, the net carrying amount of the liability for the Notes is recorded as convertible senior notes, net, in the Condensed Consolidated Balance Sheets as follows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580" w:type="dxa"/>
            <w:vAlign w:val="bottom"/>
            <w:gridSpan w:val="2"/>
          </w:tcPr>
          <w:p>
            <w:pPr>
              <w:jc w:val="right"/>
              <w:ind w:right="144"/>
              <w:spacing w:after="0"/>
              <w:rPr>
                <w:sz w:val="20"/>
                <w:szCs w:val="20"/>
                <w:color w:val="auto"/>
              </w:rPr>
            </w:pPr>
            <w:r>
              <w:rPr>
                <w:rFonts w:ascii="Times New Roman" w:cs="Times New Roman" w:eastAsia="Times New Roman" w:hAnsi="Times New Roman"/>
                <w:sz w:val="12"/>
                <w:szCs w:val="12"/>
                <w:b w:val="1"/>
                <w:bCs w:val="1"/>
                <w:color w:val="auto"/>
              </w:rPr>
              <w:t>2022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15"/>
        </w:trPr>
        <w:tc>
          <w:tcPr>
            <w:tcW w:w="35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Principal amount</w:t>
            </w:r>
          </w:p>
        </w:tc>
        <w:tc>
          <w:tcPr>
            <w:tcW w:w="448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jc w:val="right"/>
              <w:ind w:right="98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900,000</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900,000</w:t>
            </w:r>
          </w:p>
        </w:tc>
      </w:tr>
      <w:tr>
        <w:trPr>
          <w:trHeight w:val="189"/>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Unamortized debt issuance costs</w:t>
            </w:r>
          </w:p>
        </w:tc>
        <w:tc>
          <w:tcPr>
            <w:tcW w:w="44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(3,933)</w:t>
            </w:r>
          </w:p>
        </w:tc>
      </w:tr>
      <w:tr>
        <w:trPr>
          <w:trHeight w:val="180"/>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44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896,220</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896,067</w:t>
            </w:r>
          </w:p>
        </w:tc>
      </w:tr>
      <w:tr>
        <w:trPr>
          <w:trHeight w:val="248"/>
        </w:trPr>
        <w:tc>
          <w:tcPr>
            <w:tcW w:w="3580" w:type="dxa"/>
            <w:vAlign w:val="bottom"/>
          </w:tcPr>
          <w:p>
            <w:pPr>
              <w:spacing w:after="0"/>
              <w:rPr>
                <w:sz w:val="21"/>
                <w:szCs w:val="21"/>
                <w:color w:val="auto"/>
              </w:rPr>
            </w:pPr>
          </w:p>
        </w:tc>
        <w:tc>
          <w:tcPr>
            <w:tcW w:w="4480" w:type="dxa"/>
            <w:vAlign w:val="bottom"/>
          </w:tcPr>
          <w:p>
            <w:pPr>
              <w:jc w:val="right"/>
              <w:ind w:right="2300"/>
              <w:spacing w:after="0"/>
              <w:rPr>
                <w:sz w:val="20"/>
                <w:szCs w:val="20"/>
                <w:color w:val="auto"/>
              </w:rPr>
            </w:pPr>
            <w:r>
              <w:rPr>
                <w:rFonts w:ascii="Times New Roman" w:cs="Times New Roman" w:eastAsia="Times New Roman" w:hAnsi="Times New Roman"/>
                <w:sz w:val="12"/>
                <w:szCs w:val="12"/>
                <w:color w:val="auto"/>
              </w:rPr>
              <w:t>17</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3580" w:type="dxa"/>
            <w:vAlign w:val="bottom"/>
            <w:tcBorders>
              <w:bottom w:val="single" w:sz="8" w:color="9A9A9A"/>
            </w:tcBorders>
          </w:tcPr>
          <w:p>
            <w:pPr>
              <w:spacing w:after="0"/>
              <w:rPr>
                <w:sz w:val="18"/>
                <w:szCs w:val="18"/>
                <w:color w:val="auto"/>
              </w:rPr>
            </w:pPr>
          </w:p>
        </w:tc>
        <w:tc>
          <w:tcPr>
            <w:tcW w:w="44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80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8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 the three months ended March 31, 2022, interest expense for the Notes was as follows (in thousands):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84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27"/>
        </w:trPr>
        <w:tc>
          <w:tcPr>
            <w:tcW w:w="84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9"/>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69"/>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Contractual interest expense</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3,375</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1,688</w:t>
            </w:r>
          </w:p>
        </w:tc>
      </w:tr>
      <w:tr>
        <w:trPr>
          <w:trHeight w:val="189"/>
        </w:trPr>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w:t>
            </w:r>
          </w:p>
        </w:tc>
      </w:tr>
      <w:tr>
        <w:trPr>
          <w:trHeight w:val="167"/>
        </w:trPr>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interest expense</w:t>
            </w: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3,528</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1,762</w:t>
            </w:r>
          </w:p>
        </w:tc>
      </w:tr>
    </w:tbl>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As of March 31, 2022, the estimated fair value (Level 2) of the Notes was $654.3 million. The fair value of the Notes is estimated using a pricing model that is primarily affected by the trading price of our common stock and market interest rates.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COMMITMENTS AND CONTINGENCIES</w:t>
      </w:r>
    </w:p>
    <w:p>
      <w:pPr>
        <w:spacing w:after="0" w:line="161"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2"/>
          <w:szCs w:val="12"/>
          <w:color w:val="auto"/>
        </w:rPr>
        <w:t xml:space="preserve">The Company has entered into various operating lease agreements, primarily relating to our corporate offices. See </w:t>
      </w:r>
      <w:r>
        <w:rPr>
          <w:rFonts w:ascii="Times New Roman" w:cs="Times New Roman" w:eastAsia="Times New Roman" w:hAnsi="Times New Roman"/>
          <w:sz w:val="12"/>
          <w:szCs w:val="12"/>
          <w:i w:val="1"/>
          <w:iCs w:val="1"/>
          <w:color w:val="auto"/>
        </w:rPr>
        <w:t>Note 8 – Commitments and Contingencies</w:t>
      </w:r>
      <w:r>
        <w:rPr>
          <w:rFonts w:ascii="Times New Roman" w:cs="Times New Roman" w:eastAsia="Times New Roman" w:hAnsi="Times New Roman"/>
          <w:sz w:val="12"/>
          <w:szCs w:val="12"/>
          <w:color w:val="auto"/>
        </w:rPr>
        <w:t>, subsection titled “Leases”, in Part II, Item 8 of the Annual Report on Form 10-K for the year ended December 31, 2021 for information regarding the Company’s maturity of lease liabilities under its lease agreements.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Contingencies</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 District Court Proceedings</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1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are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w:t>
      </w:r>
    </w:p>
    <w:p>
      <w:pPr>
        <w:spacing w:after="0" w:line="1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We plan to vigorously defend against the remaining claims.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Proceedings in China</w:t>
      </w:r>
    </w:p>
    <w:p>
      <w:pPr>
        <w:spacing w:after="0" w:line="1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On May 12, 2020, PGI filed a complaint in the Wuhan Intermediate People’s Court in China alleging infringement of one or more claims of China patent No. CN101743321B (the “CN321 Patent”), which is related to the ‘441 Patent. We were served on January 20, 2021 and plan to vigorously defend in this matter.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We have filed a petition with the Wuhan Intermediate People’s court requesting dismissal of the infringement action. On December 1, 2021, PGI filed an appeal with the Beijing IP Court, contesting the CNIPA decision.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Proceedings</w:t>
      </w:r>
    </w:p>
    <w:p>
      <w:pPr>
        <w:spacing w:after="0" w:line="1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Indemnification</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March 31, 2022 and December 31,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STOCKHOLDERS’ EQUITY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Equity Plans</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w:t>
      </w: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4, 2020, stockholders approved the 2020 Plan and reserved 11,000,000 shares of our common stock for issuance pursuant to equity awards granted under the 2020 Plan.</w:t>
      </w:r>
    </w:p>
    <w:p>
      <w:pPr>
        <w:spacing w:after="0" w:line="141"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On December 2, 2020, the Board of Directors (the “Board”) adopted the Inducement Plan and reserved 2,500,000 shares of our common stock for issuance pursuant to equity awards granted under the Inducement Plan. On April 18, 2021 and November 22, 2021, the Board amended the Inducement Plan to reserve an additional 750,000 and 360,000 shares, respectively.</w:t>
      </w:r>
    </w:p>
    <w:p>
      <w:pPr>
        <w:spacing w:after="0" w:line="1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were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 (i) 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 shares of our common stock for issuance pursuant to equity awards under the Omniome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2022, we had 1.2 million shares remaining and available for future issuance under the 2020 Plan, Inducement Plan, and the Omniome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Stock Options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Time-based Stock Options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stock option activity for time-based awards under all our stock option plans for the three months ended March 31, 2022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Stock Options Outstanding</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7"/>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1"/>
        </w:trPr>
        <w:tc>
          <w:tcPr>
            <w:tcW w:w="6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80"/>
        </w:trPr>
        <w:tc>
          <w:tcPr>
            <w:tcW w:w="650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w:t>
            </w:r>
          </w:p>
        </w:tc>
      </w:tr>
      <w:tr>
        <w:trPr>
          <w:trHeight w:val="216"/>
        </w:trPr>
        <w:tc>
          <w:tcPr>
            <w:tcW w:w="65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exercise price</w:t>
            </w:r>
          </w:p>
        </w:tc>
      </w:tr>
      <w:tr>
        <w:trPr>
          <w:trHeight w:val="16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2021</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4"/>
              </w:rPr>
              <w:t>– 46.37</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11.38</w:t>
            </w:r>
          </w:p>
        </w:tc>
      </w:tr>
      <w:tr>
        <w:trPr>
          <w:trHeight w:val="189"/>
        </w:trPr>
        <w:tc>
          <w:tcPr>
            <w:tcW w:w="7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4"/>
              </w:rPr>
              <w:t>– 16.58</w:t>
            </w:r>
          </w:p>
        </w:tc>
        <w:tc>
          <w:tcPr>
            <w:tcW w:w="24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11.76</w:t>
            </w:r>
          </w:p>
        </w:tc>
      </w:tr>
      <w:tr>
        <w:trPr>
          <w:trHeight w:val="189"/>
        </w:trPr>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1.16 – 8.90</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3.38</w:t>
            </w:r>
          </w:p>
        </w:tc>
      </w:tr>
      <w:tr>
        <w:trPr>
          <w:trHeight w:val="189"/>
        </w:trPr>
        <w:tc>
          <w:tcPr>
            <w:tcW w:w="7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Canceled</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4"/>
              </w:rPr>
              <w:t>– 46.37</w:t>
            </w:r>
          </w:p>
        </w:tc>
        <w:tc>
          <w:tcPr>
            <w:tcW w:w="24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27.74</w:t>
            </w:r>
          </w:p>
        </w:tc>
      </w:tr>
      <w:tr>
        <w:trPr>
          <w:trHeight w:val="18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March 31, 2022</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15,547</w:t>
            </w:r>
          </w:p>
        </w:tc>
        <w:tc>
          <w:tcPr>
            <w:tcW w:w="2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4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4"/>
              </w:rPr>
              <w:t>– 46.37</w:t>
            </w:r>
          </w:p>
        </w:tc>
        <w:tc>
          <w:tcPr>
            <w:tcW w:w="240" w:type="dxa"/>
            <w:vAlign w:val="bottom"/>
            <w:tcBorders>
              <w:top w:val="single" w:sz="8" w:color="CCEEFF"/>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CCEEFF"/>
              <w:bottom w:val="single" w:sz="8" w:color="CCEEFF"/>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11.32</w:t>
            </w:r>
          </w:p>
        </w:tc>
      </w:tr>
      <w:tr>
        <w:trPr>
          <w:trHeight w:val="671"/>
        </w:trPr>
        <w:tc>
          <w:tcPr>
            <w:tcW w:w="650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20</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7"/>
        </w:trPr>
        <w:tc>
          <w:tcPr>
            <w:tcW w:w="65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Performance-based Stock Options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stock option activity for performance-based awards under all our stock option plans for the three months ended March 31, 2022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Stock Options Outstanding</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6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180" w:type="dxa"/>
            <w:vAlign w:val="bottom"/>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jc w:val="right"/>
              <w:ind w:right="541"/>
              <w:spacing w:after="0" w:line="92" w:lineRule="exact"/>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right"/>
              <w:ind w:right="581"/>
              <w:spacing w:after="0" w:line="126" w:lineRule="exact"/>
              <w:rPr>
                <w:sz w:val="20"/>
                <w:szCs w:val="20"/>
                <w:color w:val="auto"/>
              </w:rPr>
            </w:pPr>
            <w:r>
              <w:rPr>
                <w:rFonts w:ascii="Times New Roman" w:cs="Times New Roman" w:eastAsia="Times New Roman" w:hAnsi="Times New Roman"/>
                <w:sz w:val="12"/>
                <w:szCs w:val="12"/>
                <w:b w:val="1"/>
                <w:bCs w:val="1"/>
                <w:color w:val="auto"/>
              </w:rPr>
              <w:t>average</w:t>
            </w:r>
          </w:p>
        </w:tc>
        <w:tc>
          <w:tcPr>
            <w:tcW w:w="0" w:type="dxa"/>
            <w:vAlign w:val="bottom"/>
          </w:tcPr>
          <w:p>
            <w:pPr>
              <w:spacing w:after="0"/>
              <w:rPr>
                <w:sz w:val="1"/>
                <w:szCs w:val="1"/>
                <w:color w:val="auto"/>
              </w:rPr>
            </w:pPr>
          </w:p>
        </w:tc>
      </w:tr>
      <w:tr>
        <w:trPr>
          <w:trHeight w:val="150"/>
        </w:trPr>
        <w:tc>
          <w:tcPr>
            <w:tcW w:w="16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18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441"/>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0" w:type="dxa"/>
            <w:vAlign w:val="bottom"/>
          </w:tcPr>
          <w:p>
            <w:pPr>
              <w:spacing w:after="0"/>
              <w:rPr>
                <w:sz w:val="1"/>
                <w:szCs w:val="1"/>
                <w:color w:val="auto"/>
              </w:rPr>
            </w:pPr>
          </w:p>
        </w:tc>
      </w:tr>
      <w:tr>
        <w:trPr>
          <w:trHeight w:val="115"/>
        </w:trPr>
        <w:tc>
          <w:tcPr>
            <w:tcW w:w="61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Outstanding at December 31, 2021</w:t>
            </w:r>
          </w:p>
        </w:tc>
        <w:tc>
          <w:tcPr>
            <w:tcW w:w="11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304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top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4.71 - 4.90</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top w:val="single" w:sz="8" w:color="auto"/>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ind w:right="141"/>
              <w:spacing w:after="0" w:line="115" w:lineRule="exact"/>
              <w:rPr>
                <w:sz w:val="20"/>
                <w:szCs w:val="20"/>
                <w:color w:val="auto"/>
              </w:rPr>
            </w:pPr>
            <w:r>
              <w:rPr>
                <w:rFonts w:ascii="Times New Roman" w:cs="Times New Roman" w:eastAsia="Times New Roman" w:hAnsi="Times New Roman"/>
                <w:sz w:val="12"/>
                <w:szCs w:val="12"/>
                <w:color w:val="auto"/>
              </w:rPr>
              <w:t>4.71</w:t>
            </w:r>
          </w:p>
        </w:tc>
        <w:tc>
          <w:tcPr>
            <w:tcW w:w="0" w:type="dxa"/>
            <w:vAlign w:val="bottom"/>
          </w:tcPr>
          <w:p>
            <w:pPr>
              <w:spacing w:after="0"/>
              <w:rPr>
                <w:sz w:val="1"/>
                <w:szCs w:val="1"/>
                <w:color w:val="auto"/>
              </w:rPr>
            </w:pPr>
          </w:p>
        </w:tc>
      </w:tr>
      <w:tr>
        <w:trPr>
          <w:trHeight w:val="126"/>
        </w:trPr>
        <w:tc>
          <w:tcPr>
            <w:tcW w:w="72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Granted</w:t>
            </w:r>
          </w:p>
        </w:tc>
        <w:tc>
          <w:tcPr>
            <w:tcW w:w="4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21"/>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6"/>
        </w:trPr>
        <w:tc>
          <w:tcPr>
            <w:tcW w:w="728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Exercised</w:t>
            </w:r>
          </w:p>
        </w:tc>
        <w:tc>
          <w:tcPr>
            <w:tcW w:w="4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gridSpan w:val="3"/>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jc w:val="center"/>
              <w:ind w:right="121"/>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6"/>
        </w:trPr>
        <w:tc>
          <w:tcPr>
            <w:tcW w:w="72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Canceled</w:t>
            </w:r>
          </w:p>
        </w:tc>
        <w:tc>
          <w:tcPr>
            <w:tcW w:w="400" w:type="dxa"/>
            <w:vAlign w:val="bottom"/>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21"/>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24"/>
        </w:trPr>
        <w:tc>
          <w:tcPr>
            <w:tcW w:w="61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Outstanding at March 31, 2022</w:t>
            </w:r>
          </w:p>
        </w:tc>
        <w:tc>
          <w:tcPr>
            <w:tcW w:w="1180" w:type="dxa"/>
            <w:vAlign w:val="bottom"/>
            <w:tcBorders>
              <w:top w:val="single" w:sz="8" w:color="auto"/>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304</w:t>
            </w:r>
          </w:p>
        </w:tc>
        <w:tc>
          <w:tcPr>
            <w:tcW w:w="280" w:type="dxa"/>
            <w:vAlign w:val="bottom"/>
            <w:tcBorders>
              <w:top w:val="single" w:sz="8" w:color="CCEEFF"/>
            </w:tcBorders>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tcBorders>
              <w:top w:val="single" w:sz="8" w:color="CCEEFF"/>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4.71 - 4.90</w:t>
            </w: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jc w:val="center"/>
              <w:ind w:right="141"/>
              <w:spacing w:after="0" w:line="115" w:lineRule="exact"/>
              <w:rPr>
                <w:sz w:val="20"/>
                <w:szCs w:val="20"/>
                <w:color w:val="auto"/>
              </w:rPr>
            </w:pPr>
            <w:r>
              <w:rPr>
                <w:rFonts w:ascii="Times New Roman" w:cs="Times New Roman" w:eastAsia="Times New Roman" w:hAnsi="Times New Roman"/>
                <w:sz w:val="12"/>
                <w:szCs w:val="12"/>
                <w:color w:val="auto"/>
              </w:rPr>
              <w:t>4.71</w:t>
            </w:r>
          </w:p>
        </w:tc>
        <w:tc>
          <w:tcPr>
            <w:tcW w:w="0" w:type="dxa"/>
            <w:vAlign w:val="bottom"/>
          </w:tcPr>
          <w:p>
            <w:pPr>
              <w:spacing w:after="0"/>
              <w:rPr>
                <w:sz w:val="1"/>
                <w:szCs w:val="1"/>
                <w:color w:val="auto"/>
              </w:rPr>
            </w:pPr>
          </w:p>
        </w:tc>
      </w:tr>
      <w:tr>
        <w:trPr>
          <w:trHeight w:val="277"/>
        </w:trPr>
        <w:tc>
          <w:tcPr>
            <w:tcW w:w="796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For the three months ended March 31, 2022, we recognized stock-based compensation expense of $7.5 million related to time-based and performance-based options.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w w:val="99"/>
              </w:rPr>
              <w:t>Restricted Stock Units (“RSUs”)</w:t>
            </w:r>
          </w:p>
        </w:tc>
        <w:tc>
          <w:tcPr>
            <w:tcW w:w="56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7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summarizes the time-based RSU activity for the three months ended March 31, 2022 (in thousands, except per share amounts):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jc w:val="center"/>
              <w:ind w:right="141"/>
              <w:spacing w:after="0" w:line="129" w:lineRule="exact"/>
              <w:rPr>
                <w:sz w:val="20"/>
                <w:szCs w:val="20"/>
                <w:color w:val="auto"/>
              </w:rPr>
            </w:pPr>
            <w:r>
              <w:rPr>
                <w:rFonts w:ascii="Times New Roman" w:cs="Times New Roman" w:eastAsia="Times New Roman" w:hAnsi="Times New Roman"/>
                <w:sz w:val="12"/>
                <w:szCs w:val="12"/>
                <w:b w:val="1"/>
                <w:bCs w:val="1"/>
                <w:color w:val="auto"/>
                <w:w w:val="97"/>
              </w:rPr>
              <w:t>Weighted average</w:t>
            </w:r>
          </w:p>
        </w:tc>
        <w:tc>
          <w:tcPr>
            <w:tcW w:w="0" w:type="dxa"/>
            <w:vAlign w:val="bottom"/>
          </w:tcPr>
          <w:p>
            <w:pPr>
              <w:spacing w:after="0"/>
              <w:rPr>
                <w:sz w:val="1"/>
                <w:szCs w:val="1"/>
                <w:color w:val="auto"/>
              </w:rPr>
            </w:pPr>
          </w:p>
        </w:tc>
      </w:tr>
      <w:tr>
        <w:trPr>
          <w:trHeight w:val="126"/>
        </w:trPr>
        <w:tc>
          <w:tcPr>
            <w:tcW w:w="16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41"/>
              <w:spacing w:after="0" w:line="126" w:lineRule="exact"/>
              <w:rPr>
                <w:sz w:val="20"/>
                <w:szCs w:val="20"/>
                <w:color w:val="auto"/>
              </w:rPr>
            </w:pPr>
            <w:r>
              <w:rPr>
                <w:rFonts w:ascii="Times New Roman" w:cs="Times New Roman" w:eastAsia="Times New Roman" w:hAnsi="Times New Roman"/>
                <w:sz w:val="12"/>
                <w:szCs w:val="12"/>
                <w:b w:val="1"/>
                <w:bCs w:val="1"/>
                <w:color w:val="auto"/>
              </w:rPr>
              <w:t>grant date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41"/>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15"/>
        </w:trPr>
        <w:tc>
          <w:tcPr>
            <w:tcW w:w="7280" w:type="dxa"/>
            <w:vAlign w:val="bottom"/>
            <w:tcBorders>
              <w:top w:val="single" w:sz="8" w:color="CCEEFF"/>
            </w:tcBorders>
            <w:gridSpan w:val="3"/>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Outstanding at December 31, 2021</w:t>
            </w:r>
          </w:p>
        </w:tc>
        <w:tc>
          <w:tcPr>
            <w:tcW w:w="4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7,392</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ind w:right="541"/>
              <w:spacing w:after="0" w:line="115" w:lineRule="exact"/>
              <w:rPr>
                <w:sz w:val="20"/>
                <w:szCs w:val="20"/>
                <w:color w:val="auto"/>
              </w:rPr>
            </w:pPr>
            <w:r>
              <w:rPr>
                <w:rFonts w:ascii="Times New Roman" w:cs="Times New Roman" w:eastAsia="Times New Roman" w:hAnsi="Times New Roman"/>
                <w:sz w:val="12"/>
                <w:szCs w:val="12"/>
                <w:color w:val="auto"/>
              </w:rPr>
              <w:t>19.78</w:t>
            </w:r>
          </w:p>
        </w:tc>
        <w:tc>
          <w:tcPr>
            <w:tcW w:w="0" w:type="dxa"/>
            <w:vAlign w:val="bottom"/>
          </w:tcPr>
          <w:p>
            <w:pPr>
              <w:spacing w:after="0"/>
              <w:rPr>
                <w:sz w:val="1"/>
                <w:szCs w:val="1"/>
                <w:color w:val="auto"/>
              </w:rPr>
            </w:pPr>
          </w:p>
        </w:tc>
      </w:tr>
      <w:tr>
        <w:trPr>
          <w:trHeight w:val="126"/>
        </w:trPr>
        <w:tc>
          <w:tcPr>
            <w:tcW w:w="72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Granted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3"/>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3,650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right"/>
              <w:ind w:right="541"/>
              <w:spacing w:after="0" w:line="126" w:lineRule="exact"/>
              <w:rPr>
                <w:sz w:val="20"/>
                <w:szCs w:val="20"/>
                <w:color w:val="auto"/>
              </w:rPr>
            </w:pPr>
            <w:r>
              <w:rPr>
                <w:rFonts w:ascii="Times New Roman" w:cs="Times New Roman" w:eastAsia="Times New Roman" w:hAnsi="Times New Roman"/>
                <w:sz w:val="12"/>
                <w:szCs w:val="12"/>
                <w:color w:val="auto"/>
              </w:rPr>
              <w:t>11.36</w:t>
            </w:r>
          </w:p>
        </w:tc>
        <w:tc>
          <w:tcPr>
            <w:tcW w:w="0" w:type="dxa"/>
            <w:vAlign w:val="bottom"/>
          </w:tcPr>
          <w:p>
            <w:pPr>
              <w:spacing w:after="0"/>
              <w:rPr>
                <w:sz w:val="1"/>
                <w:szCs w:val="1"/>
                <w:color w:val="auto"/>
              </w:rPr>
            </w:pPr>
          </w:p>
        </w:tc>
      </w:tr>
      <w:tr>
        <w:trPr>
          <w:trHeight w:val="126"/>
        </w:trPr>
        <w:tc>
          <w:tcPr>
            <w:tcW w:w="728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Vested</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(1,845)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80" w:type="dxa"/>
            <w:vAlign w:val="bottom"/>
            <w:shd w:val="clear" w:color="auto" w:fill="CCEEFF"/>
          </w:tcPr>
          <w:p>
            <w:pPr>
              <w:jc w:val="right"/>
              <w:ind w:right="541"/>
              <w:spacing w:after="0" w:line="126" w:lineRule="exact"/>
              <w:rPr>
                <w:sz w:val="20"/>
                <w:szCs w:val="20"/>
                <w:color w:val="auto"/>
              </w:rPr>
            </w:pPr>
            <w:r>
              <w:rPr>
                <w:rFonts w:ascii="Times New Roman" w:cs="Times New Roman" w:eastAsia="Times New Roman" w:hAnsi="Times New Roman"/>
                <w:sz w:val="12"/>
                <w:szCs w:val="12"/>
                <w:color w:val="auto"/>
              </w:rPr>
              <w:t>14.69</w:t>
            </w:r>
          </w:p>
        </w:tc>
        <w:tc>
          <w:tcPr>
            <w:tcW w:w="0" w:type="dxa"/>
            <w:vAlign w:val="bottom"/>
          </w:tcPr>
          <w:p>
            <w:pPr>
              <w:spacing w:after="0"/>
              <w:rPr>
                <w:sz w:val="1"/>
                <w:szCs w:val="1"/>
                <w:color w:val="auto"/>
              </w:rPr>
            </w:pPr>
          </w:p>
        </w:tc>
      </w:tr>
      <w:tr>
        <w:trPr>
          <w:trHeight w:val="126"/>
        </w:trPr>
        <w:tc>
          <w:tcPr>
            <w:tcW w:w="728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Forfeited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3"/>
          </w:tcPr>
          <w:p>
            <w:pPr>
              <w:jc w:val="right"/>
              <w:ind w:right="80"/>
              <w:spacing w:after="0" w:line="126" w:lineRule="exact"/>
              <w:rPr>
                <w:sz w:val="20"/>
                <w:szCs w:val="20"/>
                <w:color w:val="auto"/>
              </w:rPr>
            </w:pPr>
            <w:r>
              <w:rPr>
                <w:rFonts w:ascii="Times New Roman" w:cs="Times New Roman" w:eastAsia="Times New Roman" w:hAnsi="Times New Roman"/>
                <w:sz w:val="12"/>
                <w:szCs w:val="12"/>
                <w:color w:val="auto"/>
              </w:rPr>
              <w:t>(322)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right"/>
              <w:ind w:right="541"/>
              <w:spacing w:after="0" w:line="126" w:lineRule="exact"/>
              <w:rPr>
                <w:sz w:val="20"/>
                <w:szCs w:val="20"/>
                <w:color w:val="auto"/>
              </w:rPr>
            </w:pPr>
            <w:r>
              <w:rPr>
                <w:rFonts w:ascii="Times New Roman" w:cs="Times New Roman" w:eastAsia="Times New Roman" w:hAnsi="Times New Roman"/>
                <w:sz w:val="12"/>
                <w:szCs w:val="12"/>
                <w:color w:val="auto"/>
              </w:rPr>
              <w:t>22.50</w:t>
            </w:r>
          </w:p>
        </w:tc>
        <w:tc>
          <w:tcPr>
            <w:tcW w:w="0" w:type="dxa"/>
            <w:vAlign w:val="bottom"/>
          </w:tcPr>
          <w:p>
            <w:pPr>
              <w:spacing w:after="0"/>
              <w:rPr>
                <w:sz w:val="1"/>
                <w:szCs w:val="1"/>
                <w:color w:val="auto"/>
              </w:rPr>
            </w:pPr>
          </w:p>
        </w:tc>
      </w:tr>
      <w:tr>
        <w:trPr>
          <w:trHeight w:val="122"/>
        </w:trPr>
        <w:tc>
          <w:tcPr>
            <w:tcW w:w="7280" w:type="dxa"/>
            <w:vAlign w:val="bottom"/>
            <w:tcBorders>
              <w:top w:val="single" w:sz="8" w:color="CCEEFF"/>
              <w:bottom w:val="single" w:sz="8" w:color="CCEEFF"/>
            </w:tcBorders>
            <w:gridSpan w:val="3"/>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Outstanding at March 31, 2022</w:t>
            </w:r>
          </w:p>
        </w:tc>
        <w:tc>
          <w:tcPr>
            <w:tcW w:w="40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460" w:type="dxa"/>
            <w:vAlign w:val="bottom"/>
            <w:tcBorders>
              <w:top w:val="single" w:sz="8" w:color="auto"/>
              <w:bottom w:val="single" w:sz="8" w:color="auto"/>
            </w:tcBorders>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8,875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gridSpan w:val="2"/>
            <w:shd w:val="clear" w:color="auto" w:fill="CCEEFF"/>
          </w:tcPr>
          <w:p>
            <w:pPr>
              <w:jc w:val="right"/>
              <w:ind w:right="8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Borders>
              <w:top w:val="single" w:sz="8" w:color="CCEEFF"/>
              <w:bottom w:val="single" w:sz="8" w:color="CCEEFF"/>
            </w:tcBorders>
            <w:shd w:val="clear" w:color="auto" w:fill="CCEEFF"/>
          </w:tcPr>
          <w:p>
            <w:pPr>
              <w:jc w:val="right"/>
              <w:ind w:right="541"/>
              <w:spacing w:after="0" w:line="115" w:lineRule="exact"/>
              <w:rPr>
                <w:sz w:val="20"/>
                <w:szCs w:val="20"/>
                <w:color w:val="auto"/>
              </w:rPr>
            </w:pPr>
            <w:r>
              <w:rPr>
                <w:rFonts w:ascii="Times New Roman" w:cs="Times New Roman" w:eastAsia="Times New Roman" w:hAnsi="Times New Roman"/>
                <w:sz w:val="12"/>
                <w:szCs w:val="12"/>
                <w:color w:val="auto"/>
              </w:rPr>
              <w:t>17.28</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three months ended March 31, 2022, we recognized stock-based compensation expense of $11.9 million related to restricted stock units.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Employee Stock Purchase Plan (“ESPP”)</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Shares issued under our ESPP were 1,316,923 and 983,180 during the three months ended March 31, 2022 and 2021, respectively. In February 2022, an additional 4.0 million shares were reserved under the ESPP. As of March 31, 2022, 10,493,750 shares of our common stock remain available for issuance under our ESPP.</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three months ended March 31, 2022, we recognized stock-based compensation expense of $3.3 million related to our ESPP.</w:t>
      </w:r>
    </w:p>
    <w:p>
      <w:pPr>
        <w:ind w:left="558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8"/>
        </w:trPr>
        <w:tc>
          <w:tcPr>
            <w:tcW w:w="798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94"/>
        </w:trPr>
        <w:tc>
          <w:tcPr>
            <w:tcW w:w="7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340" w:type="dxa"/>
            <w:vAlign w:val="bottom"/>
            <w:gridSpan w:val="2"/>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86"/>
        </w:trPr>
        <w:tc>
          <w:tcPr>
            <w:tcW w:w="7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summarizes stock-based compensation expense (in thousands):</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8"/>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r>
      <w:tr>
        <w:trPr>
          <w:trHeight w:val="169"/>
        </w:trPr>
        <w:tc>
          <w:tcPr>
            <w:tcW w:w="8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2021</w:t>
            </w:r>
          </w:p>
        </w:tc>
        <w:tc>
          <w:tcPr>
            <w:tcW w:w="500" w:type="dxa"/>
            <w:vAlign w:val="bottom"/>
            <w:tcBorders>
              <w:bottom w:val="single" w:sz="8" w:color="auto"/>
            </w:tcBorders>
          </w:tcPr>
          <w:p>
            <w:pPr>
              <w:spacing w:after="0"/>
              <w:rPr>
                <w:sz w:val="14"/>
                <w:szCs w:val="14"/>
                <w:color w:val="auto"/>
              </w:rPr>
            </w:pPr>
          </w:p>
        </w:tc>
      </w:tr>
      <w:tr>
        <w:trPr>
          <w:trHeight w:val="178"/>
        </w:trPr>
        <w:tc>
          <w:tcPr>
            <w:tcW w:w="7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Cost of revenue</w:t>
            </w:r>
          </w:p>
        </w:tc>
        <w:tc>
          <w:tcPr>
            <w:tcW w:w="106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1,758</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992</w:t>
            </w:r>
          </w:p>
        </w:tc>
      </w:tr>
      <w:tr>
        <w:trPr>
          <w:trHeight w:val="189"/>
        </w:trPr>
        <w:tc>
          <w:tcPr>
            <w:tcW w:w="79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6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8,965</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3,048</w:t>
            </w:r>
          </w:p>
        </w:tc>
      </w:tr>
      <w:tr>
        <w:trPr>
          <w:trHeight w:val="189"/>
        </w:trPr>
        <w:tc>
          <w:tcPr>
            <w:tcW w:w="79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Sales, general and administrative</w:t>
            </w:r>
          </w:p>
        </w:tc>
        <w:tc>
          <w:tcPr>
            <w:tcW w:w="10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11,980</w:t>
            </w:r>
          </w:p>
        </w:tc>
        <w:tc>
          <w:tcPr>
            <w:tcW w:w="2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6,125</w:t>
            </w:r>
          </w:p>
        </w:tc>
      </w:tr>
      <w:tr>
        <w:trPr>
          <w:trHeight w:val="167"/>
        </w:trPr>
        <w:tc>
          <w:tcPr>
            <w:tcW w:w="7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106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22,703</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10,165</w:t>
            </w:r>
          </w:p>
        </w:tc>
      </w:tr>
    </w:tbl>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Determining Fair Value</w:t>
      </w:r>
    </w:p>
    <w:p>
      <w:pPr>
        <w:spacing w:after="0" w:line="5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estimate the fair value of stock options granted using the Black-Scholes valuation method and a single option award approach. This fair value is then amortized on a straight-line basis over the requisite service periods of the awards, which is generally the vesting period. The fair market value of RSUs granted is the closing price of our shares on the date of grant and is generally recognized as compensation expense on a straight-line basis over the respective vesting period. For shares purchased under our ESPP, we estimate the grant-date fair value, and the resulting stock-based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36" w:lineRule="exact"/>
        <w:rPr>
          <w:sz w:val="20"/>
          <w:szCs w:val="20"/>
          <w:color w:val="auto"/>
        </w:rPr>
      </w:pPr>
    </w:p>
    <w:p>
      <w:pPr>
        <w:ind w:left="420" w:right="20"/>
        <w:spacing w:after="0" w:line="264" w:lineRule="auto"/>
        <w:rPr>
          <w:sz w:val="20"/>
          <w:szCs w:val="20"/>
          <w:color w:val="auto"/>
        </w:rPr>
      </w:pPr>
      <w:r>
        <w:rPr>
          <w:rFonts w:ascii="Times New Roman" w:cs="Times New Roman" w:eastAsia="Times New Roman" w:hAnsi="Times New Roman"/>
          <w:sz w:val="12"/>
          <w:szCs w:val="12"/>
          <w:color w:val="auto"/>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spacing w:after="0" w:line="20" w:lineRule="exact"/>
        <w:rPr>
          <w:sz w:val="20"/>
          <w:szCs w:val="20"/>
          <w:color w:val="auto"/>
        </w:rPr>
      </w:pPr>
    </w:p>
    <w:p>
      <w:pPr>
        <w:ind w:left="420" w:right="2440"/>
        <w:spacing w:after="0" w:line="328" w:lineRule="auto"/>
        <w:rPr>
          <w:sz w:val="20"/>
          <w:szCs w:val="20"/>
          <w:color w:val="auto"/>
        </w:rPr>
      </w:pPr>
      <w:r>
        <w:rPr>
          <w:rFonts w:ascii="Times New Roman" w:cs="Times New Roman" w:eastAsia="Times New Roman" w:hAnsi="Times New Roman"/>
          <w:sz w:val="12"/>
          <w:szCs w:val="12"/>
          <w:color w:val="auto"/>
        </w:rPr>
        <w:t>Expected Volatility - The expected volatility used in the Black-Scholes valuation method is derived from the implied volatility related to our share price over the expected term. Expected Dividend - We have never paid dividends on our shares and, accordingly, the dividend yield percentage is zero for all periods.</w:t>
      </w:r>
    </w:p>
    <w:p>
      <w:pPr>
        <w:ind w:left="200"/>
        <w:spacing w:after="0"/>
        <w:rPr>
          <w:sz w:val="20"/>
          <w:szCs w:val="20"/>
          <w:color w:val="auto"/>
        </w:rPr>
      </w:pPr>
      <w:r>
        <w:rPr>
          <w:rFonts w:ascii="Times New Roman" w:cs="Times New Roman" w:eastAsia="Times New Roman" w:hAnsi="Times New Roman"/>
          <w:sz w:val="12"/>
          <w:szCs w:val="12"/>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Stock Options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estimated the fair value of employee stock options using the Black-Scholes option pricing model. The fair value of employee stock options is being amortized on a straight-line basis over the requisite service period of the awards.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When determining the current share prices underlying the stock options for calculating the grant-date fair value, we reference the observable market prices of our stock.</w:t>
      </w:r>
    </w:p>
    <w:p>
      <w:pPr>
        <w:ind w:left="558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38"/>
        </w:trPr>
        <w:tc>
          <w:tcPr>
            <w:tcW w:w="81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21"/>
        </w:trPr>
        <w:tc>
          <w:tcPr>
            <w:tcW w:w="8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 three months ended March 31, 2022 and 2021, the fair value of employee stock options was estimated using the following weighted average assumptions: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9"/>
        </w:trPr>
        <w:tc>
          <w:tcPr>
            <w:tcW w:w="8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24"/>
        </w:trPr>
        <w:tc>
          <w:tcPr>
            <w:tcW w:w="840" w:type="dxa"/>
            <w:vAlign w:val="bottom"/>
            <w:tcBorders>
              <w:bottom w:val="single" w:sz="8" w:color="CCEEFF"/>
            </w:tcBorders>
          </w:tcPr>
          <w:p>
            <w:pPr>
              <w:spacing w:after="0"/>
              <w:rPr>
                <w:sz w:val="10"/>
                <w:szCs w:val="10"/>
                <w:color w:val="auto"/>
              </w:rPr>
            </w:pPr>
          </w:p>
        </w:tc>
        <w:tc>
          <w:tcPr>
            <w:tcW w:w="72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00"/>
              <w:spacing w:after="0" w:line="124"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00"/>
              <w:spacing w:after="0" w:line="124"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124"/>
        </w:trPr>
        <w:tc>
          <w:tcPr>
            <w:tcW w:w="81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Expected term in years</w:t>
            </w: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ind w:left="420"/>
              <w:spacing w:after="0" w:line="124" w:lineRule="exact"/>
              <w:rPr>
                <w:sz w:val="20"/>
                <w:szCs w:val="20"/>
                <w:color w:val="auto"/>
              </w:rPr>
            </w:pPr>
            <w:r>
              <w:rPr>
                <w:rFonts w:ascii="Times New Roman" w:cs="Times New Roman" w:eastAsia="Times New Roman" w:hAnsi="Times New Roman"/>
                <w:sz w:val="12"/>
                <w:szCs w:val="12"/>
                <w:color w:val="auto"/>
              </w:rPr>
              <w:t>4.6</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jc w:val="center"/>
              <w:ind w:right="200"/>
              <w:spacing w:after="0" w:line="124" w:lineRule="exact"/>
              <w:rPr>
                <w:sz w:val="20"/>
                <w:szCs w:val="20"/>
                <w:color w:val="auto"/>
              </w:rPr>
            </w:pPr>
            <w:r>
              <w:rPr>
                <w:rFonts w:ascii="Times New Roman" w:cs="Times New Roman" w:eastAsia="Times New Roman" w:hAnsi="Times New Roman"/>
                <w:sz w:val="12"/>
                <w:szCs w:val="12"/>
                <w:color w:val="auto"/>
              </w:rPr>
              <w:t>4.6</w:t>
            </w:r>
          </w:p>
        </w:tc>
      </w:tr>
      <w:tr>
        <w:trPr>
          <w:trHeight w:val="135"/>
        </w:trPr>
        <w:tc>
          <w:tcPr>
            <w:tcW w:w="81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Expected volatility</w:t>
            </w:r>
          </w:p>
        </w:tc>
        <w:tc>
          <w:tcPr>
            <w:tcW w:w="340" w:type="dxa"/>
            <w:vAlign w:val="bottom"/>
          </w:tcPr>
          <w:p>
            <w:pPr>
              <w:spacing w:after="0"/>
              <w:rPr>
                <w:sz w:val="11"/>
                <w:szCs w:val="11"/>
                <w:color w:val="auto"/>
              </w:rPr>
            </w:pPr>
          </w:p>
        </w:tc>
        <w:tc>
          <w:tcPr>
            <w:tcW w:w="120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2"/>
                <w:szCs w:val="12"/>
                <w:color w:val="auto"/>
                <w:w w:val="99"/>
              </w:rPr>
              <w:t>70%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center"/>
              <w:ind w:right="220"/>
              <w:spacing w:after="0" w:line="135" w:lineRule="exact"/>
              <w:rPr>
                <w:sz w:val="20"/>
                <w:szCs w:val="20"/>
                <w:color w:val="auto"/>
              </w:rPr>
            </w:pPr>
            <w:r>
              <w:rPr>
                <w:rFonts w:ascii="Times New Roman" w:cs="Times New Roman" w:eastAsia="Times New Roman" w:hAnsi="Times New Roman"/>
                <w:sz w:val="12"/>
                <w:szCs w:val="12"/>
                <w:color w:val="auto"/>
                <w:w w:val="99"/>
              </w:rPr>
              <w:t>68%</w:t>
            </w:r>
          </w:p>
        </w:tc>
      </w:tr>
      <w:tr>
        <w:trPr>
          <w:trHeight w:val="135"/>
        </w:trPr>
        <w:tc>
          <w:tcPr>
            <w:tcW w:w="8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Risk-free interest rate</w:t>
            </w: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2"/>
                <w:szCs w:val="12"/>
                <w:color w:val="auto"/>
              </w:rPr>
              <w:t>1.76%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2"/>
                <w:szCs w:val="12"/>
                <w:color w:val="auto"/>
              </w:rPr>
              <w:t>0.50%</w:t>
            </w:r>
          </w:p>
        </w:tc>
      </w:tr>
      <w:tr>
        <w:trPr>
          <w:trHeight w:val="135"/>
        </w:trPr>
        <w:tc>
          <w:tcPr>
            <w:tcW w:w="81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Dividend yield</w:t>
            </w:r>
          </w:p>
        </w:tc>
        <w:tc>
          <w:tcPr>
            <w:tcW w:w="3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Pr>
          <w:p>
            <w:pPr>
              <w:spacing w:after="0"/>
              <w:rPr>
                <w:sz w:val="11"/>
                <w:szCs w:val="11"/>
                <w:color w:val="auto"/>
              </w:rPr>
            </w:pPr>
          </w:p>
        </w:tc>
        <w:tc>
          <w:tcPr>
            <w:tcW w:w="1180" w:type="dxa"/>
            <w:vAlign w:val="bottom"/>
          </w:tcPr>
          <w:p>
            <w:pPr>
              <w:jc w:val="center"/>
              <w:ind w:right="200"/>
              <w:spacing w:after="0" w:line="135" w:lineRule="exact"/>
              <w:rPr>
                <w:sz w:val="20"/>
                <w:szCs w:val="20"/>
                <w:color w:val="auto"/>
              </w:rPr>
            </w:pPr>
            <w:r>
              <w:rPr>
                <w:rFonts w:ascii="Times New Roman" w:cs="Times New Roman" w:eastAsia="Times New Roman" w:hAnsi="Times New Roman"/>
                <w:sz w:val="12"/>
                <w:szCs w:val="12"/>
                <w:color w:val="auto"/>
                <w:w w:val="99"/>
              </w:rPr>
              <w:t>—</w:t>
            </w:r>
          </w:p>
        </w:tc>
      </w:tr>
      <w:tr>
        <w:trPr>
          <w:trHeight w:val="135"/>
        </w:trPr>
        <w:tc>
          <w:tcPr>
            <w:tcW w:w="8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Weighted average grant date fair value per share</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center"/>
              <w:ind w:right="180"/>
              <w:spacing w:after="0" w:line="135" w:lineRule="exact"/>
              <w:rPr>
                <w:sz w:val="20"/>
                <w:szCs w:val="20"/>
                <w:color w:val="auto"/>
              </w:rPr>
            </w:pPr>
            <w:r>
              <w:rPr>
                <w:rFonts w:ascii="Times New Roman" w:cs="Times New Roman" w:eastAsia="Times New Roman" w:hAnsi="Times New Roman"/>
                <w:sz w:val="12"/>
                <w:szCs w:val="12"/>
                <w:color w:val="auto"/>
                <w:w w:val="95"/>
              </w:rPr>
              <w:t>6.66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2"/>
                <w:szCs w:val="12"/>
                <w:color w:val="auto"/>
              </w:rPr>
              <w:t>20.21</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ESPP</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We estimate the fair value of shares to be issued under the ESPP using the Black-Scholes option pricing model. For three months ended March 31, 2022 and 2021, the fair value of shares to be issued under the ESPP was estimated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15"/>
        </w:trPr>
        <w:tc>
          <w:tcPr>
            <w:tcW w:w="8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115"/>
        </w:trPr>
        <w:tc>
          <w:tcPr>
            <w:tcW w:w="81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Expected term in years</w:t>
            </w: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9"/>
              </w:rPr>
              <w:t>0.5 - 2.0</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jc w:val="center"/>
              <w:ind w:right="100"/>
              <w:spacing w:after="0" w:line="115" w:lineRule="exact"/>
              <w:rPr>
                <w:sz w:val="20"/>
                <w:szCs w:val="20"/>
                <w:color w:val="auto"/>
              </w:rPr>
            </w:pPr>
            <w:r>
              <w:rPr>
                <w:rFonts w:ascii="Times New Roman" w:cs="Times New Roman" w:eastAsia="Times New Roman" w:hAnsi="Times New Roman"/>
                <w:sz w:val="12"/>
                <w:szCs w:val="12"/>
                <w:color w:val="auto"/>
                <w:w w:val="99"/>
              </w:rPr>
              <w:t>0.5 - 2.0</w:t>
            </w:r>
          </w:p>
        </w:tc>
      </w:tr>
      <w:tr>
        <w:trPr>
          <w:trHeight w:val="126"/>
        </w:trPr>
        <w:tc>
          <w:tcPr>
            <w:tcW w:w="81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Expected volatility</w:t>
            </w:r>
          </w:p>
        </w:tc>
        <w:tc>
          <w:tcPr>
            <w:tcW w:w="260" w:type="dxa"/>
            <w:vAlign w:val="bottom"/>
          </w:tcPr>
          <w:p>
            <w:pPr>
              <w:spacing w:after="0"/>
              <w:rPr>
                <w:sz w:val="10"/>
                <w:szCs w:val="10"/>
                <w:color w:val="auto"/>
              </w:rPr>
            </w:pPr>
          </w:p>
        </w:tc>
        <w:tc>
          <w:tcPr>
            <w:tcW w:w="1280" w:type="dxa"/>
            <w:vAlign w:val="bottom"/>
          </w:tcPr>
          <w:p>
            <w:pPr>
              <w:jc w:val="center"/>
              <w:ind w:right="80"/>
              <w:spacing w:after="0" w:line="126" w:lineRule="exact"/>
              <w:rPr>
                <w:sz w:val="20"/>
                <w:szCs w:val="20"/>
                <w:color w:val="auto"/>
              </w:rPr>
            </w:pPr>
            <w:r>
              <w:rPr>
                <w:rFonts w:ascii="Times New Roman" w:cs="Times New Roman" w:eastAsia="Times New Roman" w:hAnsi="Times New Roman"/>
                <w:sz w:val="12"/>
                <w:szCs w:val="12"/>
                <w:color w:val="auto"/>
                <w:w w:val="99"/>
              </w:rPr>
              <w:t>70%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center"/>
              <w:ind w:right="120"/>
              <w:spacing w:after="0" w:line="126" w:lineRule="exact"/>
              <w:rPr>
                <w:sz w:val="20"/>
                <w:szCs w:val="20"/>
                <w:color w:val="auto"/>
              </w:rPr>
            </w:pPr>
            <w:r>
              <w:rPr>
                <w:rFonts w:ascii="Times New Roman" w:cs="Times New Roman" w:eastAsia="Times New Roman" w:hAnsi="Times New Roman"/>
                <w:sz w:val="12"/>
                <w:szCs w:val="12"/>
                <w:color w:val="auto"/>
                <w:w w:val="99"/>
              </w:rPr>
              <w:t>68%</w:t>
            </w:r>
          </w:p>
        </w:tc>
      </w:tr>
      <w:tr>
        <w:trPr>
          <w:trHeight w:val="126"/>
        </w:trPr>
        <w:tc>
          <w:tcPr>
            <w:tcW w:w="8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Risk-free interest rate</w:t>
            </w: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2"/>
                <w:szCs w:val="12"/>
                <w:color w:val="auto"/>
                <w:w w:val="99"/>
              </w:rPr>
              <w:t>0.60% - 1.31%</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2"/>
                <w:szCs w:val="12"/>
                <w:color w:val="auto"/>
                <w:w w:val="99"/>
              </w:rPr>
              <w:t>0.07% - 0.13%</w:t>
            </w:r>
          </w:p>
        </w:tc>
      </w:tr>
      <w:tr>
        <w:trPr>
          <w:trHeight w:val="126"/>
        </w:trPr>
        <w:tc>
          <w:tcPr>
            <w:tcW w:w="81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Dividend yield</w:t>
            </w:r>
          </w:p>
        </w:tc>
        <w:tc>
          <w:tcPr>
            <w:tcW w:w="260" w:type="dxa"/>
            <w:vAlign w:val="bottom"/>
          </w:tcPr>
          <w:p>
            <w:pPr>
              <w:spacing w:after="0"/>
              <w:rPr>
                <w:sz w:val="10"/>
                <w:szCs w:val="10"/>
                <w:color w:val="auto"/>
              </w:rPr>
            </w:pPr>
          </w:p>
        </w:tc>
        <w:tc>
          <w:tcPr>
            <w:tcW w:w="13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spacing w:after="0"/>
              <w:rPr>
                <w:sz w:val="10"/>
                <w:szCs w:val="10"/>
                <w:color w:val="auto"/>
              </w:rPr>
            </w:pPr>
          </w:p>
        </w:tc>
        <w:tc>
          <w:tcPr>
            <w:tcW w:w="1280" w:type="dxa"/>
            <w:vAlign w:val="bottom"/>
          </w:tcPr>
          <w:p>
            <w:pPr>
              <w:jc w:val="right"/>
              <w:ind w:right="640"/>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8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Weighted average grant date fair value per share</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540"/>
              <w:spacing w:after="0" w:line="126" w:lineRule="exact"/>
              <w:rPr>
                <w:sz w:val="20"/>
                <w:szCs w:val="20"/>
                <w:color w:val="auto"/>
              </w:rPr>
            </w:pPr>
            <w:r>
              <w:rPr>
                <w:rFonts w:ascii="Times New Roman" w:cs="Times New Roman" w:eastAsia="Times New Roman" w:hAnsi="Times New Roman"/>
                <w:sz w:val="12"/>
                <w:szCs w:val="12"/>
                <w:color w:val="auto"/>
              </w:rPr>
              <w:t>5.42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520"/>
              <w:spacing w:after="0" w:line="126" w:lineRule="exact"/>
              <w:rPr>
                <w:sz w:val="20"/>
                <w:szCs w:val="20"/>
                <w:color w:val="auto"/>
              </w:rPr>
            </w:pPr>
            <w:r>
              <w:rPr>
                <w:rFonts w:ascii="Times New Roman" w:cs="Times New Roman" w:eastAsia="Times New Roman" w:hAnsi="Times New Roman"/>
                <w:sz w:val="12"/>
                <w:szCs w:val="12"/>
                <w:color w:val="auto"/>
              </w:rPr>
              <w:t>29.26</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NET LOSS PER SHARE</w:t>
      </w:r>
    </w:p>
    <w:p>
      <w:pPr>
        <w:spacing w:after="0" w:line="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Basic net loss per share is computed by dividing net loss by the weighted average number of shares of common stock outstanding during the period. Diluted net loss per share is computed using the weighted average number of shares of common stock outstanding and potential shares assuming the dilutive effect of the convertible senior notes, using the if-converted method, and outstanding stock options, restricted stock units and common stock issuable pursuant to our employee stock purchase plan, or ESPP, using the treasury stock method.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calculation of the basic and diluted net loss per share amounts presented in the Condensed Consolidated Statements of Operations and Comprehensive Loss (in thousands,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8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Numerator:</w:t>
            </w:r>
          </w:p>
        </w:tc>
        <w:tc>
          <w:tcPr>
            <w:tcW w:w="1020" w:type="dxa"/>
            <w:vAlign w:val="bottom"/>
            <w:tcBorders>
              <w:bottom w:val="single" w:sz="8" w:color="auto"/>
            </w:tcBorders>
          </w:tcPr>
          <w:p>
            <w:pPr>
              <w:jc w:val="right"/>
              <w:ind w:right="61"/>
              <w:spacing w:after="0" w:line="124" w:lineRule="exact"/>
              <w:rPr>
                <w:sz w:val="20"/>
                <w:szCs w:val="20"/>
                <w:color w:val="auto"/>
              </w:rPr>
            </w:pPr>
            <w:r>
              <w:rPr>
                <w:rFonts w:ascii="Times New Roman" w:cs="Times New Roman" w:eastAsia="Times New Roman" w:hAnsi="Times New Roman"/>
                <w:sz w:val="12"/>
                <w:szCs w:val="12"/>
                <w:b w:val="1"/>
                <w:bCs w:val="1"/>
                <w:color w:val="auto"/>
              </w:rPr>
              <w:t>2022</w:t>
            </w: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bottom w:val="single" w:sz="8" w:color="auto"/>
            </w:tcBorders>
          </w:tcPr>
          <w:p>
            <w:pPr>
              <w:jc w:val="right"/>
              <w:ind w:right="65"/>
              <w:spacing w:after="0" w:line="124" w:lineRule="exact"/>
              <w:rPr>
                <w:sz w:val="20"/>
                <w:szCs w:val="20"/>
                <w:color w:val="auto"/>
              </w:rPr>
            </w:pPr>
            <w:r>
              <w:rPr>
                <w:rFonts w:ascii="Times New Roman" w:cs="Times New Roman" w:eastAsia="Times New Roman" w:hAnsi="Times New Roman"/>
                <w:sz w:val="12"/>
                <w:szCs w:val="12"/>
                <w:b w:val="1"/>
                <w:bCs w:val="1"/>
                <w:color w:val="auto"/>
              </w:rPr>
              <w:t>2021</w:t>
            </w: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(81,499)</w:t>
            </w:r>
          </w:p>
        </w:tc>
        <w:tc>
          <w:tcPr>
            <w:tcW w:w="100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(87,435)</w:t>
            </w:r>
          </w:p>
        </w:tc>
        <w:tc>
          <w:tcPr>
            <w:tcW w:w="0" w:type="dxa"/>
            <w:vAlign w:val="bottom"/>
          </w:tcPr>
          <w:p>
            <w:pPr>
              <w:spacing w:after="0"/>
              <w:rPr>
                <w:sz w:val="1"/>
                <w:szCs w:val="1"/>
                <w:color w:val="auto"/>
              </w:rPr>
            </w:pPr>
          </w:p>
        </w:tc>
      </w:tr>
      <w:tr>
        <w:trPr>
          <w:trHeight w:val="135"/>
        </w:trPr>
        <w:tc>
          <w:tcPr>
            <w:tcW w:w="8040" w:type="dxa"/>
            <w:vAlign w:val="bottom"/>
            <w:tcBorders>
              <w:top w:val="single" w:sz="8" w:color="CCEEFF"/>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Denominator:</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Basic</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Weighted average shares used in computing basic net loss</w:t>
            </w:r>
          </w:p>
        </w:tc>
        <w:tc>
          <w:tcPr>
            <w:tcW w:w="10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222,289</w:t>
            </w:r>
          </w:p>
        </w:tc>
        <w:tc>
          <w:tcPr>
            <w:tcW w:w="1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194,790</w:t>
            </w:r>
          </w:p>
        </w:tc>
        <w:tc>
          <w:tcPr>
            <w:tcW w:w="0" w:type="dxa"/>
            <w:vAlign w:val="bottom"/>
          </w:tcPr>
          <w:p>
            <w:pPr>
              <w:spacing w:after="0"/>
              <w:rPr>
                <w:sz w:val="1"/>
                <w:szCs w:val="1"/>
                <w:color w:val="auto"/>
              </w:rPr>
            </w:pPr>
          </w:p>
        </w:tc>
      </w:tr>
      <w:tr>
        <w:trPr>
          <w:trHeight w:val="129"/>
        </w:trPr>
        <w:tc>
          <w:tcPr>
            <w:tcW w:w="8040" w:type="dxa"/>
            <w:vAlign w:val="bottom"/>
            <w:tcBorders>
              <w:bottom w:val="single" w:sz="8" w:color="CCEEFF"/>
            </w:tcBorders>
          </w:tcPr>
          <w:p>
            <w:pPr>
              <w:spacing w:after="0" w:line="122" w:lineRule="exact"/>
              <w:rPr>
                <w:sz w:val="20"/>
                <w:szCs w:val="20"/>
                <w:color w:val="auto"/>
              </w:rPr>
            </w:pPr>
            <w:r>
              <w:rPr>
                <w:rFonts w:ascii="Times New Roman" w:cs="Times New Roman" w:eastAsia="Times New Roman" w:hAnsi="Times New Roman"/>
                <w:sz w:val="12"/>
                <w:szCs w:val="12"/>
                <w:color w:val="auto"/>
              </w:rPr>
              <w:t>Basic net loss per share</w:t>
            </w:r>
          </w:p>
        </w:tc>
        <w:tc>
          <w:tcPr>
            <w:tcW w:w="1020" w:type="dxa"/>
            <w:vAlign w:val="bottom"/>
            <w:tcBorders>
              <w:bottom w:val="single" w:sz="8" w:color="auto"/>
            </w:tcBorders>
          </w:tcPr>
          <w:p>
            <w:pPr>
              <w:jc w:val="right"/>
              <w:ind w:right="881"/>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(0.37)</w:t>
            </w:r>
          </w:p>
        </w:tc>
        <w:tc>
          <w:tcPr>
            <w:tcW w:w="1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885"/>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(0.45)</w:t>
            </w:r>
          </w:p>
        </w:tc>
        <w:tc>
          <w:tcPr>
            <w:tcW w:w="0" w:type="dxa"/>
            <w:vAlign w:val="bottom"/>
          </w:tcPr>
          <w:p>
            <w:pPr>
              <w:spacing w:after="0"/>
              <w:rPr>
                <w:sz w:val="1"/>
                <w:szCs w:val="1"/>
                <w:color w:val="auto"/>
              </w:rPr>
            </w:pPr>
          </w:p>
        </w:tc>
      </w:tr>
      <w:tr>
        <w:trPr>
          <w:trHeight w:val="135"/>
        </w:trPr>
        <w:tc>
          <w:tcPr>
            <w:tcW w:w="8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Diluted</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040" w:type="dxa"/>
            <w:vAlign w:val="bottom"/>
            <w:tcBorders>
              <w:bottom w:val="single" w:sz="8" w:color="CCEEFF"/>
            </w:tcBorders>
          </w:tcPr>
          <w:p>
            <w:pPr>
              <w:ind w:left="140"/>
              <w:spacing w:after="0" w:line="135" w:lineRule="exact"/>
              <w:rPr>
                <w:sz w:val="20"/>
                <w:szCs w:val="20"/>
                <w:color w:val="auto"/>
              </w:rPr>
            </w:pPr>
            <w:r>
              <w:rPr>
                <w:rFonts w:ascii="Times New Roman" w:cs="Times New Roman" w:eastAsia="Times New Roman" w:hAnsi="Times New Roman"/>
                <w:sz w:val="12"/>
                <w:szCs w:val="12"/>
                <w:color w:val="auto"/>
              </w:rPr>
              <w:t>Weighted average shares used in computing diluted net loss per share</w:t>
            </w: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222,289</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194,790</w:t>
            </w:r>
          </w:p>
        </w:tc>
        <w:tc>
          <w:tcPr>
            <w:tcW w:w="0" w:type="dxa"/>
            <w:vAlign w:val="bottom"/>
          </w:tcPr>
          <w:p>
            <w:pPr>
              <w:spacing w:after="0"/>
              <w:rPr>
                <w:sz w:val="1"/>
                <w:szCs w:val="1"/>
                <w:color w:val="auto"/>
              </w:rPr>
            </w:pPr>
          </w:p>
        </w:tc>
      </w:tr>
      <w:tr>
        <w:trPr>
          <w:trHeight w:val="142"/>
        </w:trPr>
        <w:tc>
          <w:tcPr>
            <w:tcW w:w="804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Diluted net loss per share</w:t>
            </w:r>
          </w:p>
        </w:tc>
        <w:tc>
          <w:tcPr>
            <w:tcW w:w="1020" w:type="dxa"/>
            <w:vAlign w:val="bottom"/>
            <w:tcBorders>
              <w:bottom w:val="single" w:sz="8" w:color="auto"/>
            </w:tcBorders>
            <w:shd w:val="clear" w:color="auto" w:fill="CCEEFF"/>
          </w:tcPr>
          <w:p>
            <w:pPr>
              <w:jc w:val="right"/>
              <w:ind w:right="881"/>
              <w:spacing w:after="0" w:line="135"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(0.37)</w:t>
            </w: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(0.45)</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 xml:space="preserve">The following outstanding shares issuable upon conversion of the convertible senior notes, common stock options, restricted stock units (“RSUs”), with time-based vesting and performance-based vesting and ESPP shares expected to be purchased, were excluded from the computation of diluted net loss per share for the periods presented because including them would have had an anti-dilutive effect. See </w:t>
      </w:r>
      <w:r>
        <w:rPr>
          <w:rFonts w:ascii="Times New Roman" w:cs="Times New Roman" w:eastAsia="Times New Roman" w:hAnsi="Times New Roman"/>
          <w:sz w:val="12"/>
          <w:szCs w:val="12"/>
          <w:i w:val="1"/>
          <w:iCs w:val="1"/>
          <w:u w:val="single" w:color="auto"/>
          <w:color w:val="0000FF"/>
        </w:rPr>
        <w:t>Note 9. Stockholders’ Equity</w:t>
      </w:r>
      <w:r>
        <w:rPr>
          <w:rFonts w:ascii="Times New Roman" w:cs="Times New Roman" w:eastAsia="Times New Roman" w:hAnsi="Times New Roman"/>
          <w:sz w:val="12"/>
          <w:szCs w:val="12"/>
          <w:color w:val="auto"/>
        </w:rPr>
        <w:t xml:space="preserve"> in Part I, Item 1 of this Quarterly Report on Form 10-Q for detailed information on RSUs with time-based vesting and RSUs with performance-based vesting.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020" w:type="dxa"/>
            <w:vAlign w:val="bottom"/>
          </w:tcPr>
          <w:p>
            <w:pPr>
              <w:spacing w:after="0"/>
              <w:rPr>
                <w:sz w:val="13"/>
                <w:szCs w:val="13"/>
                <w:color w:val="auto"/>
              </w:rPr>
            </w:pPr>
          </w:p>
        </w:tc>
        <w:tc>
          <w:tcPr>
            <w:tcW w:w="30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5"/>
        </w:trPr>
        <w:tc>
          <w:tcPr>
            <w:tcW w:w="4220" w:type="dxa"/>
            <w:vAlign w:val="bottom"/>
            <w:tcBorders>
              <w:bottom w:val="single" w:sz="8" w:color="CCEEFF"/>
            </w:tcBorders>
            <w:vMerge w:val="continue"/>
          </w:tcPr>
          <w:p>
            <w:pPr>
              <w:spacing w:after="0"/>
              <w:rPr>
                <w:sz w:val="10"/>
                <w:szCs w:val="10"/>
                <w:color w:val="auto"/>
              </w:rPr>
            </w:pPr>
          </w:p>
        </w:tc>
        <w:tc>
          <w:tcPr>
            <w:tcW w:w="4020" w:type="dxa"/>
            <w:vAlign w:val="bottom"/>
            <w:tcBorders>
              <w:bottom w:val="single" w:sz="8" w:color="CCEEFF"/>
            </w:tcBorders>
          </w:tcPr>
          <w:p>
            <w:pPr>
              <w:spacing w:after="0"/>
              <w:rPr>
                <w:sz w:val="10"/>
                <w:szCs w:val="10"/>
                <w:color w:val="auto"/>
              </w:rPr>
            </w:pPr>
          </w:p>
        </w:tc>
        <w:tc>
          <w:tcPr>
            <w:tcW w:w="1460" w:type="dxa"/>
            <w:vAlign w:val="bottom"/>
            <w:tcBorders>
              <w:bottom w:val="single" w:sz="8" w:color="auto"/>
            </w:tcBorders>
          </w:tcPr>
          <w:p>
            <w:pPr>
              <w:jc w:val="right"/>
              <w:ind w:right="560"/>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560"/>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15"/>
        </w:trPr>
        <w:tc>
          <w:tcPr>
            <w:tcW w:w="42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Shares issuable upon conversion of convertible senior notes</w:t>
            </w:r>
          </w:p>
        </w:tc>
        <w:tc>
          <w:tcPr>
            <w:tcW w:w="4020" w:type="dxa"/>
            <w:vAlign w:val="bottom"/>
            <w:shd w:val="clear" w:color="auto" w:fill="CCEEFF"/>
          </w:tcPr>
          <w:p>
            <w:pPr>
              <w:spacing w:after="0"/>
              <w:rPr>
                <w:sz w:val="10"/>
                <w:szCs w:val="10"/>
                <w:color w:val="auto"/>
              </w:rPr>
            </w:pPr>
          </w:p>
        </w:tc>
        <w:tc>
          <w:tcPr>
            <w:tcW w:w="14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20,690</w:t>
            </w: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2"/>
                <w:szCs w:val="12"/>
                <w:color w:val="auto"/>
              </w:rPr>
              <w:t>20,690</w:t>
            </w:r>
          </w:p>
        </w:tc>
        <w:tc>
          <w:tcPr>
            <w:tcW w:w="0" w:type="dxa"/>
            <w:vAlign w:val="bottom"/>
          </w:tcPr>
          <w:p>
            <w:pPr>
              <w:spacing w:after="0"/>
              <w:rPr>
                <w:sz w:val="1"/>
                <w:szCs w:val="1"/>
                <w:color w:val="auto"/>
              </w:rPr>
            </w:pPr>
          </w:p>
        </w:tc>
      </w:tr>
      <w:tr>
        <w:trPr>
          <w:trHeight w:val="126"/>
        </w:trPr>
        <w:tc>
          <w:tcPr>
            <w:tcW w:w="42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Options to purchase common stock</w:t>
            </w:r>
          </w:p>
        </w:tc>
        <w:tc>
          <w:tcPr>
            <w:tcW w:w="54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15,851</w:t>
            </w:r>
          </w:p>
        </w:tc>
        <w:tc>
          <w:tcPr>
            <w:tcW w:w="120" w:type="dxa"/>
            <w:vAlign w:val="bottom"/>
          </w:tcPr>
          <w:p>
            <w:pPr>
              <w:spacing w:after="0"/>
              <w:rPr>
                <w:sz w:val="10"/>
                <w:szCs w:val="10"/>
                <w:color w:val="auto"/>
              </w:rPr>
            </w:pPr>
          </w:p>
        </w:tc>
        <w:tc>
          <w:tcPr>
            <w:tcW w:w="1480" w:type="dxa"/>
            <w:vAlign w:val="bottom"/>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12,332</w:t>
            </w:r>
          </w:p>
        </w:tc>
        <w:tc>
          <w:tcPr>
            <w:tcW w:w="0" w:type="dxa"/>
            <w:vAlign w:val="bottom"/>
          </w:tcPr>
          <w:p>
            <w:pPr>
              <w:spacing w:after="0"/>
              <w:rPr>
                <w:sz w:val="1"/>
                <w:szCs w:val="1"/>
                <w:color w:val="auto"/>
              </w:rPr>
            </w:pPr>
          </w:p>
        </w:tc>
      </w:tr>
      <w:tr>
        <w:trPr>
          <w:trHeight w:val="126"/>
        </w:trPr>
        <w:tc>
          <w:tcPr>
            <w:tcW w:w="4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RSUs</w:t>
            </w:r>
          </w:p>
        </w:tc>
        <w:tc>
          <w:tcPr>
            <w:tcW w:w="54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8,875</w:t>
            </w: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2"/>
                <w:szCs w:val="12"/>
                <w:color w:val="auto"/>
              </w:rPr>
              <w:t>6,527</w:t>
            </w:r>
          </w:p>
        </w:tc>
        <w:tc>
          <w:tcPr>
            <w:tcW w:w="0" w:type="dxa"/>
            <w:vAlign w:val="bottom"/>
          </w:tcPr>
          <w:p>
            <w:pPr>
              <w:spacing w:after="0"/>
              <w:rPr>
                <w:sz w:val="1"/>
                <w:szCs w:val="1"/>
                <w:color w:val="auto"/>
              </w:rPr>
            </w:pPr>
          </w:p>
        </w:tc>
      </w:tr>
      <w:tr>
        <w:trPr>
          <w:trHeight w:val="106"/>
        </w:trPr>
        <w:tc>
          <w:tcPr>
            <w:tcW w:w="42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ESPP shares</w:t>
            </w:r>
          </w:p>
        </w:tc>
        <w:tc>
          <w:tcPr>
            <w:tcW w:w="54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2"/>
                <w:szCs w:val="12"/>
                <w:color w:val="auto"/>
              </w:rPr>
              <w:t>2,026</w:t>
            </w:r>
          </w:p>
        </w:tc>
        <w:tc>
          <w:tcPr>
            <w:tcW w:w="120" w:type="dxa"/>
            <w:vAlign w:val="bottom"/>
          </w:tcPr>
          <w:p>
            <w:pPr>
              <w:spacing w:after="0"/>
              <w:rPr>
                <w:sz w:val="9"/>
                <w:szCs w:val="9"/>
                <w:color w:val="auto"/>
              </w:rPr>
            </w:pPr>
          </w:p>
        </w:tc>
        <w:tc>
          <w:tcPr>
            <w:tcW w:w="1480" w:type="dxa"/>
            <w:vAlign w:val="bottom"/>
          </w:tcPr>
          <w:p>
            <w:pPr>
              <w:jc w:val="right"/>
              <w:ind w:right="20"/>
              <w:spacing w:after="0" w:line="106" w:lineRule="exact"/>
              <w:rPr>
                <w:sz w:val="20"/>
                <w:szCs w:val="20"/>
                <w:color w:val="auto"/>
              </w:rPr>
            </w:pPr>
            <w:r>
              <w:rPr>
                <w:rFonts w:ascii="Times New Roman" w:cs="Times New Roman" w:eastAsia="Times New Roman" w:hAnsi="Times New Roman"/>
                <w:sz w:val="12"/>
                <w:szCs w:val="12"/>
                <w:color w:val="auto"/>
              </w:rPr>
              <w:t>2,336</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4020" w:type="dxa"/>
            <w:vAlign w:val="bottom"/>
          </w:tcPr>
          <w:p>
            <w:pPr>
              <w:jc w:val="right"/>
              <w:ind w:right="2480"/>
              <w:spacing w:after="0"/>
              <w:rPr>
                <w:sz w:val="20"/>
                <w:szCs w:val="20"/>
                <w:color w:val="auto"/>
              </w:rPr>
            </w:pPr>
            <w:r>
              <w:rPr>
                <w:rFonts w:ascii="Times New Roman" w:cs="Times New Roman" w:eastAsia="Times New Roman" w:hAnsi="Times New Roman"/>
                <w:sz w:val="12"/>
                <w:szCs w:val="12"/>
                <w:color w:val="auto"/>
              </w:rPr>
              <w:t>24</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220" w:type="dxa"/>
            <w:vAlign w:val="bottom"/>
            <w:tcBorders>
              <w:bottom w:val="single" w:sz="8" w:color="9A9A9A"/>
            </w:tcBorders>
          </w:tcPr>
          <w:p>
            <w:pPr>
              <w:spacing w:after="0"/>
              <w:rPr>
                <w:sz w:val="18"/>
                <w:szCs w:val="18"/>
                <w:color w:val="auto"/>
              </w:rPr>
            </w:pPr>
          </w:p>
        </w:tc>
        <w:tc>
          <w:tcPr>
            <w:tcW w:w="40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5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2"/>
          <w:szCs w:val="12"/>
          <w:color w:val="auto"/>
        </w:rPr>
        <w:t>These potentially dilutive securities have been excluded from the computation of diluted net loss per share as the effect would be to reduce the net loss per share. Therefore, the weighted-average number of shares of common stock outstanding used to calculate both basic and diluted net loss per share is the same.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REVENUE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our revenue by geographic location for the three months ended March 31, 2022 and 2021 is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5"/>
        </w:trPr>
        <w:tc>
          <w:tcPr>
            <w:tcW w:w="8060" w:type="dxa"/>
            <w:vAlign w:val="bottom"/>
            <w:tcBorders>
              <w:bottom w:val="single" w:sz="8" w:color="CCEEFF"/>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20"/>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15"/>
        </w:trPr>
        <w:tc>
          <w:tcPr>
            <w:tcW w:w="80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Americas</w:t>
            </w: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19,082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12,157</w:t>
            </w:r>
          </w:p>
        </w:tc>
        <w:tc>
          <w:tcPr>
            <w:tcW w:w="0" w:type="dxa"/>
            <w:vAlign w:val="bottom"/>
          </w:tcPr>
          <w:p>
            <w:pPr>
              <w:spacing w:after="0"/>
              <w:rPr>
                <w:sz w:val="1"/>
                <w:szCs w:val="1"/>
                <w:color w:val="auto"/>
              </w:rPr>
            </w:pPr>
          </w:p>
        </w:tc>
      </w:tr>
      <w:tr>
        <w:trPr>
          <w:trHeight w:val="126"/>
        </w:trPr>
        <w:tc>
          <w:tcPr>
            <w:tcW w:w="80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Europe (including the Middle East and Africa)</w:t>
            </w:r>
          </w:p>
        </w:tc>
        <w:tc>
          <w:tcPr>
            <w:tcW w:w="36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5,700</w:t>
            </w:r>
          </w:p>
        </w:tc>
        <w:tc>
          <w:tcPr>
            <w:tcW w:w="120" w:type="dxa"/>
            <w:vAlign w:val="bottom"/>
          </w:tcPr>
          <w:p>
            <w:pPr>
              <w:spacing w:after="0"/>
              <w:rPr>
                <w:sz w:val="10"/>
                <w:szCs w:val="10"/>
                <w:color w:val="auto"/>
              </w:rPr>
            </w:pPr>
          </w:p>
        </w:tc>
        <w:tc>
          <w:tcPr>
            <w:tcW w:w="14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8,325</w:t>
            </w:r>
          </w:p>
        </w:tc>
        <w:tc>
          <w:tcPr>
            <w:tcW w:w="0" w:type="dxa"/>
            <w:vAlign w:val="bottom"/>
          </w:tcPr>
          <w:p>
            <w:pPr>
              <w:spacing w:after="0"/>
              <w:rPr>
                <w:sz w:val="1"/>
                <w:szCs w:val="1"/>
                <w:color w:val="auto"/>
              </w:rPr>
            </w:pPr>
          </w:p>
        </w:tc>
      </w:tr>
      <w:tr>
        <w:trPr>
          <w:trHeight w:val="126"/>
        </w:trPr>
        <w:tc>
          <w:tcPr>
            <w:tcW w:w="80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Asia Pacific</w:t>
            </w:r>
          </w:p>
        </w:tc>
        <w:tc>
          <w:tcPr>
            <w:tcW w:w="3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8,391</w:t>
            </w: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8,515</w:t>
            </w:r>
          </w:p>
        </w:tc>
        <w:tc>
          <w:tcPr>
            <w:tcW w:w="0" w:type="dxa"/>
            <w:vAlign w:val="bottom"/>
          </w:tcPr>
          <w:p>
            <w:pPr>
              <w:spacing w:after="0"/>
              <w:rPr>
                <w:sz w:val="1"/>
                <w:szCs w:val="1"/>
                <w:color w:val="auto"/>
              </w:rPr>
            </w:pPr>
          </w:p>
        </w:tc>
      </w:tr>
      <w:tr>
        <w:trPr>
          <w:trHeight w:val="122"/>
        </w:trPr>
        <w:tc>
          <w:tcPr>
            <w:tcW w:w="8060" w:type="dxa"/>
            <w:vAlign w:val="bottom"/>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33,173</w:t>
            </w:r>
          </w:p>
        </w:tc>
        <w:tc>
          <w:tcPr>
            <w:tcW w:w="120" w:type="dxa"/>
            <w:vAlign w:val="bottom"/>
          </w:tcPr>
          <w:p>
            <w:pPr>
              <w:spacing w:after="0"/>
              <w:rPr>
                <w:sz w:val="10"/>
                <w:szCs w:val="10"/>
                <w:color w:val="auto"/>
              </w:rPr>
            </w:pPr>
          </w:p>
        </w:tc>
        <w:tc>
          <w:tcPr>
            <w:tcW w:w="1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28,997</w:t>
            </w:r>
          </w:p>
        </w:tc>
        <w:tc>
          <w:tcPr>
            <w:tcW w:w="0" w:type="dxa"/>
            <w:vAlign w:val="bottom"/>
          </w:tcPr>
          <w:p>
            <w:pPr>
              <w:spacing w:after="0"/>
              <w:rPr>
                <w:sz w:val="1"/>
                <w:szCs w:val="1"/>
                <w:color w:val="auto"/>
              </w:rPr>
            </w:pP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12"/>
                <w:szCs w:val="12"/>
                <w:color w:val="auto"/>
              </w:rPr>
              <w:t>A summary of our revenue by category for the three months ended March 31, 2022 and 2021 is as follows (in thousands):</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8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5"/>
        </w:trPr>
        <w:tc>
          <w:tcPr>
            <w:tcW w:w="8060" w:type="dxa"/>
            <w:vAlign w:val="bottom"/>
            <w:tcBorders>
              <w:bottom w:val="single" w:sz="8" w:color="CCEEFF"/>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20"/>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15"/>
        </w:trPr>
        <w:tc>
          <w:tcPr>
            <w:tcW w:w="80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Instrument revenue</w:t>
            </w: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15,550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14,939</w:t>
            </w:r>
          </w:p>
        </w:tc>
        <w:tc>
          <w:tcPr>
            <w:tcW w:w="0" w:type="dxa"/>
            <w:vAlign w:val="bottom"/>
          </w:tcPr>
          <w:p>
            <w:pPr>
              <w:spacing w:after="0"/>
              <w:rPr>
                <w:sz w:val="1"/>
                <w:szCs w:val="1"/>
                <w:color w:val="auto"/>
              </w:rPr>
            </w:pPr>
          </w:p>
        </w:tc>
      </w:tr>
      <w:tr>
        <w:trPr>
          <w:trHeight w:val="126"/>
        </w:trPr>
        <w:tc>
          <w:tcPr>
            <w:tcW w:w="806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Consumable revenue</w:t>
            </w: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12,694</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4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10,364</w:t>
            </w:r>
          </w:p>
        </w:tc>
        <w:tc>
          <w:tcPr>
            <w:tcW w:w="0" w:type="dxa"/>
            <w:vAlign w:val="bottom"/>
          </w:tcPr>
          <w:p>
            <w:pPr>
              <w:spacing w:after="0"/>
              <w:rPr>
                <w:sz w:val="1"/>
                <w:szCs w:val="1"/>
                <w:color w:val="auto"/>
              </w:rPr>
            </w:pPr>
          </w:p>
        </w:tc>
      </w:tr>
      <w:tr>
        <w:trPr>
          <w:trHeight w:val="115"/>
        </w:trPr>
        <w:tc>
          <w:tcPr>
            <w:tcW w:w="8060" w:type="dxa"/>
            <w:vAlign w:val="bottom"/>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Product revenue</w:t>
            </w:r>
          </w:p>
        </w:tc>
        <w:tc>
          <w:tcPr>
            <w:tcW w:w="3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28,244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25,303</w:t>
            </w:r>
          </w:p>
        </w:tc>
        <w:tc>
          <w:tcPr>
            <w:tcW w:w="0" w:type="dxa"/>
            <w:vAlign w:val="bottom"/>
          </w:tcPr>
          <w:p>
            <w:pPr>
              <w:spacing w:after="0"/>
              <w:rPr>
                <w:sz w:val="1"/>
                <w:szCs w:val="1"/>
                <w:color w:val="auto"/>
              </w:rPr>
            </w:pPr>
          </w:p>
        </w:tc>
      </w:tr>
      <w:tr>
        <w:trPr>
          <w:trHeight w:val="126"/>
        </w:trPr>
        <w:tc>
          <w:tcPr>
            <w:tcW w:w="806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Service and other revenue</w:t>
            </w:r>
          </w:p>
        </w:tc>
        <w:tc>
          <w:tcPr>
            <w:tcW w:w="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4,929</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3,694</w:t>
            </w:r>
          </w:p>
        </w:tc>
        <w:tc>
          <w:tcPr>
            <w:tcW w:w="0" w:type="dxa"/>
            <w:vAlign w:val="bottom"/>
          </w:tcPr>
          <w:p>
            <w:pPr>
              <w:spacing w:after="0"/>
              <w:rPr>
                <w:sz w:val="1"/>
                <w:szCs w:val="1"/>
                <w:color w:val="auto"/>
              </w:rPr>
            </w:pPr>
          </w:p>
        </w:tc>
      </w:tr>
      <w:tr>
        <w:trPr>
          <w:trHeight w:val="122"/>
        </w:trPr>
        <w:tc>
          <w:tcPr>
            <w:tcW w:w="8060" w:type="dxa"/>
            <w:vAlign w:val="bottom"/>
            <w:tcBorders>
              <w:bottom w:val="single" w:sz="8" w:color="CCEEFF"/>
            </w:tcBorders>
            <w:shd w:val="clear" w:color="auto" w:fill="CCEEFF"/>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revenue</w:t>
            </w:r>
          </w:p>
        </w:tc>
        <w:tc>
          <w:tcPr>
            <w:tcW w:w="360" w:type="dxa"/>
            <w:vAlign w:val="bottom"/>
            <w:tcBorders>
              <w:bottom w:val="single" w:sz="8" w:color="auto"/>
            </w:tcBorders>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33,173</w:t>
            </w: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28,997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53" w:lineRule="exact"/>
        <w:rPr>
          <w:sz w:val="20"/>
          <w:szCs w:val="20"/>
          <w:color w:val="auto"/>
        </w:rPr>
      </w:pPr>
    </w:p>
    <w:p>
      <w:pPr>
        <w:jc w:val="both"/>
        <w:ind w:left="8"/>
        <w:spacing w:after="0" w:line="231"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consolidated financial statements and the related notes included in our Annual Report on Form 10-K for the fiscal year ended December 31, 2021 filed with the U.S. Securities and Exchange Commission, or the SEC, on February 28, 2022, or our Annual Report on Form 10-K. This discussion contains forward-looking statements based upon current plans, expectations and beliefs that involve risks and uncertainties including the effect of the ongoing COVID-19 pandemic and our response thereto.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spacing w:after="0" w:line="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Management’s Discussion and Analysis (MD&amp;A) is organized in the following sections:</w:t>
      </w:r>
    </w:p>
    <w:p>
      <w:pPr>
        <w:spacing w:after="0" w:line="51" w:lineRule="exact"/>
        <w:rPr>
          <w:sz w:val="20"/>
          <w:szCs w:val="20"/>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Overview and Outlook</w:t>
      </w:r>
    </w:p>
    <w:p>
      <w:pPr>
        <w:spacing w:after="0" w:line="5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Operations</w:t>
      </w:r>
    </w:p>
    <w:p>
      <w:pPr>
        <w:spacing w:after="0" w:line="5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Liquidity and Capital Resources</w:t>
      </w:r>
    </w:p>
    <w:p>
      <w:pPr>
        <w:spacing w:after="0" w:line="5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Critical Accounting Policies and Estimates</w:t>
      </w:r>
    </w:p>
    <w:p>
      <w:pPr>
        <w:spacing w:after="0" w:line="5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Recent Accounting Pronouncements</w:t>
      </w:r>
    </w:p>
    <w:p>
      <w:pPr>
        <w:spacing w:after="0" w:line="6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Off Balance Sheet Arrangements</w:t>
      </w:r>
    </w:p>
    <w:p>
      <w:pPr>
        <w:spacing w:after="0" w:line="2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Overview and Outlook</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About PacBio</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are a premier life science technology company that is designing, developing and manufacturing advanced sequencing solutions to help scientists and clinical researchers resolve genetically complex problems.</w:t>
      </w:r>
    </w:p>
    <w:p>
      <w:pPr>
        <w:spacing w:after="0" w:line="141"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2"/>
          <w:szCs w:val="12"/>
          <w:color w:val="auto"/>
        </w:rPr>
        <w:t>Our products and technology under development stem from two highly differentiated core technologies focused on accuracy, quality and completeness which include our existing HiFi long read sequencing and our emerging SBB short read sequencing technologies. Our products address solutions across a broad set of research applications including human germline sequencing, plant and animal sciences, infectious disease and microbiology, oncology, and other emerging applications.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focus is on providing our customers with advanced sequencing technologies with higher throughput and improved workflows that we believe will enable dramatic advancements in routine healthcare.</w:t>
      </w:r>
    </w:p>
    <w:p>
      <w:pPr>
        <w:spacing w:after="0" w:line="132"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2"/>
          <w:szCs w:val="12"/>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101" w:lineRule="exact"/>
        <w:rPr>
          <w:sz w:val="20"/>
          <w:szCs w:val="20"/>
          <w:color w:val="auto"/>
        </w:rPr>
      </w:pPr>
    </w:p>
    <w:p>
      <w:pPr>
        <w:ind w:left="5588" w:right="660" w:hanging="5591"/>
        <w:spacing w:after="0" w:line="358" w:lineRule="auto"/>
        <w:rPr>
          <w:sz w:val="20"/>
          <w:szCs w:val="20"/>
          <w:color w:val="auto"/>
        </w:rPr>
      </w:pPr>
      <w:r>
        <w:rPr>
          <w:rFonts w:ascii="Times New Roman" w:cs="Times New Roman" w:eastAsia="Times New Roman" w:hAnsi="Times New Roman"/>
          <w:sz w:val="12"/>
          <w:szCs w:val="12"/>
          <w:color w:val="auto"/>
        </w:rPr>
        <w:t>As of March 31, 2022, our commercial team was comprised of over 188 employees, including 52 quota-carrying representatives, many with advanced degrees in biology and significant experience in the genomics industry.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81280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Strategic Objectives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2022 strategic objectives include:</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Execution - leveraging commercial investment to drive continued HiFi and Sequel II/IIe adoption;</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Progress our product pipeline - continuing the development of our future higher throughput HiFi sequencing platform and differentiated short-read technology; and</w:t>
      </w:r>
    </w:p>
    <w:p>
      <w:pPr>
        <w:spacing w:after="0" w:line="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Delight our customers - deepening our customer relationships and expanding customer collaborations across existing and rapidly expanding new applications for our technology.</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will continue to leverage our commercial organization and make significant improvements in efficiency and usability of our Sequel II/IIe to seek to reach a broader customer base. We believe the commercial investments we made in 2021 and expect to continue to make during the remainder of 2022 will further help drive growth in our business. We employed 52 quota-carrying field sales personnel as of March 31, 2022, and we expect to continue to invest in our sales, general and administrative departments to support future growth.</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To increase the adoption of HiFi sequencing, we have various development programs in progress to expand our product portfolio as well as increase the throughput and improve the usability of our existing sequencing technologies. We continue to focus on programs to accelerate new platform launches in the near to mid-term as well as increase applications for our technologies. To address the oncology markets with a highly differentiated alternative, we are also progressing our short read platform development with a goal of launching our SBB short read sequencing platform in the first half of 2023. As a result, we expect our research and development expense to increase during 2022 as compared to 2021.</w:t>
      </w:r>
    </w:p>
    <w:p>
      <w:pPr>
        <w:spacing w:after="0" w:line="1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continue to believe that with the capabilities of our HiFi chemistry and SMRT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customer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Overview</w:t>
      </w:r>
    </w:p>
    <w:p>
      <w:pPr>
        <w:spacing w:after="0" w:line="1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COVID-19 pandemic and efforts to control its spread have significantly curtailed the movement of people, goods, and services worldwide, including in the regions in which we sell our products and services and conduct our business operations. We have been negatively impacted by the COVID-19 pandemic and expect to continue to be impacted by COVID-19 for the foreseeable future. Due to the uncertain scope and duration of the pandemic, we cannot reasonably estimate the future impact to our operations and financial results.</w:t>
      </w:r>
    </w:p>
    <w:p>
      <w:pPr>
        <w:spacing w:after="0" w:line="1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 spread of COVID-19 has caused us to modify our business practices, including limiting certain of our commercial operations and limiting certain employees from working in the office. Starting in April 2022, we invited employees located near our reopened offices to return to the office. We have and will continue to provide consumables, instruments, and support to scientists at government, academic, and commercial labs that have remained open or as they reopen.</w:t>
      </w:r>
    </w:p>
    <w:p>
      <w:pPr>
        <w:spacing w:after="0" w:line="14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We have experienced and expect to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factors, such as the duration and the extent of the pandemic, as well as actions taken by governments, businesses and consumers in response to the pandemic, all of which continue to evolve and remain uncertain at this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the Risk Factors section for further discussion of the possible impact of the COVID-19 pandemic on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Key highlights of the three months ended March 31, 2022 consolidated financial results include the following:</w:t>
      </w:r>
    </w:p>
    <w:p>
      <w:pPr>
        <w:spacing w:after="0" w:line="141" w:lineRule="exact"/>
        <w:rPr>
          <w:sz w:val="20"/>
          <w:szCs w:val="20"/>
          <w:color w:val="auto"/>
        </w:rPr>
      </w:pPr>
    </w:p>
    <w:p>
      <w:pPr>
        <w:jc w:val="both"/>
        <w:ind w:left="580" w:hanging="156"/>
        <w:spacing w:after="0" w:line="232" w:lineRule="auto"/>
        <w:tabs>
          <w:tab w:leader="none" w:pos="5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increased $4.2 million, or 14%, to $33.2 million for the three months ended March 31, 2022, as compared to $29.0 million for the three months ended March 31, 2021, driven primarily by an increase in instrument and consumable revenue. We expect revenue to grow during the remainder of 2022 compared to 2021. However, our future revenues largely depend on the rate of sales of our sequencing instruments, which are a leading indicator of future sales of consumables. We expect instrument placements to continue to grow as we expand our sales globally through our expanded sales force, through application of technology in new markets and through offering new features and solutions. However, we also expect a potential slower ramp in the sales of consumables due to lower utilization resulting from project delays due to the COVID-19 pandemic and prolonged lockdowns in China.</w:t>
      </w:r>
    </w:p>
    <w:p>
      <w:pPr>
        <w:spacing w:after="0" w:line="125" w:lineRule="exact"/>
        <w:rPr>
          <w:rFonts w:ascii="Times New Roman" w:cs="Times New Roman" w:eastAsia="Times New Roman" w:hAnsi="Times New Roman"/>
          <w:sz w:val="12"/>
          <w:szCs w:val="12"/>
          <w:color w:val="auto"/>
        </w:rPr>
      </w:pPr>
    </w:p>
    <w:p>
      <w:pPr>
        <w:jc w:val="both"/>
        <w:ind w:left="580" w:hanging="156"/>
        <w:spacing w:after="0" w:line="235" w:lineRule="auto"/>
        <w:tabs>
          <w:tab w:leader="none" w:pos="5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profit as a percentage of revenue (gross margin) was 42.7% for the three months ended March 31, 2022, compared to 44.8% for the three months ended March 31, 2021. Despite higher sales volumes, gross margin declined due to a lower average selling price (ASP) of instruments, resulting primarily from an increase in instruments sold as multi-unit orders with volume discounts, leading to lower ASP, and an increase in our average product costs during the quarter. Our gross margin in future periods will depend on several factors, including strategic product pricing; product mix; sales of higher-margin consumables; supply chain constraints increasing costs of raw materials; manufacturing capacity and production volumes impacting the cost of inventory; freight costs; and excess or obsolete inventories.</w:t>
      </w:r>
    </w:p>
    <w:p>
      <w:pPr>
        <w:spacing w:after="0" w:line="116" w:lineRule="exact"/>
        <w:rPr>
          <w:rFonts w:ascii="Times New Roman" w:cs="Times New Roman" w:eastAsia="Times New Roman" w:hAnsi="Times New Roman"/>
          <w:sz w:val="12"/>
          <w:szCs w:val="12"/>
          <w:color w:val="auto"/>
        </w:rPr>
      </w:pPr>
    </w:p>
    <w:p>
      <w:pPr>
        <w:jc w:val="both"/>
        <w:ind w:left="580" w:hanging="156"/>
        <w:spacing w:after="0" w:line="235" w:lineRule="auto"/>
        <w:tabs>
          <w:tab w:leader="none" w:pos="5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Loss from operations increased $43.8 million or 130%, to a loss of $77.5 million for the three months ended March 31, 2022, as compared to a loss of $33.7 million for the three months ended March 31, 2021, driven primarily by an increase of $45.0 million in operating expenses, including a $32.4 million increase in research and development expenses primarily due to the Omniome acquisition and the establishment of an advanced research organization, $13.7 million increase in sales, general and administrative expenses, offset by a $1.1 million change in the fair value of contingent consideration. See </w:t>
      </w:r>
      <w:r>
        <w:rPr>
          <w:rFonts w:ascii="Times New Roman" w:cs="Times New Roman" w:eastAsia="Times New Roman" w:hAnsi="Times New Roman"/>
          <w:sz w:val="12"/>
          <w:szCs w:val="12"/>
          <w:i w:val="1"/>
          <w:iCs w:val="1"/>
          <w:u w:val="single" w:color="auto"/>
          <w:color w:val="0000FF"/>
        </w:rPr>
        <w:t>Note 2. Business Acquisitions</w:t>
      </w:r>
      <w:r>
        <w:rPr>
          <w:rFonts w:ascii="Times New Roman" w:cs="Times New Roman" w:eastAsia="Times New Roman" w:hAnsi="Times New Roman"/>
          <w:sz w:val="12"/>
          <w:szCs w:val="12"/>
          <w:color w:val="auto"/>
        </w:rPr>
        <w:t xml:space="preserve"> in Part I, Item 1 of this Quarterly Report on Form 10-Q for further details.</w:t>
      </w:r>
    </w:p>
    <w:p>
      <w:pPr>
        <w:spacing w:after="0" w:line="125"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and short-term investments were $962.8 million at March 31, 2022, which represents a 7.8% decrease compared to the balance at December 31, 2021.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 Months Ended March 31, 2022 and 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520" w:type="dxa"/>
            <w:vAlign w:val="bottom"/>
          </w:tcPr>
          <w:p>
            <w:pPr>
              <w:spacing w:after="0"/>
              <w:rPr>
                <w:sz w:val="11"/>
                <w:szCs w:val="11"/>
                <w:color w:val="auto"/>
              </w:rPr>
            </w:pPr>
          </w:p>
        </w:tc>
        <w:tc>
          <w:tcPr>
            <w:tcW w:w="25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vMerge w:val="restart"/>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06"/>
        </w:trPr>
        <w:tc>
          <w:tcPr>
            <w:tcW w:w="55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Revenue:</w:t>
            </w:r>
          </w:p>
        </w:tc>
        <w:tc>
          <w:tcPr>
            <w:tcW w:w="960" w:type="dxa"/>
            <w:vAlign w:val="bottom"/>
            <w:tcBorders>
              <w:bottom w:val="single" w:sz="8" w:color="auto"/>
            </w:tcBorders>
          </w:tcPr>
          <w:p>
            <w:pPr>
              <w:jc w:val="right"/>
              <w:ind w:right="66"/>
              <w:spacing w:after="0" w:line="106" w:lineRule="exact"/>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66"/>
              <w:spacing w:after="0" w:line="106" w:lineRule="exact"/>
              <w:rPr>
                <w:sz w:val="20"/>
                <w:szCs w:val="20"/>
                <w:color w:val="auto"/>
              </w:rPr>
            </w:pPr>
            <w:r>
              <w:rPr>
                <w:rFonts w:ascii="Times New Roman" w:cs="Times New Roman" w:eastAsia="Times New Roman" w:hAnsi="Times New Roman"/>
                <w:sz w:val="11"/>
                <w:szCs w:val="11"/>
                <w:b w:val="1"/>
                <w:bCs w:val="1"/>
                <w:color w:val="auto"/>
              </w:rPr>
              <w:t>2021</w:t>
            </w: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gridSpan w:val="4"/>
          </w:tcPr>
          <w:p>
            <w:pPr>
              <w:jc w:val="right"/>
              <w:ind w:right="326"/>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Product revenue</w:t>
            </w:r>
          </w:p>
        </w:tc>
        <w:tc>
          <w:tcPr>
            <w:tcW w:w="960" w:type="dxa"/>
            <w:vAlign w:val="bottom"/>
            <w:shd w:val="clear" w:color="auto" w:fill="CCEEFF"/>
          </w:tcPr>
          <w:p>
            <w:pPr>
              <w:jc w:val="right"/>
              <w:ind w:right="8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28,244</w:t>
            </w:r>
          </w:p>
        </w:tc>
        <w:tc>
          <w:tcPr>
            <w:tcW w:w="960" w:type="dxa"/>
            <w:vAlign w:val="bottom"/>
            <w:shd w:val="clear" w:color="auto" w:fill="CCEEFF"/>
          </w:tcPr>
          <w:p>
            <w:pPr>
              <w:jc w:val="right"/>
              <w:ind w:right="8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25,303</w:t>
            </w:r>
          </w:p>
        </w:tc>
        <w:tc>
          <w:tcPr>
            <w:tcW w:w="900" w:type="dxa"/>
            <w:vAlign w:val="bottom"/>
            <w:shd w:val="clear" w:color="auto" w:fill="CCEEFF"/>
          </w:tcPr>
          <w:p>
            <w:pPr>
              <w:jc w:val="right"/>
              <w:ind w:right="78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2,941</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17"/>
        </w:trPr>
        <w:tc>
          <w:tcPr>
            <w:tcW w:w="5520" w:type="dxa"/>
            <w:vAlign w:val="bottom"/>
          </w:tcPr>
          <w:p>
            <w:pPr>
              <w:ind w:left="280"/>
              <w:spacing w:after="0" w:line="117" w:lineRule="exact"/>
              <w:rPr>
                <w:sz w:val="20"/>
                <w:szCs w:val="20"/>
                <w:color w:val="auto"/>
              </w:rPr>
            </w:pPr>
            <w:r>
              <w:rPr>
                <w:rFonts w:ascii="Times New Roman" w:cs="Times New Roman" w:eastAsia="Times New Roman" w:hAnsi="Times New Roman"/>
                <w:sz w:val="11"/>
                <w:szCs w:val="11"/>
                <w:color w:val="auto"/>
              </w:rPr>
              <w:t>Service and other revenue</w:t>
            </w:r>
          </w:p>
        </w:tc>
        <w:tc>
          <w:tcPr>
            <w:tcW w:w="96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4,929</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3,694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1,235</w:t>
            </w:r>
          </w:p>
        </w:tc>
        <w:tc>
          <w:tcPr>
            <w:tcW w:w="10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06"/>
        </w:trPr>
        <w:tc>
          <w:tcPr>
            <w:tcW w:w="5520" w:type="dxa"/>
            <w:vAlign w:val="bottom"/>
            <w:tcBorders>
              <w:top w:val="single" w:sz="8" w:color="CCEEFF"/>
            </w:tcBorders>
            <w:shd w:val="clear" w:color="auto" w:fill="CCEEFF"/>
          </w:tcPr>
          <w:p>
            <w:pPr>
              <w:ind w:left="500"/>
              <w:spacing w:after="0" w:line="106" w:lineRule="exact"/>
              <w:rPr>
                <w:sz w:val="20"/>
                <w:szCs w:val="20"/>
                <w:color w:val="auto"/>
              </w:rPr>
            </w:pPr>
            <w:r>
              <w:rPr>
                <w:rFonts w:ascii="Times New Roman" w:cs="Times New Roman" w:eastAsia="Times New Roman" w:hAnsi="Times New Roman"/>
                <w:sz w:val="11"/>
                <w:szCs w:val="11"/>
                <w:color w:val="auto"/>
              </w:rPr>
              <w:t>Total revenue</w:t>
            </w:r>
          </w:p>
        </w:tc>
        <w:tc>
          <w:tcPr>
            <w:tcW w:w="9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33,173</w:t>
            </w:r>
          </w:p>
        </w:tc>
        <w:tc>
          <w:tcPr>
            <w:tcW w:w="1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28,997</w:t>
            </w:r>
          </w:p>
        </w:tc>
        <w:tc>
          <w:tcPr>
            <w:tcW w:w="1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4,176</w:t>
            </w:r>
          </w:p>
        </w:tc>
        <w:tc>
          <w:tcPr>
            <w:tcW w:w="2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17"/>
        </w:trPr>
        <w:tc>
          <w:tcPr>
            <w:tcW w:w="55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Cost of revenue:</w:t>
            </w: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Cost of product revenue</w:t>
            </w: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14,820</w:t>
            </w: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12,697</w:t>
            </w: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2,123</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17"/>
        </w:trPr>
        <w:tc>
          <w:tcPr>
            <w:tcW w:w="5520" w:type="dxa"/>
            <w:vAlign w:val="bottom"/>
          </w:tcPr>
          <w:p>
            <w:pPr>
              <w:ind w:left="280"/>
              <w:spacing w:after="0" w:line="117" w:lineRule="exact"/>
              <w:rPr>
                <w:sz w:val="20"/>
                <w:szCs w:val="20"/>
                <w:color w:val="auto"/>
              </w:rPr>
            </w:pPr>
            <w:r>
              <w:rPr>
                <w:rFonts w:ascii="Times New Roman" w:cs="Times New Roman" w:eastAsia="Times New Roman" w:hAnsi="Times New Roman"/>
                <w:sz w:val="11"/>
                <w:szCs w:val="11"/>
                <w:color w:val="auto"/>
              </w:rPr>
              <w:t>Cost of service and other revenue</w:t>
            </w:r>
          </w:p>
        </w:tc>
        <w:tc>
          <w:tcPr>
            <w:tcW w:w="960" w:type="dxa"/>
            <w:vAlign w:val="bottom"/>
          </w:tcPr>
          <w:p>
            <w:pPr>
              <w:spacing w:after="0"/>
              <w:rPr>
                <w:sz w:val="10"/>
                <w:szCs w:val="10"/>
                <w:color w:val="auto"/>
              </w:rPr>
            </w:pPr>
          </w:p>
        </w:tc>
        <w:tc>
          <w:tcPr>
            <w:tcW w:w="6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4,015</w:t>
            </w:r>
          </w:p>
        </w:tc>
        <w:tc>
          <w:tcPr>
            <w:tcW w:w="960" w:type="dxa"/>
            <w:vAlign w:val="bottom"/>
          </w:tcPr>
          <w:p>
            <w:pPr>
              <w:spacing w:after="0"/>
              <w:rPr>
                <w:sz w:val="10"/>
                <w:szCs w:val="10"/>
                <w:color w:val="auto"/>
              </w:rPr>
            </w:pPr>
          </w:p>
        </w:tc>
        <w:tc>
          <w:tcPr>
            <w:tcW w:w="6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3,323</w:t>
            </w:r>
          </w:p>
        </w:tc>
        <w:tc>
          <w:tcPr>
            <w:tcW w:w="9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692</w:t>
            </w:r>
          </w:p>
        </w:tc>
        <w:tc>
          <w:tcPr>
            <w:tcW w:w="10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Amortization of intangible assets</w:t>
            </w: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183</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183</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06"/>
        </w:trPr>
        <w:tc>
          <w:tcPr>
            <w:tcW w:w="5520" w:type="dxa"/>
            <w:vAlign w:val="bottom"/>
          </w:tcPr>
          <w:p>
            <w:pPr>
              <w:ind w:left="500"/>
              <w:spacing w:after="0" w:line="106" w:lineRule="exact"/>
              <w:rPr>
                <w:sz w:val="20"/>
                <w:szCs w:val="20"/>
                <w:color w:val="auto"/>
              </w:rPr>
            </w:pPr>
            <w:r>
              <w:rPr>
                <w:rFonts w:ascii="Times New Roman" w:cs="Times New Roman" w:eastAsia="Times New Roman" w:hAnsi="Times New Roman"/>
                <w:sz w:val="11"/>
                <w:szCs w:val="11"/>
                <w:color w:val="auto"/>
              </w:rPr>
              <w:t>Total cost of revenue</w:t>
            </w:r>
          </w:p>
        </w:tc>
        <w:tc>
          <w:tcPr>
            <w:tcW w:w="9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19,018</w:t>
            </w:r>
          </w:p>
        </w:tc>
        <w:tc>
          <w:tcPr>
            <w:tcW w:w="1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16,020</w:t>
            </w:r>
          </w:p>
        </w:tc>
        <w:tc>
          <w:tcPr>
            <w:tcW w:w="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2,998</w:t>
            </w:r>
          </w:p>
        </w:tc>
        <w:tc>
          <w:tcPr>
            <w:tcW w:w="220" w:type="dxa"/>
            <w:vAlign w:val="bottom"/>
          </w:tcPr>
          <w:p>
            <w:pPr>
              <w:spacing w:after="0"/>
              <w:rPr>
                <w:sz w:val="9"/>
                <w:szCs w:val="9"/>
                <w:color w:val="auto"/>
              </w:rPr>
            </w:pPr>
          </w:p>
        </w:tc>
        <w:tc>
          <w:tcPr>
            <w:tcW w:w="10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780"/>
              <w:spacing w:after="0" w:line="117" w:lineRule="exact"/>
              <w:rPr>
                <w:sz w:val="20"/>
                <w:szCs w:val="20"/>
                <w:color w:val="auto"/>
              </w:rPr>
            </w:pPr>
            <w:r>
              <w:rPr>
                <w:rFonts w:ascii="Times New Roman" w:cs="Times New Roman" w:eastAsia="Times New Roman" w:hAnsi="Times New Roman"/>
                <w:sz w:val="11"/>
                <w:szCs w:val="11"/>
                <w:color w:val="auto"/>
              </w:rPr>
              <w:t>Gross profit</w:t>
            </w: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14,155</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12,977</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1,178</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17"/>
        </w:trPr>
        <w:tc>
          <w:tcPr>
            <w:tcW w:w="55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Operating expense:</w:t>
            </w: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Research and development</w:t>
            </w: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52,937</w:t>
            </w: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20,548</w:t>
            </w: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32,389</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53"/>
        </w:trPr>
        <w:tc>
          <w:tcPr>
            <w:tcW w:w="55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Sales, general and administrative</w:t>
            </w:r>
          </w:p>
        </w:tc>
        <w:tc>
          <w:tcPr>
            <w:tcW w:w="9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39,804</w:t>
            </w:r>
          </w:p>
        </w:tc>
        <w:tc>
          <w:tcPr>
            <w:tcW w:w="9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26,139</w:t>
            </w:r>
          </w:p>
        </w:tc>
        <w:tc>
          <w:tcPr>
            <w:tcW w:w="90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13,665</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Change in fair value of contingent consideration</w:t>
            </w: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(1,063)</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(1,063)</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06"/>
        </w:trPr>
        <w:tc>
          <w:tcPr>
            <w:tcW w:w="5520" w:type="dxa"/>
            <w:vAlign w:val="bottom"/>
          </w:tcPr>
          <w:p>
            <w:pPr>
              <w:ind w:left="500"/>
              <w:spacing w:after="0" w:line="106" w:lineRule="exact"/>
              <w:rPr>
                <w:sz w:val="20"/>
                <w:szCs w:val="20"/>
                <w:color w:val="auto"/>
              </w:rPr>
            </w:pPr>
            <w:r>
              <w:rPr>
                <w:rFonts w:ascii="Times New Roman" w:cs="Times New Roman" w:eastAsia="Times New Roman" w:hAnsi="Times New Roman"/>
                <w:sz w:val="11"/>
                <w:szCs w:val="11"/>
                <w:color w:val="auto"/>
              </w:rPr>
              <w:t>Total operating expense</w:t>
            </w:r>
          </w:p>
        </w:tc>
        <w:tc>
          <w:tcPr>
            <w:tcW w:w="9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91,678</w:t>
            </w:r>
          </w:p>
        </w:tc>
        <w:tc>
          <w:tcPr>
            <w:tcW w:w="12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46,687</w:t>
            </w:r>
          </w:p>
        </w:tc>
        <w:tc>
          <w:tcPr>
            <w:tcW w:w="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44,991</w:t>
            </w:r>
          </w:p>
        </w:tc>
        <w:tc>
          <w:tcPr>
            <w:tcW w:w="220" w:type="dxa"/>
            <w:vAlign w:val="bottom"/>
          </w:tcPr>
          <w:p>
            <w:pPr>
              <w:spacing w:after="0"/>
              <w:rPr>
                <w:sz w:val="9"/>
                <w:szCs w:val="9"/>
                <w:color w:val="auto"/>
              </w:rPr>
            </w:pPr>
          </w:p>
        </w:tc>
        <w:tc>
          <w:tcPr>
            <w:tcW w:w="10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Operating loss</w:t>
            </w: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(77,523)</w:t>
            </w: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(33,710)</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(43,813)</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17"/>
        </w:trPr>
        <w:tc>
          <w:tcPr>
            <w:tcW w:w="5520" w:type="dxa"/>
            <w:vAlign w:val="bottom"/>
          </w:tcPr>
          <w:p>
            <w:pPr>
              <w:ind w:left="280"/>
              <w:spacing w:after="0" w:line="117" w:lineRule="exact"/>
              <w:rPr>
                <w:sz w:val="20"/>
                <w:szCs w:val="20"/>
                <w:color w:val="auto"/>
              </w:rPr>
            </w:pPr>
            <w:r>
              <w:rPr>
                <w:rFonts w:ascii="Times New Roman" w:cs="Times New Roman" w:eastAsia="Times New Roman" w:hAnsi="Times New Roman"/>
                <w:sz w:val="11"/>
                <w:szCs w:val="11"/>
                <w:color w:val="auto"/>
              </w:rPr>
              <w:t>Loss from continuation advances from Illumina</w:t>
            </w:r>
          </w:p>
        </w:tc>
        <w:tc>
          <w:tcPr>
            <w:tcW w:w="960" w:type="dxa"/>
            <w:vAlign w:val="bottom"/>
          </w:tcPr>
          <w:p>
            <w:pPr>
              <w:spacing w:after="0"/>
              <w:rPr>
                <w:sz w:val="10"/>
                <w:szCs w:val="10"/>
                <w:color w:val="auto"/>
              </w:rPr>
            </w:pPr>
          </w:p>
        </w:tc>
        <w:tc>
          <w:tcPr>
            <w:tcW w:w="6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0"/>
                <w:szCs w:val="10"/>
                <w:color w:val="auto"/>
              </w:rPr>
            </w:pPr>
          </w:p>
        </w:tc>
        <w:tc>
          <w:tcPr>
            <w:tcW w:w="62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(52,000)</w:t>
            </w:r>
          </w:p>
        </w:tc>
        <w:tc>
          <w:tcPr>
            <w:tcW w:w="9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52,000</w:t>
            </w:r>
          </w:p>
        </w:tc>
        <w:tc>
          <w:tcPr>
            <w:tcW w:w="10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17"/>
        </w:trPr>
        <w:tc>
          <w:tcPr>
            <w:tcW w:w="5520" w:type="dxa"/>
            <w:vAlign w:val="bottom"/>
            <w:shd w:val="clear" w:color="auto" w:fill="CCEEFF"/>
          </w:tcPr>
          <w:p>
            <w:pPr>
              <w:ind w:left="280"/>
              <w:spacing w:after="0" w:line="117" w:lineRule="exact"/>
              <w:rPr>
                <w:sz w:val="20"/>
                <w:szCs w:val="20"/>
                <w:color w:val="auto"/>
              </w:rPr>
            </w:pPr>
            <w:r>
              <w:rPr>
                <w:rFonts w:ascii="Times New Roman" w:cs="Times New Roman" w:eastAsia="Times New Roman" w:hAnsi="Times New Roman"/>
                <w:sz w:val="11"/>
                <w:szCs w:val="11"/>
                <w:color w:val="auto"/>
              </w:rPr>
              <w:t>Interest expense</w:t>
            </w: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(3,697)</w:t>
            </w:r>
          </w:p>
        </w:tc>
        <w:tc>
          <w:tcPr>
            <w:tcW w:w="9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(1,789)</w:t>
            </w:r>
          </w:p>
        </w:tc>
        <w:tc>
          <w:tcPr>
            <w:tcW w:w="9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(1,908)</w:t>
            </w:r>
          </w:p>
        </w:tc>
        <w:tc>
          <w:tcPr>
            <w:tcW w:w="10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17"/>
        </w:trPr>
        <w:tc>
          <w:tcPr>
            <w:tcW w:w="5520" w:type="dxa"/>
            <w:vAlign w:val="bottom"/>
          </w:tcPr>
          <w:p>
            <w:pPr>
              <w:ind w:left="280"/>
              <w:spacing w:after="0" w:line="117" w:lineRule="exact"/>
              <w:rPr>
                <w:sz w:val="20"/>
                <w:szCs w:val="20"/>
                <w:color w:val="auto"/>
              </w:rPr>
            </w:pPr>
            <w:r>
              <w:rPr>
                <w:rFonts w:ascii="Times New Roman" w:cs="Times New Roman" w:eastAsia="Times New Roman" w:hAnsi="Times New Roman"/>
                <w:sz w:val="11"/>
                <w:szCs w:val="11"/>
                <w:color w:val="auto"/>
              </w:rPr>
              <w:t>Other (expense) income, net</w:t>
            </w:r>
          </w:p>
        </w:tc>
        <w:tc>
          <w:tcPr>
            <w:tcW w:w="96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(279)</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64</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(343)</w:t>
            </w:r>
          </w:p>
        </w:tc>
        <w:tc>
          <w:tcPr>
            <w:tcW w:w="10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(536%)</w:t>
            </w:r>
          </w:p>
        </w:tc>
        <w:tc>
          <w:tcPr>
            <w:tcW w:w="0" w:type="dxa"/>
            <w:vAlign w:val="bottom"/>
          </w:tcPr>
          <w:p>
            <w:pPr>
              <w:spacing w:after="0"/>
              <w:rPr>
                <w:sz w:val="1"/>
                <w:szCs w:val="1"/>
                <w:color w:val="auto"/>
              </w:rPr>
            </w:pPr>
          </w:p>
        </w:tc>
      </w:tr>
      <w:tr>
        <w:trPr>
          <w:trHeight w:val="113"/>
        </w:trPr>
        <w:tc>
          <w:tcPr>
            <w:tcW w:w="5520" w:type="dxa"/>
            <w:vAlign w:val="bottom"/>
            <w:tcBorders>
              <w:top w:val="single" w:sz="8" w:color="CCEEFF"/>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Net loss</w:t>
            </w:r>
          </w:p>
        </w:tc>
        <w:tc>
          <w:tcPr>
            <w:tcW w:w="960" w:type="dxa"/>
            <w:vAlign w:val="bottom"/>
            <w:tcBorders>
              <w:top w:val="single" w:sz="8" w:color="auto"/>
              <w:bottom w:val="single" w:sz="8" w:color="auto"/>
            </w:tcBorders>
            <w:shd w:val="clear" w:color="auto" w:fill="CCEEFF"/>
          </w:tcPr>
          <w:p>
            <w:pPr>
              <w:jc w:val="right"/>
              <w:ind w:right="826"/>
              <w:spacing w:after="0" w:line="10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(81,499)</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960" w:type="dxa"/>
            <w:vAlign w:val="bottom"/>
            <w:tcBorders>
              <w:top w:val="single" w:sz="8" w:color="auto"/>
              <w:bottom w:val="single" w:sz="8" w:color="auto"/>
            </w:tcBorders>
            <w:shd w:val="clear" w:color="auto" w:fill="CCEEFF"/>
          </w:tcPr>
          <w:p>
            <w:pPr>
              <w:jc w:val="right"/>
              <w:ind w:right="8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(87,435)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auto"/>
              <w:bottom w:val="single" w:sz="8" w:color="auto"/>
            </w:tcBorders>
            <w:shd w:val="clear" w:color="auto" w:fill="CCEEFF"/>
          </w:tcPr>
          <w:p>
            <w:pPr>
              <w:jc w:val="right"/>
              <w:ind w:right="78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5,936</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Revenue increased $4.2 million, or 14%, to $33.2 million for the three months ended March 31, 2022, as compared to $29.0 million for the three months ended March 31, 2021, driven primarily by an increase in instrument and consumable revenue.</w:t>
      </w:r>
    </w:p>
    <w:p>
      <w:pPr>
        <w:spacing w:after="0" w:line="1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Instrument revenue increased $0.6 million, or 4%, to $15.6 million for the three months ended March 31, 2022, as compared to $14.9 million for the three months ended March 31, 2021, primarily due to an increase in instruments sold offset by a lower average selling price of instruments attributed to volume-based discounts. At March 31, 2022, our installed base was 424 Sequel II and Sequel IIe systems compared to the 244 systems in the three months ended March 31, 2021. We expect the number of Sequel II/IIe placements to continue to grow during the remainder of 2022, reflecting our increased commercial presence and customer demand.</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Consumables revenue increased $2.3 million, or 21%, to $12.7 million for the three months ended March 31, 2022, as compared to $10.4 million for the three months ended March 31, 2021. The increase in consumable sales was primarily attributable to higher Sequel II/IIe consumables sales from growth of the installed base.</w:t>
      </w:r>
    </w:p>
    <w:p>
      <w:pPr>
        <w:spacing w:after="0" w:line="13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Service and other revenue increased $1.2 million, or 33%, to $4.9 million for the three months ended March 31, 2022, as compared to $3.7 million for the three months ended March 31, 2021, primarily due to product services contracts sold on the growing installed base.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 Gross Profit and Gross Margin</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Cost of product revenue increased by $2.1 million, or 17%, to $14.8 million for the three months ended March 31, 2022, compared to $12.7 million for the three months ended March 31, 2021. The increase in cost of product revenue was primarily due to the increase in instrument sales and higher average product costs.</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Cost of service and other revenue increased by $0.7 million, or 21%, to $4.0 million for the three months ended March 31, 2022, compared to $3.3 million for the three months ended March 31, 2021, primarily due to higher service volumes from our growing installed base.</w:t>
      </w:r>
    </w:p>
    <w:p>
      <w:pPr>
        <w:spacing w:after="0" w:line="1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Gross profit increased $1.2 million, or 9%, to $14.2 million for the three months ended March 31, 2022, compared to the three months ended March 31, 2021. Gross margin was 42.7% for the three months ended March 31, 2022, compared to gross margin of 44.8% for the three months ended March 31, 2021. The decrease in gross margin percentage was primarily due to higher sales volumes offset by lower average selling price and increased product costs during the three months ended March 31, 2022, compared to the three months ended March 31, 2021.</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 global shortage of semiconductors, which has been reported since early 2021, continues to be a challenge for us in our supply chain and resulted in cost increases that have and may continue to adversely impact margins. During these periods of shortages or delays, the price of components may increase, or the components may not be available at all. Additionally, in response to the rising COVID-19 infections, China has imposed lockdowns in certain parts of the country, which has had, and may continue to have, a negative impact on manufacturing and/or supply chains, as well as customer demand for our products and demand through certain distributors.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Research and development expense increased by $32.4 million, or 158%, to $52.9 million for the three months ended March 31, 2022, compared to the three months ended March 31, 2021. This change was primarily driven by an increase of $10.4 million in personnel expenses due to an increase in headcount, including the acquired workforce from the Omniome acquisition and an increase of $11.9 million of product development costs and other related costs. Research and development expense included stock-based compensation expense of $9.0 million and $3.0 million during the three months ended March 31, 2022 and 2021, respectively.</w:t>
      </w:r>
    </w:p>
    <w:p>
      <w:pPr>
        <w:spacing w:after="0" w:line="14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will continue to focus a significant portion of our resources on developing new products and solutions, including improving the efficiency and usability of existing products, developing new solutions, software, workflows and applications leveraging our core technologies. We have collaborated and expect to continue to collaborate with strategic partners to develop sequencing solutions and expand the application of our technology. On January 12, 2021, we entered into a multi-year Development and Commercialization Agreement (the “Development Agreement”) with Invitae Corporation (“Invitae”). We are currently renegotiating the terms of the Development Agreement. While we expect to continue to develop next generation high throughput sequencing platforms and products, we do not anticipate that Invitae will continue to provide funding support for future development under the Development Agreement. We expect to continue discussions with Invitae in connection with the Development Agreement to receive feedback and operational assistance and expertise which we will incorporate in the continued development of our high throughput sequencing platforms and products.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expect research and development expenses to increase in 2022, when compared to 2021, due to continued product development, a full year of expenses associated with the acquisition of Omniome and our intent to continue to hire additional personnel in research and development.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General and Administrative Expense</w:t>
      </w:r>
    </w:p>
    <w:p>
      <w:pPr>
        <w:spacing w:after="0" w:line="16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Sales, general and administrative expense increased by $13.7 million, or 52%, to $39.8 million for the three months ended March 31, 2022, compared to the three months ended March 31, 2021. This change was primarily driven by an increase of $5.9 million in stock-based compensation expense and an increase of $2.9 million in salaries and related expense due to increased headcount, which included quota-carrying sales representatives.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Sales, general and administrative expense is planned to increase in 2022, when compared to 2021, as we incur a full year of expenses associated with the acquisition of Omniome and our prior year headcount growth.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Contingent Consideration</w:t>
      </w:r>
    </w:p>
    <w:p>
      <w:pPr>
        <w:spacing w:after="0" w:line="1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Change in fair value of contingent consideration of $1.1 million during the three months ended March 31, 2022, represents the remeasurement impact of the contingent consideration of $200 million (composed of $100 million in cash and $100 million in shares of our common stock) that is due upon the achievement of a milestone, defined as the first commercial shipment to a customer of both an instrument and related consumables, utilizing SBB technology.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 from Continuation Advances from Illumina</w:t>
      </w:r>
    </w:p>
    <w:p>
      <w:pPr>
        <w:spacing w:after="0" w:line="1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As part of the Termination Agreement, Illumina paid us Continuation Advances totaling $52.0 million, which was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11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2"/>
          <w:szCs w:val="12"/>
          <w:color w:val="auto"/>
        </w:rPr>
        <w:t>Resulting from the issuance and sale of $900 million of 1.50% Convertible Senior Notes due February 15, 2028, $52.0 million of Continuation Advances were paid without interest to Illumina in February 2021 and recorded as other expense in the three months ended March 31,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Interest expense for the three months ended March 31, 2022, was $3.7 million compared to $1.8 million for the three months ended March 31, 2021. The increase was primarily due to the full quarter interest incurred on the $900 million of 1.50% Convertible Senior Notes due February 15, 2028 that we issued on February 16,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Income, Net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increase in Other (expense) income, net was primarily driven by greater foreign exchange loss for the three months ended March 31, 2022.</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Our primary sources of liquidity, other than our holdings of cash, cash equivalents, and investments, has primarily been through the issuance of debt or equity securities, together with cash flow from operating activities. We have historically incurred, and expect to continue to incur, operating losses and generate negative cash flows from operations on an annual basis due to the investments we intend to make as described in Results of Operations above, and as a result, we may require additional capital resources to execute our strategic initiatives to grow our business.</w:t>
      </w:r>
    </w:p>
    <w:p>
      <w:pPr>
        <w:spacing w:after="0" w:line="1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As of March 31, 2022, we had cash, cash equivalents and investments of $962.8 million compared to $1.04 billion as of December 31, 2021. We have historically incurred, and expect to continue to incur, operating losses and generate negative cash flows from operations on an annual basis due to the investments we intend to make as described in “—Results of Operations” above, and as a result, we may require additional capital resources to execute on our strategic initiatives to grow our business. We believe that our existing cash, cash equivalents and investments will be sufficient to fund our projected operating requirements for at least the next 12 months from the date of filing of this Quarterly Report on Form 10-Q for the quarter ended March 31, 2022.</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Factors that may affect our capital needs include, but are not limited to, the pace of adoption of our products, which affects the sales of our products and services; our ability to obtain new collaboration and customer arrangements and maintain existing collaborations and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acquisitions of complementary businesses, technologies or assets; and other factors. There can be no assurance that funds will be available on favorable terms, or at all.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Summary of Cash Flows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1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6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0" w:type="dxa"/>
            <w:vAlign w:val="bottom"/>
          </w:tcPr>
          <w:p>
            <w:pPr>
              <w:spacing w:after="0"/>
              <w:rPr>
                <w:sz w:val="1"/>
                <w:szCs w:val="1"/>
                <w:color w:val="auto"/>
              </w:rPr>
            </w:pPr>
          </w:p>
        </w:tc>
      </w:tr>
      <w:tr>
        <w:trPr>
          <w:trHeight w:val="115"/>
        </w:trPr>
        <w:tc>
          <w:tcPr>
            <w:tcW w:w="8100" w:type="dxa"/>
            <w:vAlign w:val="bottom"/>
            <w:tcBorders>
              <w:bottom w:val="single" w:sz="8" w:color="CCEEFF"/>
            </w:tcBorders>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15"/>
        </w:trPr>
        <w:tc>
          <w:tcPr>
            <w:tcW w:w="81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Cash used in operating activities</w:t>
            </w:r>
          </w:p>
        </w:tc>
        <w:tc>
          <w:tcPr>
            <w:tcW w:w="3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(79,029)</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(23,104)</w:t>
            </w:r>
          </w:p>
        </w:tc>
        <w:tc>
          <w:tcPr>
            <w:tcW w:w="0" w:type="dxa"/>
            <w:vAlign w:val="bottom"/>
          </w:tcPr>
          <w:p>
            <w:pPr>
              <w:spacing w:after="0"/>
              <w:rPr>
                <w:sz w:val="1"/>
                <w:szCs w:val="1"/>
                <w:color w:val="auto"/>
              </w:rPr>
            </w:pPr>
          </w:p>
        </w:tc>
      </w:tr>
      <w:tr>
        <w:trPr>
          <w:trHeight w:val="126"/>
        </w:trPr>
        <w:tc>
          <w:tcPr>
            <w:tcW w:w="81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Cash provided by investing activities</w:t>
            </w:r>
          </w:p>
        </w:tc>
        <w:tc>
          <w:tcPr>
            <w:tcW w:w="360" w:type="dxa"/>
            <w:vAlign w:val="bottom"/>
          </w:tcPr>
          <w:p>
            <w:pPr>
              <w:spacing w:after="0"/>
              <w:rPr>
                <w:sz w:val="10"/>
                <w:szCs w:val="10"/>
                <w:color w:val="auto"/>
              </w:rPr>
            </w:pP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42,053</w:t>
            </w:r>
          </w:p>
        </w:tc>
        <w:tc>
          <w:tcPr>
            <w:tcW w:w="36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8,170</w:t>
            </w:r>
          </w:p>
        </w:tc>
        <w:tc>
          <w:tcPr>
            <w:tcW w:w="0" w:type="dxa"/>
            <w:vAlign w:val="bottom"/>
          </w:tcPr>
          <w:p>
            <w:pPr>
              <w:spacing w:after="0"/>
              <w:rPr>
                <w:sz w:val="1"/>
                <w:szCs w:val="1"/>
                <w:color w:val="auto"/>
              </w:rPr>
            </w:pPr>
          </w:p>
        </w:tc>
      </w:tr>
      <w:tr>
        <w:trPr>
          <w:trHeight w:val="126"/>
        </w:trPr>
        <w:tc>
          <w:tcPr>
            <w:tcW w:w="8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Cash provided by financing activities</w:t>
            </w:r>
          </w:p>
        </w:tc>
        <w:tc>
          <w:tcPr>
            <w:tcW w:w="36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5,215</w:t>
            </w:r>
          </w:p>
        </w:tc>
        <w:tc>
          <w:tcPr>
            <w:tcW w:w="10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865,721</w:t>
            </w:r>
          </w:p>
        </w:tc>
        <w:tc>
          <w:tcPr>
            <w:tcW w:w="0" w:type="dxa"/>
            <w:vAlign w:val="bottom"/>
          </w:tcPr>
          <w:p>
            <w:pPr>
              <w:spacing w:after="0"/>
              <w:rPr>
                <w:sz w:val="1"/>
                <w:szCs w:val="1"/>
                <w:color w:val="auto"/>
              </w:rPr>
            </w:pPr>
          </w:p>
        </w:tc>
      </w:tr>
      <w:tr>
        <w:trPr>
          <w:trHeight w:val="122"/>
        </w:trPr>
        <w:tc>
          <w:tcPr>
            <w:tcW w:w="81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Net (decrease) increase in cash, cash equivalents and restricted cash</w:t>
            </w:r>
          </w:p>
        </w:tc>
        <w:tc>
          <w:tcPr>
            <w:tcW w:w="36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(31,761)</w:t>
            </w:r>
          </w:p>
        </w:tc>
        <w:tc>
          <w:tcPr>
            <w:tcW w:w="100" w:type="dxa"/>
            <w:vAlign w:val="bottom"/>
          </w:tcPr>
          <w:p>
            <w:pPr>
              <w:spacing w:after="0"/>
              <w:rPr>
                <w:sz w:val="10"/>
                <w:szCs w:val="10"/>
                <w:color w:val="auto"/>
              </w:rPr>
            </w:pPr>
          </w:p>
        </w:tc>
        <w:tc>
          <w:tcPr>
            <w:tcW w:w="3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850,787</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Operating Activities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primary uses of cash in operating activities include the development of future products and product enhancements, manufacturing, and support functions related to our sales, general and administrative activities.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used $79.0 million of cash in operating activities for the three months ended March 31, 2022, compared to cash used in operating activities of $23.1 million for the three months ended March 31, 2021.</w:t>
      </w:r>
    </w:p>
    <w:p>
      <w:pPr>
        <w:spacing w:after="0" w:line="1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Cash used in operating activities for the three months ended March 31, 2022, of $79.0 million was due primarily to a $81.5 million net loss that included non-cash items such as stock-based compensation of $22.7 million, depreciation expense of $2.3 million, amortization of right-of-use assets of $1.7 million, a $1.1 million decrease in liability due to the change in estimated fair value of contingent consideration, and a net cash outflow due to $24.4 million in net changes to operating assets and liabilities. The change in net operating assets and liabilities was primarily attributable to a decrease of $17.2 million in accrued expenses, $6.3 million increase in inventory, $3.6 million increase in accounts receivable, $2.5 million decrease in other liabilities, $1.9 million decrease in operating lease liabilities, $1.2 million increase in prepaid and other assets partially offset by an increase of $6.4 million in accounts payable and $1.9 million increase in deferred revenue.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Cash used in operating activities for the three months ended March 31, 2021, was due primarily to $87.4 million net loss, partially offset by a loss of $52.0 million from Continuation Advances repaid to Illumina that is considered a financing activity and non-cash items such as stock-based compensation of $10.2 million and depreciation of $1.6 million. The change in net operating assets and liabilities was primarily attributable to decreases of $3.0 million in other liabilities and $2.7 million in accrued expenses and an increase of $2.6 million in inventory, partially offset by a decrease of $3.9 million in accounts receivable and an increase of $5.0 million in deferred revenue.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Investing Activities</w:t>
      </w:r>
    </w:p>
    <w:p>
      <w:pPr>
        <w:spacing w:after="0" w:line="1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Our investing activities consist primarily of capital expenditures and investment purchases, sales and maturities. Cash provided by investing activities for the three months ended March 31, 2022, was due primarily to $122.1 million in maturities of investments offset by net purchases of investments of $76.4 million, and partially offset by purchases of property and equipment of $3.6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provided by investing activities for the three months ended March 31, 2021, was due primarily to net sales and maturities of investments of $8.6 million, partially offset by purchases of property and equipment of $0.4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Financing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provided by financing activities was $5.2 million and $865.7 million for the three months ended March 31, 2022 and 2021,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provided by financing activities during the three months ended March 31, 2022, resulted from proceeds of $5.6 million from the issuance of common stock through our equity compensation plans.</w:t>
      </w:r>
    </w:p>
    <w:p>
      <w:pPr>
        <w:spacing w:after="0" w:line="13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Cash provided by financing activities during the three months ended March 31, 2021, resulted from the net proceeds of $895.6 million from our February 2021 issuance of $900 million of 1.50% Convertible Senior Notes after deducting debt issuance costs and proceeds of $22.3 million from the issuance of common stock through our equity compensation plans, partially offset by $52.0 million of Continuation Advances repaid to Illumina.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There have been no changes to our significant accounting policies as disclosed in the Annual Report on Form 10-K for the year ended December 31, 2021, however, as a result of certain changes to the standard contractual terms and conditions with customers implemented during the quarter ended March 31, 2022, we concluded a change in the application of our accounting policy, in accordance with ASC 606, was appropriate.</w:t>
      </w:r>
    </w:p>
    <w:p>
      <w:pPr>
        <w:spacing w:after="0" w:line="1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Specifically, we modified the standard contractual terms with customers during the current quarter, to reflect transfer of title and risk of loss and right to invoice upon delivery. We also updated the terms of the warranty provided with the instrument to remove the service component. As a result, the warranty is no longer a separate performance obligation and, accordingly, we accrue for the cost of the assurance warranty when revenue of the instrument is recognized. In addition, because of technical enhancements associated with our more recent instrument releases, including the Sequel IIe systems, installation services are now distinct from the instrument itself. Therefore,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instrument revenue is now recognized upon transfer of control of the asset to the customer, which is generally upon delivery for sales made to our non-distributor customers.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2" w:lineRule="exact"/>
        <w:rPr>
          <w:sz w:val="20"/>
          <w:szCs w:val="20"/>
          <w:color w:val="auto"/>
        </w:rPr>
      </w:pPr>
    </w:p>
    <w:p>
      <w:pPr>
        <w:jc w:val="both"/>
        <w:ind w:right="20"/>
        <w:spacing w:after="0" w:line="314" w:lineRule="auto"/>
        <w:rPr>
          <w:sz w:val="20"/>
          <w:szCs w:val="20"/>
          <w:color w:val="auto"/>
        </w:rPr>
      </w:pPr>
      <w:r>
        <w:rPr>
          <w:rFonts w:ascii="Times New Roman" w:cs="Times New Roman" w:eastAsia="Times New Roman" w:hAnsi="Times New Roman"/>
          <w:sz w:val="12"/>
          <w:szCs w:val="12"/>
          <w:color w:val="auto"/>
        </w:rPr>
        <w:t xml:space="preserve">Please see </w:t>
      </w:r>
      <w:r>
        <w:rPr>
          <w:rFonts w:ascii="Times New Roman" w:cs="Times New Roman" w:eastAsia="Times New Roman" w:hAnsi="Times New Roman"/>
          <w:sz w:val="12"/>
          <w:szCs w:val="12"/>
          <w:i w:val="1"/>
          <w:iCs w:val="1"/>
          <w:u w:val="single" w:color="auto"/>
          <w:color w:val="0000FF"/>
        </w:rPr>
        <w:t>Note 1. Organization and Significant Accounting Policies</w:t>
      </w:r>
      <w:r>
        <w:rPr>
          <w:rFonts w:ascii="Times New Roman" w:cs="Times New Roman" w:eastAsia="Times New Roman" w:hAnsi="Times New Roman"/>
          <w:sz w:val="12"/>
          <w:szCs w:val="12"/>
          <w:color w:val="auto"/>
        </w:rPr>
        <w:t>, subsection titled “Recent Accounting Pronouncements”, in Part II, Item 8 of the Annual Report on Form 10-K for information regarding applicable recent accounting pronouncements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Arrangements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2022, we did not have any off-balance sheet arrangements.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Times New Roman" w:cs="Times New Roman" w:eastAsia="Times New Roman" w:hAnsi="Times New Roman"/>
          <w:sz w:val="12"/>
          <w:szCs w:val="12"/>
          <w:i w:val="1"/>
          <w:iCs w:val="1"/>
          <w:u w:val="single" w:color="auto"/>
          <w:color w:val="0000FF"/>
        </w:rPr>
        <w:t>Note 8. Commitments and Contingencies</w:t>
      </w:r>
      <w:r>
        <w:rPr>
          <w:rFonts w:ascii="Times New Roman" w:cs="Times New Roman" w:eastAsia="Times New Roman" w:hAnsi="Times New Roman"/>
          <w:sz w:val="12"/>
          <w:szCs w:val="12"/>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March 31, 2022.</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Rate and Market Risk</w:t>
      </w:r>
    </w:p>
    <w:p>
      <w:pPr>
        <w:spacing w:after="0" w:line="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 xml:space="preserve">We carry our convertible senior notes at the principal amount, less unamortized debt issuance costs, on our Condensed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w:t>
      </w:r>
      <w:r>
        <w:rPr>
          <w:rFonts w:ascii="Times New Roman" w:cs="Times New Roman" w:eastAsia="Times New Roman" w:hAnsi="Times New Roman"/>
          <w:sz w:val="12"/>
          <w:szCs w:val="12"/>
          <w:i w:val="1"/>
          <w:iCs w:val="1"/>
          <w:u w:val="single" w:color="auto"/>
          <w:color w:val="0000FF"/>
        </w:rPr>
        <w:t>Note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u w:val="single" w:color="auto"/>
          <w:color w:val="0000FF"/>
        </w:rPr>
        <w:t>Convertible Senior Notes</w:t>
      </w:r>
      <w:r>
        <w:rPr>
          <w:rFonts w:ascii="Times New Roman" w:cs="Times New Roman" w:eastAsia="Times New Roman" w:hAnsi="Times New Roman"/>
          <w:sz w:val="12"/>
          <w:szCs w:val="12"/>
          <w:i w:val="1"/>
          <w:iCs w:val="1"/>
          <w:color w:val="0000FF"/>
        </w:rPr>
        <w:t xml:space="preserve"> </w:t>
      </w:r>
      <w:r>
        <w:rPr>
          <w:rFonts w:ascii="Times New Roman" w:cs="Times New Roman" w:eastAsia="Times New Roman" w:hAnsi="Times New Roman"/>
          <w:sz w:val="12"/>
          <w:szCs w:val="12"/>
          <w:color w:val="000000"/>
        </w:rPr>
        <w:t>in Part I, Item 1 of this Form 10-Q for additional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have been no other material changes in market risk from the information provided in our Annual Report on Form 10-K for the fiscal year ended December 31, 2021.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5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35"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2"/>
          <w:szCs w:val="12"/>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March 31, 2022 that materially affected, or is reasonably likely to materially affect, our internal control over financial reporting. There were no material changes in our internal control over financial reporting during the fiscal quarter ended March 31, 2022, that have materially affected, or were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 xml:space="preserve">Please see </w:t>
      </w:r>
      <w:r>
        <w:rPr>
          <w:rFonts w:ascii="Times New Roman" w:cs="Times New Roman" w:eastAsia="Times New Roman" w:hAnsi="Times New Roman"/>
          <w:sz w:val="12"/>
          <w:szCs w:val="12"/>
          <w:i w:val="1"/>
          <w:iCs w:val="1"/>
          <w:u w:val="single" w:color="auto"/>
          <w:color w:val="0000FF"/>
        </w:rPr>
        <w:t>Note 8. Commitments and Contingencies</w:t>
      </w:r>
      <w:r>
        <w:rPr>
          <w:rFonts w:ascii="Times New Roman" w:cs="Times New Roman" w:eastAsia="Times New Roman" w:hAnsi="Times New Roman"/>
          <w:sz w:val="12"/>
          <w:szCs w:val="12"/>
          <w:color w:val="auto"/>
        </w:rPr>
        <w:t xml:space="preserve"> in Part I, Item 1 of this Quarterly Report on Form 10-Q.</w:t>
      </w:r>
    </w:p>
    <w:p>
      <w:pPr>
        <w:spacing w:after="0" w:line="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2"/>
          <w:szCs w:val="12"/>
          <w:b w:val="1"/>
          <w:bCs w:val="1"/>
          <w:color w:val="auto"/>
        </w:rPr>
        <w:t>Risk Factors</w:t>
      </w:r>
    </w:p>
    <w:p>
      <w:pPr>
        <w:spacing w:after="0" w:line="134" w:lineRule="exact"/>
        <w:rPr>
          <w:sz w:val="20"/>
          <w:szCs w:val="20"/>
          <w:color w:val="auto"/>
        </w:rPr>
      </w:pPr>
    </w:p>
    <w:p>
      <w:pPr>
        <w:jc w:val="both"/>
        <w:ind w:left="20"/>
        <w:spacing w:after="0" w:line="236" w:lineRule="auto"/>
        <w:rPr>
          <w:sz w:val="20"/>
          <w:szCs w:val="20"/>
          <w:color w:val="auto"/>
        </w:rPr>
      </w:pPr>
      <w:r>
        <w:rPr>
          <w:rFonts w:ascii="Times New Roman" w:cs="Times New Roman" w:eastAsia="Times New Roman" w:hAnsi="Times New Roman"/>
          <w:sz w:val="12"/>
          <w:szCs w:val="12"/>
          <w:i w:val="1"/>
          <w:iCs w:val="1"/>
          <w:color w:val="auto"/>
        </w:rPr>
        <w:t>You should consider carefully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the ongoing COVID -19 pandemic and any worsening of the economic environment may exacerbate the risks described below, any of which could have a material impact on us. This situation is changing rapidly and additional impacts may arise that we are not aware of currently.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Summary Risk Factors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potential adverse impact of health epidemics, including the ongoing COVID-19 pandemic;</w:t>
      </w:r>
    </w:p>
    <w:p>
      <w:pPr>
        <w:spacing w:after="0" w:line="42" w:lineRule="exact"/>
        <w:rPr>
          <w:sz w:val="20"/>
          <w:szCs w:val="20"/>
          <w:color w:val="auto"/>
        </w:rPr>
      </w:pPr>
    </w:p>
    <w:p>
      <w:pPr>
        <w:ind w:left="440" w:right="5080"/>
        <w:spacing w:after="0" w:line="313" w:lineRule="auto"/>
        <w:rPr>
          <w:sz w:val="20"/>
          <w:szCs w:val="20"/>
          <w:color w:val="auto"/>
        </w:rPr>
      </w:pPr>
      <w:r>
        <w:rPr>
          <w:rFonts w:ascii="Times New Roman" w:cs="Times New Roman" w:eastAsia="Times New Roman" w:hAnsi="Times New Roman"/>
          <w:sz w:val="12"/>
          <w:szCs w:val="12"/>
          <w:color w:val="auto"/>
        </w:rPr>
        <w:t>Our ability to successfully market, commercialize, and sell current and future products and related maintenance services; Our ability to achieve profitability for our business;</w:t>
      </w:r>
    </w:p>
    <w:p>
      <w:pPr>
        <w:ind w:left="220"/>
        <w:spacing w:after="0"/>
        <w:rPr>
          <w:sz w:val="20"/>
          <w:szCs w:val="20"/>
          <w:color w:val="auto"/>
        </w:rPr>
      </w:pPr>
      <w:r>
        <w:rPr>
          <w:rFonts w:ascii="Times New Roman" w:cs="Times New Roman" w:eastAsia="Times New Roman" w:hAnsi="Times New Roman"/>
          <w:sz w:val="12"/>
          <w:szCs w:val="12"/>
          <w:color w:val="auto"/>
        </w:rPr>
        <w:t>Our ability to successfully leverage and integrate our acquisitions and future acquisitions;</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ability to successfully research, develop and timely manufacture our current and future products;</w:t>
      </w:r>
    </w:p>
    <w:p>
      <w:pPr>
        <w:spacing w:after="0" w:line="42" w:lineRule="exact"/>
        <w:rPr>
          <w:sz w:val="20"/>
          <w:szCs w:val="20"/>
          <w:color w:val="auto"/>
        </w:rPr>
      </w:pPr>
    </w:p>
    <w:p>
      <w:pPr>
        <w:ind w:left="440" w:right="4280"/>
        <w:spacing w:after="0" w:line="313" w:lineRule="auto"/>
        <w:rPr>
          <w:sz w:val="20"/>
          <w:szCs w:val="20"/>
          <w:color w:val="auto"/>
        </w:rPr>
      </w:pPr>
      <w:r>
        <w:rPr>
          <w:rFonts w:ascii="Times New Roman" w:cs="Times New Roman" w:eastAsia="Times New Roman" w:hAnsi="Times New Roman"/>
          <w:sz w:val="12"/>
          <w:szCs w:val="12"/>
          <w:color w:val="auto"/>
        </w:rPr>
        <w:t>Management of new product introductions and transitions, resultant costs, and ability of new products to generate promised performance; Recent significant changes to our leadership team and resultant disruptions to our business;</w:t>
      </w:r>
    </w:p>
    <w:p>
      <w:pPr>
        <w:ind w:left="440" w:right="5980"/>
        <w:spacing w:after="0" w:line="341" w:lineRule="auto"/>
        <w:rPr>
          <w:sz w:val="20"/>
          <w:szCs w:val="20"/>
          <w:color w:val="auto"/>
        </w:rPr>
      </w:pPr>
      <w:r>
        <w:rPr>
          <w:rFonts w:ascii="Times New Roman" w:cs="Times New Roman" w:eastAsia="Times New Roman" w:hAnsi="Times New Roman"/>
          <w:sz w:val="11"/>
          <w:szCs w:val="11"/>
          <w:color w:val="auto"/>
        </w:rPr>
        <w:t>Retention, recruitment, and training of senior management, key personnel, scientists and engineers; Our ability to further penetrate nucleic acid sequencing applications, as well as grow product demand;</w:t>
      </w:r>
    </w:p>
    <w:p>
      <w:pPr>
        <w:ind w:left="220"/>
        <w:spacing w:after="0"/>
        <w:rPr>
          <w:sz w:val="20"/>
          <w:szCs w:val="20"/>
          <w:color w:val="auto"/>
        </w:rPr>
      </w:pPr>
      <w:r>
        <w:rPr>
          <w:rFonts w:ascii="Times New Roman" w:cs="Times New Roman" w:eastAsia="Times New Roman" w:hAnsi="Times New Roman"/>
          <w:sz w:val="12"/>
          <w:szCs w:val="12"/>
          <w:color w:val="auto"/>
        </w:rPr>
        <w:t>Our reliance on outsourcing to other companies for manufacturing certain components and sub-assemblies, some of which are sole-sourced;</w:t>
      </w:r>
    </w:p>
    <w:p>
      <w:pPr>
        <w:spacing w:after="0" w:line="42" w:lineRule="exact"/>
        <w:rPr>
          <w:sz w:val="20"/>
          <w:szCs w:val="20"/>
          <w:color w:val="auto"/>
        </w:rPr>
      </w:pPr>
    </w:p>
    <w:p>
      <w:pPr>
        <w:ind w:left="440" w:right="3540"/>
        <w:spacing w:after="0" w:line="313" w:lineRule="auto"/>
        <w:rPr>
          <w:sz w:val="20"/>
          <w:szCs w:val="20"/>
          <w:color w:val="auto"/>
        </w:rPr>
      </w:pPr>
      <w:r>
        <w:rPr>
          <w:rFonts w:ascii="Times New Roman" w:cs="Times New Roman" w:eastAsia="Times New Roman" w:hAnsi="Times New Roman"/>
          <w:sz w:val="12"/>
          <w:szCs w:val="12"/>
          <w:color w:val="auto"/>
        </w:rPr>
        <w:t>Our ability to consistently manufacture our instruments and consumables to meet customers’ specifications, quantity, cost, or performance requirements; The high amount of competition we face in our industry;</w:t>
      </w:r>
    </w:p>
    <w:p>
      <w:pPr>
        <w:ind w:left="220"/>
        <w:spacing w:after="0"/>
        <w:rPr>
          <w:sz w:val="20"/>
          <w:szCs w:val="20"/>
          <w:color w:val="auto"/>
        </w:rPr>
      </w:pPr>
      <w:r>
        <w:rPr>
          <w:rFonts w:ascii="Times New Roman" w:cs="Times New Roman" w:eastAsia="Times New Roman" w:hAnsi="Times New Roman"/>
          <w:sz w:val="12"/>
          <w:szCs w:val="12"/>
          <w:color w:val="auto"/>
        </w:rPr>
        <w:t>Our ability to attract customers and increase sales of current and future products;</w:t>
      </w:r>
    </w:p>
    <w:p>
      <w:pPr>
        <w:spacing w:after="0" w:line="42" w:lineRule="exact"/>
        <w:rPr>
          <w:sz w:val="20"/>
          <w:szCs w:val="20"/>
          <w:color w:val="auto"/>
        </w:rPr>
      </w:pPr>
    </w:p>
    <w:p>
      <w:pPr>
        <w:ind w:left="440" w:right="4020"/>
        <w:spacing w:after="0" w:line="313" w:lineRule="auto"/>
        <w:rPr>
          <w:sz w:val="20"/>
          <w:szCs w:val="20"/>
          <w:color w:val="auto"/>
        </w:rPr>
      </w:pPr>
      <w:r>
        <w:rPr>
          <w:rFonts w:ascii="Times New Roman" w:cs="Times New Roman" w:eastAsia="Times New Roman" w:hAnsi="Times New Roman"/>
          <w:sz w:val="12"/>
          <w:szCs w:val="12"/>
          <w:color w:val="auto"/>
        </w:rPr>
        <w:t>Reliance on a limited number of customers for a significant portion of our revenues, including academic, research and government institutions; The complexity of our products giving rise to defects or errors;</w:t>
      </w:r>
    </w:p>
    <w:p>
      <w:pPr>
        <w:ind w:left="220"/>
        <w:spacing w:after="0"/>
        <w:rPr>
          <w:sz w:val="20"/>
          <w:szCs w:val="20"/>
          <w:color w:val="auto"/>
        </w:rPr>
      </w:pPr>
      <w:r>
        <w:rPr>
          <w:rFonts w:ascii="Times New Roman" w:cs="Times New Roman" w:eastAsia="Times New Roman" w:hAnsi="Times New Roman"/>
          <w:sz w:val="12"/>
          <w:szCs w:val="12"/>
          <w:color w:val="auto"/>
        </w:rPr>
        <w:t>Our unpredictable and lengthy sales cycle;</w:t>
      </w:r>
    </w:p>
    <w:p>
      <w:pPr>
        <w:spacing w:after="0" w:line="42" w:lineRule="exact"/>
        <w:rPr>
          <w:sz w:val="20"/>
          <w:szCs w:val="20"/>
          <w:color w:val="auto"/>
        </w:rPr>
      </w:pPr>
    </w:p>
    <w:p>
      <w:pPr>
        <w:ind w:left="5600" w:right="1220" w:hanging="5160"/>
        <w:spacing w:after="0" w:line="295" w:lineRule="auto"/>
        <w:rPr>
          <w:sz w:val="20"/>
          <w:szCs w:val="20"/>
          <w:color w:val="auto"/>
        </w:rPr>
      </w:pPr>
      <w:r>
        <w:rPr>
          <w:rFonts w:ascii="Times New Roman" w:cs="Times New Roman" w:eastAsia="Times New Roman" w:hAnsi="Times New Roman"/>
          <w:sz w:val="12"/>
          <w:szCs w:val="12"/>
          <w:color w:val="auto"/>
        </w:rPr>
        <w:t>Our business, financial condition and results of operations could be adversely affected by the political and economic tensions between the United States and other countries, including China and Russia;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120"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39" w:lineRule="exact"/>
        <w:rPr>
          <w:sz w:val="20"/>
          <w:szCs w:val="20"/>
          <w:color w:val="auto"/>
        </w:rPr>
      </w:pPr>
    </w:p>
    <w:p>
      <w:pPr>
        <w:ind w:left="420" w:right="5280"/>
        <w:spacing w:after="0" w:line="313" w:lineRule="auto"/>
        <w:rPr>
          <w:sz w:val="20"/>
          <w:szCs w:val="20"/>
          <w:color w:val="auto"/>
        </w:rPr>
      </w:pPr>
      <w:r>
        <w:rPr>
          <w:rFonts w:ascii="Times New Roman" w:cs="Times New Roman" w:eastAsia="Times New Roman" w:hAnsi="Times New Roman"/>
          <w:sz w:val="12"/>
          <w:szCs w:val="12"/>
          <w:color w:val="auto"/>
        </w:rPr>
        <w:t>Securing and maintaining patent or other intellectual property protection for our products and related improvements; Current and future legal proceedings filed against us claiming intellectual property infringement;</w:t>
      </w:r>
    </w:p>
    <w:p>
      <w:pPr>
        <w:ind w:left="420" w:right="6580"/>
        <w:spacing w:after="0" w:line="313" w:lineRule="auto"/>
        <w:rPr>
          <w:sz w:val="20"/>
          <w:szCs w:val="20"/>
          <w:color w:val="auto"/>
        </w:rPr>
      </w:pPr>
      <w:r>
        <w:rPr>
          <w:rFonts w:ascii="Times New Roman" w:cs="Times New Roman" w:eastAsia="Times New Roman" w:hAnsi="Times New Roman"/>
          <w:sz w:val="12"/>
          <w:szCs w:val="12"/>
          <w:color w:val="auto"/>
        </w:rPr>
        <w:t>Governmental regulations that burden operations or narrow the market for our products; Evolving ethical, legal, privacy, social, and regulatory concerns regarding genetic testing; Volatility of the price of our common stock; and</w:t>
      </w:r>
    </w:p>
    <w:p>
      <w:pPr>
        <w:ind w:left="200"/>
        <w:spacing w:after="0"/>
        <w:rPr>
          <w:sz w:val="20"/>
          <w:szCs w:val="20"/>
          <w:color w:val="auto"/>
        </w:rPr>
      </w:pPr>
      <w:r>
        <w:rPr>
          <w:rFonts w:ascii="Times New Roman" w:cs="Times New Roman" w:eastAsia="Times New Roman" w:hAnsi="Times New Roman"/>
          <w:sz w:val="12"/>
          <w:szCs w:val="12"/>
          <w:color w:val="auto"/>
        </w:rPr>
        <w:t>Our stock price falling as a result of future offerings or sales.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adversely affected by health epidemics, including the ongoing COVID-19 pandemic.</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Our business has been and could be further adversely impacted by the effects of COVID-19 or other epidemics or pandemics. As a result of the ongoing COVID-19 pandemic, our financial results continue to be impacted negatively as our customers in multiple regions around the world suspended or curtailed their normal operations in efforts to curb the spread of COVID-19. While a significant number of our customer sites that shut down due to COVID-19 have re-opened, a significant number of our customers had delayed purchases of capital assets due to the negative impact of the pandemic on their businesses. This dynamic continues to negatively impact the recognition of revenue related to the sale of our Sequel and Sequel II/IIe instruments and the associated consumables and software. The inability to receive or accept shipments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We are continuing to monitor this evolving situation.</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 For example, because our semiconductor manufacturers are located in a region where immunization rates in certain communities may be low, the Omicron variant of COVID-19, as well as any future variants that evolve, could impact workforce availability at those locations and disrupt supply. For example, in response to the rising COVID-19 infections, China has imposed lockdowns in certain parts of the country, which has had, and may continue to have, a negative impact on manufacturing and/or supply chains, as well as customer demand for our products and demand through certain distributors.</w:t>
      </w:r>
    </w:p>
    <w:p>
      <w:pPr>
        <w:spacing w:after="0" w:line="11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The spread of COVID-19 has caused us to modify our business practices, including limiting certain of our commercial operations and limiting certain employees from working in the office. Starting in April 2022, we invited employees located near those reopened offices to return to the office. The reopening of our U.S. offices has created and may continue to create additional risks and operational challenges and may require us to make additional investments in the design, implementation and enforcement of new workplace health and safety protocols. Even if we follow what we believe to be best practices, our efforts to reopen our offices safely may not be successful and could expose our employees, partners and customers to health risks, and us to associated liability. Furthermore, additional and/or extended governmental restrictions, new regulations or other changing conditions could cause us to temporarily close certain office locations again. We have offered, and may plan to continue to offer, a significant percentage 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1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13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2"/>
          <w:szCs w:val="12"/>
          <w:color w:val="auto"/>
        </w:rPr>
        <w:t>In September 2015, we launched the PacBio Sequel</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System, and concurrently began phasing out production of PacBio RS II instruments, and, in April 2019 we announced the commercial launch of the Sequel II System. In October 2020, we launched the Sequel IIe System, which has increased computational capacity, and is designed to enable customers to generate PacBio HiFi reads more efficiently. In April 2021, we released a new HiFi sequencing workflow allowing for more accurate HiFi reads with limited sample quantities. At March 31, 2022, our installed based was 424 Sequel II and Sequel IIe systems compared to the 244 systems as of March 31, 2021, and we expect the number of Sequel II/IIe placements to continue to grow during 2022.</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We have made and expect to continue making substantial investments to develop new products and enhance our existing products through our acquisitions and research and development efforts. For example, we are developing a SBB short read sequencing platform. However, due to challenges we may experience in developing and marketing our existing products and launching new products, we may not be able to effectively:</w:t>
      </w:r>
    </w:p>
    <w:p>
      <w:pPr>
        <w:spacing w:after="0" w:line="210" w:lineRule="exact"/>
        <w:rPr>
          <w:sz w:val="20"/>
          <w:szCs w:val="20"/>
          <w:color w:val="auto"/>
        </w:rPr>
      </w:pPr>
    </w:p>
    <w:p>
      <w:pPr>
        <w:ind w:left="720" w:right="340"/>
        <w:spacing w:after="0" w:line="320" w:lineRule="auto"/>
        <w:rPr>
          <w:sz w:val="20"/>
          <w:szCs w:val="20"/>
          <w:color w:val="auto"/>
        </w:rPr>
      </w:pPr>
      <w:r>
        <w:rPr>
          <w:rFonts w:ascii="Times New Roman" w:cs="Times New Roman" w:eastAsia="Times New Roman" w:hAnsi="Times New Roman"/>
          <w:sz w:val="12"/>
          <w:szCs w:val="12"/>
          <w:color w:val="auto"/>
        </w:rPr>
        <w:t>manage the timeliness of our new product introductions and the rate at which sales of our new products may cannibalize sales of our older products or manage sales and marketing of multiple sequencing platforms; drive adoption of our current and future products, including the Sequel II/IIe Systems and products under development related to our emerging SBB technology;</w:t>
      </w:r>
    </w:p>
    <w:p>
      <w:pPr>
        <w:spacing w:after="0" w:line="1" w:lineRule="exact"/>
        <w:rPr>
          <w:sz w:val="20"/>
          <w:szCs w:val="20"/>
          <w:color w:val="auto"/>
        </w:rPr>
      </w:pPr>
    </w:p>
    <w:p>
      <w:pPr>
        <w:ind w:left="720" w:right="5960"/>
        <w:spacing w:after="0" w:line="320" w:lineRule="auto"/>
        <w:rPr>
          <w:sz w:val="20"/>
          <w:szCs w:val="20"/>
          <w:color w:val="auto"/>
        </w:rPr>
      </w:pPr>
      <w:r>
        <w:rPr>
          <w:rFonts w:ascii="Times New Roman" w:cs="Times New Roman" w:eastAsia="Times New Roman" w:hAnsi="Times New Roman"/>
          <w:sz w:val="12"/>
          <w:szCs w:val="12"/>
          <w:color w:val="auto"/>
        </w:rPr>
        <w:t>maintain our competitive position by continuing to attract and retain customers for our products; provide appropriate levels of customer training and support for our products;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implement an effective marketing strategy to promote awareness of our products;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develop and implement an effective sales and distribution strategy for our current and future products;</w:t>
      </w:r>
    </w:p>
    <w:p>
      <w:pPr>
        <w:spacing w:after="0" w:line="42" w:lineRule="exact"/>
        <w:rPr>
          <w:sz w:val="20"/>
          <w:szCs w:val="20"/>
          <w:color w:val="auto"/>
        </w:rPr>
      </w:pPr>
    </w:p>
    <w:p>
      <w:pPr>
        <w:ind w:left="720" w:right="2880"/>
        <w:spacing w:after="0" w:line="320" w:lineRule="auto"/>
        <w:rPr>
          <w:sz w:val="20"/>
          <w:szCs w:val="20"/>
          <w:color w:val="auto"/>
        </w:rPr>
      </w:pPr>
      <w:r>
        <w:rPr>
          <w:rFonts w:ascii="Times New Roman" w:cs="Times New Roman" w:eastAsia="Times New Roman" w:hAnsi="Times New Roman"/>
          <w:sz w:val="12"/>
          <w:szCs w:val="12"/>
          <w:color w:val="auto"/>
        </w:rPr>
        <w:t>develop, manufacture and commercialize new products or achieve an acceptable return on our manufacturing or research and development efforts and expenses; comply with regulatory requirements applicable to our products;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anticipate and adapt to changes in our market;</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accommodate customer expectations and demands with respect to our products, increase product adoption by our existing customers or develop new customer relationships;</w:t>
      </w: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deliver our future products in a timely manner to our customers;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grow our share by marketing and selling our products for new and additional applications;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manage the significant burdens that expanding our existing or future products into current and new markets may impose on marketing, compliance, and other administrative and managerial resources;</w:t>
      </w:r>
    </w:p>
    <w:p>
      <w:pPr>
        <w:spacing w:after="0" w:line="51"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29" w:lineRule="exact"/>
        <w:rPr>
          <w:sz w:val="20"/>
          <w:szCs w:val="20"/>
          <w:color w:val="auto"/>
        </w:rPr>
      </w:pPr>
    </w:p>
    <w:p>
      <w:pPr>
        <w:ind w:left="720" w:right="4760"/>
        <w:spacing w:after="0" w:line="313" w:lineRule="auto"/>
        <w:rPr>
          <w:sz w:val="20"/>
          <w:szCs w:val="20"/>
          <w:color w:val="auto"/>
        </w:rPr>
      </w:pPr>
      <w:r>
        <w:rPr>
          <w:rFonts w:ascii="Times New Roman" w:cs="Times New Roman" w:eastAsia="Times New Roman" w:hAnsi="Times New Roman"/>
          <w:sz w:val="12"/>
          <w:szCs w:val="12"/>
          <w:color w:val="auto"/>
        </w:rPr>
        <w:t>adapt or scale our manufacturing activities to meet performance specifications and potential demand at a reasonable cost; avoid infringement and misappropriation of third-party intellectual property;</w:t>
      </w:r>
    </w:p>
    <w:p>
      <w:pPr>
        <w:ind w:left="720" w:right="5140"/>
        <w:spacing w:after="0" w:line="320" w:lineRule="auto"/>
        <w:rPr>
          <w:sz w:val="20"/>
          <w:szCs w:val="20"/>
          <w:color w:val="auto"/>
        </w:rPr>
      </w:pPr>
      <w:r>
        <w:rPr>
          <w:rFonts w:ascii="Times New Roman" w:cs="Times New Roman" w:eastAsia="Times New Roman" w:hAnsi="Times New Roman"/>
          <w:sz w:val="12"/>
          <w:szCs w:val="12"/>
          <w:color w:val="auto"/>
        </w:rPr>
        <w:t>obtain and maintain any necessary licenses to third-party intellectual property on commercially reasonable terms; obtain valid and enforceable patents that give us a competitive advantage or enforce existing patents;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protect our proprietary technology; and</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attract, retain and motivate qualified personnel.</w:t>
      </w:r>
    </w:p>
    <w:p>
      <w:pPr>
        <w:spacing w:after="0" w:line="1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The risks noted above, especially with respect to the marketing, sales, and commercialization of our products, may be heightened by the impact of the COVID-19 pandemic.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incurred losses to date, and we expect to continue to incur significant losses as we develop our business and may never achieve profitability.</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Except for the quarters ended September 30, 2015 (as a result of a one-time gain on lease amendments), March 31, 2020 (as a result of the recognition of a gain relating to the Continuation Advances), December 31, 2020 (as a result of recognition of gain relating to the Reverse Termination Fee), September 30, 2021 (as a result of the recognition of a one-time income tax benefit from business acquisitions),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net losses since inception and our expectation of incurring substantial losses and negative cash flow for the foreseeable future could:</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make it more difficult for us to satisfy our obligations;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increase our vulnerability to general adverse economic and industry conditions;</w:t>
      </w:r>
    </w:p>
    <w:p>
      <w:pPr>
        <w:spacing w:after="0" w:line="42" w:lineRule="exact"/>
        <w:rPr>
          <w:sz w:val="20"/>
          <w:szCs w:val="20"/>
          <w:color w:val="auto"/>
        </w:rPr>
      </w:pPr>
    </w:p>
    <w:p>
      <w:pPr>
        <w:ind w:left="720" w:right="4420"/>
        <w:spacing w:after="0" w:line="320" w:lineRule="auto"/>
        <w:rPr>
          <w:sz w:val="20"/>
          <w:szCs w:val="20"/>
          <w:color w:val="auto"/>
        </w:rPr>
      </w:pPr>
      <w:r>
        <w:rPr>
          <w:rFonts w:ascii="Times New Roman" w:cs="Times New Roman" w:eastAsia="Times New Roman" w:hAnsi="Times New Roman"/>
          <w:sz w:val="12"/>
          <w:szCs w:val="12"/>
          <w:color w:val="auto"/>
        </w:rPr>
        <w:t>limit our ability to fund future working capital, capital expenditures, research and development and other business opportunities; increase the volatility of the price of our common stock;</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limit our flexibility to react to changes in our business and the industry in which we operate;</w:t>
      </w:r>
    </w:p>
    <w:p>
      <w:pPr>
        <w:spacing w:after="0" w:line="42" w:lineRule="exact"/>
        <w:rPr>
          <w:sz w:val="20"/>
          <w:szCs w:val="20"/>
          <w:color w:val="auto"/>
        </w:rPr>
      </w:pPr>
    </w:p>
    <w:p>
      <w:pPr>
        <w:ind w:left="720" w:right="5200"/>
        <w:spacing w:after="0" w:line="284" w:lineRule="auto"/>
        <w:rPr>
          <w:sz w:val="20"/>
          <w:szCs w:val="20"/>
          <w:color w:val="auto"/>
        </w:rPr>
      </w:pPr>
      <w:r>
        <w:rPr>
          <w:rFonts w:ascii="Times New Roman" w:cs="Times New Roman" w:eastAsia="Times New Roman" w:hAnsi="Times New Roman"/>
          <w:sz w:val="12"/>
          <w:szCs w:val="12"/>
          <w:color w:val="auto"/>
        </w:rPr>
        <w:t>place us at a disadvantage to other companies that offer nucleic acid sequencing equipment or consumables; and limit our ability to borrow additional funds.</w:t>
      </w: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 addition, inflationary pressure, including as a result of supply shortages, could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or all of the foregoing may have a material adverse effect on our business, operations, financial condition, and prospects.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not cash flow positive and may not have sufficient cash to make required payments under the terms of our debt or fund our long term planned operations.</w:t>
      </w:r>
    </w:p>
    <w:p>
      <w:pPr>
        <w:spacing w:after="0" w:line="14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and may further incur additional debt, including the debt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believe that our growth will depend, in part, on our ability to fund our commercialization efforts and our efforts to develop new products, including any improvements to the SMRT Cell 8M and Sequel II/IIe Systems and our planned development of a SBB short read sequencing platform.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1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We have made acquisitions and, in the future, may continue to acquire businesses, technologies or assets, form joint ventures or make other strategic investments with companies that could harm our operating results, dilute our stockholders’ ownership, or cause us to incur debt or significant expense.</w:t>
      </w:r>
    </w:p>
    <w:p>
      <w:pPr>
        <w:spacing w:after="0" w:line="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 For example, we entered into a multi-year Development and Commercialization Agreement with Invitae, whereby Invitae was providing us with funding to develop certain products relating to production-scale high-throughput sequencing. In July 2021, we acquired Circulomics and in September 2021, we acquired Omniome.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Acquisitions and strategic transactions involve numerous risks, any of which could harm our business and negatively affect our financial condition and results of operations, including:</w:t>
      </w:r>
    </w:p>
    <w:p>
      <w:pPr>
        <w:spacing w:after="0" w:line="51" w:lineRule="exact"/>
        <w:rPr>
          <w:sz w:val="20"/>
          <w:szCs w:val="20"/>
          <w:color w:val="auto"/>
        </w:rPr>
      </w:pPr>
    </w:p>
    <w:p>
      <w:pPr>
        <w:ind w:left="720" w:right="2580"/>
        <w:spacing w:after="0" w:line="313" w:lineRule="auto"/>
        <w:rPr>
          <w:sz w:val="20"/>
          <w:szCs w:val="20"/>
          <w:color w:val="auto"/>
        </w:rPr>
      </w:pPr>
      <w:r>
        <w:rPr>
          <w:rFonts w:ascii="Times New Roman" w:cs="Times New Roman" w:eastAsia="Times New Roman" w:hAnsi="Times New Roman"/>
          <w:sz w:val="12"/>
          <w:szCs w:val="12"/>
          <w:color w:val="auto"/>
        </w:rPr>
        <w:t>intense competition for suitable acquisition targets, which could increase prices and adversely affect our ability to consummate deals on favorable or acceptable terms; failure or material delay in closing a transaction;</w:t>
      </w:r>
    </w:p>
    <w:p>
      <w:pPr>
        <w:ind w:left="500"/>
        <w:spacing w:after="0"/>
        <w:rPr>
          <w:sz w:val="20"/>
          <w:szCs w:val="20"/>
          <w:color w:val="auto"/>
        </w:rPr>
      </w:pPr>
      <w:r>
        <w:rPr>
          <w:rFonts w:ascii="Times New Roman" w:cs="Times New Roman" w:eastAsia="Times New Roman" w:hAnsi="Times New Roman"/>
          <w:sz w:val="12"/>
          <w:szCs w:val="12"/>
          <w:color w:val="auto"/>
        </w:rPr>
        <w:t>transaction-related lawsuits or claims;</w:t>
      </w:r>
    </w:p>
    <w:p>
      <w:pPr>
        <w:spacing w:after="0" w:line="51" w:lineRule="exact"/>
        <w:rPr>
          <w:sz w:val="20"/>
          <w:szCs w:val="20"/>
          <w:color w:val="auto"/>
        </w:rPr>
      </w:pPr>
    </w:p>
    <w:p>
      <w:pPr>
        <w:ind w:left="720" w:right="5160"/>
        <w:spacing w:after="0" w:line="320" w:lineRule="auto"/>
        <w:rPr>
          <w:sz w:val="20"/>
          <w:szCs w:val="20"/>
          <w:color w:val="auto"/>
        </w:rPr>
      </w:pPr>
      <w:r>
        <w:rPr>
          <w:rFonts w:ascii="Times New Roman" w:cs="Times New Roman" w:eastAsia="Times New Roman" w:hAnsi="Times New Roman"/>
          <w:sz w:val="12"/>
          <w:szCs w:val="12"/>
          <w:color w:val="auto"/>
        </w:rPr>
        <w:t>difficulties in integrating the technologies, operations, existing contracts, and personnel of an acquired company; difficulties in retaining key employees or business partners of an acquired company;</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difficulties in retaining suppliers, partners or customers of an acquired company;</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challenges with integrating the brand identity of an acquired company with our own;</w:t>
      </w:r>
    </w:p>
    <w:p>
      <w:pPr>
        <w:spacing w:after="0" w:line="42" w:lineRule="exact"/>
        <w:rPr>
          <w:sz w:val="20"/>
          <w:szCs w:val="20"/>
          <w:color w:val="auto"/>
        </w:rPr>
      </w:pPr>
    </w:p>
    <w:p>
      <w:pPr>
        <w:ind w:left="720" w:right="5100"/>
        <w:spacing w:after="0" w:line="320" w:lineRule="auto"/>
        <w:rPr>
          <w:sz w:val="20"/>
          <w:szCs w:val="20"/>
          <w:color w:val="auto"/>
        </w:rPr>
      </w:pPr>
      <w:r>
        <w:rPr>
          <w:rFonts w:ascii="Times New Roman" w:cs="Times New Roman" w:eastAsia="Times New Roman" w:hAnsi="Times New Roman"/>
          <w:sz w:val="12"/>
          <w:szCs w:val="12"/>
          <w:color w:val="auto"/>
        </w:rPr>
        <w:t>diversion of financial and management resources from existing operations or alternative acquisition opportunities; failure to realize the anticipated benefits or synergies of a transaction;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difficulties in developing technology post-acquisition;</w:t>
      </w:r>
    </w:p>
    <w:p>
      <w:pPr>
        <w:spacing w:after="0" w:line="51"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20" w:lineRule="exact"/>
        <w:rPr>
          <w:sz w:val="20"/>
          <w:szCs w:val="20"/>
          <w:color w:val="auto"/>
        </w:rPr>
      </w:pPr>
    </w:p>
    <w:p>
      <w:pPr>
        <w:ind w:left="720" w:right="4220"/>
        <w:spacing w:after="0" w:line="320" w:lineRule="auto"/>
        <w:rPr>
          <w:sz w:val="20"/>
          <w:szCs w:val="20"/>
          <w:color w:val="auto"/>
        </w:rPr>
      </w:pPr>
      <w:r>
        <w:rPr>
          <w:rFonts w:ascii="Times New Roman" w:cs="Times New Roman" w:eastAsia="Times New Roman" w:hAnsi="Times New Roman"/>
          <w:sz w:val="12"/>
          <w:szCs w:val="12"/>
          <w:color w:val="auto"/>
        </w:rPr>
        <w:t>risks that regulatory bodies may enact new laws or promulgate new regulations that are adverse to an acquired company or business; risks that regulatory bodies do not approve our acquisitions or business combinations or delay such approvals;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theft of our trade secrets or confidential information that we share with potential acquisition candidates;</w:t>
      </w:r>
    </w:p>
    <w:p>
      <w:pPr>
        <w:spacing w:after="0" w:line="42" w:lineRule="exact"/>
        <w:rPr>
          <w:sz w:val="20"/>
          <w:szCs w:val="20"/>
          <w:color w:val="auto"/>
        </w:rPr>
      </w:pPr>
    </w:p>
    <w:p>
      <w:pPr>
        <w:ind w:left="720" w:right="5200"/>
        <w:spacing w:after="0" w:line="358" w:lineRule="auto"/>
        <w:rPr>
          <w:sz w:val="20"/>
          <w:szCs w:val="20"/>
          <w:color w:val="auto"/>
        </w:rPr>
      </w:pPr>
      <w:r>
        <w:rPr>
          <w:rFonts w:ascii="Times New Roman" w:cs="Times New Roman" w:eastAsia="Times New Roman" w:hAnsi="Times New Roman"/>
          <w:sz w:val="12"/>
          <w:szCs w:val="12"/>
          <w:color w:val="auto"/>
        </w:rPr>
        <w:t>risk that an acquired company or investment in new services cannibalizes a portion of our existing business; and adverse market reaction to an acquisition.</w:t>
      </w:r>
    </w:p>
    <w:p>
      <w:pPr>
        <w:spacing w:after="0" w:line="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11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w:t>
      </w:r>
    </w:p>
    <w:p>
      <w:pPr>
        <w:spacing w:after="0" w:line="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successfully develop and timely manufacture our current and future products, including with respect to SMRT Cell Sequel II/IIe Systems, the SBB products under development, and related products, our business may be adversely affected.</w:t>
      </w:r>
    </w:p>
    <w:p>
      <w:pPr>
        <w:spacing w:after="0" w:line="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w:t>
      </w: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SBB products under development,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and Sequel II/IIe Systems, and may need to develop in the future, other customized SMRT Cells and consumables for our future products. Our production of the SMRT Cells for the Sequel and Sequel II/IIe Systems has been and may in the future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1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8M and the Sequel II/IIe Systems, in addition to SBB products currently under development.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In January 2021, we entered into the Development Agreement, a multi-year collaboration with Invitae to begin development of a production-scale high-throughput sequencing platform; in certain termination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circumstances of this collaboration, we may be obligated to refund all or a portion of the development funds advanced by Invitae and/or we may owe Invitae a share of the revenue generated from the sale of the program products. While we expect to continue to develop next generation high throughput sequencing platforms and products, we are currently renegotiating the terms of the Development Agreement, and we do not anticipate that Invitae will continue to provide funding support for future development under the Development Agreement. We expect to continue discussions with Invitae in connection with the Development Agreement to receive feedback and operational assistance and expertise which we will incorporate in the continued development of our high throughput sequencing platforms and products.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must successfully manage new product introductions and transitions, including with respect to the SMRT Cell 8M and Sequel II/IIe Systems, and the development of our proposed SBB short read sequencing platform, and we may incur significant costs during these transitions and development, and these efforts may not result in the benefits we anticipate.</w:t>
      </w:r>
    </w:p>
    <w:p>
      <w:pPr>
        <w:spacing w:after="0" w:line="11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2"/>
          <w:szCs w:val="12"/>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our proposed SBB short read sequencing platform, and any future products that may be developed for medical and clinical uses,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our business, operations, financial condition, and prospects may be materially and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changes to our leadership team and the resulting management transitions might harm our future operating results.</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and our Chief Commercial Officer, Peter Fromen, were each appointed effective January 8, 2021. Also, our Vice President and Chief Accounting Officer Michele Farmer was appointed effective May 17, 2021, and our Chair of the Board Dr. John F. Milligan was appointed effective September 14, 2020.</w:t>
      </w:r>
    </w:p>
    <w:p>
      <w:pPr>
        <w:spacing w:after="0" w:line="11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11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This competition has become exacerbated by the increase in employee resignations currently taking place throughout the United States in connection with the COVID-19 pandemic.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1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2"/>
          <w:szCs w:val="12"/>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However, we may be unsuccessful in these efforts and the sale and commercialization of the SMRT Cell 8M and Sequel II/IIe Systems, and related products may not grow sufficiently to cover our costs.</w:t>
      </w:r>
    </w:p>
    <w:p>
      <w:pPr>
        <w:spacing w:after="0" w:line="14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There can be no assurance that we will be successful in adding new products or securing additional customers for our current and future products, including with respect to the SMRT Cell 8M and Sequel II/IIe Systems and products related to our recent Circulomics and Omniome acquisitions. If we are unable to develop SBB technology and sell acquired technology product,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12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Nucleic acid sequencing applications are new and dynamic, and there can be no assurance that they will develop as quickly as we anticipate, that they will reach their full potential or that our products will be appropriate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1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11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We may not be able to secure enough components at reasonable prices or of acceptable quality to build new products in a timely manner in the quantities or configurations needed. For example, in response to the rising COVID-19 infections, China has imposed lockdowns in certain parts of the country, which has had, and may continue to have, a negative impact on manufacturing and/or supply chains, in addition to customer demand for our products and demand through certain distributors. Accordingly, our revenue and gross margins could suffer until lockdowns from COVID-19 infections are reduced and/or other sources can be developed.</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addition, because our semiconductor suppliers are in regions that may have communities with low vaccination rates, the Omicron variant of COVID-19, or any variants that evolve in the future,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operations, financial condition, and prospects could be materially and adversely harmed.</w:t>
      </w:r>
    </w:p>
    <w:p>
      <w:pPr>
        <w:spacing w:after="0" w:line="1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1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2"/>
          <w:szCs w:val="12"/>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not to purchase products from us. There is also no assurance that we will be able to increase manufacturing yields and decrease costs,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operate in a highly competitive industry and if we are not able to compete effectively, our business and operating results will likely be harmed.</w:t>
      </w:r>
    </w:p>
    <w:p>
      <w:pPr>
        <w:spacing w:after="0" w:line="1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There are a significant number of companies offering nucleic acid sequencing products and/or services, including Illumina, BGI Genomics, Thermo, Oxford Nanopore Technologies Ltd.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117" w:lineRule="exact"/>
        <w:rPr>
          <w:sz w:val="20"/>
          <w:szCs w:val="20"/>
          <w:color w:val="auto"/>
        </w:rPr>
      </w:pPr>
    </w:p>
    <w:p>
      <w:pPr>
        <w:ind w:left="5580" w:right="780" w:hanging="5591"/>
        <w:spacing w:after="0" w:line="264" w:lineRule="auto"/>
        <w:rPr>
          <w:sz w:val="20"/>
          <w:szCs w:val="20"/>
          <w:color w:val="auto"/>
        </w:rPr>
      </w:pPr>
      <w:r>
        <w:rPr>
          <w:rFonts w:ascii="Times New Roman" w:cs="Times New Roman" w:eastAsia="Times New Roman" w:hAnsi="Times New Roman"/>
          <w:sz w:val="12"/>
          <w:szCs w:val="12"/>
          <w:color w:val="auto"/>
        </w:rPr>
        <w:t>There are also several companies that are in the process of developing or have already developed and commercialized new, competing or potentially competing technologies, products and/or services, including ONT Ltd.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109855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successfully increase sales of our current products or market and sell our future products.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11" w:lineRule="exact"/>
        <w:rPr>
          <w:sz w:val="20"/>
          <w:szCs w:val="20"/>
          <w:color w:val="auto"/>
        </w:rPr>
      </w:pPr>
    </w:p>
    <w:p>
      <w:pPr>
        <w:ind w:left="720" w:right="3420"/>
        <w:spacing w:after="0" w:line="350" w:lineRule="auto"/>
        <w:rPr>
          <w:sz w:val="20"/>
          <w:szCs w:val="20"/>
          <w:color w:val="auto"/>
        </w:rPr>
      </w:pPr>
      <w:r>
        <w:rPr>
          <w:rFonts w:ascii="Times New Roman" w:cs="Times New Roman" w:eastAsia="Times New Roman" w:hAnsi="Times New Roman"/>
          <w:sz w:val="11"/>
          <w:szCs w:val="11"/>
          <w:color w:val="auto"/>
        </w:rPr>
        <w:t>our ability to attract, retain and manage qualified sales, marketing and service personnel necessary to expand market acceptance for our technologies; the performance and commercial availability expectations of our existing and potential customers with respect to new and existing products;</w:t>
      </w:r>
    </w:p>
    <w:p>
      <w:pPr>
        <w:ind w:left="500"/>
        <w:spacing w:after="0"/>
        <w:rPr>
          <w:sz w:val="20"/>
          <w:szCs w:val="20"/>
          <w:color w:val="auto"/>
        </w:rPr>
      </w:pPr>
      <w:r>
        <w:rPr>
          <w:rFonts w:ascii="Times New Roman" w:cs="Times New Roman" w:eastAsia="Times New Roman" w:hAnsi="Times New Roman"/>
          <w:sz w:val="12"/>
          <w:szCs w:val="12"/>
          <w:color w:val="auto"/>
        </w:rPr>
        <w:t>availability of potential sales and distribution partners to sell our technologies, and our ability to attract and retain such sales and distribution partners;</w:t>
      </w:r>
    </w:p>
    <w:p>
      <w:pPr>
        <w:spacing w:after="0" w:line="42" w:lineRule="exact"/>
        <w:rPr>
          <w:sz w:val="20"/>
          <w:szCs w:val="20"/>
          <w:color w:val="auto"/>
        </w:rPr>
      </w:pPr>
    </w:p>
    <w:p>
      <w:pPr>
        <w:ind w:left="720" w:right="1360"/>
        <w:spacing w:after="0" w:line="342" w:lineRule="auto"/>
        <w:rPr>
          <w:sz w:val="20"/>
          <w:szCs w:val="20"/>
          <w:color w:val="auto"/>
        </w:rPr>
      </w:pPr>
      <w:r>
        <w:rPr>
          <w:rFonts w:ascii="Times New Roman" w:cs="Times New Roman" w:eastAsia="Times New Roman" w:hAnsi="Times New Roman"/>
          <w:sz w:val="12"/>
          <w:szCs w:val="12"/>
          <w:color w:val="auto"/>
        </w:rPr>
        <w:t>the time and cost of maintaining and growing a specialized sales, marketing and service force for a particular application, which may be difficult to justify in light of the revenue generated; and our sales, marketing and service force may be unable to execute successful commercial activities.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We receive a significant portion of our revenue from a limited number of customers. For example, for the fiscal years ended December 31, 2021, 2020 and 2019, one of our customers, who is our primary distributor in China, accounted for approximately 13%, 14% and 17%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 on our sales and our ability to collect on receivables, which could materially and adversely harm our financial condition and results of operations.</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4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convert our orders in backlog into revenue.</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2"/>
          <w:szCs w:val="12"/>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3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are subject to risks associated with political conflicts between the U.S. and China. A significant portion of our revenue is generated from China. For example, for the fiscal years ended December 31, 2021, 2020 and 2019, one customer, who is our primary distributor in China, accounted for approximately 13%, 14% and 17% of our total revenue, respectively.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The imposition of tariffs or other trade barriers between the U.S. and China, including the tariffs previously implemented and additional tariffs that have been proposed by the U.S. government on various imports from China and by the Chinese government on certain U.S. goods, the scope and duration of which, if implemented, remain uncertain. Beginning in September 2018, the U.S. Trade Representative (the “USTR”) enacted various tariffs of 7.5%, 10%, 15% and 25% on the import of Chinese products, including non-U.S. components and materials that may be used in our products. These tariffs could raise our costs. 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to China may be restricted in the future. China also has imposed tariffs on imports into China from the United States.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risks could include:</w:t>
      </w:r>
    </w:p>
    <w:p>
      <w:pPr>
        <w:spacing w:after="0" w:line="42"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2"/>
          <w:szCs w:val="12"/>
          <w:color w:val="auto"/>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11" w:lineRule="exact"/>
        <w:rPr>
          <w:sz w:val="20"/>
          <w:szCs w:val="20"/>
          <w:color w:val="auto"/>
        </w:rPr>
      </w:pPr>
    </w:p>
    <w:p>
      <w:pPr>
        <w:ind w:left="720" w:right="1080"/>
        <w:spacing w:after="0" w:line="342" w:lineRule="auto"/>
        <w:rPr>
          <w:sz w:val="20"/>
          <w:szCs w:val="20"/>
          <w:color w:val="auto"/>
        </w:rPr>
      </w:pPr>
      <w:r>
        <w:rPr>
          <w:rFonts w:ascii="Times New Roman" w:cs="Times New Roman" w:eastAsia="Times New Roman" w:hAnsi="Times New Roman"/>
          <w:sz w:val="12"/>
          <w:szCs w:val="12"/>
          <w:color w:val="auto"/>
        </w:rPr>
        <w:t>product supply disruptions and increased costs as a result of heightened exposure to changes in the policies of the Chinese government, political unrest or unstable economic conditions in China; and the nationalization or other expropriation of private enterprises or intellectual property by the Chinese government.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Difficulties in this relationship may require us to take actions adverse to our business to comply with governmental restrictions on business and trade with China.</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 addition, our consumable chips are partly manufactured by a company based in Taiwan. Accordingly, there is a risk that current political tensions between China and Taiwan may lead to circumstances that negatively affect the availability of such consumable chips to us, which could lead to an increase in our supply costs if we cannot find a similar cost alternative supplier, resulting in an adverse impact to our financial results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Seasonality may cause fluctuations in our revenue and results of operations.</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w:t>
      </w: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Intellectual Property</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11" w:lineRule="exact"/>
        <w:rPr>
          <w:sz w:val="20"/>
          <w:szCs w:val="20"/>
          <w:color w:val="auto"/>
        </w:rPr>
      </w:pPr>
    </w:p>
    <w:p>
      <w:pPr>
        <w:ind w:left="720" w:right="3800"/>
        <w:spacing w:after="0" w:line="320" w:lineRule="auto"/>
        <w:rPr>
          <w:sz w:val="20"/>
          <w:szCs w:val="20"/>
          <w:color w:val="auto"/>
        </w:rPr>
      </w:pPr>
      <w:r>
        <w:rPr>
          <w:rFonts w:ascii="Times New Roman" w:cs="Times New Roman" w:eastAsia="Times New Roman" w:hAnsi="Times New Roman"/>
          <w:sz w:val="12"/>
          <w:szCs w:val="12"/>
          <w:color w:val="auto"/>
        </w:rPr>
        <w:t>we or our licensors might not have been the first to make the inventions covered by each of our pending patent applications or issued patents; we or our licensors might not have been the first to file patent applications for these inventions;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it is possible that neither our pending patent applications nor the pending patent applications of our licensors will result in issued patents;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scope of the patent protection we or our licensors obtain may not be sufficiently broad to prevent others from practicing our technologies, developing competing products, designing around our patented technologies</w:t>
      </w:r>
    </w:p>
    <w:p>
      <w:pPr>
        <w:ind w:left="720"/>
        <w:spacing w:after="0" w:line="234" w:lineRule="auto"/>
        <w:rPr>
          <w:sz w:val="20"/>
          <w:szCs w:val="20"/>
          <w:color w:val="auto"/>
        </w:rPr>
      </w:pPr>
      <w:r>
        <w:rPr>
          <w:rFonts w:ascii="Times New Roman" w:cs="Times New Roman" w:eastAsia="Times New Roman" w:hAnsi="Times New Roman"/>
          <w:sz w:val="12"/>
          <w:szCs w:val="12"/>
          <w:color w:val="auto"/>
        </w:rPr>
        <w:t>or independently developing similar or alternative technologies;</w:t>
      </w: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5"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our enforcement of patents and proprietary rights in other countries may be problematic or unpredictable;</w:t>
      </w:r>
    </w:p>
    <w:p>
      <w:pPr>
        <w:spacing w:after="0" w:line="51"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or our partners may not adequately protect our trade secrets;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we may not develop additional proprietary technologies that are patentable; or</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patents of others may limit our freedom to operate and prevent us from commercializing our technology in accordance with our plans.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Variability in intellectual property laws may adversely affect our intellectual property position.</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4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intellectual property may be subject to challenges in the United States or foreign jurisdictions that could adversely affect our intellectual property position.</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reviews of certain patents that we have asserted against ONT Inc. and ONT Ltd. in litigation proceedings for patent infringement. While none of the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reviews requested by ONT were instituted by the U.S. Patent and Trademark Office, challenges of this nature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Some of our technology is subject to “march-in” rights by the U.S. government.</w:t>
      </w:r>
    </w:p>
    <w:p>
      <w:pPr>
        <w:spacing w:after="0" w:line="136"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2"/>
          <w:szCs w:val="12"/>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involved in legal proceedings to enforce our intellectual property rights.</w:t>
      </w:r>
    </w:p>
    <w:p>
      <w:pPr>
        <w:spacing w:after="0" w:line="13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4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Personal Genomics of Taiwan, Inc.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not yet registered some of our trademarks in all of our potential markets, and failure to secure those registrations could adversely affect our business.</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use of “open source” software could adversely affect our ability to sell our products and subject us to possible litigation.</w:t>
      </w:r>
    </w:p>
    <w:p>
      <w:pPr>
        <w:spacing w:after="0" w:line="14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Regulation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and may become, subject to governmental regulations that may impose burdens on our operations, and the markets for our products may be narrowed.</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Times New Roman" w:cs="Times New Roman" w:eastAsia="Times New Roman" w:hAnsi="Times New Roman"/>
          <w:sz w:val="12"/>
          <w:szCs w:val="12"/>
          <w:i w:val="1"/>
          <w:iCs w:val="1"/>
          <w:color w:val="auto"/>
        </w:rPr>
        <w:t>in vitro</w:t>
      </w:r>
      <w:r>
        <w:rPr>
          <w:rFonts w:ascii="Times New Roman" w:cs="Times New Roman" w:eastAsia="Times New Roman" w:hAnsi="Times New Roman"/>
          <w:sz w:val="12"/>
          <w:szCs w:val="12"/>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1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given that we will be able to obtain or to maintain such approvals. Furthermore, any approvals that we may obtain can be revoked if safety or efficacy problems develop.</w:t>
      </w:r>
    </w:p>
    <w:p>
      <w:pPr>
        <w:spacing w:after="0" w:line="1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The FDA has historically exercised enforcement discretion in not enforcing the medical device regulations against laboratories developing and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2"/>
          <w:szCs w:val="12"/>
          <w:color w:val="auto"/>
        </w:rPr>
        <w:t>As part of the Trump Administration’s efforts to combat COVID-19 and consistent with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(“EUA”), for an LDT may nonetheless voluntarily submit a premarket approval application (“PMA”),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In November 2021, HHS under the Biden Administration issued a statement that withdrew the 2020 policy announcement issued under the Trump Administration, stating that HHS does not have a policy on LDTs that is separate from FDA’s longstanding approach. The FDA also issued a revised version of its COVID-19 test policy that states the FDA expects newly offered COVID-19 tests, including LDTs, to have an EUA, or traditional marketing authorization such as a granted De Novo or cleared 510(k), prior to clinical use.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w:t>
      </w:r>
    </w:p>
    <w:p>
      <w:pPr>
        <w:spacing w:after="0" w:line="1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11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Times New Roman" w:cs="Times New Roman" w:eastAsia="Times New Roman" w:hAnsi="Times New Roman"/>
          <w:sz w:val="12"/>
          <w:szCs w:val="12"/>
          <w:i w:val="1"/>
          <w:iCs w:val="1"/>
          <w:color w:val="auto"/>
        </w:rPr>
        <w:t>de novo</w:t>
      </w:r>
      <w:r>
        <w:rPr>
          <w:rFonts w:ascii="Times New Roman" w:cs="Times New Roman" w:eastAsia="Times New Roman" w:hAnsi="Times New Roman"/>
          <w:sz w:val="12"/>
          <w:szCs w:val="12"/>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Enhanced trade tariffs, import restrictions, export restrictions, Chinese regulations or other trade barriers may materially harm our business.</w:t>
      </w:r>
    </w:p>
    <w:p>
      <w:pPr>
        <w:spacing w:after="0" w:line="13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We are continuing to expand our international operations as part of our growth strategy and have experienced an increasing concentration of sales in certain regions outside the United States, especially the Asia-Pacific region.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BIS has implemented export controls on some items described in this notice, and we understand that BIS plans to continue to issue controls on additional emerging technologies. Therefore, it is possible that our ability to export our products may be restricted in the future, most notably China.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international business could expose us to business, regulatory, political, operational, financial, and economic risks associated with doing business outside of the United States.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Engaging in international business inherently involves a number of difficulties and risks, including:</w:t>
      </w:r>
    </w:p>
    <w:p>
      <w:pPr>
        <w:spacing w:after="0" w:line="96" w:lineRule="exact"/>
        <w:rPr>
          <w:sz w:val="20"/>
          <w:szCs w:val="20"/>
          <w:color w:val="auto"/>
        </w:rPr>
      </w:pPr>
    </w:p>
    <w:p>
      <w:pPr>
        <w:ind w:left="720"/>
        <w:spacing w:after="0" w:line="241" w:lineRule="auto"/>
        <w:rPr>
          <w:sz w:val="20"/>
          <w:szCs w:val="20"/>
          <w:color w:val="auto"/>
        </w:rPr>
      </w:pPr>
      <w:r>
        <w:rPr>
          <w:rFonts w:ascii="Times New Roman" w:cs="Times New Roman" w:eastAsia="Times New Roman" w:hAnsi="Times New Roman"/>
          <w:sz w:val="12"/>
          <w:szCs w:val="12"/>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25" w:lineRule="exact"/>
        <w:rPr>
          <w:sz w:val="20"/>
          <w:szCs w:val="20"/>
          <w:color w:val="auto"/>
        </w:rPr>
      </w:pPr>
    </w:p>
    <w:p>
      <w:pPr>
        <w:ind w:left="720" w:right="2220"/>
        <w:spacing w:after="0" w:line="320" w:lineRule="auto"/>
        <w:rPr>
          <w:sz w:val="20"/>
          <w:szCs w:val="20"/>
          <w:color w:val="auto"/>
        </w:rPr>
      </w:pPr>
      <w:r>
        <w:rPr>
          <w:rFonts w:ascii="Times New Roman" w:cs="Times New Roman" w:eastAsia="Times New Roman" w:hAnsi="Times New Roman"/>
          <w:sz w:val="12"/>
          <w:szCs w:val="12"/>
          <w:color w:val="auto"/>
        </w:rPr>
        <w:t>required compliance with U.S. laws such as the Foreign Corrupt Practices Act, and other U.S. federal laws and regulations established by the Office of Foreign Asset Control; export requirements and import or trade restrictions;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laws and business practices favoring local companies;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foreign currency exchange, longer payment cycles and difficulties in enforcing agreements and collecting receivables through certain foreign legal systems;</w:t>
      </w:r>
    </w:p>
    <w:p>
      <w:pPr>
        <w:spacing w:after="0" w:line="42"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29" w:lineRule="exact"/>
        <w:rPr>
          <w:sz w:val="20"/>
          <w:szCs w:val="20"/>
          <w:color w:val="auto"/>
        </w:rPr>
      </w:pPr>
    </w:p>
    <w:p>
      <w:pPr>
        <w:ind w:left="720" w:right="5100"/>
        <w:spacing w:after="0" w:line="320" w:lineRule="auto"/>
        <w:rPr>
          <w:sz w:val="20"/>
          <w:szCs w:val="20"/>
          <w:color w:val="auto"/>
        </w:rPr>
      </w:pPr>
      <w:r>
        <w:rPr>
          <w:rFonts w:ascii="Times New Roman" w:cs="Times New Roman" w:eastAsia="Times New Roman" w:hAnsi="Times New Roman"/>
          <w:sz w:val="12"/>
          <w:szCs w:val="12"/>
          <w:color w:val="auto"/>
        </w:rPr>
        <w:t>potentially adverse tax consequences, tariffs, customs charges, bureaucratic requirements, and other trade barriers; difficulties and costs of staffing and managing foreign operations; and</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difficulties protecting, maintaining, enforcing or procuring intellectual property rights and defending against intellectual property claims under the law and judicial systems of other countries.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one or more of these risks occurs, it could require us to dedicate significant resources to remedy such occurrence, and if we are unsuccessful in finding a solution, our financial results will suffer.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4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2"/>
          <w:szCs w:val="12"/>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127635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associated with violations or require us to change the content of our products or how we manufacture them, which could have a material adverse effect on our business, operating results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Ethical, legal, privacy, data protection and social concerns or governmental restrictions surrounding the use of genetic information could reduce demand for our technology.</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and of which could have a material adverse effect on our business, financial condition and results of operations.</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Owning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has been, is, and may continue to be, highly volatile, and you may be unable to sell your shares at or above the price you paid to acquire them.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actual or anticipated fluctuations in our financial condition and operating results;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announcements of new products, technological innovations or strategic partnerships by us or our competitors;</w:t>
      </w:r>
    </w:p>
    <w:p>
      <w:pPr>
        <w:spacing w:after="0" w:line="42" w:lineRule="exact"/>
        <w:rPr>
          <w:sz w:val="20"/>
          <w:szCs w:val="20"/>
          <w:color w:val="auto"/>
        </w:rPr>
      </w:pPr>
    </w:p>
    <w:p>
      <w:pPr>
        <w:ind w:left="720" w:right="4360"/>
        <w:spacing w:after="0" w:line="320" w:lineRule="auto"/>
        <w:rPr>
          <w:sz w:val="20"/>
          <w:szCs w:val="20"/>
          <w:color w:val="auto"/>
        </w:rPr>
      </w:pPr>
      <w:r>
        <w:rPr>
          <w:rFonts w:ascii="Times New Roman" w:cs="Times New Roman" w:eastAsia="Times New Roman" w:hAnsi="Times New Roman"/>
          <w:sz w:val="12"/>
          <w:szCs w:val="12"/>
          <w:color w:val="auto"/>
        </w:rPr>
        <w:t>announcements by us, our customers, partners or suppliers relating directly or indirectly to our products, services or technologies; overall conditions in our industry and market;</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addition or loss of significant customers;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changes in laws or regulations applicable to our products;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actual or anticipated changes in our growth rate relative to our competitors;</w:t>
      </w:r>
    </w:p>
    <w:p>
      <w:pPr>
        <w:spacing w:after="0" w:line="42" w:lineRule="exact"/>
        <w:rPr>
          <w:sz w:val="20"/>
          <w:szCs w:val="20"/>
          <w:color w:val="auto"/>
        </w:rPr>
      </w:pPr>
    </w:p>
    <w:p>
      <w:pPr>
        <w:ind w:left="720" w:right="2500"/>
        <w:spacing w:after="0" w:line="320" w:lineRule="auto"/>
        <w:rPr>
          <w:sz w:val="20"/>
          <w:szCs w:val="20"/>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capital commitments or achievement of significant milestones; additions or departures of key personnel;</w:t>
      </w:r>
    </w:p>
    <w:p>
      <w:pPr>
        <w:spacing w:after="0" w:line="1" w:lineRule="exact"/>
        <w:rPr>
          <w:sz w:val="20"/>
          <w:szCs w:val="20"/>
          <w:color w:val="auto"/>
        </w:rPr>
      </w:pPr>
    </w:p>
    <w:p>
      <w:pPr>
        <w:jc w:val="both"/>
        <w:ind w:left="720" w:right="7220"/>
        <w:spacing w:after="0" w:line="320" w:lineRule="auto"/>
        <w:rPr>
          <w:sz w:val="20"/>
          <w:szCs w:val="20"/>
          <w:color w:val="auto"/>
        </w:rPr>
      </w:pPr>
      <w:r>
        <w:rPr>
          <w:rFonts w:ascii="Times New Roman" w:cs="Times New Roman" w:eastAsia="Times New Roman" w:hAnsi="Times New Roman"/>
          <w:sz w:val="12"/>
          <w:szCs w:val="12"/>
          <w:color w:val="auto"/>
        </w:rPr>
        <w:t>competition from existing products or new products that may emerge; issuance of new or updated research or reports by securities analysts;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fluctuations in the valuation of companies perceived by investors to be comparable to us;</w:t>
      </w:r>
    </w:p>
    <w:p>
      <w:pPr>
        <w:spacing w:after="0" w:line="42" w:lineRule="exact"/>
        <w:rPr>
          <w:sz w:val="20"/>
          <w:szCs w:val="20"/>
          <w:color w:val="auto"/>
        </w:rPr>
      </w:pPr>
    </w:p>
    <w:p>
      <w:pPr>
        <w:ind w:left="720" w:right="2320"/>
        <w:spacing w:after="0" w:line="320" w:lineRule="auto"/>
        <w:rPr>
          <w:sz w:val="20"/>
          <w:szCs w:val="20"/>
          <w:color w:val="auto"/>
        </w:rPr>
      </w:pPr>
      <w:r>
        <w:rPr>
          <w:rFonts w:ascii="Times New Roman" w:cs="Times New Roman" w:eastAsia="Times New Roman" w:hAnsi="Times New Roman"/>
          <w:sz w:val="12"/>
          <w:szCs w:val="12"/>
          <w:color w:val="auto"/>
        </w:rPr>
        <w:t>disputes or other developments related to proprietary rights, including patents, litigation matters or our ability to obtain intellectual property protection for our technologies; announcement or expectation of additional financing efforts;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sales of our common stock by us or our stockholders;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stock price and volume fluctuations attributable to inconsistent trading volume levels of our shares;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reports, guidance and ratings issued by securities or industry analysts;</w:t>
      </w:r>
    </w:p>
    <w:p>
      <w:pPr>
        <w:ind w:left="500"/>
        <w:spacing w:after="0"/>
        <w:rPr>
          <w:sz w:val="20"/>
          <w:szCs w:val="20"/>
          <w:color w:val="auto"/>
        </w:rPr>
      </w:pPr>
      <w:r>
        <w:rPr>
          <w:rFonts w:ascii="Times New Roman" w:cs="Times New Roman" w:eastAsia="Times New Roman" w:hAnsi="Times New Roman"/>
          <w:sz w:val="12"/>
          <w:szCs w:val="12"/>
          <w:color w:val="auto"/>
        </w:rPr>
        <w:t>operating results below the expectations of securities analysts or investors; and</w:t>
      </w:r>
    </w:p>
    <w:p>
      <w:pPr>
        <w:spacing w:after="0" w:line="30" w:lineRule="exact"/>
        <w:rPr>
          <w:sz w:val="20"/>
          <w:szCs w:val="20"/>
          <w:color w:val="auto"/>
        </w:rPr>
      </w:pPr>
    </w:p>
    <w:p>
      <w:pPr>
        <w:ind w:left="720"/>
        <w:spacing w:after="0" w:line="241" w:lineRule="auto"/>
        <w:rPr>
          <w:sz w:val="20"/>
          <w:szCs w:val="20"/>
          <w:color w:val="auto"/>
        </w:rPr>
      </w:pPr>
      <w:r>
        <w:rPr>
          <w:rFonts w:ascii="Times New Roman" w:cs="Times New Roman" w:eastAsia="Times New Roman" w:hAnsi="Times New Roman"/>
          <w:sz w:val="12"/>
          <w:szCs w:val="12"/>
          <w:color w:val="auto"/>
        </w:rPr>
        <w:t>general economic and market conditions, which could be impacted by various events including COVID-19 or interest rate fluctuations, increases in fuel prices, foreign currency fluctuations, international tariffs, acts of terrorism, hostilities or the perception that hostilities may be imminent, military conflict and acts of war, including an escalation of the situation in Ukraine and the related response, including sanctions or other restrictive actions, by the United States and/or other countries.</w:t>
      </w:r>
    </w:p>
    <w:p>
      <w:pPr>
        <w:spacing w:after="0" w:line="12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9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On September 20, 2021, in connection with the closing of the Omniome Merger, we completed a Private Placement for the sale of an aggregate of 11,214,953 shares of our common stock, at a price of $26.75 per share, for aggregate gross proceeds of approximately $300 million. In connection with the Private Placement, we entered into a Registration Rights Agreement with the Private Placement investors, providing them, among other things, certain registration rights, including our obligation to register the Private Placement shares for resale within 30 days following the closing of the Private Placement.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ownership by our principal stockholders may result in control by such stockholders of the composition of our board of directors.</w:t>
      </w:r>
    </w:p>
    <w:p>
      <w:pPr>
        <w:spacing w:after="0" w:line="13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2"/>
          <w:szCs w:val="12"/>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In addition, on September 20, 2021 in connection with the closing of the Omniome Merger, we completed a Private Placement for the sale of an aggregate of 11,214,953 shares of our common stock, at a price of $26.75 per share, for aggregate gross proceeds of approximately $300 million with certain qualified institutional buyers and institutional accredited investors, including approximately $60 million to SB Northstar LP.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0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1"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2"/>
          <w:szCs w:val="12"/>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require that any action to be taken by our stockholders be effected at a duly called annual or special meeting and not by written consent;</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specify that special meetings of our stockholders can be called only by our board of directors, the Chair of the Board, the Chief Executive Officer or the President;</w:t>
      </w:r>
    </w:p>
    <w:p>
      <w:pPr>
        <w:spacing w:after="0" w:line="42" w:lineRule="exact"/>
        <w:rPr>
          <w:sz w:val="20"/>
          <w:szCs w:val="20"/>
          <w:color w:val="auto"/>
        </w:rPr>
      </w:pPr>
    </w:p>
    <w:p>
      <w:pPr>
        <w:ind w:left="720" w:right="700"/>
        <w:spacing w:after="0" w:line="320" w:lineRule="auto"/>
        <w:rPr>
          <w:sz w:val="20"/>
          <w:szCs w:val="20"/>
          <w:color w:val="auto"/>
        </w:rPr>
      </w:pPr>
      <w:r>
        <w:rPr>
          <w:rFonts w:ascii="Times New Roman" w:cs="Times New Roman" w:eastAsia="Times New Roman" w:hAnsi="Times New Roman"/>
          <w:sz w:val="12"/>
          <w:szCs w:val="12"/>
          <w:color w:val="auto"/>
        </w:rPr>
        <w:t>establish an advance notice procedure for stockholder approvals to be brought before an annual meeting of our stockholders, including proposed nominations of persons for election to our board of directors; establish that our board of directors is divided into three classes, Class I, Class II and Class III, with each class serving staggered terms;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provide that our directors may be removed only for cause; and</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provide that vacancies on our board of directors may be filled only by a majority of directors then in office, even though less than a quorum.</w:t>
      </w:r>
    </w:p>
    <w:p>
      <w:pPr>
        <w:spacing w:after="0" w:line="1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w:t>
      </w:r>
      <w:r>
        <w:rPr>
          <w:rFonts w:ascii="Cambria" w:cs="Cambria" w:eastAsia="Cambria" w:hAnsi="Cambria"/>
          <w:sz w:val="12"/>
          <w:szCs w:val="12"/>
          <w:b w:val="1"/>
          <w:bCs w:val="1"/>
          <w:color w:val="auto"/>
        </w:rPr>
        <w:t>;</w:t>
      </w:r>
      <w:r>
        <w:rPr>
          <w:rFonts w:ascii="Times New Roman" w:cs="Times New Roman" w:eastAsia="Times New Roman" w:hAnsi="Times New Roman"/>
          <w:sz w:val="12"/>
          <w:szCs w:val="12"/>
          <w:color w:val="auto"/>
        </w:rPr>
        <w:t xml:space="preserve"> (ii) any action asserting a breach of fiduciary duty owed by any of our current or former directors, officers or other employees to us or our stockholders</w:t>
      </w:r>
      <w:r>
        <w:rPr>
          <w:rFonts w:ascii="Cambria" w:cs="Cambria" w:eastAsia="Cambria" w:hAnsi="Cambria"/>
          <w:sz w:val="12"/>
          <w:szCs w:val="12"/>
          <w:b w:val="1"/>
          <w:bCs w:val="1"/>
          <w:color w:val="auto"/>
        </w:rPr>
        <w:t>;</w:t>
      </w:r>
      <w:r>
        <w:rPr>
          <w:rFonts w:ascii="Times New Roman" w:cs="Times New Roman" w:eastAsia="Times New Roman" w:hAnsi="Times New Roman"/>
          <w:sz w:val="12"/>
          <w:szCs w:val="12"/>
          <w:color w:val="auto"/>
        </w:rPr>
        <w:t xml:space="preserve"> (iii) any action asserting a claim arising pursuant to any provision of the Delaware General Corporation Law; (iv) any action to interpret, apply, enforce or determine the validity of our amended and restated certificate of incorporation or our amended and restated bylaws</w:t>
      </w:r>
      <w:r>
        <w:rPr>
          <w:rFonts w:ascii="Cambria" w:cs="Cambria" w:eastAsia="Cambria" w:hAnsi="Cambria"/>
          <w:sz w:val="12"/>
          <w:szCs w:val="12"/>
          <w:b w:val="1"/>
          <w:bCs w:val="1"/>
          <w:color w:val="auto"/>
        </w:rPr>
        <w:t>;</w:t>
      </w:r>
      <w:r>
        <w:rPr>
          <w:rFonts w:ascii="Times New Roman" w:cs="Times New Roman" w:eastAsia="Times New Roman" w:hAnsi="Times New Roman"/>
          <w:sz w:val="12"/>
          <w:szCs w:val="12"/>
          <w:color w:val="auto"/>
        </w:rPr>
        <w:t xml:space="preserve">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large number of authorized but unissued shares of common stock may potentially dilute existing stockholders’ stockholdings.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intend to pay dividends for the foreseeable future.</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Notes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0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2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Notes are converted, it may adversely affect our financial condition and operating results.</w:t>
      </w:r>
    </w:p>
    <w:p>
      <w:pPr>
        <w:spacing w:after="0" w:line="13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2"/>
          <w:szCs w:val="12"/>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Risk Factors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Unfavorable global economic or political conditions could adversely affect our business, financial condition or results of operations.</w:t>
      </w:r>
    </w:p>
    <w:p>
      <w:pPr>
        <w:spacing w:after="0" w:line="13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General conditions in the global economy and in the global financial markets could adversely affect our results of operations, including the potential effects from the ongoing COVID-19 pandemic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 escalation of the situation in Ukraine and the related response,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 xml:space="preserve">disruption could also strain our manufacturers or suppliers, possibly resulting in supply disruption, or cause our customers to delay making payments for our product and services. </w:t>
      </w:r>
      <w:r>
        <w:rPr>
          <w:rFonts w:ascii="Arial" w:cs="Arial" w:eastAsia="Arial" w:hAnsi="Arial"/>
          <w:sz w:val="12"/>
          <w:szCs w:val="12"/>
          <w:color w:val="auto"/>
        </w:rPr>
        <w:t>An impairment in value of our tangible or intangible</w:t>
      </w:r>
      <w:r>
        <w:rPr>
          <w:rFonts w:ascii="Times New Roman" w:cs="Times New Roman" w:eastAsia="Times New Roman" w:hAnsi="Times New Roman"/>
          <w:sz w:val="12"/>
          <w:szCs w:val="12"/>
          <w:color w:val="auto"/>
        </w:rPr>
        <w:t xml:space="preserve"> </w:t>
      </w:r>
      <w:r>
        <w:rPr>
          <w:rFonts w:ascii="Arial" w:cs="Arial" w:eastAsia="Arial" w:hAnsi="Arial"/>
          <w:sz w:val="12"/>
          <w:szCs w:val="12"/>
          <w:color w:val="auto"/>
        </w:rPr>
        <w:t xml:space="preserve">assets could also be recorded as a result of weaker economic conditions. </w:t>
      </w:r>
      <w:r>
        <w:rPr>
          <w:rFonts w:ascii="Times New Roman" w:cs="Times New Roman" w:eastAsia="Times New Roman" w:hAnsi="Times New Roman"/>
          <w:sz w:val="12"/>
          <w:szCs w:val="12"/>
          <w:color w:val="auto"/>
        </w:rPr>
        <w:t>Any of the foregoing could harm our business and we cannot anticipate all of the ways in which the political or economic climate and financial market</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auto"/>
        </w:rPr>
        <w:t>conditions could adversely impact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Delivery of our products could be delayed or disrupted by factors beyond our control, and we could lose customers as a result.</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Doing business internationally creates operational and financial risks for our business.</w:t>
      </w:r>
    </w:p>
    <w:p>
      <w:pPr>
        <w:spacing w:after="0" w:line="1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28" w:lineRule="exact"/>
        <w:rPr>
          <w:sz w:val="20"/>
          <w:szCs w:val="20"/>
          <w:color w:val="auto"/>
        </w:rPr>
      </w:pPr>
    </w:p>
    <w:p>
      <w:pPr>
        <w:ind w:left="720" w:right="7920"/>
        <w:spacing w:after="0" w:line="350" w:lineRule="auto"/>
        <w:rPr>
          <w:sz w:val="20"/>
          <w:szCs w:val="20"/>
          <w:color w:val="auto"/>
        </w:rPr>
      </w:pPr>
      <w:r>
        <w:rPr>
          <w:rFonts w:ascii="Times New Roman" w:cs="Times New Roman" w:eastAsia="Times New Roman" w:hAnsi="Times New Roman"/>
          <w:sz w:val="11"/>
          <w:szCs w:val="11"/>
          <w:color w:val="auto"/>
        </w:rPr>
        <w:t>limits to travel as a result of the COVID-19 pandemic; challenges in staffing and managing foreign operations;</w:t>
      </w:r>
    </w:p>
    <w:p>
      <w:pPr>
        <w:ind w:left="720" w:right="3500"/>
        <w:spacing w:after="0" w:line="320" w:lineRule="auto"/>
        <w:rPr>
          <w:sz w:val="20"/>
          <w:szCs w:val="20"/>
          <w:color w:val="auto"/>
        </w:rPr>
      </w:pPr>
      <w:r>
        <w:rPr>
          <w:rFonts w:ascii="Times New Roman" w:cs="Times New Roman" w:eastAsia="Times New Roman" w:hAnsi="Times New Roman"/>
          <w:sz w:val="12"/>
          <w:szCs w:val="12"/>
          <w:color w:val="auto"/>
        </w:rPr>
        <w:t>potentially longer sales cycles and more time required to engage and educate customers on the benefits of our platform outside of the United States; the potential need for localized software and documentation;</w:t>
      </w:r>
    </w:p>
    <w:p>
      <w:pPr>
        <w:spacing w:after="0" w:line="1" w:lineRule="exact"/>
        <w:rPr>
          <w:sz w:val="20"/>
          <w:szCs w:val="20"/>
          <w:color w:val="auto"/>
        </w:rPr>
      </w:pPr>
    </w:p>
    <w:p>
      <w:pPr>
        <w:ind w:left="720" w:right="3220"/>
        <w:spacing w:after="0" w:line="284" w:lineRule="auto"/>
        <w:rPr>
          <w:sz w:val="20"/>
          <w:szCs w:val="20"/>
          <w:color w:val="auto"/>
        </w:rPr>
      </w:pPr>
      <w:r>
        <w:rPr>
          <w:rFonts w:ascii="Times New Roman" w:cs="Times New Roman" w:eastAsia="Times New Roman" w:hAnsi="Times New Roman"/>
          <w:sz w:val="12"/>
          <w:szCs w:val="12"/>
          <w:color w:val="auto"/>
        </w:rPr>
        <w:t>reduced protection for intellectual property rights in some countries and practical difficulties of enforcing intellectual property and contract rights abroad; defending against intellectual property claims in other countries;</w:t>
      </w: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restriction on cross-border investment, including enhanced oversight by the Committee on Foreign Investment in the United States (“CFIUS”) and substantial restrictions on investment from China;</w:t>
      </w:r>
    </w:p>
    <w:p>
      <w:pPr>
        <w:spacing w:after="0" w:line="42"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changes in diplomatic and trade relationships, including new tariffs, trade protection measures, import or export licensing requirements, trade embargoes, sanctions and other trade barriers;</w:t>
      </w:r>
    </w:p>
    <w:p>
      <w:pPr>
        <w:spacing w:after="0" w:line="42" w:lineRule="exact"/>
        <w:rPr>
          <w:sz w:val="20"/>
          <w:szCs w:val="20"/>
          <w:color w:val="auto"/>
        </w:rPr>
      </w:pPr>
    </w:p>
    <w:p>
      <w:pPr>
        <w:ind w:left="720" w:right="20"/>
        <w:spacing w:after="0" w:line="241" w:lineRule="auto"/>
        <w:rPr>
          <w:sz w:val="20"/>
          <w:szCs w:val="20"/>
          <w:color w:val="auto"/>
        </w:rPr>
      </w:pPr>
      <w:r>
        <w:rPr>
          <w:rFonts w:ascii="Times New Roman" w:cs="Times New Roman" w:eastAsia="Times New Roman" w:hAnsi="Times New Roman"/>
          <w:sz w:val="12"/>
          <w:szCs w:val="12"/>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25"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2"/>
          <w:szCs w:val="12"/>
          <w:color w:val="auto"/>
        </w:rPr>
        <w:t>deterioration of political relations between the U.S. and Russia, China, Japan, Korea, Canada, the United Kingdom (“U.K.”) and the E.U., which could have a material adverse effect on our sales and operations in these countries;</w:t>
      </w:r>
    </w:p>
    <w:p>
      <w:pPr>
        <w:spacing w:after="0" w:line="11" w:lineRule="exact"/>
        <w:rPr>
          <w:sz w:val="20"/>
          <w:szCs w:val="20"/>
          <w:color w:val="auto"/>
        </w:rPr>
      </w:pPr>
    </w:p>
    <w:p>
      <w:pPr>
        <w:ind w:left="720"/>
        <w:spacing w:after="0" w:line="264" w:lineRule="auto"/>
        <w:rPr>
          <w:sz w:val="20"/>
          <w:szCs w:val="20"/>
          <w:color w:val="auto"/>
        </w:rPr>
      </w:pPr>
      <w:r>
        <w:rPr>
          <w:rFonts w:ascii="Times New Roman" w:cs="Times New Roman" w:eastAsia="Times New Roman" w:hAnsi="Times New Roman"/>
          <w:sz w:val="12"/>
          <w:szCs w:val="12"/>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11" w:lineRule="exact"/>
        <w:rPr>
          <w:sz w:val="20"/>
          <w:szCs w:val="20"/>
          <w:color w:val="auto"/>
        </w:rPr>
      </w:pPr>
    </w:p>
    <w:p>
      <w:pPr>
        <w:ind w:left="720" w:right="4780"/>
        <w:spacing w:after="0" w:line="320" w:lineRule="auto"/>
        <w:rPr>
          <w:sz w:val="20"/>
          <w:szCs w:val="20"/>
          <w:color w:val="auto"/>
        </w:rPr>
      </w:pPr>
      <w:r>
        <w:rPr>
          <w:rFonts w:ascii="Times New Roman" w:cs="Times New Roman" w:eastAsia="Times New Roman" w:hAnsi="Times New Roman"/>
          <w:sz w:val="12"/>
          <w:szCs w:val="12"/>
          <w:color w:val="auto"/>
        </w:rPr>
        <w:t>difficulties in obtaining export licenses or in overcoming other trade barriers and restrictions resulting in delivery delays; fluctuations in currency exchange rates and the related effect on our results of operations;</w:t>
      </w:r>
    </w:p>
    <w:p>
      <w:pPr>
        <w:spacing w:after="0" w:line="1" w:lineRule="exact"/>
        <w:rPr>
          <w:sz w:val="20"/>
          <w:szCs w:val="20"/>
          <w:color w:val="auto"/>
        </w:rPr>
      </w:pPr>
    </w:p>
    <w:p>
      <w:pPr>
        <w:ind w:left="720" w:right="7160"/>
        <w:spacing w:after="0" w:line="341" w:lineRule="auto"/>
        <w:rPr>
          <w:sz w:val="20"/>
          <w:szCs w:val="20"/>
          <w:color w:val="auto"/>
        </w:rPr>
      </w:pPr>
      <w:r>
        <w:rPr>
          <w:rFonts w:ascii="Times New Roman" w:cs="Times New Roman" w:eastAsia="Times New Roman" w:hAnsi="Times New Roman"/>
          <w:sz w:val="11"/>
          <w:szCs w:val="11"/>
          <w:color w:val="auto"/>
        </w:rPr>
        <w:t>increased financial accounting and reporting burdens and complexities; disruptions to global trade due to disease outbreaks or conflicts;</w:t>
      </w:r>
    </w:p>
    <w:p>
      <w:pPr>
        <w:ind w:left="500"/>
        <w:spacing w:after="0"/>
        <w:rPr>
          <w:sz w:val="20"/>
          <w:szCs w:val="20"/>
          <w:color w:val="auto"/>
        </w:rPr>
      </w:pPr>
      <w:r>
        <w:rPr>
          <w:rFonts w:ascii="Times New Roman" w:cs="Times New Roman" w:eastAsia="Times New Roman" w:hAnsi="Times New Roman"/>
          <w:sz w:val="12"/>
          <w:szCs w:val="12"/>
          <w:color w:val="auto"/>
        </w:rPr>
        <w:t>potential increases on tariffs or restrictions on trade generally; and</w:t>
      </w:r>
    </w:p>
    <w:p>
      <w:pPr>
        <w:spacing w:after="0" w:line="51" w:lineRule="exact"/>
        <w:rPr>
          <w:sz w:val="20"/>
          <w:szCs w:val="20"/>
          <w:color w:val="auto"/>
        </w:rPr>
      </w:pPr>
    </w:p>
    <w:p>
      <w:pPr>
        <w:ind w:left="720"/>
        <w:spacing w:after="0" w:line="248" w:lineRule="auto"/>
        <w:rPr>
          <w:sz w:val="20"/>
          <w:szCs w:val="20"/>
          <w:color w:val="auto"/>
        </w:rPr>
      </w:pPr>
      <w:r>
        <w:rPr>
          <w:rFonts w:ascii="Times New Roman" w:cs="Times New Roman" w:eastAsia="Times New Roman" w:hAnsi="Times New Roman"/>
          <w:sz w:val="12"/>
          <w:szCs w:val="12"/>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1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could be negatively impacted by changes in the United States political environment.</w:t>
      </w:r>
    </w:p>
    <w:p>
      <w:pPr>
        <w:spacing w:after="0" w:line="14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Disruption of critical information technology systems or material breaches in the security of our systems could harm our business, customer relations and financial condition.</w:t>
      </w:r>
    </w:p>
    <w:p>
      <w:pPr>
        <w:spacing w:after="0" w:line="14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2"/>
          <w:szCs w:val="12"/>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Security breaches and other disruptions could compromise our information and expose us to liability, which would cause our business and reputation to suffer.</w:t>
      </w:r>
    </w:p>
    <w:p>
      <w:pPr>
        <w:spacing w:after="0" w:line="13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2"/>
          <w:szCs w:val="12"/>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 Retaliatory acts by Russia in response to Western sanctions could include cyber attacks that could disrupt the economy generally or that may either directly or indirectly impact our operations specifically.</w:t>
      </w:r>
    </w:p>
    <w:p>
      <w:pPr>
        <w:spacing w:after="0" w:line="1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including by introducing additional obligations such as data minimization and storage limitations and granting additional rights to consumers, among others.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29" w:lineRule="exact"/>
        <w:rPr>
          <w:sz w:val="20"/>
          <w:szCs w:val="20"/>
          <w:color w:val="auto"/>
        </w:rPr>
      </w:pPr>
    </w:p>
    <w:p>
      <w:pPr>
        <w:jc w:val="center"/>
        <w:ind w:right="80"/>
        <w:spacing w:after="0" w:line="248" w:lineRule="auto"/>
        <w:rPr>
          <w:sz w:val="20"/>
          <w:szCs w:val="20"/>
          <w:color w:val="auto"/>
        </w:rPr>
      </w:pPr>
      <w:r>
        <w:rPr>
          <w:rFonts w:ascii="Times New Roman" w:cs="Times New Roman" w:eastAsia="Times New Roman" w:hAnsi="Times New Roman"/>
          <w:sz w:val="12"/>
          <w:szCs w:val="12"/>
          <w:color w:val="auto"/>
        </w:rPr>
        <w:t>Furthermore, regulations promulgated pursuant to the Health Insurance Portability and Accountability Act of 1996 (“HIPAA”), establish privacy and security standards that limit the use and disclosure of individually identifiable health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121920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3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2"/>
          <w:szCs w:val="12"/>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129540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Unregistered Sales of Equity Securities and Use of Proceeds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Default Upon Senior Securities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79"/>
          </w:cols>
          <w:pgMar w:left="280" w:top="120"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6.</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Exhibits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color w:val="auto"/>
              </w:rPr>
              <w:t>Exhibit No.</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940" w:type="dxa"/>
            <w:vAlign w:val="bottom"/>
            <w:gridSpan w:val="6"/>
            <w:vMerge w:val="restart"/>
          </w:tcPr>
          <w:p>
            <w:pPr>
              <w:ind w:left="1640"/>
              <w:spacing w:after="0"/>
              <w:rPr>
                <w:sz w:val="20"/>
                <w:szCs w:val="20"/>
                <w:color w:val="auto"/>
              </w:rPr>
            </w:pPr>
            <w:r>
              <w:rPr>
                <w:rFonts w:ascii="Times New Roman" w:cs="Times New Roman" w:eastAsia="Times New Roman" w:hAnsi="Times New Roman"/>
                <w:sz w:val="10"/>
                <w:szCs w:val="10"/>
                <w:color w:val="auto"/>
              </w:rPr>
              <w:t>Description</w:t>
            </w:r>
          </w:p>
        </w:tc>
        <w:tc>
          <w:tcPr>
            <w:tcW w:w="82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0"/>
                <w:szCs w:val="10"/>
                <w:color w:val="auto"/>
              </w:rPr>
              <w:t>Incorporated by reference herein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940" w:type="dxa"/>
            <w:vAlign w:val="bottom"/>
            <w:tcBorders>
              <w:bottom w:val="single" w:sz="8" w:color="auto"/>
            </w:tcBorders>
            <w:gridSpan w:val="6"/>
            <w:vMerge w:val="continue"/>
          </w:tcPr>
          <w:p>
            <w:pPr>
              <w:spacing w:after="0"/>
              <w:rPr>
                <w:sz w:val="8"/>
                <w:szCs w:val="8"/>
                <w:color w:val="auto"/>
              </w:rPr>
            </w:pPr>
          </w:p>
        </w:tc>
        <w:tc>
          <w:tcPr>
            <w:tcW w:w="820" w:type="dxa"/>
            <w:vAlign w:val="bottom"/>
            <w:tcBorders>
              <w:bottom w:val="single" w:sz="8" w:color="auto"/>
            </w:tcBorders>
          </w:tcPr>
          <w:p>
            <w:pPr>
              <w:ind w:left="240"/>
              <w:spacing w:after="0" w:line="97" w:lineRule="exact"/>
              <w:rPr>
                <w:sz w:val="20"/>
                <w:szCs w:val="20"/>
                <w:color w:val="auto"/>
              </w:rPr>
            </w:pPr>
            <w:r>
              <w:rPr>
                <w:rFonts w:ascii="Times New Roman" w:cs="Times New Roman" w:eastAsia="Times New Roman" w:hAnsi="Times New Roman"/>
                <w:sz w:val="10"/>
                <w:szCs w:val="10"/>
                <w:color w:val="auto"/>
              </w:rPr>
              <w:t>Form</w:t>
            </w:r>
          </w:p>
        </w:tc>
        <w:tc>
          <w:tcPr>
            <w:tcW w:w="1260" w:type="dxa"/>
            <w:vAlign w:val="bottom"/>
            <w:tcBorders>
              <w:bottom w:val="single" w:sz="8" w:color="auto"/>
            </w:tcBorders>
          </w:tcPr>
          <w:p>
            <w:pPr>
              <w:jc w:val="right"/>
              <w:ind w:right="429"/>
              <w:spacing w:after="0" w:line="97" w:lineRule="exact"/>
              <w:rPr>
                <w:sz w:val="20"/>
                <w:szCs w:val="20"/>
                <w:color w:val="auto"/>
              </w:rPr>
            </w:pPr>
            <w:r>
              <w:rPr>
                <w:rFonts w:ascii="Times New Roman" w:cs="Times New Roman" w:eastAsia="Times New Roman" w:hAnsi="Times New Roman"/>
                <w:sz w:val="10"/>
                <w:szCs w:val="10"/>
                <w:color w:val="auto"/>
              </w:rPr>
              <w:t>Exhibit No.</w:t>
            </w:r>
          </w:p>
        </w:tc>
        <w:tc>
          <w:tcPr>
            <w:tcW w:w="1800" w:type="dxa"/>
            <w:vAlign w:val="bottom"/>
            <w:tcBorders>
              <w:bottom w:val="single" w:sz="8" w:color="auto"/>
            </w:tcBorders>
          </w:tcPr>
          <w:p>
            <w:pPr>
              <w:jc w:val="center"/>
              <w:ind w:right="9"/>
              <w:spacing w:after="0" w:line="97" w:lineRule="exact"/>
              <w:rPr>
                <w:sz w:val="20"/>
                <w:szCs w:val="20"/>
                <w:color w:val="auto"/>
              </w:rPr>
            </w:pPr>
            <w:r>
              <w:rPr>
                <w:rFonts w:ascii="Times New Roman" w:cs="Times New Roman" w:eastAsia="Times New Roman" w:hAnsi="Times New Roman"/>
                <w:sz w:val="10"/>
                <w:szCs w:val="10"/>
                <w:color w:val="auto"/>
              </w:rPr>
              <w:t>Filing Date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gridSpan w:val="2"/>
            <w:shd w:val="clear" w:color="auto" w:fill="CCEEFF"/>
          </w:tcPr>
          <w:p>
            <w:pPr>
              <w:spacing w:after="0" w:line="88" w:lineRule="exact"/>
              <w:rPr>
                <w:rFonts w:ascii="Times New Roman" w:cs="Times New Roman" w:eastAsia="Times New Roman" w:hAnsi="Times New Roman"/>
                <w:sz w:val="10"/>
                <w:szCs w:val="10"/>
                <w:color w:val="0000FF"/>
              </w:rPr>
            </w:pPr>
            <w:hyperlink r:id="rId93">
              <w:r>
                <w:rPr>
                  <w:rFonts w:ascii="Times New Roman" w:cs="Times New Roman" w:eastAsia="Times New Roman" w:hAnsi="Times New Roman"/>
                  <w:sz w:val="10"/>
                  <w:szCs w:val="10"/>
                  <w:color w:val="0000FF"/>
                </w:rPr>
                <w:t>10.1</w:t>
              </w:r>
            </w:hyperlink>
            <w:r>
              <w:rPr>
                <w:rFonts w:ascii="Times New Roman" w:cs="Times New Roman" w:eastAsia="Times New Roman" w:hAnsi="Times New Roman"/>
                <w:sz w:val="10"/>
                <w:szCs w:val="10"/>
                <w:color w:val="000000"/>
              </w:rPr>
              <w:t>+</w:t>
            </w:r>
          </w:p>
        </w:tc>
        <w:tc>
          <w:tcPr>
            <w:tcW w:w="4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100" w:type="dxa"/>
            <w:vAlign w:val="bottom"/>
            <w:gridSpan w:val="8"/>
            <w:shd w:val="clear" w:color="auto" w:fill="CCEEFF"/>
          </w:tcPr>
          <w:p>
            <w:pPr>
              <w:spacing w:after="0" w:line="88" w:lineRule="exact"/>
              <w:rPr>
                <w:rFonts w:ascii="Times New Roman" w:cs="Times New Roman" w:eastAsia="Times New Roman" w:hAnsi="Times New Roman"/>
                <w:sz w:val="10"/>
                <w:szCs w:val="10"/>
                <w:color w:val="0000FF"/>
              </w:rPr>
            </w:pPr>
            <w:hyperlink r:id="rId93">
              <w:r>
                <w:rPr>
                  <w:rFonts w:ascii="Times New Roman" w:cs="Times New Roman" w:eastAsia="Times New Roman" w:hAnsi="Times New Roman"/>
                  <w:sz w:val="10"/>
                  <w:szCs w:val="10"/>
                  <w:color w:val="0000FF"/>
                </w:rPr>
                <w:t>Pacific Biosciences of California, Inc. 2020 Inducement Equity Incentive Plan, as amended, and forms of agreement thereunder</w:t>
              </w:r>
            </w:hyperlink>
          </w:p>
        </w:tc>
        <w:tc>
          <w:tcPr>
            <w:tcW w:w="820" w:type="dxa"/>
            <w:vAlign w:val="bottom"/>
            <w:shd w:val="clear" w:color="auto" w:fill="CCEEFF"/>
          </w:tcPr>
          <w:p>
            <w:pPr>
              <w:jc w:val="center"/>
              <w:ind w:right="9"/>
              <w:spacing w:after="0" w:line="88" w:lineRule="exact"/>
              <w:rPr>
                <w:sz w:val="20"/>
                <w:szCs w:val="20"/>
                <w:color w:val="auto"/>
              </w:rPr>
            </w:pPr>
            <w:r>
              <w:rPr>
                <w:rFonts w:ascii="Times New Roman" w:cs="Times New Roman" w:eastAsia="Times New Roman" w:hAnsi="Times New Roman"/>
                <w:sz w:val="10"/>
                <w:szCs w:val="10"/>
                <w:color w:val="auto"/>
              </w:rPr>
              <w:t>8-K</w:t>
            </w:r>
          </w:p>
        </w:tc>
        <w:tc>
          <w:tcPr>
            <w:tcW w:w="1260" w:type="dxa"/>
            <w:vAlign w:val="bottom"/>
            <w:shd w:val="clear" w:color="auto" w:fill="CCEEFF"/>
          </w:tcPr>
          <w:p>
            <w:pPr>
              <w:jc w:val="right"/>
              <w:ind w:right="609"/>
              <w:spacing w:after="0" w:line="88" w:lineRule="exact"/>
              <w:rPr>
                <w:sz w:val="20"/>
                <w:szCs w:val="20"/>
                <w:color w:val="auto"/>
              </w:rPr>
            </w:pPr>
            <w:r>
              <w:rPr>
                <w:rFonts w:ascii="Times New Roman" w:cs="Times New Roman" w:eastAsia="Times New Roman" w:hAnsi="Times New Roman"/>
                <w:sz w:val="10"/>
                <w:szCs w:val="10"/>
                <w:color w:val="auto"/>
              </w:rPr>
              <w:t>10.1</w:t>
            </w:r>
          </w:p>
        </w:tc>
        <w:tc>
          <w:tcPr>
            <w:tcW w:w="1800" w:type="dxa"/>
            <w:vAlign w:val="bottom"/>
            <w:shd w:val="clear" w:color="auto" w:fill="CCEEFF"/>
          </w:tcPr>
          <w:p>
            <w:pPr>
              <w:jc w:val="center"/>
              <w:ind w:right="9"/>
              <w:spacing w:after="0" w:line="88" w:lineRule="exact"/>
              <w:rPr>
                <w:sz w:val="20"/>
                <w:szCs w:val="20"/>
                <w:color w:val="auto"/>
              </w:rPr>
            </w:pPr>
            <w:r>
              <w:rPr>
                <w:rFonts w:ascii="Times New Roman" w:cs="Times New Roman" w:eastAsia="Times New Roman" w:hAnsi="Times New Roman"/>
                <w:sz w:val="10"/>
                <w:szCs w:val="10"/>
                <w:color w:val="auto"/>
              </w:rPr>
              <w:t>November 19,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4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0000FF"/>
              </w:rPr>
              <w:t>10.2</w:t>
            </w:r>
            <w:r>
              <w:rPr>
                <w:rFonts w:ascii="Times New Roman" w:cs="Times New Roman" w:eastAsia="Times New Roman" w:hAnsi="Times New Roman"/>
                <w:sz w:val="10"/>
                <w:szCs w:val="10"/>
                <w:color w:val="000000"/>
              </w:rPr>
              <w:t>+</w:t>
            </w: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100" w:type="dxa"/>
            <w:vAlign w:val="bottom"/>
            <w:gridSpan w:val="8"/>
          </w:tcPr>
          <w:p>
            <w:pPr>
              <w:spacing w:after="0" w:line="88" w:lineRule="exact"/>
              <w:rPr>
                <w:sz w:val="20"/>
                <w:szCs w:val="20"/>
                <w:color w:val="auto"/>
              </w:rPr>
            </w:pPr>
            <w:r>
              <w:rPr>
                <w:rFonts w:ascii="Times New Roman" w:cs="Times New Roman" w:eastAsia="Times New Roman" w:hAnsi="Times New Roman"/>
                <w:sz w:val="10"/>
                <w:szCs w:val="10"/>
                <w:color w:val="0000FF"/>
              </w:rPr>
              <w:t>Change in Control and Severance Agreement, by and between the Registrant and Denis Zaccarin, Ph.D. effective November 4, 2020</w:t>
            </w: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0" w:type="dxa"/>
            <w:vAlign w:val="bottom"/>
          </w:tcPr>
          <w:p>
            <w:pPr>
              <w:jc w:val="center"/>
              <w:ind w:right="29"/>
              <w:spacing w:after="0" w:line="8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400" w:type="dxa"/>
            <w:vAlign w:val="bottom"/>
            <w:gridSpan w:val="2"/>
            <w:shd w:val="clear" w:color="auto" w:fill="CCEEFF"/>
          </w:tcPr>
          <w:p>
            <w:pPr>
              <w:spacing w:after="0" w:line="88" w:lineRule="exact"/>
              <w:rPr>
                <w:rFonts w:ascii="Times New Roman" w:cs="Times New Roman" w:eastAsia="Times New Roman" w:hAnsi="Times New Roman"/>
                <w:sz w:val="10"/>
                <w:szCs w:val="10"/>
                <w:color w:val="0000FF"/>
              </w:rPr>
            </w:pPr>
            <w:hyperlink r:id="rId94">
              <w:r>
                <w:rPr>
                  <w:rFonts w:ascii="Times New Roman" w:cs="Times New Roman" w:eastAsia="Times New Roman" w:hAnsi="Times New Roman"/>
                  <w:sz w:val="10"/>
                  <w:szCs w:val="10"/>
                  <w:color w:val="0000FF"/>
                </w:rPr>
                <w:t>10.3</w:t>
              </w:r>
            </w:hyperlink>
            <w:r>
              <w:rPr>
                <w:rFonts w:ascii="Times New Roman" w:cs="Times New Roman" w:eastAsia="Times New Roman" w:hAnsi="Times New Roman"/>
                <w:sz w:val="10"/>
                <w:szCs w:val="10"/>
                <w:color w:val="000000"/>
              </w:rPr>
              <w:t>+</w:t>
            </w:r>
          </w:p>
        </w:tc>
        <w:tc>
          <w:tcPr>
            <w:tcW w:w="4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100" w:type="dxa"/>
            <w:vAlign w:val="bottom"/>
            <w:gridSpan w:val="8"/>
            <w:shd w:val="clear" w:color="auto" w:fill="CCEEFF"/>
          </w:tcPr>
          <w:p>
            <w:pPr>
              <w:spacing w:after="0" w:line="88" w:lineRule="exact"/>
              <w:rPr>
                <w:rFonts w:ascii="Times New Roman" w:cs="Times New Roman" w:eastAsia="Times New Roman" w:hAnsi="Times New Roman"/>
                <w:sz w:val="10"/>
                <w:szCs w:val="10"/>
                <w:color w:val="0000FF"/>
              </w:rPr>
            </w:pPr>
            <w:hyperlink r:id="rId94">
              <w:r>
                <w:rPr>
                  <w:rFonts w:ascii="Times New Roman" w:cs="Times New Roman" w:eastAsia="Times New Roman" w:hAnsi="Times New Roman"/>
                  <w:sz w:val="10"/>
                  <w:szCs w:val="10"/>
                  <w:color w:val="0000FF"/>
                </w:rPr>
                <w:t>Omniome Equity Incentive Plan of Pacific Biosciences of California, Inc. and related forms of agreement thereunder</w:t>
              </w:r>
            </w:hyperlink>
          </w:p>
        </w:tc>
        <w:tc>
          <w:tcPr>
            <w:tcW w:w="820" w:type="dxa"/>
            <w:vAlign w:val="bottom"/>
            <w:shd w:val="clear" w:color="auto" w:fill="CCEEFF"/>
          </w:tcPr>
          <w:p>
            <w:pPr>
              <w:jc w:val="center"/>
              <w:ind w:right="9"/>
              <w:spacing w:after="0" w:line="88" w:lineRule="exact"/>
              <w:rPr>
                <w:sz w:val="20"/>
                <w:szCs w:val="20"/>
                <w:color w:val="auto"/>
              </w:rPr>
            </w:pPr>
            <w:r>
              <w:rPr>
                <w:rFonts w:ascii="Times New Roman" w:cs="Times New Roman" w:eastAsia="Times New Roman" w:hAnsi="Times New Roman"/>
                <w:sz w:val="10"/>
                <w:szCs w:val="10"/>
                <w:color w:val="auto"/>
                <w:w w:val="97"/>
              </w:rPr>
              <w:t>10-Q</w:t>
            </w:r>
          </w:p>
        </w:tc>
        <w:tc>
          <w:tcPr>
            <w:tcW w:w="1260" w:type="dxa"/>
            <w:vAlign w:val="bottom"/>
            <w:shd w:val="clear" w:color="auto" w:fill="CCEEFF"/>
          </w:tcPr>
          <w:p>
            <w:pPr>
              <w:jc w:val="right"/>
              <w:ind w:right="609"/>
              <w:spacing w:after="0" w:line="88" w:lineRule="exact"/>
              <w:rPr>
                <w:sz w:val="20"/>
                <w:szCs w:val="20"/>
                <w:color w:val="auto"/>
              </w:rPr>
            </w:pPr>
            <w:r>
              <w:rPr>
                <w:rFonts w:ascii="Times New Roman" w:cs="Times New Roman" w:eastAsia="Times New Roman" w:hAnsi="Times New Roman"/>
                <w:sz w:val="10"/>
                <w:szCs w:val="10"/>
                <w:color w:val="auto"/>
              </w:rPr>
              <w:t>10.4</w:t>
            </w:r>
          </w:p>
        </w:tc>
        <w:tc>
          <w:tcPr>
            <w:tcW w:w="1800" w:type="dxa"/>
            <w:vAlign w:val="bottom"/>
            <w:shd w:val="clear" w:color="auto" w:fill="CCEEFF"/>
          </w:tcPr>
          <w:p>
            <w:pPr>
              <w:jc w:val="center"/>
              <w:ind w:right="29"/>
              <w:spacing w:after="0" w:line="88" w:lineRule="exact"/>
              <w:rPr>
                <w:sz w:val="20"/>
                <w:szCs w:val="20"/>
                <w:color w:val="auto"/>
              </w:rPr>
            </w:pPr>
            <w:r>
              <w:rPr>
                <w:rFonts w:ascii="Times New Roman" w:cs="Times New Roman" w:eastAsia="Times New Roman" w:hAnsi="Times New Roman"/>
                <w:sz w:val="10"/>
                <w:szCs w:val="10"/>
                <w:color w:val="auto"/>
              </w:rPr>
              <w:t>November 5,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180" w:type="dxa"/>
            <w:vAlign w:val="bottom"/>
          </w:tcPr>
          <w:p>
            <w:pPr>
              <w:spacing w:after="0" w:line="88" w:lineRule="exact"/>
              <w:rPr>
                <w:sz w:val="20"/>
                <w:szCs w:val="20"/>
                <w:color w:val="auto"/>
              </w:rPr>
            </w:pPr>
            <w:r>
              <w:rPr>
                <w:rFonts w:ascii="Times New Roman" w:cs="Times New Roman" w:eastAsia="Times New Roman" w:hAnsi="Times New Roman"/>
                <w:sz w:val="10"/>
                <w:szCs w:val="10"/>
                <w:color w:val="0000FF"/>
                <w:w w:val="91"/>
              </w:rPr>
              <w:t>31.1</w:t>
            </w: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100" w:type="dxa"/>
            <w:vAlign w:val="bottom"/>
            <w:gridSpan w:val="8"/>
          </w:tcPr>
          <w:p>
            <w:pPr>
              <w:spacing w:after="0" w:line="88" w:lineRule="exact"/>
              <w:rPr>
                <w:sz w:val="20"/>
                <w:szCs w:val="20"/>
                <w:color w:val="auto"/>
              </w:rPr>
            </w:pPr>
            <w:r>
              <w:rPr>
                <w:rFonts w:ascii="Times New Roman" w:cs="Times New Roman" w:eastAsia="Times New Roman" w:hAnsi="Times New Roman"/>
                <w:sz w:val="10"/>
                <w:szCs w:val="10"/>
                <w:color w:val="0000FF"/>
              </w:rPr>
              <w:t>Certification of Chief Executive Officer pursuant to Exchange Act Rules 13a-14(a) and 15d-14(a), as adopted pursuant to Section 302 of the</w:t>
            </w: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0" w:type="dxa"/>
            <w:vAlign w:val="bottom"/>
          </w:tcPr>
          <w:p>
            <w:pPr>
              <w:jc w:val="center"/>
              <w:ind w:right="29"/>
              <w:spacing w:after="0" w:line="8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Borders>
              <w:top w:val="single" w:sz="8" w:color="0000FF"/>
              <w:bottom w:val="single" w:sz="8" w:color="0000FF"/>
            </w:tcBorders>
            <w:gridSpan w:val="2"/>
          </w:tcPr>
          <w:p>
            <w:pPr>
              <w:spacing w:after="0" w:line="88" w:lineRule="exact"/>
              <w:rPr>
                <w:sz w:val="20"/>
                <w:szCs w:val="20"/>
                <w:color w:val="auto"/>
              </w:rPr>
            </w:pPr>
            <w:r>
              <w:rPr>
                <w:rFonts w:ascii="Times New Roman" w:cs="Times New Roman" w:eastAsia="Times New Roman" w:hAnsi="Times New Roman"/>
                <w:sz w:val="10"/>
                <w:szCs w:val="10"/>
                <w:color w:val="0000FF"/>
                <w:w w:val="99"/>
              </w:rPr>
              <w:t>Sarbanes-Oxley Act of 2002</w:t>
            </w:r>
          </w:p>
        </w:tc>
        <w:tc>
          <w:tcPr>
            <w:tcW w:w="4860" w:type="dxa"/>
            <w:vAlign w:val="bottom"/>
            <w:tcBorders>
              <w:top w:val="single" w:sz="8" w:color="0000FF"/>
            </w:tcBorders>
            <w:gridSpan w:val="5"/>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gridSpan w:val="2"/>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0000FF"/>
              </w:rPr>
              <w:t>31.</w:t>
            </w:r>
            <w:r>
              <w:rPr>
                <w:rFonts w:ascii="Times New Roman" w:cs="Times New Roman" w:eastAsia="Times New Roman" w:hAnsi="Times New Roman"/>
                <w:sz w:val="9"/>
                <w:szCs w:val="9"/>
                <w:u w:val="single" w:color="auto"/>
                <w:color w:val="0000FF"/>
              </w:rPr>
              <w:t>2</w:t>
            </w:r>
          </w:p>
        </w:tc>
        <w:tc>
          <w:tcPr>
            <w:tcW w:w="4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100" w:type="dxa"/>
            <w:vAlign w:val="bottom"/>
            <w:gridSpan w:val="8"/>
            <w:shd w:val="clear" w:color="auto" w:fill="CCEEFF"/>
          </w:tcPr>
          <w:p>
            <w:pPr>
              <w:spacing w:after="0" w:line="79" w:lineRule="exact"/>
              <w:rPr>
                <w:sz w:val="20"/>
                <w:szCs w:val="20"/>
                <w:color w:val="auto"/>
              </w:rPr>
            </w:pPr>
            <w:r>
              <w:rPr>
                <w:rFonts w:ascii="Times New Roman" w:cs="Times New Roman" w:eastAsia="Times New Roman" w:hAnsi="Times New Roman"/>
                <w:sz w:val="9"/>
                <w:szCs w:val="9"/>
                <w:color w:val="0000FF"/>
              </w:rPr>
              <w:t>Certification of Chief Financial Officer pursuant to Exchange Act Rules 13a-14(a) and 15d-14(a), as adopted pursuant to Section 302 of the</w:t>
            </w:r>
          </w:p>
        </w:tc>
        <w:tc>
          <w:tcPr>
            <w:tcW w:w="8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0" w:type="dxa"/>
            <w:vAlign w:val="bottom"/>
            <w:shd w:val="clear" w:color="auto" w:fill="CCEEFF"/>
          </w:tcPr>
          <w:p>
            <w:pPr>
              <w:jc w:val="center"/>
              <w:ind w:right="29"/>
              <w:spacing w:after="0" w:line="79" w:lineRule="exact"/>
              <w:rPr>
                <w:sz w:val="20"/>
                <w:szCs w:val="20"/>
                <w:color w:val="auto"/>
              </w:rPr>
            </w:pPr>
            <w:r>
              <w:rPr>
                <w:rFonts w:ascii="Times New Roman" w:cs="Times New Roman" w:eastAsia="Times New Roman" w:hAnsi="Times New Roman"/>
                <w:sz w:val="9"/>
                <w:szCs w:val="9"/>
                <w:color w:val="auto"/>
              </w:rPr>
              <w:t>Filed herewith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 w:type="dxa"/>
            <w:vAlign w:val="bottom"/>
            <w:tcBorders>
              <w:top w:val="single" w:sz="8" w:color="0000FF"/>
              <w:bottom w:val="single" w:sz="8" w:color="CCEEFF"/>
            </w:tcBorders>
            <w:shd w:val="clear" w:color="auto" w:fill="CCEEFF"/>
          </w:tcPr>
          <w:p>
            <w:pPr>
              <w:spacing w:after="0"/>
              <w:rPr>
                <w:sz w:val="5"/>
                <w:szCs w:val="5"/>
                <w:color w:val="auto"/>
              </w:rPr>
            </w:pPr>
          </w:p>
        </w:tc>
        <w:tc>
          <w:tcPr>
            <w:tcW w:w="220" w:type="dxa"/>
            <w:vAlign w:val="bottom"/>
            <w:tcBorders>
              <w:top w:val="single" w:sz="8" w:color="CCEEFF"/>
              <w:bottom w:val="single" w:sz="8" w:color="CCEEFF"/>
            </w:tcBorders>
            <w:shd w:val="clear" w:color="auto" w:fill="CCEEFF"/>
          </w:tcPr>
          <w:p>
            <w:pPr>
              <w:spacing w:after="0"/>
              <w:rPr>
                <w:sz w:val="5"/>
                <w:szCs w:val="5"/>
                <w:color w:val="auto"/>
              </w:rPr>
            </w:pPr>
          </w:p>
        </w:tc>
        <w:tc>
          <w:tcPr>
            <w:tcW w:w="440" w:type="dxa"/>
            <w:vAlign w:val="bottom"/>
            <w:tcBorders>
              <w:top w:val="single" w:sz="8" w:color="CCEEFF"/>
              <w:bottom w:val="single" w:sz="8" w:color="CCEEFF"/>
            </w:tcBorders>
            <w:shd w:val="clear" w:color="auto" w:fill="CCEEFF"/>
          </w:tcPr>
          <w:p>
            <w:pPr>
              <w:spacing w:after="0"/>
              <w:rPr>
                <w:sz w:val="5"/>
                <w:szCs w:val="5"/>
                <w:color w:val="auto"/>
              </w:rPr>
            </w:pPr>
          </w:p>
        </w:tc>
        <w:tc>
          <w:tcPr>
            <w:tcW w:w="480" w:type="dxa"/>
            <w:vAlign w:val="bottom"/>
            <w:tcBorders>
              <w:top w:val="single" w:sz="8" w:color="CCEEFF"/>
              <w:bottom w:val="single" w:sz="8" w:color="CCEEFF"/>
            </w:tcBorders>
            <w:shd w:val="clear" w:color="auto" w:fill="CCEEFF"/>
          </w:tcPr>
          <w:p>
            <w:pPr>
              <w:spacing w:after="0"/>
              <w:rPr>
                <w:sz w:val="5"/>
                <w:szCs w:val="5"/>
                <w:color w:val="auto"/>
              </w:rPr>
            </w:pPr>
          </w:p>
        </w:tc>
        <w:tc>
          <w:tcPr>
            <w:tcW w:w="1160" w:type="dxa"/>
            <w:vAlign w:val="bottom"/>
            <w:tcBorders>
              <w:top w:val="single" w:sz="8" w:color="0000FF"/>
              <w:bottom w:val="single" w:sz="8" w:color="0000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0000FF"/>
              </w:rPr>
              <w:t>Sarbanes-Oxley Act of 2002</w:t>
            </w:r>
          </w:p>
        </w:tc>
        <w:tc>
          <w:tcPr>
            <w:tcW w:w="4840" w:type="dxa"/>
            <w:vAlign w:val="bottom"/>
            <w:tcBorders>
              <w:top w:val="single" w:sz="8" w:color="0000FF"/>
              <w:bottom w:val="single" w:sz="8" w:color="CCEEFF"/>
            </w:tcBorders>
            <w:gridSpan w:val="4"/>
            <w:shd w:val="clear" w:color="auto" w:fill="CCEEFF"/>
          </w:tcPr>
          <w:p>
            <w:pPr>
              <w:spacing w:after="0"/>
              <w:rPr>
                <w:sz w:val="5"/>
                <w:szCs w:val="5"/>
                <w:color w:val="auto"/>
              </w:rPr>
            </w:pPr>
          </w:p>
        </w:tc>
        <w:tc>
          <w:tcPr>
            <w:tcW w:w="100" w:type="dxa"/>
            <w:vAlign w:val="bottom"/>
            <w:tcBorders>
              <w:top w:val="single" w:sz="8" w:color="CCEEFF"/>
              <w:bottom w:val="single" w:sz="8" w:color="CCEEFF"/>
            </w:tcBorders>
            <w:gridSpan w:val="2"/>
            <w:shd w:val="clear" w:color="auto" w:fill="CCEEFF"/>
          </w:tcPr>
          <w:p>
            <w:pPr>
              <w:spacing w:after="0"/>
              <w:rPr>
                <w:sz w:val="5"/>
                <w:szCs w:val="5"/>
                <w:color w:val="auto"/>
              </w:rPr>
            </w:pPr>
          </w:p>
        </w:tc>
        <w:tc>
          <w:tcPr>
            <w:tcW w:w="820" w:type="dxa"/>
            <w:vAlign w:val="bottom"/>
            <w:tcBorders>
              <w:top w:val="single" w:sz="8" w:color="CCEEFF"/>
              <w:bottom w:val="single" w:sz="8" w:color="CCEEFF"/>
            </w:tcBorders>
            <w:shd w:val="clear" w:color="auto" w:fill="CCEEFF"/>
          </w:tcPr>
          <w:p>
            <w:pPr>
              <w:spacing w:after="0"/>
              <w:rPr>
                <w:sz w:val="5"/>
                <w:szCs w:val="5"/>
                <w:color w:val="auto"/>
              </w:rPr>
            </w:pPr>
          </w:p>
        </w:tc>
        <w:tc>
          <w:tcPr>
            <w:tcW w:w="1260" w:type="dxa"/>
            <w:vAlign w:val="bottom"/>
            <w:tcBorders>
              <w:top w:val="single" w:sz="8" w:color="CCEEFF"/>
              <w:bottom w:val="single" w:sz="8" w:color="CCEEFF"/>
            </w:tcBorders>
            <w:shd w:val="clear" w:color="auto" w:fill="CCEEFF"/>
          </w:tcPr>
          <w:p>
            <w:pPr>
              <w:spacing w:after="0"/>
              <w:rPr>
                <w:sz w:val="5"/>
                <w:szCs w:val="5"/>
                <w:color w:val="auto"/>
              </w:rPr>
            </w:pPr>
          </w:p>
        </w:tc>
        <w:tc>
          <w:tcPr>
            <w:tcW w:w="1800" w:type="dxa"/>
            <w:vAlign w:val="bottom"/>
            <w:tcBorders>
              <w:top w:val="single" w:sz="8" w:color="CCEEFF"/>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0000FF"/>
              </w:rPr>
              <w:t>32.</w:t>
            </w:r>
            <w:r>
              <w:rPr>
                <w:rFonts w:ascii="Times New Roman" w:cs="Times New Roman" w:eastAsia="Times New Roman" w:hAnsi="Times New Roman"/>
                <w:sz w:val="10"/>
                <w:szCs w:val="10"/>
                <w:u w:val="single" w:color="auto"/>
                <w:color w:val="0000FF"/>
              </w:rPr>
              <w:t>1</w:t>
            </w:r>
            <w:r>
              <w:rPr>
                <w:rFonts w:ascii="Times New Roman" w:cs="Times New Roman" w:eastAsia="Times New Roman" w:hAnsi="Times New Roman"/>
                <w:sz w:val="10"/>
                <w:szCs w:val="10"/>
                <w:color w:val="000000"/>
              </w:rPr>
              <w:t>*</w:t>
            </w: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100" w:type="dxa"/>
            <w:vAlign w:val="bottom"/>
            <w:gridSpan w:val="8"/>
          </w:tcPr>
          <w:p>
            <w:pPr>
              <w:spacing w:after="0" w:line="88" w:lineRule="exact"/>
              <w:rPr>
                <w:sz w:val="20"/>
                <w:szCs w:val="20"/>
                <w:color w:val="auto"/>
              </w:rPr>
            </w:pPr>
            <w:r>
              <w:rPr>
                <w:rFonts w:ascii="Times New Roman" w:cs="Times New Roman" w:eastAsia="Times New Roman" w:hAnsi="Times New Roman"/>
                <w:sz w:val="10"/>
                <w:szCs w:val="10"/>
                <w:color w:val="0000FF"/>
              </w:rPr>
              <w:t>Certification of Chief Executive Officer pursuant to 18 U.S.C. Section 1350, as adopted pursuant to Section 906 of the Sarbanes-Oxley Act of</w:t>
            </w: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0" w:type="dxa"/>
            <w:vAlign w:val="bottom"/>
          </w:tcPr>
          <w:p>
            <w:pPr>
              <w:jc w:val="center"/>
              <w:ind w:right="29"/>
              <w:spacing w:after="0" w:line="88" w:lineRule="exact"/>
              <w:rPr>
                <w:sz w:val="20"/>
                <w:szCs w:val="20"/>
                <w:color w:val="auto"/>
              </w:rPr>
            </w:pPr>
            <w:r>
              <w:rPr>
                <w:rFonts w:ascii="Times New Roman" w:cs="Times New Roman" w:eastAsia="Times New Roman" w:hAnsi="Times New Roman"/>
                <w:sz w:val="10"/>
                <w:szCs w:val="10"/>
                <w:color w:val="auto"/>
              </w:rPr>
              <w:t>Furnished herewith</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Borders>
              <w:top w:val="single" w:sz="8" w:color="0000FF"/>
              <w:bottom w:val="single" w:sz="8" w:color="0000FF"/>
            </w:tcBorders>
          </w:tcPr>
          <w:p>
            <w:pPr>
              <w:spacing w:after="0" w:line="88" w:lineRule="exact"/>
              <w:rPr>
                <w:sz w:val="20"/>
                <w:szCs w:val="20"/>
                <w:color w:val="auto"/>
              </w:rPr>
            </w:pPr>
            <w:r>
              <w:rPr>
                <w:rFonts w:ascii="Times New Roman" w:cs="Times New Roman" w:eastAsia="Times New Roman" w:hAnsi="Times New Roman"/>
                <w:sz w:val="10"/>
                <w:szCs w:val="10"/>
                <w:color w:val="0000FF"/>
                <w:w w:val="89"/>
              </w:rPr>
              <w:t>2002</w:t>
            </w:r>
          </w:p>
        </w:tc>
        <w:tc>
          <w:tcPr>
            <w:tcW w:w="960" w:type="dxa"/>
            <w:vAlign w:val="bottom"/>
            <w:tcBorders>
              <w:top w:val="single" w:sz="8" w:color="0000FF"/>
            </w:tcBorders>
          </w:tcPr>
          <w:p>
            <w:pPr>
              <w:spacing w:after="0"/>
              <w:rPr>
                <w:sz w:val="7"/>
                <w:szCs w:val="7"/>
                <w:color w:val="auto"/>
              </w:rPr>
            </w:pPr>
          </w:p>
        </w:tc>
        <w:tc>
          <w:tcPr>
            <w:tcW w:w="3620" w:type="dxa"/>
            <w:vAlign w:val="bottom"/>
            <w:tcBorders>
              <w:top w:val="single" w:sz="8" w:color="0000FF"/>
            </w:tcBorders>
          </w:tcPr>
          <w:p>
            <w:pPr>
              <w:spacing w:after="0"/>
              <w:rPr>
                <w:sz w:val="7"/>
                <w:szCs w:val="7"/>
                <w:color w:val="auto"/>
              </w:rPr>
            </w:pPr>
          </w:p>
        </w:tc>
        <w:tc>
          <w:tcPr>
            <w:tcW w:w="420" w:type="dxa"/>
            <w:vAlign w:val="bottom"/>
            <w:tcBorders>
              <w:top w:val="single" w:sz="8" w:color="0000FF"/>
            </w:tcBorders>
          </w:tcPr>
          <w:p>
            <w:pPr>
              <w:spacing w:after="0"/>
              <w:rPr>
                <w:sz w:val="7"/>
                <w:szCs w:val="7"/>
                <w:color w:val="auto"/>
              </w:rPr>
            </w:pPr>
          </w:p>
        </w:tc>
        <w:tc>
          <w:tcPr>
            <w:tcW w:w="200" w:type="dxa"/>
            <w:vAlign w:val="bottom"/>
            <w:tcBorders>
              <w:top w:val="single" w:sz="8" w:color="0000FF"/>
            </w:tcBorders>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0000FF"/>
              </w:rPr>
              <w:t>32.</w:t>
            </w:r>
            <w:r>
              <w:rPr>
                <w:rFonts w:ascii="Times New Roman" w:cs="Times New Roman" w:eastAsia="Times New Roman" w:hAnsi="Times New Roman"/>
                <w:sz w:val="10"/>
                <w:szCs w:val="10"/>
                <w:u w:val="single" w:color="auto"/>
                <w:color w:val="0000FF"/>
              </w:rPr>
              <w:t>2</w:t>
            </w:r>
            <w:r>
              <w:rPr>
                <w:rFonts w:ascii="Times New Roman" w:cs="Times New Roman" w:eastAsia="Times New Roman" w:hAnsi="Times New Roman"/>
                <w:sz w:val="10"/>
                <w:szCs w:val="10"/>
                <w:color w:val="000000"/>
              </w:rPr>
              <w:t>*</w:t>
            </w:r>
          </w:p>
        </w:tc>
        <w:tc>
          <w:tcPr>
            <w:tcW w:w="4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100" w:type="dxa"/>
            <w:vAlign w:val="bottom"/>
            <w:gridSpan w:val="8"/>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0000FF"/>
              </w:rPr>
              <w:t>Certification of Chief Financial Officer pursuant to 18 U.S.C. Section 1350, as adopted pursuant to Section 906 of the Sarbanes-Oxley Act of 2002</w:t>
            </w:r>
          </w:p>
        </w:tc>
        <w:tc>
          <w:tcPr>
            <w:tcW w:w="8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00" w:type="dxa"/>
            <w:vAlign w:val="bottom"/>
            <w:shd w:val="clear" w:color="auto" w:fill="CCEEFF"/>
          </w:tcPr>
          <w:p>
            <w:pPr>
              <w:jc w:val="center"/>
              <w:ind w:right="29"/>
              <w:spacing w:after="0" w:line="88" w:lineRule="exact"/>
              <w:rPr>
                <w:sz w:val="20"/>
                <w:szCs w:val="20"/>
                <w:color w:val="auto"/>
              </w:rPr>
            </w:pPr>
            <w:r>
              <w:rPr>
                <w:rFonts w:ascii="Times New Roman" w:cs="Times New Roman" w:eastAsia="Times New Roman" w:hAnsi="Times New Roman"/>
                <w:sz w:val="10"/>
                <w:szCs w:val="10"/>
                <w:color w:val="auto"/>
              </w:rPr>
              <w:t>Furnished herewith</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80" w:type="dxa"/>
            <w:vAlign w:val="bottom"/>
            <w:tcBorders>
              <w:top w:val="single" w:sz="8" w:color="0000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0000FF"/>
            </w:tcBorders>
            <w:shd w:val="clear" w:color="auto" w:fill="CCEEFF"/>
          </w:tcPr>
          <w:p>
            <w:pPr>
              <w:spacing w:after="0"/>
              <w:rPr>
                <w:sz w:val="24"/>
                <w:szCs w:val="24"/>
                <w:color w:val="auto"/>
              </w:rPr>
            </w:pPr>
          </w:p>
        </w:tc>
        <w:tc>
          <w:tcPr>
            <w:tcW w:w="960" w:type="dxa"/>
            <w:vAlign w:val="bottom"/>
            <w:tcBorders>
              <w:top w:val="single" w:sz="8" w:color="0000FF"/>
            </w:tcBorders>
            <w:shd w:val="clear" w:color="auto" w:fill="CCEEFF"/>
          </w:tcPr>
          <w:p>
            <w:pPr>
              <w:spacing w:after="0"/>
              <w:rPr>
                <w:sz w:val="24"/>
                <w:szCs w:val="24"/>
                <w:color w:val="auto"/>
              </w:rPr>
            </w:pPr>
          </w:p>
        </w:tc>
        <w:tc>
          <w:tcPr>
            <w:tcW w:w="3620" w:type="dxa"/>
            <w:vAlign w:val="bottom"/>
            <w:tcBorders>
              <w:top w:val="single" w:sz="8" w:color="0000FF"/>
            </w:tcBorders>
            <w:shd w:val="clear" w:color="auto" w:fill="CCEEFF"/>
          </w:tcPr>
          <w:p>
            <w:pPr>
              <w:spacing w:after="0"/>
              <w:rPr>
                <w:sz w:val="24"/>
                <w:szCs w:val="24"/>
                <w:color w:val="auto"/>
              </w:rPr>
            </w:pPr>
          </w:p>
        </w:tc>
        <w:tc>
          <w:tcPr>
            <w:tcW w:w="420" w:type="dxa"/>
            <w:vAlign w:val="bottom"/>
            <w:tcBorders>
              <w:top w:val="single" w:sz="8" w:color="0000FF"/>
            </w:tcBorders>
            <w:shd w:val="clear" w:color="auto" w:fill="CCEEFF"/>
          </w:tcPr>
          <w:p>
            <w:pPr>
              <w:spacing w:after="0"/>
              <w:rPr>
                <w:sz w:val="24"/>
                <w:szCs w:val="24"/>
                <w:color w:val="auto"/>
              </w:rPr>
            </w:pPr>
          </w:p>
        </w:tc>
        <w:tc>
          <w:tcPr>
            <w:tcW w:w="200" w:type="dxa"/>
            <w:vAlign w:val="bottom"/>
            <w:tcBorders>
              <w:top w:val="single" w:sz="8" w:color="0000FF"/>
            </w:tcBorders>
            <w:shd w:val="clear" w:color="auto" w:fill="CCEEFF"/>
          </w:tcPr>
          <w:p>
            <w:pPr>
              <w:spacing w:after="0"/>
              <w:rPr>
                <w:sz w:val="24"/>
                <w:szCs w:val="24"/>
                <w:color w:val="auto"/>
              </w:rPr>
            </w:pPr>
          </w:p>
        </w:tc>
        <w:tc>
          <w:tcPr>
            <w:tcW w:w="60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260" w:type="dxa"/>
            <w:vAlign w:val="bottom"/>
            <w:tcBorders>
              <w:top w:val="single" w:sz="8" w:color="CCEEFF"/>
            </w:tcBorders>
            <w:shd w:val="clear" w:color="auto" w:fill="CCEEFF"/>
          </w:tcPr>
          <w:p>
            <w:pPr>
              <w:spacing w:after="0"/>
              <w:rPr>
                <w:sz w:val="24"/>
                <w:szCs w:val="24"/>
                <w:color w:val="auto"/>
              </w:rPr>
            </w:pPr>
          </w:p>
        </w:tc>
        <w:tc>
          <w:tcPr>
            <w:tcW w:w="18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101.INS</w:t>
            </w: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100" w:type="dxa"/>
            <w:vAlign w:val="bottom"/>
            <w:gridSpan w:val="8"/>
          </w:tcPr>
          <w:p>
            <w:pPr>
              <w:spacing w:after="0" w:line="97" w:lineRule="exact"/>
              <w:rPr>
                <w:sz w:val="20"/>
                <w:szCs w:val="20"/>
                <w:color w:val="auto"/>
              </w:rPr>
            </w:pPr>
            <w:r>
              <w:rPr>
                <w:rFonts w:ascii="Times New Roman" w:cs="Times New Roman" w:eastAsia="Times New Roman" w:hAnsi="Times New Roman"/>
                <w:sz w:val="10"/>
                <w:szCs w:val="10"/>
                <w:color w:val="auto"/>
              </w:rPr>
              <w:t>XBRL Instance Document (the instance document does not appear in the Interactive Data File because its XBRL tags are embedded within the</w:t>
            </w: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Pr>
          <w:p>
            <w:pPr>
              <w:jc w:val="center"/>
              <w:ind w:right="29"/>
              <w:spacing w:after="0" w:line="97"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10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Inline XBRL document)</w:t>
            </w:r>
          </w:p>
        </w:tc>
        <w:tc>
          <w:tcPr>
            <w:tcW w:w="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101.SCH</w:t>
            </w:r>
          </w:p>
        </w:tc>
        <w:tc>
          <w:tcPr>
            <w:tcW w:w="4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100" w:type="dxa"/>
            <w:vAlign w:val="bottom"/>
            <w:gridSpan w:val="8"/>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XBRL Taxonomy Extension Schema Document</w:t>
            </w:r>
          </w:p>
        </w:tc>
        <w:tc>
          <w:tcPr>
            <w:tcW w:w="8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0" w:type="dxa"/>
            <w:vAlign w:val="bottom"/>
            <w:shd w:val="clear" w:color="auto" w:fill="CCEEFF"/>
          </w:tcPr>
          <w:p>
            <w:pPr>
              <w:jc w:val="center"/>
              <w:ind w:right="29"/>
              <w:spacing w:after="0" w:line="10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101.CAL</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100" w:type="dxa"/>
            <w:vAlign w:val="bottom"/>
            <w:gridSpan w:val="8"/>
          </w:tcPr>
          <w:p>
            <w:pPr>
              <w:spacing w:after="0" w:line="108" w:lineRule="exact"/>
              <w:rPr>
                <w:sz w:val="20"/>
                <w:szCs w:val="20"/>
                <w:color w:val="auto"/>
              </w:rPr>
            </w:pPr>
            <w:r>
              <w:rPr>
                <w:rFonts w:ascii="Times New Roman" w:cs="Times New Roman" w:eastAsia="Times New Roman" w:hAnsi="Times New Roman"/>
                <w:sz w:val="10"/>
                <w:szCs w:val="10"/>
                <w:color w:val="auto"/>
              </w:rPr>
              <w:t>XBRL Taxonomy Extension Calculation Linkbase Document</w:t>
            </w: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0" w:type="dxa"/>
            <w:vAlign w:val="bottom"/>
          </w:tcPr>
          <w:p>
            <w:pPr>
              <w:jc w:val="center"/>
              <w:ind w:right="29"/>
              <w:spacing w:after="0" w:line="10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101.DEF</w:t>
            </w:r>
          </w:p>
        </w:tc>
        <w:tc>
          <w:tcPr>
            <w:tcW w:w="4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100" w:type="dxa"/>
            <w:vAlign w:val="bottom"/>
            <w:gridSpan w:val="8"/>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XBRL Taxonomy Extension Definition Linkbase Document</w:t>
            </w:r>
          </w:p>
        </w:tc>
        <w:tc>
          <w:tcPr>
            <w:tcW w:w="8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0" w:type="dxa"/>
            <w:vAlign w:val="bottom"/>
            <w:shd w:val="clear" w:color="auto" w:fill="CCEEFF"/>
          </w:tcPr>
          <w:p>
            <w:pPr>
              <w:jc w:val="center"/>
              <w:ind w:right="29"/>
              <w:spacing w:after="0" w:line="10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101.LAB</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100" w:type="dxa"/>
            <w:vAlign w:val="bottom"/>
            <w:gridSpan w:val="8"/>
          </w:tcPr>
          <w:p>
            <w:pPr>
              <w:spacing w:after="0" w:line="108" w:lineRule="exact"/>
              <w:rPr>
                <w:sz w:val="20"/>
                <w:szCs w:val="20"/>
                <w:color w:val="auto"/>
              </w:rPr>
            </w:pPr>
            <w:r>
              <w:rPr>
                <w:rFonts w:ascii="Times New Roman" w:cs="Times New Roman" w:eastAsia="Times New Roman" w:hAnsi="Times New Roman"/>
                <w:sz w:val="10"/>
                <w:szCs w:val="10"/>
                <w:color w:val="auto"/>
              </w:rPr>
              <w:t>XBRL Taxonomy Extension Labels Linkbase Document</w:t>
            </w:r>
          </w:p>
        </w:tc>
        <w:tc>
          <w:tcPr>
            <w:tcW w:w="8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0" w:type="dxa"/>
            <w:vAlign w:val="bottom"/>
          </w:tcPr>
          <w:p>
            <w:pPr>
              <w:jc w:val="center"/>
              <w:ind w:right="29"/>
              <w:spacing w:after="0" w:line="10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101.PRE</w:t>
            </w:r>
          </w:p>
        </w:tc>
        <w:tc>
          <w:tcPr>
            <w:tcW w:w="4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100" w:type="dxa"/>
            <w:vAlign w:val="bottom"/>
            <w:gridSpan w:val="8"/>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XBRL Taxonomy Extension Presentation Linkbase Document</w:t>
            </w:r>
          </w:p>
        </w:tc>
        <w:tc>
          <w:tcPr>
            <w:tcW w:w="8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800" w:type="dxa"/>
            <w:vAlign w:val="bottom"/>
            <w:shd w:val="clear" w:color="auto" w:fill="CCEEFF"/>
          </w:tcPr>
          <w:p>
            <w:pPr>
              <w:jc w:val="center"/>
              <w:ind w:right="29"/>
              <w:spacing w:after="0" w:line="108" w:lineRule="exact"/>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10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Cover Page Interactive File (formatted as inline XBRL and contained in Exhibit 101)</w:t>
            </w:r>
          </w:p>
        </w:tc>
        <w:tc>
          <w:tcPr>
            <w:tcW w:w="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65405</wp:posOffset>
            </wp:positionV>
            <wp:extent cx="44348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4434840" cy="5715"/>
                    </a:xfrm>
                    <a:prstGeom prst="rect">
                      <a:avLst/>
                    </a:prstGeom>
                    <a:noFill/>
                  </pic:spPr>
                </pic:pic>
              </a:graphicData>
            </a:graphic>
          </wp:anchor>
        </w:drawing>
      </w:r>
    </w:p>
    <w:p>
      <w:pPr>
        <w:spacing w:after="0" w:line="126" w:lineRule="exact"/>
        <w:rPr>
          <w:sz w:val="20"/>
          <w:szCs w:val="20"/>
          <w:color w:val="auto"/>
        </w:rPr>
      </w:pPr>
    </w:p>
    <w:p>
      <w:pPr>
        <w:ind w:left="280" w:hanging="268"/>
        <w:spacing w:after="0"/>
        <w:tabs>
          <w:tab w:leader="none" w:pos="2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management contract or compensatory plan.</w:t>
      </w:r>
    </w:p>
    <w:p>
      <w:pPr>
        <w:spacing w:after="0" w:line="42" w:lineRule="exact"/>
        <w:rPr>
          <w:sz w:val="20"/>
          <w:szCs w:val="20"/>
          <w:color w:val="auto"/>
        </w:rPr>
      </w:pPr>
    </w:p>
    <w:p>
      <w:pPr>
        <w:jc w:val="both"/>
        <w:ind w:left="280" w:hanging="268"/>
        <w:spacing w:after="0" w:line="241" w:lineRule="auto"/>
        <w:tabs>
          <w:tab w:leader="none" w:pos="283"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0"/>
          </w:cols>
          <w:pgMar w:left="280" w:top="110"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900" w:type="dxa"/>
            <w:vAlign w:val="bottom"/>
            <w:gridSpan w:val="2"/>
          </w:tcPr>
          <w:p>
            <w:pPr>
              <w:ind w:left="1200"/>
              <w:spacing w:after="0"/>
              <w:rPr>
                <w:sz w:val="20"/>
                <w:szCs w:val="20"/>
                <w:color w:val="auto"/>
              </w:rPr>
            </w:pPr>
            <w:r>
              <w:rPr>
                <w:rFonts w:ascii="Times New Roman" w:cs="Times New Roman" w:eastAsia="Times New Roman" w:hAnsi="Times New Roman"/>
                <w:sz w:val="13"/>
                <w:szCs w:val="13"/>
                <w:b w:val="1"/>
                <w:bCs w:val="1"/>
                <w:color w:val="auto"/>
              </w:rPr>
              <w:t>Pacific Biosciences of California, Inc.</w:t>
            </w:r>
          </w:p>
        </w:tc>
      </w:tr>
      <w:tr>
        <w:trPr>
          <w:trHeight w:val="437"/>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Date: May 5, 2022</w:t>
            </w:r>
          </w:p>
        </w:tc>
        <w:tc>
          <w:tcPr>
            <w:tcW w:w="28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By:</w:t>
            </w:r>
          </w:p>
        </w:tc>
        <w:tc>
          <w:tcPr>
            <w:tcW w:w="19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3"/>
                <w:szCs w:val="13"/>
                <w:color w:val="auto"/>
              </w:rPr>
              <w:t>/s/</w:t>
            </w:r>
          </w:p>
        </w:tc>
        <w:tc>
          <w:tcPr>
            <w:tcW w:w="2920" w:type="dxa"/>
            <w:vAlign w:val="bottom"/>
            <w:tcBorders>
              <w:bottom w:val="single" w:sz="8" w:color="auto"/>
            </w:tcBorders>
          </w:tcPr>
          <w:p>
            <w:pPr>
              <w:jc w:val="center"/>
              <w:ind w:right="1789"/>
              <w:spacing w:after="0"/>
              <w:rPr>
                <w:sz w:val="20"/>
                <w:szCs w:val="20"/>
                <w:color w:val="auto"/>
              </w:rPr>
            </w:pPr>
            <w:r>
              <w:rPr>
                <w:rFonts w:ascii="Times New Roman" w:cs="Times New Roman" w:eastAsia="Times New Roman" w:hAnsi="Times New Roman"/>
                <w:sz w:val="13"/>
                <w:szCs w:val="13"/>
                <w:color w:val="auto"/>
              </w:rPr>
              <w:t>Christian O. Henry</w:t>
            </w:r>
          </w:p>
        </w:tc>
      </w:tr>
      <w:tr>
        <w:trPr>
          <w:trHeight w:val="68"/>
        </w:trPr>
        <w:tc>
          <w:tcPr>
            <w:tcW w:w="35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920" w:type="dxa"/>
            <w:vAlign w:val="bottom"/>
          </w:tcPr>
          <w:p>
            <w:pPr>
              <w:jc w:val="center"/>
              <w:ind w:right="1949"/>
              <w:spacing w:after="0" w:line="68" w:lineRule="exact"/>
              <w:rPr>
                <w:sz w:val="20"/>
                <w:szCs w:val="20"/>
                <w:color w:val="auto"/>
              </w:rPr>
            </w:pPr>
            <w:r>
              <w:rPr>
                <w:rFonts w:ascii="Times New Roman" w:cs="Times New Roman" w:eastAsia="Times New Roman" w:hAnsi="Times New Roman"/>
                <w:sz w:val="7"/>
                <w:szCs w:val="7"/>
                <w:b w:val="1"/>
                <w:bCs w:val="1"/>
                <w:color w:val="auto"/>
              </w:rPr>
              <w:t>Christian O. Henry</w:t>
            </w:r>
          </w:p>
        </w:tc>
      </w:tr>
      <w:tr>
        <w:trPr>
          <w:trHeight w:val="99"/>
        </w:trPr>
        <w:tc>
          <w:tcPr>
            <w:tcW w:w="35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49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w w:val="99"/>
              </w:rPr>
              <w:t>Chief Executive Officer and President</w:t>
            </w:r>
          </w:p>
        </w:tc>
      </w:tr>
      <w:tr>
        <w:trPr>
          <w:trHeight w:val="118"/>
        </w:trPr>
        <w:tc>
          <w:tcPr>
            <w:tcW w:w="35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490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i w:val="1"/>
                <w:iCs w:val="1"/>
                <w:color w:val="auto"/>
                <w:w w:val="99"/>
              </w:rPr>
              <w:t>(Principal Executive Officer)</w:t>
            </w:r>
          </w:p>
        </w:tc>
      </w:tr>
      <w:tr>
        <w:trPr>
          <w:trHeight w:val="748"/>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Date: May 5, 2022</w:t>
            </w:r>
          </w:p>
        </w:tc>
        <w:tc>
          <w:tcPr>
            <w:tcW w:w="28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By:</w:t>
            </w:r>
          </w:p>
        </w:tc>
        <w:tc>
          <w:tcPr>
            <w:tcW w:w="19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3"/>
                <w:szCs w:val="13"/>
                <w:color w:val="auto"/>
                <w:w w:val="97"/>
              </w:rPr>
              <w:t>/s/</w:t>
            </w:r>
          </w:p>
        </w:tc>
        <w:tc>
          <w:tcPr>
            <w:tcW w:w="2920" w:type="dxa"/>
            <w:vAlign w:val="bottom"/>
            <w:tcBorders>
              <w:bottom w:val="single" w:sz="8" w:color="auto"/>
            </w:tcBorders>
          </w:tcPr>
          <w:p>
            <w:pPr>
              <w:jc w:val="center"/>
              <w:ind w:right="1809"/>
              <w:spacing w:after="0"/>
              <w:rPr>
                <w:sz w:val="20"/>
                <w:szCs w:val="20"/>
                <w:color w:val="auto"/>
              </w:rPr>
            </w:pPr>
            <w:r>
              <w:rPr>
                <w:rFonts w:ascii="Times New Roman" w:cs="Times New Roman" w:eastAsia="Times New Roman" w:hAnsi="Times New Roman"/>
                <w:sz w:val="13"/>
                <w:szCs w:val="13"/>
                <w:color w:val="auto"/>
              </w:rPr>
              <w:t>S</w:t>
            </w:r>
            <w:r>
              <w:rPr>
                <w:rFonts w:ascii="Times New Roman" w:cs="Times New Roman" w:eastAsia="Times New Roman" w:hAnsi="Times New Roman"/>
                <w:sz w:val="8"/>
                <w:szCs w:val="8"/>
                <w:color w:val="auto"/>
              </w:rPr>
              <w:t>USAN</w:t>
            </w:r>
            <w:r>
              <w:rPr>
                <w:rFonts w:ascii="Times New Roman" w:cs="Times New Roman" w:eastAsia="Times New Roman" w:hAnsi="Times New Roman"/>
                <w:sz w:val="13"/>
                <w:szCs w:val="13"/>
                <w:color w:val="auto"/>
              </w:rPr>
              <w:t xml:space="preserve"> G. Kim</w:t>
            </w:r>
          </w:p>
        </w:tc>
      </w:tr>
      <w:tr>
        <w:trPr>
          <w:trHeight w:val="68"/>
        </w:trPr>
        <w:tc>
          <w:tcPr>
            <w:tcW w:w="35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920" w:type="dxa"/>
            <w:vAlign w:val="bottom"/>
          </w:tcPr>
          <w:p>
            <w:pPr>
              <w:jc w:val="center"/>
              <w:ind w:right="1929"/>
              <w:spacing w:after="0" w:line="68" w:lineRule="exact"/>
              <w:rPr>
                <w:sz w:val="20"/>
                <w:szCs w:val="20"/>
                <w:color w:val="auto"/>
              </w:rPr>
            </w:pPr>
            <w:r>
              <w:rPr>
                <w:rFonts w:ascii="Times New Roman" w:cs="Times New Roman" w:eastAsia="Times New Roman" w:hAnsi="Times New Roman"/>
                <w:sz w:val="7"/>
                <w:szCs w:val="7"/>
                <w:b w:val="1"/>
                <w:bCs w:val="1"/>
                <w:color w:val="auto"/>
              </w:rPr>
              <w:t>Susan G. Kim</w:t>
            </w:r>
          </w:p>
        </w:tc>
      </w:tr>
      <w:tr>
        <w:trPr>
          <w:trHeight w:val="99"/>
        </w:trPr>
        <w:tc>
          <w:tcPr>
            <w:tcW w:w="35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920" w:type="dxa"/>
            <w:vAlign w:val="bottom"/>
          </w:tcPr>
          <w:p>
            <w:pPr>
              <w:jc w:val="center"/>
              <w:ind w:right="1969"/>
              <w:spacing w:after="0" w:line="99" w:lineRule="exact"/>
              <w:rPr>
                <w:sz w:val="20"/>
                <w:szCs w:val="20"/>
                <w:color w:val="auto"/>
              </w:rPr>
            </w:pPr>
            <w:r>
              <w:rPr>
                <w:rFonts w:ascii="Times New Roman" w:cs="Times New Roman" w:eastAsia="Times New Roman" w:hAnsi="Times New Roman"/>
                <w:sz w:val="9"/>
                <w:szCs w:val="9"/>
                <w:b w:val="1"/>
                <w:bCs w:val="1"/>
                <w:color w:val="auto"/>
              </w:rPr>
              <w:t>Chief Financial Officer</w:t>
            </w:r>
          </w:p>
        </w:tc>
      </w:tr>
      <w:tr>
        <w:trPr>
          <w:trHeight w:val="118"/>
        </w:trPr>
        <w:tc>
          <w:tcPr>
            <w:tcW w:w="35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490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i w:val="1"/>
                <w:iCs w:val="1"/>
                <w:color w:val="auto"/>
                <w:w w:val="99"/>
              </w:rPr>
              <w:t>(Principal Financial Officer)</w:t>
            </w:r>
          </w:p>
        </w:tc>
      </w:tr>
      <w:tr>
        <w:trPr>
          <w:trHeight w:val="766"/>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Date:  May 5, 2022</w:t>
            </w:r>
          </w:p>
        </w:tc>
        <w:tc>
          <w:tcPr>
            <w:tcW w:w="288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By:</w:t>
            </w:r>
          </w:p>
        </w:tc>
        <w:tc>
          <w:tcPr>
            <w:tcW w:w="19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3"/>
                <w:szCs w:val="13"/>
                <w:color w:val="auto"/>
              </w:rPr>
              <w:t>/s/</w:t>
            </w:r>
          </w:p>
        </w:tc>
        <w:tc>
          <w:tcPr>
            <w:tcW w:w="2920" w:type="dxa"/>
            <w:vAlign w:val="bottom"/>
            <w:tcBorders>
              <w:bottom w:val="single" w:sz="8" w:color="auto"/>
            </w:tcBorders>
          </w:tcPr>
          <w:p>
            <w:pPr>
              <w:jc w:val="center"/>
              <w:ind w:right="1789"/>
              <w:spacing w:after="0"/>
              <w:rPr>
                <w:sz w:val="20"/>
                <w:szCs w:val="20"/>
                <w:color w:val="auto"/>
              </w:rPr>
            </w:pPr>
            <w:r>
              <w:rPr>
                <w:rFonts w:ascii="Times New Roman" w:cs="Times New Roman" w:eastAsia="Times New Roman" w:hAnsi="Times New Roman"/>
                <w:sz w:val="13"/>
                <w:szCs w:val="13"/>
                <w:color w:val="auto"/>
              </w:rPr>
              <w:t>Michele Farmer</w:t>
            </w:r>
          </w:p>
        </w:tc>
      </w:tr>
      <w:tr>
        <w:trPr>
          <w:trHeight w:val="80"/>
        </w:trPr>
        <w:tc>
          <w:tcPr>
            <w:tcW w:w="35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920" w:type="dxa"/>
            <w:vAlign w:val="bottom"/>
          </w:tcPr>
          <w:p>
            <w:pPr>
              <w:jc w:val="center"/>
              <w:ind w:right="1929"/>
              <w:spacing w:after="0" w:line="80" w:lineRule="exact"/>
              <w:rPr>
                <w:sz w:val="20"/>
                <w:szCs w:val="20"/>
                <w:color w:val="auto"/>
              </w:rPr>
            </w:pPr>
            <w:r>
              <w:rPr>
                <w:rFonts w:ascii="Times New Roman" w:cs="Times New Roman" w:eastAsia="Times New Roman" w:hAnsi="Times New Roman"/>
                <w:sz w:val="9"/>
                <w:szCs w:val="9"/>
                <w:b w:val="1"/>
                <w:bCs w:val="1"/>
                <w:color w:val="auto"/>
                <w:w w:val="99"/>
              </w:rPr>
              <w:t>Michele Farmer</w:t>
            </w:r>
          </w:p>
        </w:tc>
      </w:tr>
    </w:tbl>
    <w:p>
      <w:pPr>
        <w:jc w:val="center"/>
        <w:ind w:left="6360"/>
        <w:spacing w:after="0" w:line="229" w:lineRule="auto"/>
        <w:rPr>
          <w:sz w:val="20"/>
          <w:szCs w:val="20"/>
          <w:color w:val="auto"/>
        </w:rPr>
      </w:pPr>
      <w:r>
        <w:rPr>
          <w:rFonts w:ascii="Times New Roman" w:cs="Times New Roman" w:eastAsia="Times New Roman" w:hAnsi="Times New Roman"/>
          <w:sz w:val="9"/>
          <w:szCs w:val="9"/>
          <w:b w:val="1"/>
          <w:bCs w:val="1"/>
          <w:color w:val="auto"/>
        </w:rPr>
        <w:t>Vice President and Chief Accounting Officer</w:t>
      </w:r>
    </w:p>
    <w:p>
      <w:pPr>
        <w:jc w:val="center"/>
        <w:ind w:left="6380"/>
        <w:spacing w:after="0"/>
        <w:rPr>
          <w:sz w:val="20"/>
          <w:szCs w:val="20"/>
          <w:color w:val="auto"/>
        </w:rPr>
      </w:pPr>
      <w:r>
        <w:rPr>
          <w:rFonts w:ascii="Times New Roman" w:cs="Times New Roman" w:eastAsia="Times New Roman" w:hAnsi="Times New Roman"/>
          <w:sz w:val="9"/>
          <w:szCs w:val="9"/>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11300"/>
          </w:cols>
          <w:pgMar w:left="300" w:top="120" w:right="299" w:bottom="1440" w:gutter="0" w:footer="0" w:header="0"/>
        </w:sectPr>
      </w:pPr>
    </w:p>
    <w:bookmarkStart w:id="76" w:name="page77"/>
    <w:bookmarkEnd w:id="76"/>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90170</wp:posOffset>
            </wp:positionV>
            <wp:extent cx="1691640" cy="394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6916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PACIFIC BIOSCIENCES OF CALIFORNIA, INC. CHANGE IN CONTROL AND SEVERANCE AGREEMENT</w:t>
      </w:r>
    </w:p>
    <w:p>
      <w:pPr>
        <w:spacing w:after="0" w:line="55" w:lineRule="exact"/>
        <w:rPr>
          <w:sz w:val="20"/>
          <w:szCs w:val="20"/>
          <w:color w:val="auto"/>
        </w:rPr>
      </w:pPr>
    </w:p>
    <w:p>
      <w:pPr>
        <w:ind w:left="480"/>
        <w:spacing w:after="0"/>
        <w:tabs>
          <w:tab w:leader="none" w:pos="1060" w:val="left"/>
          <w:tab w:leader="none" w:pos="1820" w:val="left"/>
          <w:tab w:leader="none" w:pos="2280" w:val="left"/>
          <w:tab w:leader="none" w:pos="3040" w:val="left"/>
          <w:tab w:leader="none" w:pos="3580" w:val="left"/>
          <w:tab w:leader="none" w:pos="4520" w:val="left"/>
          <w:tab w:leader="none" w:pos="5500" w:val="left"/>
          <w:tab w:leader="none" w:pos="6060" w:val="left"/>
          <w:tab w:leader="none" w:pos="7200" w:val="left"/>
          <w:tab w:leader="none" w:pos="7640" w:val="left"/>
          <w:tab w:leader="none" w:pos="8280" w:val="left"/>
          <w:tab w:leader="none" w:pos="8840" w:val="left"/>
          <w:tab w:leader="none" w:pos="9600" w:val="left"/>
        </w:tabs>
        <w:rPr>
          <w:sz w:val="20"/>
          <w:szCs w:val="20"/>
          <w:color w:val="auto"/>
        </w:rPr>
      </w:pPr>
      <w:r>
        <w:rPr>
          <w:rFonts w:ascii="Times New Roman" w:cs="Times New Roman" w:eastAsia="Times New Roman" w:hAnsi="Times New Roman"/>
          <w:sz w:val="14"/>
          <w:szCs w:val="14"/>
          <w:color w:val="auto"/>
        </w:rPr>
        <w:t>This</w:t>
      </w:r>
      <w:r>
        <w:rPr>
          <w:sz w:val="20"/>
          <w:szCs w:val="20"/>
          <w:color w:val="auto"/>
        </w:rPr>
        <w:tab/>
      </w:r>
      <w:r>
        <w:rPr>
          <w:rFonts w:ascii="Times New Roman" w:cs="Times New Roman" w:eastAsia="Times New Roman" w:hAnsi="Times New Roman"/>
          <w:sz w:val="14"/>
          <w:szCs w:val="14"/>
          <w:color w:val="auto"/>
        </w:rPr>
        <w:t>Change</w:t>
      </w:r>
      <w:r>
        <w:rPr>
          <w:sz w:val="20"/>
          <w:szCs w:val="20"/>
          <w:color w:val="auto"/>
        </w:rPr>
        <w:tab/>
      </w:r>
      <w:r>
        <w:rPr>
          <w:rFonts w:ascii="Times New Roman" w:cs="Times New Roman" w:eastAsia="Times New Roman" w:hAnsi="Times New Roman"/>
          <w:sz w:val="14"/>
          <w:szCs w:val="14"/>
          <w:color w:val="auto"/>
        </w:rPr>
        <w:t>in</w:t>
      </w:r>
      <w:r>
        <w:rPr>
          <w:sz w:val="20"/>
          <w:szCs w:val="20"/>
          <w:color w:val="auto"/>
        </w:rPr>
        <w:tab/>
      </w:r>
      <w:r>
        <w:rPr>
          <w:rFonts w:ascii="Times New Roman" w:cs="Times New Roman" w:eastAsia="Times New Roman" w:hAnsi="Times New Roman"/>
          <w:sz w:val="14"/>
          <w:szCs w:val="14"/>
          <w:color w:val="auto"/>
        </w:rPr>
        <w:t>Control</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Severance</w:t>
      </w:r>
      <w:r>
        <w:rPr>
          <w:sz w:val="20"/>
          <w:szCs w:val="20"/>
          <w:color w:val="auto"/>
        </w:rPr>
        <w:tab/>
      </w:r>
      <w:r>
        <w:rPr>
          <w:rFonts w:ascii="Times New Roman" w:cs="Times New Roman" w:eastAsia="Times New Roman" w:hAnsi="Times New Roman"/>
          <w:sz w:val="14"/>
          <w:szCs w:val="14"/>
          <w:color w:val="auto"/>
        </w:rPr>
        <w:t>Agreement</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is</w:t>
      </w:r>
      <w:r>
        <w:rPr>
          <w:sz w:val="20"/>
          <w:szCs w:val="20"/>
          <w:color w:val="auto"/>
        </w:rPr>
        <w:tab/>
      </w:r>
      <w:r>
        <w:rPr>
          <w:rFonts w:ascii="Times New Roman" w:cs="Times New Roman" w:eastAsia="Times New Roman" w:hAnsi="Times New Roman"/>
          <w:sz w:val="14"/>
          <w:szCs w:val="14"/>
          <w:color w:val="auto"/>
        </w:rPr>
        <w:t>made</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entered</w:t>
      </w:r>
      <w:r>
        <w:rPr>
          <w:sz w:val="20"/>
          <w:szCs w:val="20"/>
          <w:color w:val="auto"/>
        </w:rPr>
        <w:tab/>
      </w:r>
      <w:r>
        <w:rPr>
          <w:rFonts w:ascii="Times New Roman" w:cs="Times New Roman" w:eastAsia="Times New Roman" w:hAnsi="Times New Roman"/>
          <w:sz w:val="14"/>
          <w:szCs w:val="14"/>
          <w:color w:val="auto"/>
        </w:rPr>
        <w:t>into</w:t>
      </w:r>
    </w:p>
    <w:p>
      <w:pPr>
        <w:spacing w:after="0" w:line="19" w:lineRule="exact"/>
        <w:rPr>
          <w:sz w:val="20"/>
          <w:szCs w:val="20"/>
          <w:color w:val="auto"/>
        </w:rPr>
      </w:pPr>
    </w:p>
    <w:p>
      <w:pPr>
        <w:ind w:left="60" w:right="20"/>
        <w:spacing w:after="0" w:line="244" w:lineRule="auto"/>
        <w:rPr>
          <w:sz w:val="20"/>
          <w:szCs w:val="20"/>
          <w:color w:val="auto"/>
        </w:rPr>
      </w:pPr>
      <w:r>
        <w:rPr>
          <w:rFonts w:ascii="Times New Roman" w:cs="Times New Roman" w:eastAsia="Times New Roman" w:hAnsi="Times New Roman"/>
          <w:sz w:val="14"/>
          <w:szCs w:val="14"/>
          <w:color w:val="auto"/>
        </w:rPr>
        <w:t>by and between Denis Zaccarin (“</w:t>
      </w:r>
      <w:r>
        <w:rPr>
          <w:rFonts w:ascii="Times New Roman" w:cs="Times New Roman" w:eastAsia="Times New Roman" w:hAnsi="Times New Roman"/>
          <w:sz w:val="14"/>
          <w:szCs w:val="14"/>
          <w:i w:val="1"/>
          <w:iCs w:val="1"/>
          <w:color w:val="auto"/>
        </w:rPr>
        <w:t>Executive</w:t>
      </w:r>
      <w:r>
        <w:rPr>
          <w:rFonts w:ascii="Times New Roman" w:cs="Times New Roman" w:eastAsia="Times New Roman" w:hAnsi="Times New Roman"/>
          <w:sz w:val="14"/>
          <w:szCs w:val="14"/>
          <w:color w:val="auto"/>
        </w:rPr>
        <w:t>”) and Pacific Biosciences of California, Inc., a Delaware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effective as of November 4, 2020 (the “</w:t>
      </w:r>
      <w:r>
        <w:rPr>
          <w:rFonts w:ascii="Times New Roman" w:cs="Times New Roman" w:eastAsia="Times New Roman" w:hAnsi="Times New Roman"/>
          <w:sz w:val="14"/>
          <w:szCs w:val="14"/>
          <w:i w:val="1"/>
          <w:iCs w:val="1"/>
          <w:color w:val="auto"/>
        </w:rPr>
        <w:t>Effective Date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54" w:lineRule="exact"/>
        <w:rPr>
          <w:sz w:val="20"/>
          <w:szCs w:val="20"/>
          <w:color w:val="auto"/>
        </w:rPr>
      </w:pPr>
    </w:p>
    <w:p>
      <w:pPr>
        <w:jc w:val="both"/>
        <w:ind w:left="60" w:right="20" w:firstLine="410"/>
        <w:spacing w:after="0" w:line="241" w:lineRule="auto"/>
        <w:tabs>
          <w:tab w:leader="none" w:pos="161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expected that the Company from time to time will consider the possibility of an acquisition by another company or other change in control. The Board of Directors of the Company (the “</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w:t>
      </w:r>
    </w:p>
    <w:tbl>
      <w:tblPr>
        <w:tblLayout w:type="fixed"/>
        <w:tblInd w:w="0" w:type="dxa"/>
        <w:tblCellMar>
          <w:top w:w="0" w:type="dxa"/>
          <w:left w:w="0" w:type="dxa"/>
          <w:bottom w:w="0" w:type="dxa"/>
          <w:right w:w="0" w:type="dxa"/>
        </w:tblCellMar>
      </w:tblPr>
      <w:tr>
        <w:trPr>
          <w:trHeight w:val="147"/>
        </w:trPr>
        <w:tc>
          <w:tcPr>
            <w:tcW w:w="34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the</w:t>
            </w:r>
          </w:p>
        </w:tc>
        <w:tc>
          <w:tcPr>
            <w:tcW w:w="1100" w:type="dxa"/>
            <w:vAlign w:val="bottom"/>
          </w:tcPr>
          <w:p>
            <w:pPr>
              <w:jc w:val="right"/>
              <w:ind w:right="148"/>
              <w:spacing w:after="0" w:line="147" w:lineRule="exact"/>
              <w:rPr>
                <w:sz w:val="20"/>
                <w:szCs w:val="20"/>
                <w:color w:val="auto"/>
              </w:rPr>
            </w:pPr>
            <w:r>
              <w:rPr>
                <w:rFonts w:ascii="Times New Roman" w:cs="Times New Roman" w:eastAsia="Times New Roman" w:hAnsi="Times New Roman"/>
                <w:sz w:val="14"/>
                <w:szCs w:val="14"/>
                <w:color w:val="auto"/>
              </w:rPr>
              <w:t>continued</w:t>
            </w:r>
          </w:p>
        </w:tc>
        <w:tc>
          <w:tcPr>
            <w:tcW w:w="82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color w:val="auto"/>
              </w:rPr>
              <w:t>dedication</w:t>
            </w:r>
          </w:p>
        </w:tc>
        <w:tc>
          <w:tcPr>
            <w:tcW w:w="380" w:type="dxa"/>
            <w:vAlign w:val="bottom"/>
          </w:tcPr>
          <w:p>
            <w:pPr>
              <w:spacing w:after="0"/>
              <w:rPr>
                <w:sz w:val="12"/>
                <w:szCs w:val="12"/>
                <w:color w:val="auto"/>
              </w:rPr>
            </w:pPr>
          </w:p>
        </w:tc>
        <w:tc>
          <w:tcPr>
            <w:tcW w:w="46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and</w:t>
            </w:r>
          </w:p>
        </w:tc>
        <w:tc>
          <w:tcPr>
            <w:tcW w:w="8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objectivity</w:t>
            </w:r>
          </w:p>
        </w:tc>
        <w:tc>
          <w:tcPr>
            <w:tcW w:w="260" w:type="dxa"/>
            <w:vAlign w:val="bottom"/>
          </w:tcPr>
          <w:p>
            <w:pPr>
              <w:spacing w:after="0"/>
              <w:rPr>
                <w:sz w:val="12"/>
                <w:szCs w:val="12"/>
                <w:color w:val="auto"/>
              </w:rPr>
            </w:pPr>
          </w:p>
        </w:tc>
        <w:tc>
          <w:tcPr>
            <w:tcW w:w="3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of</w:t>
            </w:r>
          </w:p>
        </w:tc>
        <w:tc>
          <w:tcPr>
            <w:tcW w:w="260" w:type="dxa"/>
            <w:vAlign w:val="bottom"/>
          </w:tcPr>
          <w:p>
            <w:pPr>
              <w:spacing w:after="0"/>
              <w:rPr>
                <w:sz w:val="12"/>
                <w:szCs w:val="12"/>
                <w:color w:val="auto"/>
              </w:rPr>
            </w:pPr>
          </w:p>
        </w:tc>
        <w:tc>
          <w:tcPr>
            <w:tcW w:w="9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Executive,</w:t>
            </w:r>
          </w:p>
        </w:tc>
        <w:tc>
          <w:tcPr>
            <w:tcW w:w="114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4"/>
                <w:szCs w:val="14"/>
                <w:color w:val="auto"/>
              </w:rPr>
              <w:t>notwithstanding</w:t>
            </w:r>
          </w:p>
        </w:tc>
        <w:tc>
          <w:tcPr>
            <w:tcW w:w="300" w:type="dxa"/>
            <w:vAlign w:val="bottom"/>
          </w:tcPr>
          <w:p>
            <w:pPr>
              <w:spacing w:after="0"/>
              <w:rPr>
                <w:sz w:val="12"/>
                <w:szCs w:val="12"/>
                <w:color w:val="auto"/>
              </w:rPr>
            </w:pPr>
          </w:p>
        </w:tc>
        <w:tc>
          <w:tcPr>
            <w:tcW w:w="4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the</w:t>
            </w:r>
          </w:p>
        </w:tc>
        <w:tc>
          <w:tcPr>
            <w:tcW w:w="94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4"/>
                <w:szCs w:val="14"/>
                <w:color w:val="auto"/>
              </w:rPr>
              <w:t>possibility,</w:t>
            </w:r>
          </w:p>
        </w:tc>
        <w:tc>
          <w:tcPr>
            <w:tcW w:w="280" w:type="dxa"/>
            <w:vAlign w:val="bottom"/>
          </w:tcPr>
          <w:p>
            <w:pPr>
              <w:spacing w:after="0"/>
              <w:rPr>
                <w:sz w:val="12"/>
                <w:szCs w:val="12"/>
                <w:color w:val="auto"/>
              </w:rPr>
            </w:pPr>
          </w:p>
        </w:tc>
        <w:tc>
          <w:tcPr>
            <w:tcW w:w="5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threat</w:t>
            </w: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or</w:t>
            </w:r>
          </w:p>
        </w:tc>
        <w:tc>
          <w:tcPr>
            <w:tcW w:w="0" w:type="dxa"/>
            <w:vAlign w:val="bottom"/>
          </w:tcPr>
          <w:p>
            <w:pPr>
              <w:spacing w:after="0"/>
              <w:rPr>
                <w:sz w:val="1"/>
                <w:szCs w:val="1"/>
                <w:color w:val="auto"/>
              </w:rPr>
            </w:pPr>
          </w:p>
        </w:tc>
      </w:tr>
      <w:tr>
        <w:trPr>
          <w:trHeight w:val="178"/>
        </w:trPr>
        <w:tc>
          <w:tcPr>
            <w:tcW w:w="7700" w:type="dxa"/>
            <w:vAlign w:val="bottom"/>
            <w:gridSpan w:val="16"/>
          </w:tcPr>
          <w:p>
            <w:pPr>
              <w:ind w:left="60"/>
              <w:spacing w:after="0"/>
              <w:rPr>
                <w:sz w:val="20"/>
                <w:szCs w:val="20"/>
                <w:color w:val="auto"/>
              </w:rPr>
            </w:pPr>
            <w:r>
              <w:rPr>
                <w:rFonts w:ascii="Times New Roman" w:cs="Times New Roman" w:eastAsia="Times New Roman" w:hAnsi="Times New Roman"/>
                <w:sz w:val="14"/>
                <w:szCs w:val="14"/>
                <w:color w:val="auto"/>
              </w:rPr>
              <w:t>occurrence of such a termination of employment or the occurrence of a Change in Control (as defined herein) of the Company.</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10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The</w:t>
            </w:r>
          </w:p>
        </w:tc>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Board</w:t>
            </w: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believes</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that</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it</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is</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in</w:t>
            </w: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the</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best</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the</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Company</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and</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its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60" w:right="20"/>
        <w:spacing w:after="0" w:line="244" w:lineRule="auto"/>
        <w:rPr>
          <w:sz w:val="20"/>
          <w:szCs w:val="20"/>
          <w:color w:val="auto"/>
        </w:rPr>
      </w:pPr>
      <w:r>
        <w:rPr>
          <w:rFonts w:ascii="Times New Roman" w:cs="Times New Roman" w:eastAsia="Times New Roman" w:hAnsi="Times New Roman"/>
          <w:sz w:val="14"/>
          <w:szCs w:val="14"/>
          <w:color w:val="auto"/>
        </w:rPr>
        <w:t>to provide Executive with an incentive to continue Executive’s employment and to motivate Executive to maximize the value of the Company for the benefit of its stockholders.</w:t>
      </w:r>
    </w:p>
    <w:p>
      <w:pPr>
        <w:spacing w:after="0" w:line="141" w:lineRule="exact"/>
        <w:rPr>
          <w:sz w:val="20"/>
          <w:szCs w:val="20"/>
          <w:color w:val="auto"/>
        </w:rPr>
      </w:pPr>
    </w:p>
    <w:p>
      <w:pPr>
        <w:ind w:left="460"/>
        <w:spacing w:after="0"/>
        <w:tabs>
          <w:tab w:leader="none" w:pos="1820" w:val="left"/>
          <w:tab w:leader="none" w:pos="2340" w:val="left"/>
          <w:tab w:leader="none" w:pos="3000" w:val="left"/>
          <w:tab w:leader="none" w:pos="3780" w:val="left"/>
          <w:tab w:leader="none" w:pos="4280" w:val="left"/>
          <w:tab w:leader="none" w:pos="4660" w:val="left"/>
          <w:tab w:leader="none" w:pos="5060" w:val="left"/>
          <w:tab w:leader="none" w:pos="5980" w:val="left"/>
          <w:tab w:leader="none" w:pos="6380" w:val="left"/>
          <w:tab w:leader="none" w:pos="7120" w:val="left"/>
          <w:tab w:leader="none" w:pos="8000" w:val="left"/>
          <w:tab w:leader="none" w:pos="8560" w:val="left"/>
          <w:tab w:leader="none" w:pos="9240"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Board</w:t>
      </w:r>
      <w:r>
        <w:rPr>
          <w:sz w:val="20"/>
          <w:szCs w:val="20"/>
          <w:color w:val="auto"/>
        </w:rPr>
        <w:tab/>
      </w:r>
      <w:r>
        <w:rPr>
          <w:rFonts w:ascii="Times New Roman" w:cs="Times New Roman" w:eastAsia="Times New Roman" w:hAnsi="Times New Roman"/>
          <w:sz w:val="14"/>
          <w:szCs w:val="14"/>
          <w:color w:val="auto"/>
        </w:rPr>
        <w:t>believes</w:t>
      </w:r>
      <w:r>
        <w:rPr>
          <w:sz w:val="20"/>
          <w:szCs w:val="20"/>
          <w:color w:val="auto"/>
        </w:rPr>
        <w:tab/>
      </w:r>
      <w:r>
        <w:rPr>
          <w:rFonts w:ascii="Times New Roman" w:cs="Times New Roman" w:eastAsia="Times New Roman" w:hAnsi="Times New Roman"/>
          <w:sz w:val="14"/>
          <w:szCs w:val="14"/>
          <w:color w:val="auto"/>
        </w:rPr>
        <w:t>that</w:t>
      </w:r>
      <w:r>
        <w:rPr>
          <w:sz w:val="20"/>
          <w:szCs w:val="20"/>
          <w:color w:val="auto"/>
        </w:rPr>
        <w:tab/>
      </w:r>
      <w:r>
        <w:rPr>
          <w:rFonts w:ascii="Times New Roman" w:cs="Times New Roman" w:eastAsia="Times New Roman" w:hAnsi="Times New Roman"/>
          <w:sz w:val="14"/>
          <w:szCs w:val="14"/>
          <w:color w:val="auto"/>
        </w:rPr>
        <w:t>it</w:t>
      </w:r>
      <w:r>
        <w:rPr>
          <w:sz w:val="20"/>
          <w:szCs w:val="20"/>
          <w:color w:val="auto"/>
        </w:rPr>
        <w:tab/>
      </w:r>
      <w:r>
        <w:rPr>
          <w:rFonts w:ascii="Times New Roman" w:cs="Times New Roman" w:eastAsia="Times New Roman" w:hAnsi="Times New Roman"/>
          <w:sz w:val="14"/>
          <w:szCs w:val="14"/>
          <w:color w:val="auto"/>
        </w:rPr>
        <w:t>is</w:t>
      </w:r>
      <w:r>
        <w:rPr>
          <w:sz w:val="20"/>
          <w:szCs w:val="20"/>
          <w:color w:val="auto"/>
        </w:rPr>
        <w:tab/>
      </w:r>
      <w:r>
        <w:rPr>
          <w:rFonts w:ascii="Times New Roman" w:cs="Times New Roman" w:eastAsia="Times New Roman" w:hAnsi="Times New Roman"/>
          <w:sz w:val="14"/>
          <w:szCs w:val="14"/>
          <w:color w:val="auto"/>
        </w:rPr>
        <w:t>imperative</w:t>
      </w:r>
      <w:r>
        <w:rPr>
          <w:sz w:val="20"/>
          <w:szCs w:val="20"/>
          <w:color w:val="auto"/>
        </w:rPr>
        <w:tab/>
      </w: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provide</w:t>
      </w:r>
      <w:r>
        <w:rPr>
          <w:sz w:val="20"/>
          <w:szCs w:val="20"/>
          <w:color w:val="auto"/>
        </w:rPr>
        <w:tab/>
      </w:r>
      <w:r>
        <w:rPr>
          <w:rFonts w:ascii="Times New Roman" w:cs="Times New Roman" w:eastAsia="Times New Roman" w:hAnsi="Times New Roman"/>
          <w:sz w:val="14"/>
          <w:szCs w:val="14"/>
          <w:color w:val="auto"/>
        </w:rPr>
        <w:t>Executive</w:t>
      </w:r>
      <w:r>
        <w:rPr>
          <w:sz w:val="20"/>
          <w:szCs w:val="20"/>
          <w:color w:val="auto"/>
        </w:rPr>
        <w:tab/>
      </w:r>
      <w:r>
        <w:rPr>
          <w:rFonts w:ascii="Times New Roman" w:cs="Times New Roman" w:eastAsia="Times New Roman" w:hAnsi="Times New Roman"/>
          <w:sz w:val="14"/>
          <w:szCs w:val="14"/>
          <w:color w:val="auto"/>
        </w:rPr>
        <w:t>with</w:t>
      </w:r>
      <w:r>
        <w:rPr>
          <w:sz w:val="20"/>
          <w:szCs w:val="20"/>
          <w:color w:val="auto"/>
        </w:rPr>
        <w:tab/>
      </w:r>
      <w:r>
        <w:rPr>
          <w:rFonts w:ascii="Times New Roman" w:cs="Times New Roman" w:eastAsia="Times New Roman" w:hAnsi="Times New Roman"/>
          <w:sz w:val="14"/>
          <w:szCs w:val="14"/>
          <w:color w:val="auto"/>
        </w:rPr>
        <w:t>certain</w:t>
      </w:r>
      <w:r>
        <w:rPr>
          <w:sz w:val="20"/>
          <w:szCs w:val="20"/>
          <w:color w:val="auto"/>
        </w:rPr>
        <w:tab/>
      </w:r>
      <w:r>
        <w:rPr>
          <w:rFonts w:ascii="Times New Roman" w:cs="Times New Roman" w:eastAsia="Times New Roman" w:hAnsi="Times New Roman"/>
          <w:sz w:val="14"/>
          <w:szCs w:val="14"/>
          <w:color w:val="auto"/>
        </w:rPr>
        <w:t>severance</w:t>
      </w:r>
    </w:p>
    <w:p>
      <w:pPr>
        <w:spacing w:after="0" w:line="1" w:lineRule="exact"/>
        <w:rPr>
          <w:sz w:val="20"/>
          <w:szCs w:val="20"/>
          <w:color w:val="auto"/>
        </w:rPr>
      </w:pPr>
    </w:p>
    <w:p>
      <w:pPr>
        <w:ind w:left="60" w:right="20"/>
        <w:spacing w:after="0" w:line="249" w:lineRule="auto"/>
        <w:rPr>
          <w:sz w:val="20"/>
          <w:szCs w:val="20"/>
          <w:color w:val="auto"/>
        </w:rPr>
      </w:pPr>
      <w:r>
        <w:rPr>
          <w:rFonts w:ascii="Times New Roman" w:cs="Times New Roman" w:eastAsia="Times New Roman" w:hAnsi="Times New Roman"/>
          <w:sz w:val="14"/>
          <w:szCs w:val="14"/>
          <w:color w:val="auto"/>
        </w:rPr>
        <w:t>benefits upon Executive’s termination of employment in connection with a Change in Control. These benefits will provide Executive with enhanced financial security, incentive and encouragement to remain with the Company.</w:t>
      </w:r>
    </w:p>
    <w:p>
      <w:pPr>
        <w:spacing w:after="0" w:line="142" w:lineRule="exact"/>
        <w:rPr>
          <w:sz w:val="20"/>
          <w:szCs w:val="20"/>
          <w:color w:val="auto"/>
        </w:rPr>
      </w:pPr>
    </w:p>
    <w:p>
      <w:pPr>
        <w:ind w:left="1580" w:hanging="1110"/>
        <w:spacing w:after="0"/>
        <w:tabs>
          <w:tab w:leader="none" w:pos="15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capitalized terms used in the Agreement are defined in Section 6 below.</w:t>
      </w:r>
    </w:p>
    <w:p>
      <w:pPr>
        <w:spacing w:after="0" w:line="1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AGREEMENT</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NOW, THEREFORE, in consideration of the mutual covenants contained herein, the parties hereto agree as follows:</w:t>
      </w:r>
    </w:p>
    <w:p>
      <w:pPr>
        <w:spacing w:after="0" w:line="154" w:lineRule="exact"/>
        <w:rPr>
          <w:sz w:val="20"/>
          <w:szCs w:val="20"/>
          <w:color w:val="auto"/>
        </w:rPr>
      </w:pPr>
    </w:p>
    <w:p>
      <w:pPr>
        <w:jc w:val="both"/>
        <w:ind w:left="60" w:right="20" w:firstLine="410"/>
        <w:spacing w:after="0" w:line="241" w:lineRule="auto"/>
        <w:tabs>
          <w:tab w:leader="none" w:pos="1593"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Agreement</w:t>
      </w:r>
      <w:r>
        <w:rPr>
          <w:rFonts w:ascii="Times New Roman" w:cs="Times New Roman" w:eastAsia="Times New Roman" w:hAnsi="Times New Roman"/>
          <w:sz w:val="14"/>
          <w:szCs w:val="14"/>
          <w:color w:val="auto"/>
        </w:rPr>
        <w:t>. This Agreement will have an initial term of three (3) years commencing on the Effective Date (the “</w:t>
      </w:r>
      <w:r>
        <w:rPr>
          <w:rFonts w:ascii="Times New Roman" w:cs="Times New Roman" w:eastAsia="Times New Roman" w:hAnsi="Times New Roman"/>
          <w:sz w:val="14"/>
          <w:szCs w:val="14"/>
          <w:i w:val="1"/>
          <w:iCs w:val="1"/>
          <w:color w:val="auto"/>
        </w:rPr>
        <w:t>Initial Term</w:t>
      </w:r>
      <w:r>
        <w:rPr>
          <w:rFonts w:ascii="Times New Roman" w:cs="Times New Roman" w:eastAsia="Times New Roman" w:hAnsi="Times New Roman"/>
          <w:sz w:val="14"/>
          <w:szCs w:val="14"/>
          <w:color w:val="auto"/>
        </w:rPr>
        <w:t>”). On the third anniversary of the Effective Date, this Agreement will renew automatically for additional one (1) year terms (each an “</w:t>
      </w:r>
      <w:r>
        <w:rPr>
          <w:rFonts w:ascii="Times New Roman" w:cs="Times New Roman" w:eastAsia="Times New Roman" w:hAnsi="Times New Roman"/>
          <w:sz w:val="14"/>
          <w:szCs w:val="14"/>
          <w:i w:val="1"/>
          <w:iCs w:val="1"/>
          <w:color w:val="auto"/>
        </w:rPr>
        <w:t>Additional Term</w:t>
      </w:r>
      <w:r>
        <w:rPr>
          <w:rFonts w:ascii="Times New Roman" w:cs="Times New Roman" w:eastAsia="Times New Roman" w:hAnsi="Times New Roman"/>
          <w:sz w:val="14"/>
          <w:szCs w:val="14"/>
          <w:color w:val="auto"/>
        </w:rPr>
        <w:t>”), unless either party provides the other party with written notice of non-renewal at least sixty</w:t>
      </w:r>
    </w:p>
    <w:p>
      <w:pPr>
        <w:spacing w:after="0" w:line="1" w:lineRule="exact"/>
        <w:rPr>
          <w:rFonts w:ascii="Times New Roman" w:cs="Times New Roman" w:eastAsia="Times New Roman" w:hAnsi="Times New Roman"/>
          <w:sz w:val="14"/>
          <w:szCs w:val="14"/>
          <w:color w:val="auto"/>
        </w:rPr>
      </w:pPr>
    </w:p>
    <w:p>
      <w:pPr>
        <w:jc w:val="both"/>
        <w:ind w:left="60" w:hanging="4"/>
        <w:spacing w:after="0" w:line="247" w:lineRule="auto"/>
        <w:tabs>
          <w:tab w:leader="none" w:pos="34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 3(a) or Section 3(b) during the term of this Agreement, the Agreement will not terminate until all of the obligations of the parties hereto with respect to this Agreement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168275</wp:posOffset>
            </wp:positionV>
            <wp:extent cx="67062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60"/>
          </w:cols>
          <w:pgMar w:left="1100" w:top="135" w:right="939" w:bottom="1440" w:gutter="0" w:footer="0" w:header="0"/>
        </w:sectPr>
      </w:pPr>
    </w:p>
    <w:bookmarkStart w:id="77" w:name="page78"/>
    <w:bookmarkEnd w:id="77"/>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firstLine="420"/>
        <w:spacing w:after="0" w:line="253" w:lineRule="auto"/>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u w:val="single" w:color="auto"/>
          <w:color w:val="auto"/>
        </w:rPr>
        <w:t>At-Will Employment</w:t>
      </w:r>
      <w:r>
        <w:rPr>
          <w:rFonts w:ascii="Times New Roman" w:cs="Times New Roman" w:eastAsia="Times New Roman" w:hAnsi="Times New Roman"/>
          <w:sz w:val="14"/>
          <w:szCs w:val="14"/>
          <w:color w:val="auto"/>
        </w:rPr>
        <w:t>. The Company and Executive acknowledge that Executive’s employment is and will continue to be at-will, as defined under applicable law. No payments, benefits, or provisions under this Agreement will confer upon Executive any right to continue Executive’s</w:t>
      </w:r>
    </w:p>
    <w:p>
      <w:pPr>
        <w:spacing w:after="0" w:line="1" w:lineRule="exact"/>
        <w:rPr>
          <w:sz w:val="20"/>
          <w:szCs w:val="20"/>
          <w:color w:val="auto"/>
        </w:rPr>
      </w:pPr>
    </w:p>
    <w:p>
      <w:pPr>
        <w:ind w:left="60"/>
        <w:spacing w:after="0" w:line="244" w:lineRule="auto"/>
        <w:rPr>
          <w:sz w:val="20"/>
          <w:szCs w:val="20"/>
          <w:color w:val="auto"/>
        </w:rPr>
      </w:pPr>
      <w:r>
        <w:rPr>
          <w:rFonts w:ascii="Times New Roman" w:cs="Times New Roman" w:eastAsia="Times New Roman" w:hAnsi="Times New Roman"/>
          <w:sz w:val="14"/>
          <w:szCs w:val="14"/>
          <w:color w:val="auto"/>
        </w:rPr>
        <w:t>employment with the Company, nor will they interfere with or limit in any way the right of the Company or Executive to terminate such relationship at any time, with or without cause, to the extent permitted by applicable laws.</w:t>
      </w:r>
    </w:p>
    <w:p>
      <w:pPr>
        <w:spacing w:after="0" w:line="179" w:lineRule="exact"/>
        <w:rPr>
          <w:sz w:val="20"/>
          <w:szCs w:val="20"/>
          <w:color w:val="auto"/>
        </w:rPr>
      </w:pPr>
    </w:p>
    <w:p>
      <w:pPr>
        <w:ind w:left="1520" w:hanging="1050"/>
        <w:spacing w:after="0"/>
        <w:tabs>
          <w:tab w:leader="none" w:pos="1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jc w:val="both"/>
        <w:ind w:left="60" w:firstLine="842"/>
        <w:spacing w:after="0" w:line="246" w:lineRule="auto"/>
        <w:tabs>
          <w:tab w:leader="none" w:pos="2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without Cause or Other than Death or Disability or Resignation for Good Reason Other than During the Change in Control Period</w:t>
      </w:r>
      <w:r>
        <w:rPr>
          <w:rFonts w:ascii="Times New Roman" w:cs="Times New Roman" w:eastAsia="Times New Roman" w:hAnsi="Times New Roman"/>
          <w:sz w:val="14"/>
          <w:szCs w:val="14"/>
          <w:color w:val="auto"/>
        </w:rPr>
        <w:t>. If a Qualifying Termination occurs other than during the Change in Control Period, then subject to Section 4, Executive will receive the following severance from the Company:</w:t>
      </w:r>
    </w:p>
    <w:p>
      <w:pPr>
        <w:spacing w:after="0" w:line="144" w:lineRule="exact"/>
        <w:rPr>
          <w:sz w:val="20"/>
          <w:szCs w:val="20"/>
          <w:color w:val="auto"/>
        </w:rPr>
      </w:pPr>
    </w:p>
    <w:p>
      <w:pPr>
        <w:ind w:left="60" w:firstLine="1358"/>
        <w:spacing w:after="0" w:line="245" w:lineRule="auto"/>
        <w:tabs>
          <w:tab w:leader="none" w:pos="2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Salary Severance</w:t>
      </w:r>
      <w:r>
        <w:rPr>
          <w:rFonts w:ascii="Times New Roman" w:cs="Times New Roman" w:eastAsia="Times New Roman" w:hAnsi="Times New Roman"/>
          <w:sz w:val="14"/>
          <w:szCs w:val="14"/>
          <w:color w:val="auto"/>
        </w:rPr>
        <w:t>. Executive will receive continuing payments of Salary, less any applicable withholdings, for a period of six (6) months following the date of such termination of employment, to be paid periodically in accordance with the Company’s normal payroll policies.</w:t>
      </w:r>
    </w:p>
    <w:p>
      <w:pPr>
        <w:spacing w:after="0" w:line="123" w:lineRule="exact"/>
        <w:rPr>
          <w:sz w:val="20"/>
          <w:szCs w:val="20"/>
          <w:color w:val="auto"/>
        </w:rPr>
      </w:pPr>
    </w:p>
    <w:p>
      <w:pPr>
        <w:jc w:val="both"/>
        <w:ind w:left="60" w:firstLine="1322"/>
        <w:spacing w:after="0" w:line="245" w:lineRule="auto"/>
        <w:tabs>
          <w:tab w:leader="none" w:pos="252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Continued Employee Benefits</w:t>
      </w:r>
      <w:r>
        <w:rPr>
          <w:rFonts w:ascii="Times New Roman" w:cs="Times New Roman" w:eastAsia="Times New Roman" w:hAnsi="Times New Roman"/>
          <w:sz w:val="14"/>
          <w:szCs w:val="14"/>
          <w:color w:val="auto"/>
        </w:rPr>
        <w:t>. If Executive elects continuation coverage pursuant to the Consolidated Omnibus Budget Reconciliation Act of 1985, as amended (“</w:t>
      </w:r>
      <w:r>
        <w:rPr>
          <w:rFonts w:ascii="Times New Roman" w:cs="Times New Roman" w:eastAsia="Times New Roman" w:hAnsi="Times New Roman"/>
          <w:sz w:val="14"/>
          <w:szCs w:val="14"/>
          <w:i w:val="1"/>
          <w:iCs w:val="1"/>
          <w:color w:val="auto"/>
        </w:rPr>
        <w:t>COBRA</w:t>
      </w:r>
      <w:r>
        <w:rPr>
          <w:rFonts w:ascii="Times New Roman" w:cs="Times New Roman" w:eastAsia="Times New Roman" w:hAnsi="Times New Roman"/>
          <w:sz w:val="14"/>
          <w:szCs w:val="14"/>
          <w:color w:val="auto"/>
        </w:rPr>
        <w:t>”) for Executive and Executive’s eligible dependents (as applicable), within the time period 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Times New Roman" w:cs="Times New Roman" w:eastAsia="Times New Roman" w:hAnsi="Times New Roman"/>
          <w:sz w:val="14"/>
          <w:szCs w:val="14"/>
          <w:i w:val="1"/>
          <w:iCs w:val="1"/>
          <w:color w:val="auto"/>
        </w:rPr>
        <w:t>COBRA Severance</w:t>
      </w:r>
      <w:r>
        <w:rPr>
          <w:rFonts w:ascii="Times New Roman" w:cs="Times New Roman" w:eastAsia="Times New Roman" w:hAnsi="Times New Roman"/>
          <w:sz w:val="14"/>
          <w:szCs w:val="14"/>
          <w:color w:val="auto"/>
        </w:rPr>
        <w:t>”) until the earliest of: (A) a period of six (6)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w:t>
      </w:r>
    </w:p>
    <w:p>
      <w:pPr>
        <w:spacing w:after="0" w:line="1" w:lineRule="exact"/>
        <w:rPr>
          <w:rFonts w:ascii="Times New Roman" w:cs="Times New Roman" w:eastAsia="Times New Roman" w:hAnsi="Times New Roman"/>
          <w:sz w:val="14"/>
          <w:szCs w:val="14"/>
          <w:color w:val="auto"/>
        </w:rPr>
      </w:pP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COBRA.</w:t>
      </w:r>
    </w:p>
    <w:p>
      <w:pPr>
        <w:spacing w:after="0" w:line="145" w:lineRule="exact"/>
        <w:rPr>
          <w:sz w:val="20"/>
          <w:szCs w:val="20"/>
          <w:color w:val="auto"/>
        </w:rPr>
      </w:pPr>
    </w:p>
    <w:p>
      <w:pPr>
        <w:jc w:val="both"/>
        <w:ind w:left="60" w:firstLine="842"/>
        <w:spacing w:after="0" w:line="246" w:lineRule="auto"/>
        <w:tabs>
          <w:tab w:leader="none" w:pos="204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without Cause or Other than Death or Disability or Resignation for Good Reason On or Within Twelve Months Following a Change in Control</w:t>
      </w:r>
      <w:r>
        <w:rPr>
          <w:rFonts w:ascii="Times New Roman" w:cs="Times New Roman" w:eastAsia="Times New Roman" w:hAnsi="Times New Roman"/>
          <w:sz w:val="14"/>
          <w:szCs w:val="14"/>
          <w:color w:val="auto"/>
        </w:rPr>
        <w:t>. If a Qualifying Termination occurs during the Change in Control Period, then subject to Section 4, Executive will receive the following severance from the Company:</w:t>
      </w:r>
    </w:p>
    <w:p>
      <w:pPr>
        <w:spacing w:after="0" w:line="144" w:lineRule="exact"/>
        <w:rPr>
          <w:sz w:val="20"/>
          <w:szCs w:val="20"/>
          <w:color w:val="auto"/>
        </w:rPr>
      </w:pPr>
    </w:p>
    <w:p>
      <w:pPr>
        <w:ind w:left="60" w:firstLine="1358"/>
        <w:spacing w:after="0" w:line="245" w:lineRule="auto"/>
        <w:tabs>
          <w:tab w:leader="none" w:pos="247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Salary Severance</w:t>
      </w:r>
      <w:r>
        <w:rPr>
          <w:rFonts w:ascii="Times New Roman" w:cs="Times New Roman" w:eastAsia="Times New Roman" w:hAnsi="Times New Roman"/>
          <w:sz w:val="14"/>
          <w:szCs w:val="14"/>
          <w:color w:val="auto"/>
        </w:rPr>
        <w:t>. Executive will receive continuing payments of Salary, less any applicable withholdings, for a period of nine (9) months following the date of such termination of employment, to be paid periodically in accordance with the Company’s normal payroll policies.</w:t>
      </w:r>
    </w:p>
    <w:p>
      <w:pPr>
        <w:spacing w:after="0" w:line="123" w:lineRule="exact"/>
        <w:rPr>
          <w:sz w:val="20"/>
          <w:szCs w:val="20"/>
          <w:color w:val="auto"/>
        </w:rPr>
      </w:pPr>
    </w:p>
    <w:p>
      <w:pPr>
        <w:jc w:val="both"/>
        <w:ind w:left="60" w:firstLine="1322"/>
        <w:spacing w:after="0" w:line="253" w:lineRule="auto"/>
        <w:tabs>
          <w:tab w:leader="none" w:pos="251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Prorated Target Bonus Severance</w:t>
      </w:r>
      <w:r>
        <w:rPr>
          <w:rFonts w:ascii="Times New Roman" w:cs="Times New Roman" w:eastAsia="Times New Roman" w:hAnsi="Times New Roman"/>
          <w:sz w:val="14"/>
          <w:szCs w:val="14"/>
          <w:color w:val="auto"/>
        </w:rPr>
        <w:t>. Executive will receive a lump sum cash payment equal to Executive’s annualized target bonus in effect for the year in which the Qualifying Termination occurs, provided that such amount will be prorated based on a fraction, the numerator of which is the</w:t>
      </w:r>
    </w:p>
    <w:p>
      <w:pPr>
        <w:spacing w:after="0" w:line="1" w:lineRule="exact"/>
        <w:rPr>
          <w:sz w:val="20"/>
          <w:szCs w:val="20"/>
          <w:color w:val="auto"/>
        </w:rPr>
      </w:pPr>
    </w:p>
    <w:p>
      <w:pPr>
        <w:ind w:left="60"/>
        <w:spacing w:after="0" w:line="258" w:lineRule="auto"/>
        <w:rPr>
          <w:sz w:val="20"/>
          <w:szCs w:val="20"/>
          <w:color w:val="auto"/>
        </w:rPr>
      </w:pPr>
      <w:r>
        <w:rPr>
          <w:rFonts w:ascii="Times New Roman" w:cs="Times New Roman" w:eastAsia="Times New Roman" w:hAnsi="Times New Roman"/>
          <w:sz w:val="14"/>
          <w:szCs w:val="14"/>
          <w:color w:val="auto"/>
        </w:rPr>
        <w:t>number of days during which Executive was employed with the Company (or its successor) in the year that the Qualifying Termination occurs, and the denominator of which is the total number of days in such year (the “</w:t>
      </w:r>
      <w:r>
        <w:rPr>
          <w:rFonts w:ascii="Times New Roman" w:cs="Times New Roman" w:eastAsia="Times New Roman" w:hAnsi="Times New Roman"/>
          <w:sz w:val="14"/>
          <w:szCs w:val="14"/>
          <w:i w:val="1"/>
          <w:iCs w:val="1"/>
          <w:color w:val="auto"/>
        </w:rPr>
        <w:t>Prorated Bonus Severance</w:t>
      </w:r>
      <w:r>
        <w:rPr>
          <w:rFonts w:ascii="Times New Roman" w:cs="Times New Roman" w:eastAsia="Times New Roman" w:hAnsi="Times New Roman"/>
          <w:sz w:val="14"/>
          <w:szCs w:val="14"/>
          <w:color w:val="auto"/>
        </w:rPr>
        <w: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78" w:name="page79"/>
    <w:bookmarkEnd w:id="78"/>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0" w:firstLine="1274"/>
        <w:spacing w:after="0" w:line="249" w:lineRule="auto"/>
        <w:tabs>
          <w:tab w:leader="none" w:pos="252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Continued Employee Benefits</w:t>
      </w:r>
      <w:r>
        <w:rPr>
          <w:rFonts w:ascii="Times New Roman" w:cs="Times New Roman" w:eastAsia="Times New Roman" w:hAnsi="Times New Roman"/>
          <w:sz w:val="14"/>
          <w:szCs w:val="14"/>
          <w:color w:val="auto"/>
        </w:rPr>
        <w:t>. If Executive elects continuation coverage pursuant to COBRA for Executive and Executive’s eligible dependents (as applicable), within the time period prescribed pursuant to COBRA, the Company will provide the COBRA Severance until the earliest of: (A) a period of nine (9)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spacing w:after="0" w:line="302" w:lineRule="exact"/>
        <w:rPr>
          <w:sz w:val="20"/>
          <w:szCs w:val="20"/>
          <w:color w:val="auto"/>
        </w:rPr>
      </w:pPr>
    </w:p>
    <w:p>
      <w:pPr>
        <w:jc w:val="both"/>
        <w:ind w:left="60" w:firstLine="1286"/>
        <w:spacing w:after="0" w:line="244" w:lineRule="auto"/>
        <w:tabs>
          <w:tab w:leader="none" w:pos="250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Equity</w:t>
      </w:r>
      <w:r>
        <w:rPr>
          <w:rFonts w:ascii="Times New Roman" w:cs="Times New Roman" w:eastAsia="Times New Roman" w:hAnsi="Times New Roman"/>
          <w:sz w:val="14"/>
          <w:szCs w:val="14"/>
          <w:color w:val="auto"/>
        </w:rPr>
        <w:t>. One hundred percent (100%) of the unvested portion of the Executive’s then-outstanding equity awards (the “</w:t>
      </w: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will immediately vest and, to the extent applicable, become exercisable, as of the date of such termination. To the extent that an Award is subject to performance-based vesting at the time of such termination, such performance goals will be deemed achieved at one hundred percent (100%) of target levels and all other terms and conditions met, unless specifically provided otherwise under the applicable Award agreement. The Awards will remain exercisable, to the extent applicable, following Executive’s termination for the period prescribed in the applicable equity plan and agreement for each Award.</w:t>
      </w:r>
    </w:p>
    <w:p>
      <w:pPr>
        <w:spacing w:after="0" w:line="145" w:lineRule="exact"/>
        <w:rPr>
          <w:sz w:val="20"/>
          <w:szCs w:val="20"/>
          <w:color w:val="auto"/>
        </w:rPr>
      </w:pPr>
    </w:p>
    <w:p>
      <w:pPr>
        <w:jc w:val="both"/>
        <w:ind w:left="60" w:firstLine="1295"/>
        <w:spacing w:after="0" w:line="242" w:lineRule="auto"/>
        <w:rPr>
          <w:sz w:val="20"/>
          <w:szCs w:val="20"/>
          <w:color w:val="auto"/>
        </w:rPr>
      </w:pPr>
      <w:r>
        <w:rPr>
          <w:rFonts w:ascii="Times New Roman" w:cs="Times New Roman" w:eastAsia="Times New Roman" w:hAnsi="Times New Roman"/>
          <w:sz w:val="14"/>
          <w:szCs w:val="14"/>
          <w:color w:val="auto"/>
        </w:rPr>
        <w:t>For the avoidance of doubt, in the event of Executive’s Qualifying Termination that occurs prior to a Change in Control, any then outstanding and unvested portion of Executive’s Awards will remain outstanding and unvested until the earlier of (x) three (3) months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three (3) months following the Qualifying Termination, any unvested portion of Executive’s Awards automatically and permanently will be forfeited on the date three (3) months following the date of the Qualifying Termination without having vested.</w:t>
      </w:r>
    </w:p>
    <w:p>
      <w:pPr>
        <w:spacing w:after="0" w:line="126" w:lineRule="exact"/>
        <w:rPr>
          <w:sz w:val="20"/>
          <w:szCs w:val="20"/>
          <w:color w:val="auto"/>
        </w:rPr>
      </w:pPr>
    </w:p>
    <w:p>
      <w:pPr>
        <w:ind w:left="2040" w:hanging="1138"/>
        <w:spacing w:after="0"/>
        <w:tabs>
          <w:tab w:leader="none" w:pos="2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Termination</w:t>
      </w:r>
      <w:r>
        <w:rPr>
          <w:rFonts w:ascii="Times New Roman" w:cs="Times New Roman" w:eastAsia="Times New Roman" w:hAnsi="Times New Roman"/>
          <w:sz w:val="14"/>
          <w:szCs w:val="14"/>
          <w:color w:val="auto"/>
        </w:rPr>
        <w:t>. If Executive’s employment with the Company terminates other than as set forth in Section 3(a) or 3(b) above, then</w:t>
      </w:r>
    </w:p>
    <w:p>
      <w:pPr>
        <w:spacing w:after="0" w:line="17" w:lineRule="exact"/>
        <w:rPr>
          <w:sz w:val="20"/>
          <w:szCs w:val="20"/>
          <w:color w:val="auto"/>
        </w:rPr>
      </w:pPr>
    </w:p>
    <w:p>
      <w:pPr>
        <w:ind w:left="60"/>
        <w:spacing w:after="0" w:line="241" w:lineRule="auto"/>
        <w:rPr>
          <w:sz w:val="20"/>
          <w:szCs w:val="20"/>
          <w:color w:val="auto"/>
        </w:rPr>
      </w:pPr>
      <w:r>
        <w:rPr>
          <w:rFonts w:ascii="Times New Roman" w:cs="Times New Roman" w:eastAsia="Times New Roman" w:hAnsi="Times New Roman"/>
          <w:sz w:val="14"/>
          <w:szCs w:val="14"/>
          <w:color w:val="auto"/>
        </w:rPr>
        <w:t>(i) all vesting will terminate immediately with respect to Executive’s outstanding Awards, (ii) all payments of compensation by the Company to Executive hereunder will terminate immediately (except as to amounts already earned),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(iii) Executive will only be eligible for severance benefits in accordance with the Company’s established policies, if any, as then in effect.</w:t>
      </w:r>
    </w:p>
    <w:p>
      <w:pPr>
        <w:spacing w:after="0" w:line="154" w:lineRule="exact"/>
        <w:rPr>
          <w:sz w:val="20"/>
          <w:szCs w:val="20"/>
          <w:color w:val="auto"/>
        </w:rPr>
      </w:pPr>
    </w:p>
    <w:p>
      <w:pPr>
        <w:ind w:left="60" w:firstLine="842"/>
        <w:spacing w:after="0" w:line="244" w:lineRule="auto"/>
        <w:tabs>
          <w:tab w:leader="none" w:pos="204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Accrued Amounts</w:t>
      </w:r>
      <w:r>
        <w:rPr>
          <w:rFonts w:ascii="Times New Roman" w:cs="Times New Roman" w:eastAsia="Times New Roman" w:hAnsi="Times New Roman"/>
          <w:sz w:val="14"/>
          <w:szCs w:val="14"/>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41" w:lineRule="exact"/>
        <w:rPr>
          <w:sz w:val="20"/>
          <w:szCs w:val="20"/>
          <w:color w:val="auto"/>
        </w:rPr>
      </w:pPr>
    </w:p>
    <w:p>
      <w:pPr>
        <w:jc w:val="both"/>
        <w:ind w:left="60" w:firstLine="842"/>
        <w:spacing w:after="0" w:line="247" w:lineRule="auto"/>
        <w:tabs>
          <w:tab w:leader="none" w:pos="205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Non-duplication of Payment or Benefits</w:t>
      </w:r>
      <w:r>
        <w:rPr>
          <w:rFonts w:ascii="Times New Roman" w:cs="Times New Roman" w:eastAsia="Times New Roman" w:hAnsi="Times New Roman"/>
          <w:sz w:val="14"/>
          <w:szCs w:val="14"/>
          <w:color w:val="auto"/>
        </w:rPr>
        <w:t>. For purposes of clarity, in the event of a Qualifying Termination that occurs during the Change in Control Period but prior to the Change in Control, any severance payments and benefits to be provided to Executive under Section 3(b) will be reduced by any amounts that already were provided to Executive under Section 3(a). Notwithstanding any provision of this Agreement to the contrary, if Executive is entitled to any cash severance, continued health coverage severance benefits, vesting acceleration of any Awards, or other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79" w:name="page80"/>
    <w:bookmarkEnd w:id="79"/>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0"/>
        <w:spacing w:after="0" w:line="251" w:lineRule="auto"/>
        <w:rPr>
          <w:sz w:val="20"/>
          <w:szCs w:val="20"/>
          <w:color w:val="auto"/>
        </w:rPr>
      </w:pPr>
      <w:r>
        <w:rPr>
          <w:rFonts w:ascii="Times New Roman" w:cs="Times New Roman" w:eastAsia="Times New Roman" w:hAnsi="Times New Roman"/>
          <w:sz w:val="14"/>
          <w:szCs w:val="14"/>
          <w:color w:val="auto"/>
        </w:rPr>
        <w:t>severance or separation benefits similar to those provided under this Agreement, by operation of applicable law or under a plan, policy, contract, or arrangement sponsored by or to which the Company is a party other than this Agreement (“</w:t>
      </w:r>
      <w:r>
        <w:rPr>
          <w:rFonts w:ascii="Times New Roman" w:cs="Times New Roman" w:eastAsia="Times New Roman" w:hAnsi="Times New Roman"/>
          <w:sz w:val="14"/>
          <w:szCs w:val="14"/>
          <w:u w:val="single" w:color="auto"/>
          <w:color w:val="auto"/>
        </w:rPr>
        <w:t>Other Benefits</w:t>
      </w:r>
      <w:r>
        <w:rPr>
          <w:rFonts w:ascii="Times New Roman" w:cs="Times New Roman" w:eastAsia="Times New Roman" w:hAnsi="Times New Roman"/>
          <w:sz w:val="14"/>
          <w:szCs w:val="14"/>
          <w:color w:val="auto"/>
        </w:rPr>
        <w:t>”), then the corresponding severance payments and benefits under this Agreement will be reduced by the amount of Other Benefits paid or provided to Executive.</w:t>
      </w:r>
    </w:p>
    <w:p>
      <w:pPr>
        <w:spacing w:after="0" w:line="179" w:lineRule="exact"/>
        <w:rPr>
          <w:sz w:val="20"/>
          <w:szCs w:val="20"/>
          <w:color w:val="auto"/>
        </w:rPr>
      </w:pPr>
    </w:p>
    <w:p>
      <w:pPr>
        <w:ind w:left="1520" w:hanging="1050"/>
        <w:spacing w:after="0"/>
        <w:tabs>
          <w:tab w:leader="none" w:pos="1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to Receipt of Severance</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2040" w:hanging="1138"/>
        <w:spacing w:after="0"/>
        <w:tabs>
          <w:tab w:leader="none" w:pos="20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 of Claims Agreement</w:t>
      </w:r>
      <w:r>
        <w:rPr>
          <w:rFonts w:ascii="Times New Roman" w:cs="Times New Roman" w:eastAsia="Times New Roman" w:hAnsi="Times New Roman"/>
          <w:sz w:val="14"/>
          <w:szCs w:val="14"/>
          <w:color w:val="auto"/>
        </w:rPr>
        <w:t>. The receipt of any severance payments or benefits pursuant to this Agreement is subject to Executive</w:t>
      </w:r>
    </w:p>
    <w:p>
      <w:pPr>
        <w:spacing w:after="0" w:line="1" w:lineRule="exact"/>
        <w:rPr>
          <w:sz w:val="20"/>
          <w:szCs w:val="20"/>
          <w:color w:val="auto"/>
        </w:rPr>
      </w:pPr>
    </w:p>
    <w:p>
      <w:pPr>
        <w:jc w:val="both"/>
        <w:ind w:left="60"/>
        <w:spacing w:after="0" w:line="187" w:lineRule="auto"/>
        <w:rPr>
          <w:sz w:val="20"/>
          <w:szCs w:val="20"/>
          <w:color w:val="auto"/>
        </w:rPr>
      </w:pPr>
      <w:r>
        <w:rPr>
          <w:rFonts w:ascii="Times New Roman" w:cs="Times New Roman" w:eastAsia="Times New Roman" w:hAnsi="Times New Roman"/>
          <w:sz w:val="9"/>
          <w:szCs w:val="9"/>
          <w:color w:val="auto"/>
        </w:rPr>
        <w:t>signing and not revoking a separation agreement and release of claims in a form acceptable to the Company (the “</w:t>
      </w:r>
      <w:r>
        <w:rPr>
          <w:rFonts w:ascii="Times New Roman" w:cs="Times New Roman" w:eastAsia="Times New Roman" w:hAnsi="Times New Roman"/>
          <w:sz w:val="9"/>
          <w:szCs w:val="9"/>
          <w:i w:val="1"/>
          <w:iCs w:val="1"/>
          <w:color w:val="auto"/>
        </w:rPr>
        <w:t>Release</w:t>
      </w:r>
      <w:r>
        <w:rPr>
          <w:rFonts w:ascii="Times New Roman" w:cs="Times New Roman" w:eastAsia="Times New Roman" w:hAnsi="Times New Roman"/>
          <w:sz w:val="9"/>
          <w:szCs w:val="9"/>
          <w:color w:val="auto"/>
        </w:rPr>
        <w:t>”), which must become effective and irrevocable no later than the sixtieth (60</w:t>
      </w:r>
      <w:r>
        <w:rPr>
          <w:rFonts w:ascii="Times New Roman" w:cs="Times New Roman" w:eastAsia="Times New Roman" w:hAnsi="Times New Roman"/>
          <w:sz w:val="5"/>
          <w:szCs w:val="5"/>
          <w:color w:val="auto"/>
        </w:rPr>
        <w:t>th</w:t>
      </w:r>
      <w:r>
        <w:rPr>
          <w:rFonts w:ascii="Times New Roman" w:cs="Times New Roman" w:eastAsia="Times New Roman" w:hAnsi="Times New Roman"/>
          <w:sz w:val="9"/>
          <w:szCs w:val="9"/>
          <w:color w:val="auto"/>
        </w:rPr>
        <w:t>) day following Executive’s termination of employment (the “</w:t>
      </w:r>
      <w:r>
        <w:rPr>
          <w:rFonts w:ascii="Times New Roman" w:cs="Times New Roman" w:eastAsia="Times New Roman" w:hAnsi="Times New Roman"/>
          <w:sz w:val="9"/>
          <w:szCs w:val="9"/>
          <w:i w:val="1"/>
          <w:iCs w:val="1"/>
          <w:color w:val="auto"/>
        </w:rPr>
        <w:t>Release Deadline Date</w:t>
      </w:r>
      <w:r>
        <w:rPr>
          <w:rFonts w:ascii="Times New Roman" w:cs="Times New Roman" w:eastAsia="Times New Roman" w:hAnsi="Times New Roman"/>
          <w:sz w:val="9"/>
          <w:szCs w:val="9"/>
          <w:color w:val="auto"/>
        </w:rPr>
        <w:t>”). If the Release does</w:t>
      </w:r>
    </w:p>
    <w:p>
      <w:pPr>
        <w:spacing w:after="0" w:line="200" w:lineRule="exact"/>
        <w:rPr>
          <w:sz w:val="20"/>
          <w:szCs w:val="20"/>
          <w:color w:val="auto"/>
        </w:rPr>
      </w:pPr>
    </w:p>
    <w:p>
      <w:pPr>
        <w:spacing w:after="0" w:line="269" w:lineRule="exact"/>
        <w:rPr>
          <w:sz w:val="20"/>
          <w:szCs w:val="20"/>
          <w:color w:val="auto"/>
        </w:rPr>
      </w:pPr>
    </w:p>
    <w:p>
      <w:pPr>
        <w:jc w:val="both"/>
        <w:ind w:left="60"/>
        <w:spacing w:after="0" w:line="253" w:lineRule="auto"/>
        <w:rPr>
          <w:sz w:val="20"/>
          <w:szCs w:val="20"/>
          <w:color w:val="auto"/>
        </w:rPr>
      </w:pPr>
      <w:r>
        <w:rPr>
          <w:rFonts w:ascii="Times New Roman" w:cs="Times New Roman" w:eastAsia="Times New Roman" w:hAnsi="Times New Roman"/>
          <w:sz w:val="14"/>
          <w:szCs w:val="14"/>
          <w:color w:val="auto"/>
        </w:rPr>
        <w:t>not become effective and irrevocable by the Release Deadline Date, Executive will forfeit any right to severance payments or benefits under this Agreement. No severance payments and benefits under Section 3(a) or 3(b) of this</w:t>
      </w:r>
    </w:p>
    <w:p>
      <w:pPr>
        <w:spacing w:after="0" w:line="1" w:lineRule="exact"/>
        <w:rPr>
          <w:sz w:val="20"/>
          <w:szCs w:val="20"/>
          <w:color w:val="auto"/>
        </w:rPr>
      </w:pPr>
    </w:p>
    <w:p>
      <w:pPr>
        <w:jc w:val="both"/>
        <w:ind w:left="60"/>
        <w:spacing w:after="0" w:line="241" w:lineRule="auto"/>
        <w:rPr>
          <w:sz w:val="20"/>
          <w:szCs w:val="20"/>
          <w:color w:val="auto"/>
        </w:rPr>
      </w:pPr>
      <w:r>
        <w:rPr>
          <w:rFonts w:ascii="Times New Roman" w:cs="Times New Roman" w:eastAsia="Times New Roman" w:hAnsi="Times New Roman"/>
          <w:sz w:val="14"/>
          <w:szCs w:val="14"/>
          <w:color w:val="auto"/>
        </w:rPr>
        <w:t>Agreement will be 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under Section 4(c) below) will be paid, subject to the requirements of Section 4(d) below, on the Company’s first regularly scheduled payroll date on or following the date the</w:t>
      </w:r>
    </w:p>
    <w:p>
      <w:pPr>
        <w:spacing w:after="0" w:line="1" w:lineRule="exact"/>
        <w:rPr>
          <w:sz w:val="20"/>
          <w:szCs w:val="20"/>
          <w:color w:val="auto"/>
        </w:rPr>
      </w:pPr>
    </w:p>
    <w:p>
      <w:pPr>
        <w:jc w:val="both"/>
        <w:ind w:left="60"/>
        <w:spacing w:after="0" w:line="241" w:lineRule="auto"/>
        <w:rPr>
          <w:sz w:val="20"/>
          <w:szCs w:val="20"/>
          <w:color w:val="auto"/>
        </w:rPr>
      </w:pPr>
      <w:r>
        <w:rPr>
          <w:rFonts w:ascii="Times New Roman" w:cs="Times New Roman" w:eastAsia="Times New Roman" w:hAnsi="Times New Roman"/>
          <w:sz w:val="14"/>
          <w:szCs w:val="14"/>
          <w:color w:val="auto"/>
        </w:rPr>
        <w:t>Release becomes effective and irrevocable or, with respect to the Prorated Bonus Severance, if later and in the event of a Qualifying Termination that occurs prior to a Change in Control, on the date of completion of the Change in Control. Any restricted stock units, performance units, performance shares, and/or similar full value awards that accelerate vesting under this Agreement (“</w:t>
      </w:r>
      <w:r>
        <w:rPr>
          <w:rFonts w:ascii="Times New Roman" w:cs="Times New Roman" w:eastAsia="Times New Roman" w:hAnsi="Times New Roman"/>
          <w:sz w:val="14"/>
          <w:szCs w:val="14"/>
          <w:i w:val="1"/>
          <w:iCs w:val="1"/>
          <w:color w:val="auto"/>
        </w:rPr>
        <w:t>Full Value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will be settled (subject to Section 4(d) below and the terms of any award agreement or other Company plan, policy, or arrangement governing the settlement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timing of such award to the extent such terms specifically require different payment timing in order to comply with the requirements of Section 409A, as applicable (the “</w:t>
      </w:r>
      <w:r>
        <w:rPr>
          <w:rFonts w:ascii="Times New Roman" w:cs="Times New Roman" w:eastAsia="Times New Roman" w:hAnsi="Times New Roman"/>
          <w:sz w:val="14"/>
          <w:szCs w:val="14"/>
          <w:i w:val="1"/>
          <w:iCs w:val="1"/>
          <w:color w:val="auto"/>
        </w:rPr>
        <w:t>Full Value Settlement Provisions</w:t>
      </w:r>
      <w:r>
        <w:rPr>
          <w:rFonts w:ascii="Times New Roman" w:cs="Times New Roman" w:eastAsia="Times New Roman" w:hAnsi="Times New Roman"/>
          <w:sz w:val="14"/>
          <w:szCs w:val="14"/>
          <w:color w:val="auto"/>
        </w:rPr>
        <w:t>”), (a) on a date within ten (10) days following the date the Release becomes effective and irrevocable, or (b) if later, in the event of a Qualifying Termination that occurs prior to a Change in Control, on the date of completion of the Change in Control.</w:t>
      </w:r>
    </w:p>
    <w:p>
      <w:pPr>
        <w:spacing w:after="0" w:line="308" w:lineRule="exact"/>
        <w:rPr>
          <w:sz w:val="20"/>
          <w:szCs w:val="20"/>
          <w:color w:val="auto"/>
        </w:rPr>
      </w:pPr>
    </w:p>
    <w:p>
      <w:pPr>
        <w:jc w:val="both"/>
        <w:ind w:left="60" w:firstLine="842"/>
        <w:spacing w:after="0" w:line="246" w:lineRule="auto"/>
        <w:tabs>
          <w:tab w:leader="none" w:pos="204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Confidential Information and Invention Assignment Agreements</w:t>
      </w:r>
      <w:r>
        <w:rPr>
          <w:rFonts w:ascii="Times New Roman" w:cs="Times New Roman" w:eastAsia="Times New Roman" w:hAnsi="Times New Roman"/>
          <w:sz w:val="14"/>
          <w:szCs w:val="14"/>
          <w:color w:val="auto"/>
        </w:rPr>
        <w:t>. Executive’s receipt of any payments or benefits under Sections 3(a) and 3(b) will be subject to Executive continuing to comply with the terms of any confidential information and invention assignment agreement executed by Executive in favor of the Company and the provisions of this Agreement.</w:t>
      </w:r>
    </w:p>
    <w:p>
      <w:pPr>
        <w:spacing w:after="0" w:line="144" w:lineRule="exact"/>
        <w:rPr>
          <w:sz w:val="20"/>
          <w:szCs w:val="20"/>
          <w:color w:val="auto"/>
        </w:rPr>
      </w:pPr>
    </w:p>
    <w:p>
      <w:pPr>
        <w:jc w:val="both"/>
        <w:ind w:left="60" w:firstLine="842"/>
        <w:spacing w:after="0" w:line="241" w:lineRule="auto"/>
        <w:tabs>
          <w:tab w:leader="none" w:pos="204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COBRA Severance Limitations</w:t>
      </w:r>
      <w:r>
        <w:rPr>
          <w:rFonts w:ascii="Times New Roman" w:cs="Times New Roman" w:eastAsia="Times New Roman" w:hAnsi="Times New Roman"/>
          <w:sz w:val="14"/>
          <w:szCs w:val="14"/>
          <w:color w:val="auto"/>
        </w:rPr>
        <w:t>. Notwithstanding the provisions of Sections 3(a)(ii) and 3(b)(ii), if the Company determines in its sole discretion that it cannot provide the COBRA Severance without potentially violating applicable laws (including, without limitation, Section 2716 of the Public Health Service Act and the Employee Retirement Income Security Act of 1974, as amended), then in lieu of such COBRA Severance, and subject to any delay required by this</w:t>
      </w:r>
    </w:p>
    <w:p>
      <w:pPr>
        <w:spacing w:after="0" w:line="1"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14"/>
          <w:szCs w:val="14"/>
          <w:color w:val="auto"/>
        </w:rPr>
        <w:t>Section 4, the Company will provide to Executive a taxable lump sum cash payment in an amount equal to the product of (x) the number of months of Salary severance specified in Section 3(a)(i) or 3(b)(i), as applicable, multiplied by (y) the monthly COBRA premium that Executive otherwise would be required to pay to continue the group health, dental and vision coverage for Executive 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80" w:name="page81"/>
    <w:bookmarkEnd w:id="80"/>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0"/>
        <w:spacing w:after="0" w:line="247" w:lineRule="auto"/>
        <w:rPr>
          <w:sz w:val="20"/>
          <w:szCs w:val="20"/>
          <w:color w:val="auto"/>
        </w:rPr>
      </w:pPr>
      <w:r>
        <w:rPr>
          <w:rFonts w:ascii="Times New Roman" w:cs="Times New Roman" w:eastAsia="Times New Roman" w:hAnsi="Times New Roman"/>
          <w:sz w:val="14"/>
          <w:szCs w:val="14"/>
          <w:color w:val="auto"/>
        </w:rPr>
        <w:t>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Times New Roman" w:cs="Times New Roman" w:eastAsia="Times New Roman" w:hAnsi="Times New Roman"/>
          <w:sz w:val="14"/>
          <w:szCs w:val="14"/>
          <w:i w:val="1"/>
          <w:iCs w:val="1"/>
          <w:color w:val="auto"/>
        </w:rPr>
        <w:t>Taxable Payment</w:t>
      </w:r>
      <w:r>
        <w:rPr>
          <w:rFonts w:ascii="Times New Roman" w:cs="Times New Roman" w:eastAsia="Times New Roman" w:hAnsi="Times New Roman"/>
          <w:sz w:val="14"/>
          <w:szCs w:val="14"/>
          <w:color w:val="auto"/>
        </w:rPr>
        <w:t>”). For the avoidance of doubt, the Taxable Payment may be used for any purpose, including, but not limited to continuation coverage under COBRA, and will be subject to all applicable tax withholdings. Notwithstanding</w:t>
      </w:r>
    </w:p>
    <w:p>
      <w:pPr>
        <w:spacing w:after="0" w:line="1" w:lineRule="exact"/>
        <w:rPr>
          <w:sz w:val="20"/>
          <w:szCs w:val="20"/>
          <w:color w:val="auto"/>
        </w:rPr>
      </w:pPr>
    </w:p>
    <w:p>
      <w:pPr>
        <w:jc w:val="both"/>
        <w:ind w:left="60"/>
        <w:spacing w:after="0" w:line="244" w:lineRule="auto"/>
        <w:rPr>
          <w:sz w:val="20"/>
          <w:szCs w:val="20"/>
          <w:color w:val="auto"/>
        </w:rPr>
      </w:pPr>
      <w:r>
        <w:rPr>
          <w:rFonts w:ascii="Times New Roman" w:cs="Times New Roman" w:eastAsia="Times New Roman" w:hAnsi="Times New Roman"/>
          <w:sz w:val="14"/>
          <w:szCs w:val="14"/>
          <w:color w:val="auto"/>
        </w:rPr>
        <w:t>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spacing w:after="0" w:line="301" w:lineRule="exact"/>
        <w:rPr>
          <w:sz w:val="20"/>
          <w:szCs w:val="20"/>
          <w:color w:val="auto"/>
        </w:rPr>
      </w:pPr>
    </w:p>
    <w:p>
      <w:pPr>
        <w:ind w:left="1320" w:hanging="415"/>
        <w:spacing w:after="0"/>
        <w:tabs>
          <w:tab w:leader="none" w:pos="13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409A</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2480" w:hanging="1062"/>
        <w:spacing w:after="0"/>
        <w:tabs>
          <w:tab w:leader="none" w:pos="24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no severance payments or benefits payable to Executive, if any,</w:t>
      </w:r>
    </w:p>
    <w:p>
      <w:pPr>
        <w:spacing w:after="0" w:line="1" w:lineRule="exact"/>
        <w:rPr>
          <w:rFonts w:ascii="Times New Roman" w:cs="Times New Roman" w:eastAsia="Times New Roman" w:hAnsi="Times New Roman"/>
          <w:sz w:val="14"/>
          <w:szCs w:val="14"/>
          <w:color w:val="auto"/>
        </w:rPr>
      </w:pP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this Agreement that, when considered together with any other severance payments or separation benefits, is considered deferred compensation under Internal</w:t>
      </w:r>
    </w:p>
    <w:p>
      <w:pPr>
        <w:spacing w:after="0" w:line="145"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4"/>
          <w:szCs w:val="14"/>
          <w:color w:val="auto"/>
        </w:rPr>
        <w:t>Revenue Code Section 409A (together, the “</w:t>
      </w:r>
      <w:r>
        <w:rPr>
          <w:rFonts w:ascii="Times New Roman" w:cs="Times New Roman" w:eastAsia="Times New Roman" w:hAnsi="Times New Roman"/>
          <w:sz w:val="14"/>
          <w:szCs w:val="14"/>
          <w:i w:val="1"/>
          <w:iCs w:val="1"/>
          <w:color w:val="auto"/>
        </w:rPr>
        <w:t>Deferred Payments</w:t>
      </w:r>
      <w:r>
        <w:rPr>
          <w:rFonts w:ascii="Times New Roman" w:cs="Times New Roman" w:eastAsia="Times New Roman" w:hAnsi="Times New Roman"/>
          <w:sz w:val="14"/>
          <w:szCs w:val="14"/>
          <w:color w:val="auto"/>
        </w:rPr>
        <w:t>”) will be payable until Executive has a “separation from service” within the meaning of Section 409A of the</w:t>
      </w:r>
    </w:p>
    <w:p>
      <w:pPr>
        <w:spacing w:after="0" w:line="172" w:lineRule="exact"/>
        <w:rPr>
          <w:sz w:val="20"/>
          <w:szCs w:val="20"/>
          <w:color w:val="auto"/>
        </w:rPr>
      </w:pPr>
    </w:p>
    <w:p>
      <w:pPr>
        <w:jc w:val="both"/>
        <w:ind w:left="60"/>
        <w:spacing w:after="0" w:line="241" w:lineRule="auto"/>
        <w:rPr>
          <w:sz w:val="20"/>
          <w:szCs w:val="20"/>
          <w:color w:val="auto"/>
        </w:rPr>
      </w:pPr>
      <w:r>
        <w:rPr>
          <w:rFonts w:ascii="Times New Roman" w:cs="Times New Roman" w:eastAsia="Times New Roman" w:hAnsi="Times New Roman"/>
          <w:sz w:val="14"/>
          <w:szCs w:val="14"/>
          <w:color w:val="auto"/>
        </w:rPr>
        <w:t>Internal Revenue Code of 1986, as amended (the “</w:t>
      </w:r>
      <w:r>
        <w:rPr>
          <w:rFonts w:ascii="Times New Roman" w:cs="Times New Roman" w:eastAsia="Times New Roman" w:hAnsi="Times New Roman"/>
          <w:sz w:val="14"/>
          <w:szCs w:val="14"/>
          <w:i w:val="1"/>
          <w:iCs w:val="1"/>
          <w:color w:val="auto"/>
        </w:rPr>
        <w:t>Code</w:t>
      </w:r>
      <w:r>
        <w:rPr>
          <w:rFonts w:ascii="Times New Roman" w:cs="Times New Roman" w:eastAsia="Times New Roman" w:hAnsi="Times New Roman"/>
          <w:sz w:val="14"/>
          <w:szCs w:val="14"/>
          <w:color w:val="auto"/>
        </w:rPr>
        <w:t>”), and the Treasury Regulations and guidance thereunder, and any applicable state law equivalent, as each may be promulgated, amended or modified from time to time (“</w:t>
      </w:r>
      <w:r>
        <w:rPr>
          <w:rFonts w:ascii="Times New Roman" w:cs="Times New Roman" w:eastAsia="Times New Roman" w:hAnsi="Times New Roman"/>
          <w:sz w:val="14"/>
          <w:szCs w:val="14"/>
          <w:i w:val="1"/>
          <w:iCs w:val="1"/>
          <w:color w:val="auto"/>
        </w:rPr>
        <w:t>Section 409A</w:t>
      </w:r>
      <w:r>
        <w:rPr>
          <w:rFonts w:ascii="Times New Roman" w:cs="Times New Roman" w:eastAsia="Times New Roman" w:hAnsi="Times New Roman"/>
          <w:sz w:val="14"/>
          <w:szCs w:val="14"/>
          <w:color w:val="auto"/>
        </w:rPr>
        <w:t>”). Similarly, no severance payable to Executive, if any, pursuant to this Agreement that otherwise would be exempt from Section 409A pursuant to Treasury Regulations Section 1.409A-1(b)(9) will be payable until Executive has a “separation from service”</w:t>
      </w:r>
    </w:p>
    <w:p>
      <w:pPr>
        <w:spacing w:after="0" w:line="1" w:lineRule="exact"/>
        <w:rPr>
          <w:sz w:val="20"/>
          <w:szCs w:val="20"/>
          <w:color w:val="auto"/>
        </w:rPr>
      </w:pPr>
    </w:p>
    <w:p>
      <w:pPr>
        <w:jc w:val="both"/>
        <w:ind w:left="60"/>
        <w:spacing w:after="0" w:line="253" w:lineRule="auto"/>
        <w:rPr>
          <w:sz w:val="20"/>
          <w:szCs w:val="20"/>
          <w:color w:val="auto"/>
        </w:rPr>
      </w:pPr>
      <w:r>
        <w:rPr>
          <w:rFonts w:ascii="Times New Roman" w:cs="Times New Roman" w:eastAsia="Times New Roman" w:hAnsi="Times New Roman"/>
          <w:sz w:val="14"/>
          <w:szCs w:val="14"/>
          <w:color w:val="auto"/>
        </w:rPr>
        <w:t>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300" w:lineRule="exact"/>
        <w:rPr>
          <w:sz w:val="20"/>
          <w:szCs w:val="20"/>
          <w:color w:val="auto"/>
        </w:rPr>
      </w:pPr>
    </w:p>
    <w:p>
      <w:pPr>
        <w:jc w:val="both"/>
        <w:ind w:left="60" w:firstLine="1322"/>
        <w:spacing w:after="0" w:line="241" w:lineRule="auto"/>
        <w:tabs>
          <w:tab w:leader="none" w:pos="25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severance payments or benefits under this Agreement that would be considered Deferred Payments will be paid on, or, in the case of installments, will not commence until, the sixtieth (60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day following Executive’s separation from service, or, if later, such time as required by Section 4(d)</w:t>
      </w:r>
    </w:p>
    <w:p>
      <w:pPr>
        <w:spacing w:after="0" w:line="1" w:lineRule="exact"/>
        <w:rPr>
          <w:sz w:val="20"/>
          <w:szCs w:val="20"/>
          <w:color w:val="auto"/>
        </w:rPr>
      </w:pPr>
    </w:p>
    <w:p>
      <w:pPr>
        <w:jc w:val="both"/>
        <w:ind w:left="60"/>
        <w:spacing w:after="0" w:line="242" w:lineRule="auto"/>
        <w:rPr>
          <w:sz w:val="20"/>
          <w:szCs w:val="20"/>
          <w:color w:val="auto"/>
        </w:rPr>
      </w:pPr>
      <w:r>
        <w:rPr>
          <w:rFonts w:ascii="Times New Roman" w:cs="Times New Roman" w:eastAsia="Times New Roman" w:hAnsi="Times New Roman"/>
          <w:sz w:val="14"/>
          <w:szCs w:val="14"/>
          <w:color w:val="auto"/>
        </w:rPr>
        <w:t>(iii) (or with respect to Full Value Awards, such time or times as required by any applicable Full Value Settlement Provisions and with respect to the Prorated Bonus Severance, if later and in the event of a Qualifying Termination that occurs prior to a Change in Control, on the date of completion of the Change in Control).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w:t>
      </w:r>
      <w:r>
        <w:rPr>
          <w:rFonts w:ascii="Times New Roman" w:cs="Times New Roman" w:eastAsia="Times New Roman" w:hAnsi="Times New Roman"/>
          <w:sz w:val="7"/>
          <w:szCs w:val="7"/>
          <w:color w:val="auto"/>
        </w:rPr>
        <w:t>th</w:t>
      </w:r>
      <w:r>
        <w:rPr>
          <w:rFonts w:ascii="Times New Roman" w:cs="Times New Roman" w:eastAsia="Times New Roman" w:hAnsi="Times New Roman"/>
          <w:sz w:val="14"/>
          <w:szCs w:val="14"/>
          <w:color w:val="auto"/>
        </w:rPr>
        <w:t>) day following Executive’s separation from service and the remaining payments shall be made as provided in this Agreement.</w:t>
      </w:r>
    </w:p>
    <w:p>
      <w:pPr>
        <w:spacing w:after="0" w:line="126" w:lineRule="exact"/>
        <w:rPr>
          <w:sz w:val="20"/>
          <w:szCs w:val="20"/>
          <w:color w:val="auto"/>
        </w:rPr>
      </w:pPr>
    </w:p>
    <w:p>
      <w:pPr>
        <w:jc w:val="both"/>
        <w:ind w:left="60" w:firstLine="1284"/>
        <w:spacing w:after="0" w:line="256" w:lineRule="auto"/>
        <w:rPr>
          <w:sz w:val="20"/>
          <w:szCs w:val="20"/>
          <w:color w:val="auto"/>
        </w:rPr>
      </w:pPr>
      <w:r>
        <w:rPr>
          <w:rFonts w:ascii="Times New Roman" w:cs="Times New Roman" w:eastAsia="Times New Roman" w:hAnsi="Times New Roman"/>
          <w:sz w:val="14"/>
          <w:szCs w:val="14"/>
          <w:color w:val="auto"/>
        </w:rPr>
        <w:t>(iii) Further, if Executive is a “specified employee” within the meaning of Section 409A at the time of Executive’s separation from service (other than due to death), any Deferred Payments that otherwise are payable within the first six (6) months following Executive’s separation from service will become payable on the first payroll date that occurs on or after the date six (6) months and one (1) day following the date of Executive’s separation from service. All subsequent Deferred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81" w:name="page82"/>
    <w:bookmarkEnd w:id="81"/>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0"/>
        <w:spacing w:after="0" w:line="247" w:lineRule="auto"/>
        <w:rPr>
          <w:sz w:val="20"/>
          <w:szCs w:val="20"/>
          <w:color w:val="auto"/>
        </w:rPr>
      </w:pPr>
      <w:r>
        <w:rPr>
          <w:rFonts w:ascii="Times New Roman" w:cs="Times New Roman" w:eastAsia="Times New Roman" w:hAnsi="Times New Roman"/>
          <w:sz w:val="14"/>
          <w:szCs w:val="14"/>
          <w:color w:val="auto"/>
        </w:rPr>
        <w:t>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126" w:lineRule="exact"/>
        <w:rPr>
          <w:sz w:val="20"/>
          <w:szCs w:val="20"/>
          <w:color w:val="auto"/>
        </w:rPr>
      </w:pPr>
    </w:p>
    <w:p>
      <w:pPr>
        <w:jc w:val="both"/>
        <w:ind w:left="60" w:firstLine="1286"/>
        <w:spacing w:after="0" w:line="248" w:lineRule="auto"/>
        <w:tabs>
          <w:tab w:leader="none" w:pos="251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paid under this Agreement that satisfies the requirements of the “short-term deferral” rule set forth in Section 1.409A-1(b)(4) of the Treasury Regulations will not constitute Deferred Payments for purposes of clause (i) above. Any amount paid under this Agreement that qualifies as a payment made as a result of an involuntary separation from service pursuant to Section 1.409A-1(b)(9)(iii) of the Treasury Regulations that is within the limit set forth thereunder will not constitute Deferred Payments for purposes of clause (i) above.</w:t>
      </w:r>
    </w:p>
    <w:p>
      <w:pPr>
        <w:ind w:left="2460" w:hanging="1078"/>
        <w:spacing w:after="0" w:line="212" w:lineRule="auto"/>
        <w:tabs>
          <w:tab w:leader="none" w:pos="24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foregoing provisions are intended to comply with, or be exempt from, the requirements of Section 409A so that none of the</w:t>
      </w:r>
    </w:p>
    <w:p>
      <w:pPr>
        <w:spacing w:after="0" w:line="146" w:lineRule="exact"/>
        <w:rPr>
          <w:sz w:val="20"/>
          <w:szCs w:val="20"/>
          <w:color w:val="auto"/>
        </w:rPr>
      </w:pPr>
    </w:p>
    <w:p>
      <w:pPr>
        <w:jc w:val="both"/>
        <w:ind w:left="60"/>
        <w:spacing w:after="0" w:line="253" w:lineRule="auto"/>
        <w:rPr>
          <w:sz w:val="20"/>
          <w:szCs w:val="20"/>
          <w:color w:val="auto"/>
        </w:rPr>
      </w:pPr>
      <w:r>
        <w:rPr>
          <w:rFonts w:ascii="Times New Roman" w:cs="Times New Roman" w:eastAsia="Times New Roman" w:hAnsi="Times New Roman"/>
          <w:sz w:val="14"/>
          <w:szCs w:val="14"/>
          <w:color w:val="auto"/>
        </w:rPr>
        <w:t>severance payments and benefits to be provided under the Agreement will be subject to the additional tax imposed under Section 409A, and any ambiguities and ambiguous terms herein will be interpreted to so comply or be exempt. Executive</w:t>
      </w:r>
    </w:p>
    <w:p>
      <w:pPr>
        <w:spacing w:after="0" w:line="1" w:lineRule="exact"/>
        <w:rPr>
          <w:sz w:val="20"/>
          <w:szCs w:val="20"/>
          <w:color w:val="auto"/>
        </w:rPr>
      </w:pPr>
    </w:p>
    <w:p>
      <w:pPr>
        <w:jc w:val="both"/>
        <w:ind w:left="60"/>
        <w:spacing w:after="0" w:line="245" w:lineRule="auto"/>
        <w:rPr>
          <w:sz w:val="20"/>
          <w:szCs w:val="20"/>
          <w:color w:val="auto"/>
        </w:rPr>
      </w:pPr>
      <w:r>
        <w:rPr>
          <w:rFonts w:ascii="Times New Roman" w:cs="Times New Roman" w:eastAsia="Times New Roman" w:hAnsi="Times New Roman"/>
          <w:sz w:val="14"/>
          <w:szCs w:val="14"/>
          <w:color w:val="auto"/>
        </w:rPr>
        <w:t>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liability to reimburse, indemnify or hold harmless Executive for any taxes imposed, or other costs incurred, as result of Section 409A.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Pr>
          <w:p>
            <w:pPr>
              <w:spacing w:after="0"/>
              <w:rPr>
                <w:sz w:val="13"/>
                <w:szCs w:val="13"/>
                <w:color w:val="auto"/>
              </w:rPr>
            </w:pPr>
          </w:p>
        </w:tc>
        <w:tc>
          <w:tcPr>
            <w:tcW w:w="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Limitation</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on</w:t>
            </w: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Payments.</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In</w:t>
            </w:r>
          </w:p>
        </w:tc>
        <w:tc>
          <w:tcPr>
            <w:tcW w:w="4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the</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event</w:t>
            </w: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that</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the</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severance</w:t>
            </w: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and</w:t>
            </w:r>
          </w:p>
        </w:tc>
        <w:tc>
          <w:tcPr>
            <w:tcW w:w="260" w:type="dxa"/>
            <w:vAlign w:val="bottom"/>
          </w:tcPr>
          <w:p>
            <w:pPr>
              <w:spacing w:after="0"/>
              <w:rPr>
                <w:sz w:val="13"/>
                <w:szCs w:val="13"/>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benefits</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provided</w:t>
            </w:r>
          </w:p>
        </w:tc>
        <w:tc>
          <w:tcPr>
            <w:tcW w:w="0" w:type="dxa"/>
            <w:vAlign w:val="bottom"/>
          </w:tcPr>
          <w:p>
            <w:pPr>
              <w:spacing w:after="0"/>
              <w:rPr>
                <w:sz w:val="1"/>
                <w:szCs w:val="1"/>
                <w:color w:val="auto"/>
              </w:rPr>
            </w:pPr>
          </w:p>
        </w:tc>
      </w:tr>
      <w:tr>
        <w:trPr>
          <w:trHeight w:val="125"/>
        </w:trPr>
        <w:tc>
          <w:tcPr>
            <w:tcW w:w="3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for</w:t>
            </w:r>
          </w:p>
        </w:tc>
        <w:tc>
          <w:tcPr>
            <w:tcW w:w="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in</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this</w:t>
            </w:r>
          </w:p>
        </w:tc>
        <w:tc>
          <w:tcPr>
            <w:tcW w:w="6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Executive</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would</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receive</w:t>
            </w:r>
          </w:p>
        </w:tc>
        <w:tc>
          <w:tcPr>
            <w:tcW w:w="4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from</w:t>
            </w:r>
          </w:p>
        </w:tc>
        <w:tc>
          <w:tcPr>
            <w:tcW w:w="6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3"/>
              </w:rPr>
              <w:t>the</w:t>
            </w:r>
          </w:p>
        </w:tc>
        <w:tc>
          <w:tcPr>
            <w:tcW w:w="80" w:type="dxa"/>
            <w:vAlign w:val="bottom"/>
          </w:tcPr>
          <w:p>
            <w:pPr>
              <w:spacing w:after="0" w:line="20" w:lineRule="exact"/>
              <w:rPr>
                <w:sz w:val="1"/>
                <w:szCs w:val="1"/>
                <w:color w:val="auto"/>
              </w:rPr>
            </w:pPr>
          </w:p>
        </w:tc>
        <w:tc>
          <w:tcPr>
            <w:tcW w:w="760" w:type="dxa"/>
            <w:vAlign w:val="bottom"/>
            <w:gridSpan w:val="2"/>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Company</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or</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any</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party</w:t>
            </w:r>
          </w:p>
        </w:tc>
        <w:tc>
          <w:tcPr>
            <w:tcW w:w="0" w:type="dxa"/>
            <w:vAlign w:val="bottom"/>
          </w:tcPr>
          <w:p>
            <w:pPr>
              <w:spacing w:after="0" w:line="20" w:lineRule="exact"/>
              <w:rPr>
                <w:sz w:val="1"/>
                <w:szCs w:val="1"/>
                <w:color w:val="auto"/>
              </w:rPr>
            </w:pPr>
          </w:p>
        </w:tc>
      </w:tr>
      <w:tr>
        <w:trPr>
          <w:trHeight w:val="149"/>
        </w:trPr>
        <w:tc>
          <w:tcPr>
            <w:tcW w:w="34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Agreement</w:t>
            </w:r>
          </w:p>
        </w:tc>
        <w:tc>
          <w:tcPr>
            <w:tcW w:w="4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or</w:t>
            </w:r>
          </w:p>
        </w:tc>
        <w:tc>
          <w:tcPr>
            <w:tcW w:w="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otherwise</w:t>
            </w:r>
          </w:p>
        </w:tc>
        <w:tc>
          <w:tcPr>
            <w:tcW w:w="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that</w:t>
            </w:r>
          </w:p>
        </w:tc>
        <w:tc>
          <w:tcPr>
            <w:tcW w:w="2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whether</w:t>
            </w: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connection</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with</w:t>
            </w:r>
          </w:p>
        </w:tc>
        <w:tc>
          <w:tcPr>
            <w:tcW w:w="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the</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provisions</w:t>
            </w:r>
          </w:p>
        </w:tc>
        <w:tc>
          <w:tcPr>
            <w:tcW w:w="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of</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this</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Agreement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w:t>
            </w:r>
          </w:p>
        </w:tc>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otherwise</w:t>
            </w:r>
          </w:p>
        </w:tc>
        <w:tc>
          <w:tcPr>
            <w:tcW w:w="80" w:type="dxa"/>
            <w:vAlign w:val="bottom"/>
          </w:tcPr>
          <w:p>
            <w:pPr>
              <w:spacing w:after="0"/>
              <w:rPr>
                <w:sz w:val="14"/>
                <w:szCs w:val="14"/>
                <w:color w:val="auto"/>
              </w:rPr>
            </w:pPr>
          </w:p>
        </w:tc>
        <w:tc>
          <w:tcPr>
            <w:tcW w:w="5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(the</w:t>
            </w:r>
          </w:p>
        </w:tc>
        <w:tc>
          <w:tcPr>
            <w:tcW w:w="2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Payments</w:t>
            </w:r>
            <w:r>
              <w:rPr>
                <w:rFonts w:ascii="Times New Roman" w:cs="Times New Roman" w:eastAsia="Times New Roman" w:hAnsi="Times New Roman"/>
                <w:sz w:val="14"/>
                <w:szCs w:val="14"/>
                <w:color w:val="auto"/>
              </w:rPr>
              <w:t>”)</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would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w:t>
            </w:r>
          </w:p>
        </w:tc>
        <w:tc>
          <w:tcPr>
            <w:tcW w:w="0" w:type="dxa"/>
            <w:vAlign w:val="bottom"/>
          </w:tcPr>
          <w:p>
            <w:pPr>
              <w:spacing w:after="0"/>
              <w:rPr>
                <w:sz w:val="1"/>
                <w:szCs w:val="1"/>
                <w:color w:val="auto"/>
              </w:rPr>
            </w:pPr>
          </w:p>
        </w:tc>
      </w:tr>
      <w:tr>
        <w:trPr>
          <w:trHeight w:val="178"/>
        </w:trPr>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constitute</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“parachute</w:t>
            </w:r>
          </w:p>
        </w:tc>
        <w:tc>
          <w:tcPr>
            <w:tcW w:w="9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payments”</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within</w:t>
            </w: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3"/>
              </w:rPr>
              <w:t>the</w:t>
            </w:r>
          </w:p>
        </w:tc>
        <w:tc>
          <w:tcPr>
            <w:tcW w:w="2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meaning</w:t>
            </w:r>
          </w:p>
        </w:tc>
        <w:tc>
          <w:tcPr>
            <w:tcW w:w="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of</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Section</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280G</w:t>
            </w:r>
          </w:p>
        </w:tc>
        <w:tc>
          <w:tcPr>
            <w:tcW w:w="4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of</w:t>
            </w:r>
          </w:p>
        </w:tc>
        <w:tc>
          <w:tcPr>
            <w:tcW w:w="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Code</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and</w:t>
            </w: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(ii)</w:t>
            </w:r>
          </w:p>
        </w:tc>
        <w:tc>
          <w:tcPr>
            <w:tcW w:w="260" w:type="dxa"/>
            <w:vAlign w:val="bottom"/>
          </w:tcPr>
          <w:p>
            <w:pPr>
              <w:spacing w:after="0"/>
              <w:rPr>
                <w:sz w:val="15"/>
                <w:szCs w:val="15"/>
                <w:color w:val="auto"/>
              </w:rPr>
            </w:pPr>
          </w:p>
        </w:tc>
        <w:tc>
          <w:tcPr>
            <w:tcW w:w="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but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this</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4"/>
          <w:szCs w:val="14"/>
          <w:color w:val="auto"/>
        </w:rPr>
        <w:t>Section 5, would be subject to the excise tax imposed by Section 4999 of the Code, then the Payments will be either:</w:t>
      </w:r>
    </w:p>
    <w:p>
      <w:pPr>
        <w:spacing w:after="0" w:line="129" w:lineRule="exact"/>
        <w:rPr>
          <w:sz w:val="20"/>
          <w:szCs w:val="20"/>
          <w:color w:val="auto"/>
        </w:rPr>
      </w:pPr>
    </w:p>
    <w:p>
      <w:pPr>
        <w:ind w:left="1320" w:hanging="415"/>
        <w:spacing w:after="0"/>
        <w:tabs>
          <w:tab w:leader="none" w:pos="1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delivered in full, or</w:t>
      </w:r>
    </w:p>
    <w:p>
      <w:pPr>
        <w:spacing w:after="0" w:line="170" w:lineRule="exact"/>
        <w:rPr>
          <w:sz w:val="20"/>
          <w:szCs w:val="20"/>
          <w:color w:val="auto"/>
        </w:rPr>
      </w:pPr>
    </w:p>
    <w:p>
      <w:pPr>
        <w:ind w:left="1340" w:hanging="426"/>
        <w:spacing w:after="0"/>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delivered as to such lesser extent which would result in no portion of such Payments being subject to excise tax under Section 4999 of the Code,</w:t>
      </w:r>
    </w:p>
    <w:p>
      <w:pPr>
        <w:spacing w:after="0" w:line="145" w:lineRule="exact"/>
        <w:rPr>
          <w:sz w:val="20"/>
          <w:szCs w:val="20"/>
          <w:color w:val="auto"/>
        </w:rPr>
      </w:pPr>
    </w:p>
    <w:p>
      <w:pPr>
        <w:jc w:val="both"/>
        <w:ind w:left="60"/>
        <w:spacing w:after="0" w:line="247" w:lineRule="auto"/>
        <w:rPr>
          <w:sz w:val="20"/>
          <w:szCs w:val="20"/>
          <w:color w:val="auto"/>
        </w:rPr>
      </w:pPr>
      <w:r>
        <w:rPr>
          <w:rFonts w:ascii="Times New Roman" w:cs="Times New Roman" w:eastAsia="Times New Roman" w:hAnsi="Times New Roman"/>
          <w:sz w:val="14"/>
          <w:szCs w:val="14"/>
          <w:color w:val="auto"/>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82" w:name="page83"/>
    <w:bookmarkEnd w:id="82"/>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0"/>
        <w:spacing w:after="0" w:line="245" w:lineRule="auto"/>
        <w:rPr>
          <w:sz w:val="20"/>
          <w:szCs w:val="20"/>
          <w:color w:val="auto"/>
        </w:rPr>
      </w:pPr>
      <w:r>
        <w:rPr>
          <w:rFonts w:ascii="Times New Roman" w:cs="Times New Roman" w:eastAsia="Times New Roman" w:hAnsi="Times New Roman"/>
          <w:sz w:val="14"/>
          <w:szCs w:val="14"/>
          <w:color w:val="auto"/>
        </w:rPr>
        <w:t>order (that is, the cash payment owed on the latest date following the occurrence of the event triggering the excise tax under Code Section 4999 will be the first cash payment to be reduced); (ii) cancellation of equity awards granted “contingent on a change in ownership or control” (within the meaning of Code Section 280G) in the reverse order of date of grant of the equity awards (that is, the most recently granted equity awards will be cancelled first), (iii) reduction of accelerated vesting of equity awards in the reverse order of date of grant of the equity awards (that is, the vesting of the most recently granted equity awards 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spacing w:after="0" w:line="303" w:lineRule="exact"/>
        <w:rPr>
          <w:sz w:val="20"/>
          <w:szCs w:val="20"/>
          <w:color w:val="auto"/>
        </w:rPr>
      </w:pPr>
    </w:p>
    <w:p>
      <w:pPr>
        <w:jc w:val="both"/>
        <w:ind w:left="60" w:firstLine="863"/>
        <w:spacing w:after="0" w:line="243" w:lineRule="auto"/>
        <w:rPr>
          <w:sz w:val="20"/>
          <w:szCs w:val="20"/>
          <w:color w:val="auto"/>
        </w:rPr>
      </w:pPr>
      <w:r>
        <w:rPr>
          <w:rFonts w:ascii="Times New Roman" w:cs="Times New Roman" w:eastAsia="Times New Roman" w:hAnsi="Times New Roman"/>
          <w:sz w:val="14"/>
          <w:szCs w:val="14"/>
          <w:color w:val="auto"/>
        </w:rPr>
        <w:t>Unless the Company and Executive otherwise agree in writing, any determination required under this Section 5 will be made in writing by a nationally recognized accounting or valuation firm (the “</w:t>
      </w:r>
      <w:r>
        <w:rPr>
          <w:rFonts w:ascii="Times New Roman" w:cs="Times New Roman" w:eastAsia="Times New Roman" w:hAnsi="Times New Roman"/>
          <w:sz w:val="14"/>
          <w:szCs w:val="14"/>
          <w:i w:val="1"/>
          <w:iCs w:val="1"/>
          <w:color w:val="auto"/>
        </w:rPr>
        <w:t>Firm</w:t>
      </w:r>
      <w:r>
        <w:rPr>
          <w:rFonts w:ascii="Times New Roman" w:cs="Times New Roman" w:eastAsia="Times New Roman" w:hAnsi="Times New Roman"/>
          <w:sz w:val="14"/>
          <w:szCs w:val="14"/>
          <w:color w:val="auto"/>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spacing w:after="0" w:line="146" w:lineRule="exact"/>
        <w:rPr>
          <w:sz w:val="20"/>
          <w:szCs w:val="20"/>
          <w:color w:val="auto"/>
        </w:rPr>
      </w:pPr>
    </w:p>
    <w:p>
      <w:pPr>
        <w:ind w:left="1580" w:hanging="1110"/>
        <w:spacing w:after="0"/>
        <w:tabs>
          <w:tab w:leader="none" w:pos="15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 of Terms</w:t>
      </w:r>
      <w:r>
        <w:rPr>
          <w:rFonts w:ascii="Times New Roman" w:cs="Times New Roman" w:eastAsia="Times New Roman" w:hAnsi="Times New Roman"/>
          <w:sz w:val="14"/>
          <w:szCs w:val="14"/>
          <w:color w:val="auto"/>
        </w:rPr>
        <w:t>. For purposes of this Agreement, the following terms referred to in this Agreement will have the following meanings:</w:t>
      </w:r>
    </w:p>
    <w:p>
      <w:pPr>
        <w:spacing w:after="0" w:line="154" w:lineRule="exact"/>
        <w:rPr>
          <w:sz w:val="20"/>
          <w:szCs w:val="20"/>
          <w:color w:val="auto"/>
        </w:rPr>
      </w:pPr>
    </w:p>
    <w:p>
      <w:pPr>
        <w:jc w:val="both"/>
        <w:ind w:left="60" w:right="20" w:firstLine="842"/>
        <w:spacing w:after="0" w:line="244" w:lineRule="auto"/>
        <w:tabs>
          <w:tab w:leader="none" w:pos="204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Cause</w:t>
      </w:r>
      <w:r>
        <w:rPr>
          <w:rFonts w:ascii="Times New Roman" w:cs="Times New Roman" w:eastAsia="Times New Roman" w:hAnsi="Times New Roman"/>
          <w:sz w:val="14"/>
          <w:szCs w:val="14"/>
          <w:color w:val="auto"/>
        </w:rPr>
        <w:t>” 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 (iv) intentional and material damage to the Company’s property; or (v) material breach of the Company’s Proprietary Information and Inventions Agreement.</w:t>
      </w:r>
    </w:p>
    <w:p>
      <w:pPr>
        <w:spacing w:after="0" w:line="283" w:lineRule="exact"/>
        <w:rPr>
          <w:sz w:val="20"/>
          <w:szCs w:val="20"/>
          <w:color w:val="auto"/>
        </w:rPr>
      </w:pPr>
    </w:p>
    <w:p>
      <w:pPr>
        <w:ind w:left="2040" w:hanging="1138"/>
        <w:spacing w:after="0"/>
        <w:tabs>
          <w:tab w:leader="none" w:pos="20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Change in Control</w:t>
      </w:r>
      <w:r>
        <w:rPr>
          <w:rFonts w:ascii="Times New Roman" w:cs="Times New Roman" w:eastAsia="Times New Roman" w:hAnsi="Times New Roman"/>
          <w:sz w:val="14"/>
          <w:szCs w:val="14"/>
          <w:color w:val="auto"/>
        </w:rPr>
        <w:t>” means the first occurrence of any of the following on or after the Effective Date:</w:t>
      </w:r>
    </w:p>
    <w:p>
      <w:pPr>
        <w:spacing w:after="0" w:line="163" w:lineRule="exact"/>
        <w:rPr>
          <w:sz w:val="20"/>
          <w:szCs w:val="20"/>
          <w:color w:val="auto"/>
        </w:rPr>
      </w:pPr>
    </w:p>
    <w:p>
      <w:pPr>
        <w:jc w:val="both"/>
        <w:ind w:left="60" w:right="20" w:firstLine="1358"/>
        <w:spacing w:after="0" w:line="247" w:lineRule="auto"/>
        <w:tabs>
          <w:tab w:leader="none" w:pos="248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ownership of the Company which occurs on the date that any one person, or more than one person acting as a group (“</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60"/>
          </w:cols>
          <w:pgMar w:left="1100" w:top="144" w:right="939" w:bottom="1440" w:gutter="0" w:footer="0" w:header="0"/>
        </w:sectPr>
      </w:pPr>
    </w:p>
    <w:bookmarkStart w:id="83" w:name="page84"/>
    <w:bookmarkEnd w:id="83"/>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0" w:right="20"/>
        <w:spacing w:after="0" w:line="253" w:lineRule="auto"/>
        <w:rPr>
          <w:sz w:val="20"/>
          <w:szCs w:val="20"/>
          <w:color w:val="auto"/>
        </w:rPr>
      </w:pPr>
      <w:r>
        <w:rPr>
          <w:rFonts w:ascii="Times New Roman" w:cs="Times New Roman" w:eastAsia="Times New Roman" w:hAnsi="Times New Roman"/>
          <w:sz w:val="14"/>
          <w:szCs w:val="14"/>
          <w:color w:val="auto"/>
        </w:rPr>
        <w:t>Control. Further, if the stockholders of the Company immediately before such change in ownership continue to retain immediately after the change in ownership, in substantially the same proportions as</w:t>
      </w:r>
    </w:p>
    <w:p>
      <w:pPr>
        <w:spacing w:after="0" w:line="1" w:lineRule="exact"/>
        <w:rPr>
          <w:sz w:val="20"/>
          <w:szCs w:val="20"/>
          <w:color w:val="auto"/>
        </w:rPr>
      </w:pPr>
    </w:p>
    <w:p>
      <w:pPr>
        <w:jc w:val="both"/>
        <w:ind w:left="60"/>
        <w:spacing w:after="0" w:line="241" w:lineRule="auto"/>
        <w:rPr>
          <w:sz w:val="20"/>
          <w:szCs w:val="20"/>
          <w:color w:val="auto"/>
        </w:rPr>
      </w:pPr>
      <w:r>
        <w:rPr>
          <w:rFonts w:ascii="Times New Roman" w:cs="Times New Roman" w:eastAsia="Times New Roman" w:hAnsi="Times New Roman"/>
          <w:sz w:val="14"/>
          <w:szCs w:val="14"/>
          <w:color w:val="auto"/>
        </w:rPr>
        <w:t>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w:t>
      </w:r>
    </w:p>
    <w:p>
      <w:pPr>
        <w:spacing w:after="0" w:line="1" w:lineRule="exact"/>
        <w:rPr>
          <w:sz w:val="20"/>
          <w:szCs w:val="20"/>
          <w:color w:val="auto"/>
        </w:rPr>
      </w:pPr>
    </w:p>
    <w:p>
      <w:pPr>
        <w:jc w:val="both"/>
        <w:ind w:left="60" w:right="20"/>
        <w:spacing w:after="0" w:line="243" w:lineRule="auto"/>
        <w:rPr>
          <w:sz w:val="20"/>
          <w:szCs w:val="20"/>
          <w:color w:val="auto"/>
        </w:rPr>
      </w:pPr>
      <w:r>
        <w:rPr>
          <w:rFonts w:ascii="Times New Roman" w:cs="Times New Roman" w:eastAsia="Times New Roman" w:hAnsi="Times New Roman"/>
          <w:sz w:val="14"/>
          <w:szCs w:val="14"/>
          <w:color w:val="auto"/>
        </w:rPr>
        <w:t>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1" w:lineRule="exact"/>
        <w:rPr>
          <w:sz w:val="20"/>
          <w:szCs w:val="20"/>
          <w:color w:val="auto"/>
        </w:rPr>
      </w:pPr>
    </w:p>
    <w:p>
      <w:pPr>
        <w:jc w:val="both"/>
        <w:ind w:left="60" w:right="20" w:firstLine="1322"/>
        <w:spacing w:after="0" w:line="241" w:lineRule="auto"/>
        <w:tabs>
          <w:tab w:leader="none" w:pos="250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effective control of the Company which occurs on the date that a majority of members of the Board (each, a “</w:t>
      </w:r>
      <w:r>
        <w:rPr>
          <w:rFonts w:ascii="Times New Roman" w:cs="Times New Roman" w:eastAsia="Times New Roman" w:hAnsi="Times New Roman"/>
          <w:sz w:val="14"/>
          <w:szCs w:val="14"/>
          <w:i w:val="1"/>
          <w:iCs w:val="1"/>
          <w:color w:val="auto"/>
        </w:rPr>
        <w:t>Director</w:t>
      </w:r>
      <w:r>
        <w:rPr>
          <w:rFonts w:ascii="Times New Roman" w:cs="Times New Roman" w:eastAsia="Times New Roman" w:hAnsi="Times New Roman"/>
          <w:sz w:val="14"/>
          <w:szCs w:val="14"/>
          <w:color w:val="auto"/>
        </w:rPr>
        <w:t>”) is replaced during any twelve (12) month period by Directors whose appointment or election is not endorsed by a majority of the members of the Board prior</w:t>
      </w:r>
    </w:p>
    <w:p>
      <w:pPr>
        <w:spacing w:after="0" w:line="1" w:lineRule="exact"/>
        <w:rPr>
          <w:sz w:val="20"/>
          <w:szCs w:val="20"/>
          <w:color w:val="auto"/>
        </w:rPr>
      </w:pPr>
    </w:p>
    <w:p>
      <w:pPr>
        <w:jc w:val="both"/>
        <w:ind w:left="60" w:right="20"/>
        <w:spacing w:after="0" w:line="253" w:lineRule="auto"/>
        <w:rPr>
          <w:sz w:val="20"/>
          <w:szCs w:val="20"/>
          <w:color w:val="auto"/>
        </w:rPr>
      </w:pPr>
      <w:r>
        <w:rPr>
          <w:rFonts w:ascii="Times New Roman" w:cs="Times New Roman" w:eastAsia="Times New Roman" w:hAnsi="Times New Roman"/>
          <w:sz w:val="14"/>
          <w:szCs w:val="14"/>
          <w:color w:val="auto"/>
        </w:rPr>
        <w:t>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(iii)</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A</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change</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in</w:t>
            </w:r>
          </w:p>
        </w:tc>
        <w:tc>
          <w:tcPr>
            <w:tcW w:w="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the</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ownership</w:t>
            </w:r>
          </w:p>
        </w:tc>
        <w:tc>
          <w:tcPr>
            <w:tcW w:w="240" w:type="dxa"/>
            <w:vAlign w:val="bottom"/>
          </w:tcPr>
          <w:p>
            <w:pPr>
              <w:spacing w:after="0"/>
              <w:rPr>
                <w:sz w:val="13"/>
                <w:szCs w:val="13"/>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of</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substantial</w:t>
            </w:r>
          </w:p>
        </w:tc>
        <w:tc>
          <w:tcPr>
            <w:tcW w:w="9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portion</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Company’s</w:t>
            </w: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assets</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which</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occurs</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on</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w:t>
            </w:r>
          </w:p>
        </w:tc>
        <w:tc>
          <w:tcPr>
            <w:tcW w:w="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that</w:t>
            </w:r>
          </w:p>
        </w:tc>
        <w:tc>
          <w:tcPr>
            <w:tcW w:w="4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any</w:t>
            </w:r>
          </w:p>
        </w:tc>
        <w:tc>
          <w:tcPr>
            <w:tcW w:w="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Person</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acquires</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(or</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6"/>
              </w:rPr>
              <w:t>has</w:t>
            </w:r>
          </w:p>
        </w:tc>
        <w:tc>
          <w:tcPr>
            <w:tcW w:w="16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acquired</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during</w:t>
            </w:r>
          </w:p>
        </w:tc>
        <w:tc>
          <w:tcPr>
            <w:tcW w:w="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w:t>
            </w:r>
          </w:p>
        </w:tc>
        <w:tc>
          <w:tcPr>
            <w:tcW w:w="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twelve</w:t>
            </w:r>
          </w:p>
        </w:tc>
        <w:tc>
          <w:tcPr>
            <w:tcW w:w="22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month</w:t>
            </w:r>
          </w:p>
        </w:tc>
        <w:tc>
          <w:tcPr>
            <w:tcW w:w="0" w:type="dxa"/>
            <w:vAlign w:val="bottom"/>
          </w:tcPr>
          <w:p>
            <w:pPr>
              <w:spacing w:after="0"/>
              <w:rPr>
                <w:sz w:val="1"/>
                <w:szCs w:val="1"/>
                <w:color w:val="auto"/>
              </w:rPr>
            </w:pPr>
          </w:p>
        </w:tc>
      </w:tr>
    </w:tbl>
    <w:p>
      <w:pPr>
        <w:jc w:val="both"/>
        <w:ind w:left="60" w:right="20"/>
        <w:spacing w:after="0" w:line="243" w:lineRule="auto"/>
        <w:rPr>
          <w:sz w:val="20"/>
          <w:szCs w:val="20"/>
          <w:color w:val="auto"/>
        </w:rPr>
      </w:pPr>
      <w:r>
        <w:rPr>
          <w:rFonts w:ascii="Times New Roman" w:cs="Times New Roman" w:eastAsia="Times New Roman" w:hAnsi="Times New Roman"/>
          <w:sz w:val="14"/>
          <w:szCs w:val="14"/>
          <w:color w:val="auto"/>
        </w:rPr>
        <w:t>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44" w:lineRule="exact"/>
        <w:rPr>
          <w:sz w:val="20"/>
          <w:szCs w:val="20"/>
          <w:color w:val="auto"/>
        </w:rPr>
      </w:pPr>
    </w:p>
    <w:p>
      <w:pPr>
        <w:jc w:val="both"/>
        <w:ind w:left="60" w:right="20" w:firstLine="1295"/>
        <w:spacing w:after="0" w:line="244" w:lineRule="auto"/>
        <w:rPr>
          <w:sz w:val="20"/>
          <w:szCs w:val="20"/>
          <w:color w:val="auto"/>
        </w:rPr>
      </w:pPr>
      <w:r>
        <w:rPr>
          <w:rFonts w:ascii="Times New Roman" w:cs="Times New Roman" w:eastAsia="Times New Roman" w:hAnsi="Times New Roman"/>
          <w:sz w:val="14"/>
          <w:szCs w:val="14"/>
          <w:color w:val="auto"/>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spacing w:after="0" w:line="141" w:lineRule="exact"/>
        <w:rPr>
          <w:sz w:val="20"/>
          <w:szCs w:val="20"/>
          <w:color w:val="auto"/>
        </w:rPr>
      </w:pPr>
    </w:p>
    <w:p>
      <w:pPr>
        <w:jc w:val="both"/>
        <w:ind w:left="60" w:right="20" w:firstLine="1295"/>
        <w:spacing w:after="0" w:line="245" w:lineRule="auto"/>
        <w:rPr>
          <w:sz w:val="20"/>
          <w:szCs w:val="20"/>
          <w:color w:val="auto"/>
        </w:rPr>
      </w:pPr>
      <w:r>
        <w:rPr>
          <w:rFonts w:ascii="Times New Roman" w:cs="Times New Roman" w:eastAsia="Times New Roman" w:hAnsi="Times New Roman"/>
          <w:sz w:val="14"/>
          <w:szCs w:val="14"/>
          <w:color w:val="auto"/>
        </w:rPr>
        <w:t>Notwithstanding the foregoing, a transaction will not be deemed a Change in Control unless the transaction qualifies as a change in control event within the meaning of Section 409A.</w:t>
      </w:r>
    </w:p>
    <w:p>
      <w:pPr>
        <w:spacing w:after="0" w:line="123" w:lineRule="exact"/>
        <w:rPr>
          <w:sz w:val="20"/>
          <w:szCs w:val="20"/>
          <w:color w:val="auto"/>
        </w:rPr>
      </w:pPr>
    </w:p>
    <w:p>
      <w:pPr>
        <w:jc w:val="both"/>
        <w:ind w:left="60" w:right="20" w:firstLine="1295"/>
        <w:spacing w:after="0" w:line="261" w:lineRule="auto"/>
        <w:rPr>
          <w:sz w:val="20"/>
          <w:szCs w:val="20"/>
          <w:color w:val="auto"/>
        </w:rPr>
      </w:pPr>
      <w:r>
        <w:rPr>
          <w:rFonts w:ascii="Times New Roman" w:cs="Times New Roman" w:eastAsia="Times New Roman" w:hAnsi="Times New Roman"/>
          <w:sz w:val="14"/>
          <w:szCs w:val="14"/>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60"/>
          </w:cols>
          <w:pgMar w:left="1100" w:top="144" w:right="939" w:bottom="1440" w:gutter="0" w:footer="0" w:header="0"/>
        </w:sectPr>
      </w:pPr>
    </w:p>
    <w:bookmarkStart w:id="84" w:name="page85"/>
    <w:bookmarkEnd w:id="84"/>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firstLine="842"/>
        <w:spacing w:after="0" w:line="257" w:lineRule="auto"/>
        <w:tabs>
          <w:tab w:leader="none" w:pos="205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 Period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Change in Control Period</w:t>
      </w:r>
      <w:r>
        <w:rPr>
          <w:rFonts w:ascii="Times New Roman" w:cs="Times New Roman" w:eastAsia="Times New Roman" w:hAnsi="Times New Roman"/>
          <w:sz w:val="14"/>
          <w:szCs w:val="14"/>
          <w:color w:val="auto"/>
        </w:rPr>
        <w:t>” means the period beginning upon the date that is three (3) months prior to a Change in Control and continuing through the date that is twelve (12) months following a Change in Control.</w:t>
      </w:r>
    </w:p>
    <w:p>
      <w:pPr>
        <w:spacing w:after="0" w:line="141" w:lineRule="exact"/>
        <w:rPr>
          <w:sz w:val="20"/>
          <w:szCs w:val="20"/>
          <w:color w:val="auto"/>
        </w:rPr>
      </w:pPr>
    </w:p>
    <w:p>
      <w:pPr>
        <w:ind w:left="60" w:firstLine="842"/>
        <w:spacing w:after="0" w:line="241" w:lineRule="auto"/>
        <w:tabs>
          <w:tab w:leader="none" w:pos="2087"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Disability</w:t>
      </w:r>
      <w:r>
        <w:rPr>
          <w:rFonts w:ascii="Times New Roman" w:cs="Times New Roman" w:eastAsia="Times New Roman" w:hAnsi="Times New Roman"/>
          <w:sz w:val="14"/>
          <w:szCs w:val="14"/>
          <w:color w:val="auto"/>
        </w:rPr>
        <w:t>” means Executive is unable to engage in any substantial gainful activity by reason of any medically determinable physical or mental impairment that can be expected to result in death or can be expected to last for a continuous period of not less than twelve</w:t>
      </w:r>
    </w:p>
    <w:p>
      <w:pPr>
        <w:ind w:left="340" w:hanging="284"/>
        <w:spacing w:after="0"/>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w:t>
      </w:r>
    </w:p>
    <w:p>
      <w:pPr>
        <w:spacing w:after="0" w:line="127" w:lineRule="exact"/>
        <w:rPr>
          <w:sz w:val="20"/>
          <w:szCs w:val="20"/>
          <w:color w:val="auto"/>
        </w:rPr>
      </w:pPr>
    </w:p>
    <w:p>
      <w:pPr>
        <w:jc w:val="both"/>
        <w:ind w:left="60" w:firstLine="842"/>
        <w:spacing w:after="0" w:line="254" w:lineRule="auto"/>
        <w:tabs>
          <w:tab w:leader="none" w:pos="205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Good Reason</w:t>
      </w:r>
      <w:r>
        <w:rPr>
          <w:rFonts w:ascii="Times New Roman" w:cs="Times New Roman" w:eastAsia="Times New Roman" w:hAnsi="Times New Roman"/>
          <w:sz w:val="14"/>
          <w:szCs w:val="14"/>
          <w:color w:val="auto"/>
        </w:rPr>
        <w:t>” means Executive’s termination of his or her employment with the Company within thirty (30) days following the expiration of any cure period (discussed below) following the occurrence of one or more of the following, without Executive’s express written consent:</w:t>
      </w:r>
    </w:p>
    <w:p>
      <w:pPr>
        <w:spacing w:after="0" w:line="1" w:lineRule="exact"/>
        <w:rPr>
          <w:rFonts w:ascii="Times New Roman" w:cs="Times New Roman" w:eastAsia="Times New Roman" w:hAnsi="Times New Roman"/>
          <w:sz w:val="14"/>
          <w:szCs w:val="14"/>
          <w:color w:val="auto"/>
        </w:rPr>
      </w:pPr>
    </w:p>
    <w:p>
      <w:pPr>
        <w:ind w:left="240" w:hanging="190"/>
        <w:spacing w:after="0"/>
        <w:tabs>
          <w:tab w:leader="none" w:pos="2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material reduction of Executive’s duties, authority, or responsibilities, relative to Employee’s duties, authority, or responsibilities as in effect immediately prior to</w:t>
      </w:r>
    </w:p>
    <w:p>
      <w:pPr>
        <w:spacing w:after="0" w:line="145"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4"/>
          <w:szCs w:val="14"/>
          <w:color w:val="auto"/>
        </w:rPr>
        <w:t xml:space="preserve">such reduction;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a reduction in duties, authority, or responsibilities solely by virtue of the Company being acquired and made part of a larger entity (for example, where Executive retains</w:t>
      </w:r>
    </w:p>
    <w:p>
      <w:pPr>
        <w:spacing w:after="0" w:line="1" w:lineRule="exact"/>
        <w:rPr>
          <w:sz w:val="20"/>
          <w:szCs w:val="20"/>
          <w:color w:val="auto"/>
        </w:rPr>
      </w:pPr>
    </w:p>
    <w:p>
      <w:pPr>
        <w:jc w:val="both"/>
        <w:ind w:left="60"/>
        <w:spacing w:after="0" w:line="241" w:lineRule="auto"/>
        <w:rPr>
          <w:sz w:val="20"/>
          <w:szCs w:val="20"/>
          <w:color w:val="auto"/>
        </w:rPr>
      </w:pPr>
      <w:r>
        <w:rPr>
          <w:rFonts w:ascii="Times New Roman" w:cs="Times New Roman" w:eastAsia="Times New Roman" w:hAnsi="Times New Roman"/>
          <w:sz w:val="14"/>
          <w:szCs w:val="14"/>
          <w:color w:val="auto"/>
        </w:rPr>
        <w:t>essentially the same responsibility and duties of the subsidiary, business unit or division substantially containing the Company’s business following a Change in Control) shall not constitute “Good Reason”; (ii) a material reduction by the Company in Executive’s annualized base pay as in effect immediately prior to such reduction (in other words, a reduction of more than ten percent (10%) of Executive’s annualized base compensation in any one year, other than a reduction applicable to executives generally that does not adversely affect Executive to a greater extent than other similarly situated executives); (iii) the relocation of Executive’s principal place of performing his or her duties as an employee of the Company by more than fifty (50) miles; or (iv) the failure of the Company to obtain the assumption of this Agreement by a successor.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shelter-in-place order, quarantine order, or similar work-from-home requirement that applies to Executive, Executive’s primary</w:t>
      </w:r>
    </w:p>
    <w:tbl>
      <w:tblPr>
        <w:tblLayout w:type="fixed"/>
        <w:tblInd w:w="60" w:type="dxa"/>
        <w:tblCellMar>
          <w:top w:w="0" w:type="dxa"/>
          <w:left w:w="0" w:type="dxa"/>
          <w:bottom w:w="0" w:type="dxa"/>
          <w:right w:w="0" w:type="dxa"/>
        </w:tblCellMar>
      </w:tblPr>
      <w:tr>
        <w:trPr>
          <w:trHeight w:val="149"/>
        </w:trPr>
        <w:tc>
          <w:tcPr>
            <w:tcW w:w="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w:t>
            </w: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location,</w:t>
            </w:r>
          </w:p>
        </w:tc>
        <w:tc>
          <w:tcPr>
            <w:tcW w:w="5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from</w:t>
            </w:r>
          </w:p>
        </w:tc>
        <w:tc>
          <w:tcPr>
            <w:tcW w:w="8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which</w:t>
            </w:r>
          </w:p>
        </w:tc>
        <w:tc>
          <w:tcPr>
            <w:tcW w:w="20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4"/>
              </w:rPr>
              <w:t>a</w:t>
            </w:r>
          </w:p>
        </w:tc>
        <w:tc>
          <w:tcPr>
            <w:tcW w:w="28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w:t>
            </w:r>
          </w:p>
        </w:tc>
        <w:tc>
          <w:tcPr>
            <w:tcW w:w="4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w:t>
            </w:r>
          </w:p>
        </w:tc>
        <w:tc>
          <w:tcPr>
            <w:tcW w:w="7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location</w:t>
            </w:r>
          </w:p>
        </w:tc>
        <w:tc>
          <w:tcPr>
            <w:tcW w:w="7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under</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the</w:t>
            </w:r>
          </w:p>
        </w:tc>
        <w:tc>
          <w:tcPr>
            <w:tcW w:w="9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foregoing</w:t>
            </w:r>
          </w:p>
        </w:tc>
        <w:tc>
          <w:tcPr>
            <w:tcW w:w="6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clause</w:t>
            </w:r>
          </w:p>
        </w:tc>
        <w:tc>
          <w:tcPr>
            <w:tcW w:w="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(iii)</w:t>
            </w:r>
          </w:p>
        </w:tc>
        <w:tc>
          <w:tcPr>
            <w:tcW w:w="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will</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be</w:t>
            </w:r>
          </w:p>
        </w:tc>
      </w:tr>
      <w:tr>
        <w:trPr>
          <w:trHeight w:val="162"/>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measured,</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will</w:t>
            </w:r>
          </w:p>
        </w:tc>
        <w:tc>
          <w:tcPr>
            <w:tcW w:w="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w:t>
            </w: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considered</w:t>
            </w:r>
          </w:p>
        </w:tc>
        <w:tc>
          <w:tcPr>
            <w:tcW w:w="2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the</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Company’s</w:t>
            </w: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location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where</w:t>
            </w: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Executive’s</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employment</w:t>
            </w: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w:t>
            </w:r>
          </w:p>
        </w:tc>
      </w:tr>
      <w:tr>
        <w:trPr>
          <w:trHeight w:val="176"/>
        </w:trPr>
        <w:tc>
          <w:tcPr>
            <w:tcW w:w="94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Company primarily was based immediately prior to the commencement of such shelter-in-place order, quarantine order, or similar work-from-home requirement.</w:t>
            </w:r>
          </w:p>
        </w:tc>
        <w:tc>
          <w:tcPr>
            <w:tcW w:w="340" w:type="dxa"/>
            <w:vAlign w:val="bottom"/>
          </w:tcPr>
          <w:p>
            <w:pPr>
              <w:spacing w:after="0"/>
              <w:rPr>
                <w:sz w:val="15"/>
                <w:szCs w:val="15"/>
                <w:color w:val="auto"/>
              </w:rPr>
            </w:pPr>
          </w:p>
        </w:tc>
      </w:tr>
    </w:tbl>
    <w:p>
      <w:pPr>
        <w:spacing w:after="0" w:line="146" w:lineRule="exact"/>
        <w:rPr>
          <w:sz w:val="20"/>
          <w:szCs w:val="20"/>
          <w:color w:val="auto"/>
        </w:rPr>
      </w:pPr>
    </w:p>
    <w:p>
      <w:pPr>
        <w:ind w:left="60" w:firstLine="842"/>
        <w:spacing w:after="0" w:line="241" w:lineRule="auto"/>
        <w:tabs>
          <w:tab w:leader="none" w:pos="2079"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Qualifying Termination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Qualifying Termination</w:t>
      </w:r>
      <w:r>
        <w:rPr>
          <w:rFonts w:ascii="Times New Roman" w:cs="Times New Roman" w:eastAsia="Times New Roman" w:hAnsi="Times New Roman"/>
          <w:sz w:val="14"/>
          <w:szCs w:val="14"/>
          <w:color w:val="auto"/>
        </w:rPr>
        <w:t>” means either (i) the Company terminates Executive’s employment with the Company for a reason other than (A) Cause,</w:t>
      </w:r>
    </w:p>
    <w:p>
      <w:pPr>
        <w:ind w:left="280" w:hanging="224"/>
        <w:spacing w:after="0"/>
        <w:tabs>
          <w:tab w:leader="none" w:pos="2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Executive’s death, or (C) Executive’s Disability or (ii) Executive resigns for Good Reason.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Salary</w:t>
            </w:r>
            <w:r>
              <w:rPr>
                <w:rFonts w:ascii="Times New Roman" w:cs="Times New Roman" w:eastAsia="Times New Roman" w:hAnsi="Times New Roman"/>
                <w:sz w:val="14"/>
                <w:szCs w:val="14"/>
                <w:color w:val="auto"/>
              </w:rPr>
              <w:t>”</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w:t>
            </w:r>
          </w:p>
        </w:tc>
        <w:tc>
          <w:tcPr>
            <w:tcW w:w="1200" w:type="dxa"/>
            <w:vAlign w:val="bottom"/>
          </w:tcPr>
          <w:p>
            <w:pPr>
              <w:ind w:left="640"/>
              <w:spacing w:after="0"/>
              <w:rPr>
                <w:sz w:val="20"/>
                <w:szCs w:val="20"/>
                <w:color w:val="auto"/>
              </w:rPr>
            </w:pPr>
            <w:r>
              <w:rPr>
                <w:rFonts w:ascii="Times New Roman" w:cs="Times New Roman" w:eastAsia="Times New Roman" w:hAnsi="Times New Roman"/>
                <w:sz w:val="14"/>
                <w:szCs w:val="14"/>
                <w:u w:val="single" w:color="auto"/>
                <w:color w:val="auto"/>
              </w:rPr>
              <w:t>Salary</w:t>
            </w:r>
            <w:r>
              <w:rPr>
                <w:rFonts w:ascii="Times New Roman" w:cs="Times New Roman" w:eastAsia="Times New Roman" w:hAnsi="Times New Roman"/>
                <w:sz w:val="14"/>
                <w:szCs w:val="14"/>
                <w:color w:val="auto"/>
              </w:rPr>
              <w:t>.</w:t>
            </w:r>
          </w:p>
        </w:tc>
        <w:tc>
          <w:tcPr>
            <w:tcW w:w="840" w:type="dxa"/>
            <w:vAlign w:val="bottom"/>
            <w:vMerge w:val="continue"/>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means</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Executive’s</w:t>
            </w:r>
          </w:p>
        </w:tc>
        <w:tc>
          <w:tcPr>
            <w:tcW w:w="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base</w:t>
            </w:r>
          </w:p>
        </w:tc>
        <w:tc>
          <w:tcPr>
            <w:tcW w:w="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salary</w:t>
            </w:r>
          </w:p>
        </w:tc>
        <w:tc>
          <w:tcPr>
            <w:tcW w:w="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w:t>
            </w:r>
          </w:p>
        </w:tc>
        <w:tc>
          <w:tcPr>
            <w:tcW w:w="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w:t>
            </w: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w:t>
            </w: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immediately</w:t>
            </w:r>
          </w:p>
        </w:tc>
        <w:tc>
          <w:tcPr>
            <w:tcW w:w="44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5"/>
              </w:rPr>
              <w:t>prior</w:t>
            </w:r>
          </w:p>
        </w:tc>
        <w:tc>
          <w:tcPr>
            <w:tcW w:w="0" w:type="dxa"/>
            <w:vAlign w:val="bottom"/>
          </w:tcPr>
          <w:p>
            <w:pPr>
              <w:spacing w:after="0"/>
              <w:rPr>
                <w:sz w:val="1"/>
                <w:szCs w:val="1"/>
                <w:color w:val="auto"/>
              </w:rPr>
            </w:pPr>
          </w:p>
        </w:tc>
      </w:tr>
    </w:tbl>
    <w:p>
      <w:pPr>
        <w:jc w:val="both"/>
        <w:ind w:left="60"/>
        <w:spacing w:after="0" w:line="249" w:lineRule="auto"/>
        <w:rPr>
          <w:sz w:val="20"/>
          <w:szCs w:val="20"/>
          <w:color w:val="auto"/>
        </w:rPr>
      </w:pPr>
      <w:r>
        <w:rPr>
          <w:rFonts w:ascii="Times New Roman" w:cs="Times New Roman" w:eastAsia="Times New Roman" w:hAnsi="Times New Roman"/>
          <w:sz w:val="14"/>
          <w:szCs w:val="14"/>
          <w:color w:val="auto"/>
        </w:rPr>
        <w:t>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85" w:name="page86"/>
    <w:bookmarkEnd w:id="85"/>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20" w:hanging="1050"/>
        <w:spacing w:after="0"/>
        <w:tabs>
          <w:tab w:leader="none" w:pos="1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jc w:val="both"/>
        <w:ind w:left="60" w:firstLine="842"/>
        <w:spacing w:after="0" w:line="244" w:lineRule="auto"/>
        <w:tabs>
          <w:tab w:leader="none" w:pos="2085"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Company’s Successors</w:t>
      </w:r>
      <w:r>
        <w:rPr>
          <w:rFonts w:ascii="Times New Roman" w:cs="Times New Roman" w:eastAsia="Times New Roman" w:hAnsi="Times New Roman"/>
          <w:sz w:val="14"/>
          <w:szCs w:val="14"/>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45" w:lineRule="exact"/>
        <w:rPr>
          <w:sz w:val="20"/>
          <w:szCs w:val="20"/>
          <w:color w:val="auto"/>
        </w:rPr>
      </w:pPr>
    </w:p>
    <w:p>
      <w:pPr>
        <w:jc w:val="both"/>
        <w:ind w:left="60" w:firstLine="852"/>
        <w:spacing w:after="0" w:line="246" w:lineRule="auto"/>
        <w:rPr>
          <w:sz w:val="20"/>
          <w:szCs w:val="20"/>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Executive’s Successors</w:t>
      </w:r>
      <w:r>
        <w:rPr>
          <w:rFonts w:ascii="Times New Roman" w:cs="Times New Roman" w:eastAsia="Times New Roman" w:hAnsi="Times New Roman"/>
          <w:sz w:val="14"/>
          <w:szCs w:val="14"/>
          <w:color w:val="auto"/>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341" w:lineRule="exact"/>
        <w:rPr>
          <w:sz w:val="20"/>
          <w:szCs w:val="20"/>
          <w:color w:val="auto"/>
        </w:rPr>
      </w:pPr>
    </w:p>
    <w:p>
      <w:pPr>
        <w:ind w:left="1520" w:hanging="1050"/>
        <w:spacing w:after="0"/>
        <w:tabs>
          <w:tab w:leader="none" w:pos="1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jc w:val="both"/>
        <w:ind w:left="60" w:firstLine="842"/>
        <w:spacing w:after="0" w:line="241" w:lineRule="auto"/>
        <w:tabs>
          <w:tab w:leader="none" w:pos="205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Notices and all other communications contemplated by this Agreement will be in writing and will be deemed to have been duly given (a) upon actual delivery to the party to be notified, (b) twenty-four (24) hours after confirmed facsimile transmission, (c) one (1) business day after deposit</w:t>
      </w:r>
    </w:p>
    <w:p>
      <w:pPr>
        <w:spacing w:after="0" w:line="1" w:lineRule="exact"/>
        <w:rPr>
          <w:sz w:val="20"/>
          <w:szCs w:val="20"/>
          <w:color w:val="auto"/>
        </w:rPr>
      </w:pPr>
    </w:p>
    <w:p>
      <w:pPr>
        <w:jc w:val="both"/>
        <w:ind w:left="60"/>
        <w:spacing w:after="0" w:line="248" w:lineRule="auto"/>
        <w:rPr>
          <w:sz w:val="20"/>
          <w:szCs w:val="20"/>
          <w:color w:val="auto"/>
        </w:rPr>
      </w:pPr>
      <w:r>
        <w:rPr>
          <w:rFonts w:ascii="Times New Roman" w:cs="Times New Roman" w:eastAsia="Times New Roman" w:hAnsi="Times New Roman"/>
          <w:sz w:val="14"/>
          <w:szCs w:val="14"/>
          <w:color w:val="auto"/>
        </w:rPr>
        <w:t>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in writing, or (ii) if to the Company, to its corporate headquarters and all notices will be directed to the General Counsel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0" w:type="dxa"/>
            <w:vAlign w:val="bottom"/>
          </w:tcPr>
          <w:p>
            <w:pPr>
              <w:spacing w:after="0"/>
              <w:rPr>
                <w:sz w:val="13"/>
                <w:szCs w:val="13"/>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(b)</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Notice</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of</w:t>
            </w:r>
          </w:p>
        </w:tc>
        <w:tc>
          <w:tcPr>
            <w:tcW w:w="26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Termination.</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Any</w:t>
            </w:r>
          </w:p>
        </w:tc>
        <w:tc>
          <w:tcPr>
            <w:tcW w:w="26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termination</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of</w:t>
            </w:r>
          </w:p>
        </w:tc>
        <w:tc>
          <w:tcPr>
            <w:tcW w:w="26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Executive’s</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employment</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by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the</w:t>
            </w: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Company</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Cause</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or</w:t>
            </w: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71"/>
              </w:rPr>
              <w:t>by</w:t>
            </w:r>
          </w:p>
        </w:tc>
        <w:tc>
          <w:tcPr>
            <w:tcW w:w="10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color w:val="auto"/>
              </w:rPr>
              <w:t>Executive</w:t>
            </w: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85"/>
              </w:rPr>
              <w:t>for</w:t>
            </w:r>
          </w:p>
        </w:tc>
        <w:tc>
          <w:tcPr>
            <w:tcW w:w="7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Good</w:t>
            </w:r>
          </w:p>
        </w:tc>
        <w:tc>
          <w:tcPr>
            <w:tcW w:w="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Reason</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w:t>
            </w: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result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voluntary</w:t>
            </w: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resignation</w:t>
            </w:r>
          </w:p>
        </w:tc>
        <w:tc>
          <w:tcPr>
            <w:tcW w:w="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will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bl>
    <w:p>
      <w:pPr>
        <w:jc w:val="both"/>
        <w:ind w:left="60"/>
        <w:spacing w:after="0" w:line="245" w:lineRule="auto"/>
        <w:rPr>
          <w:sz w:val="20"/>
          <w:szCs w:val="20"/>
          <w:color w:val="auto"/>
        </w:rPr>
      </w:pPr>
      <w:r>
        <w:rPr>
          <w:rFonts w:ascii="Times New Roman" w:cs="Times New Roman" w:eastAsia="Times New Roman" w:hAnsi="Times New Roman"/>
          <w:sz w:val="14"/>
          <w:szCs w:val="14"/>
          <w:color w:val="auto"/>
        </w:rPr>
        <w:t>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spacing w:after="0" w:line="303" w:lineRule="exact"/>
        <w:rPr>
          <w:sz w:val="20"/>
          <w:szCs w:val="20"/>
          <w:color w:val="auto"/>
        </w:rPr>
      </w:pPr>
    </w:p>
    <w:p>
      <w:pPr>
        <w:ind w:left="60" w:firstLine="842"/>
        <w:spacing w:after="0" w:line="258" w:lineRule="auto"/>
        <w:tabs>
          <w:tab w:leader="none" w:pos="205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Resignation</w:t>
      </w:r>
      <w:r>
        <w:rPr>
          <w:rFonts w:ascii="Times New Roman" w:cs="Times New Roman" w:eastAsia="Times New Roman" w:hAnsi="Times New Roman"/>
          <w:sz w:val="14"/>
          <w:szCs w:val="14"/>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86" w:name="page87"/>
    <w:bookmarkEnd w:id="86"/>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and at the Board’s request, Executive will execute any documents reasonably necessary to reflect the resignations.</w:t>
      </w:r>
    </w:p>
    <w:p>
      <w:pPr>
        <w:spacing w:after="0" w:line="199" w:lineRule="exact"/>
        <w:rPr>
          <w:sz w:val="20"/>
          <w:szCs w:val="20"/>
          <w:color w:val="auto"/>
        </w:rPr>
      </w:pPr>
    </w:p>
    <w:p>
      <w:pPr>
        <w:ind w:left="1520" w:hanging="1050"/>
        <w:spacing w:after="0"/>
        <w:tabs>
          <w:tab w:leader="none" w:pos="1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 Provisions</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900"/>
        <w:spacing w:after="0"/>
        <w:tabs>
          <w:tab w:leader="none" w:pos="2240" w:val="left"/>
          <w:tab w:leader="none" w:pos="2700" w:val="left"/>
          <w:tab w:leader="none" w:pos="3260" w:val="left"/>
          <w:tab w:leader="none" w:pos="3640" w:val="left"/>
          <w:tab w:leader="none" w:pos="4420" w:val="left"/>
          <w:tab w:leader="none" w:pos="5280" w:val="left"/>
          <w:tab w:leader="none" w:pos="5760" w:val="left"/>
          <w:tab w:leader="none" w:pos="6220" w:val="left"/>
          <w:tab w:leader="none" w:pos="6620" w:val="left"/>
          <w:tab w:leader="none" w:pos="7380" w:val="left"/>
          <w:tab w:leader="none" w:pos="7780" w:val="left"/>
          <w:tab w:leader="none" w:pos="8520" w:val="left"/>
          <w:tab w:leader="none" w:pos="8980" w:val="left"/>
          <w:tab w:leader="none" w:pos="9700" w:val="left"/>
        </w:tabs>
        <w:rPr>
          <w:sz w:val="20"/>
          <w:szCs w:val="20"/>
          <w:color w:val="auto"/>
        </w:rPr>
      </w:pP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Duty</w:t>
      </w:r>
      <w:r>
        <w:rPr>
          <w:sz w:val="20"/>
          <w:szCs w:val="20"/>
          <w:color w:val="auto"/>
        </w:rPr>
        <w:tab/>
      </w: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Mitigate.</w:t>
      </w:r>
      <w:r>
        <w:rPr>
          <w:sz w:val="20"/>
          <w:szCs w:val="20"/>
          <w:color w:val="auto"/>
        </w:rPr>
        <w:tab/>
      </w:r>
      <w:r>
        <w:rPr>
          <w:rFonts w:ascii="Times New Roman" w:cs="Times New Roman" w:eastAsia="Times New Roman" w:hAnsi="Times New Roman"/>
          <w:sz w:val="14"/>
          <w:szCs w:val="14"/>
          <w:color w:val="auto"/>
        </w:rPr>
        <w:t>Executive</w:t>
      </w:r>
      <w:r>
        <w:rPr>
          <w:sz w:val="20"/>
          <w:szCs w:val="20"/>
          <w:color w:val="auto"/>
        </w:rPr>
        <w:tab/>
      </w:r>
      <w:r>
        <w:rPr>
          <w:rFonts w:ascii="Times New Roman" w:cs="Times New Roman" w:eastAsia="Times New Roman" w:hAnsi="Times New Roman"/>
          <w:sz w:val="14"/>
          <w:szCs w:val="14"/>
          <w:color w:val="auto"/>
        </w:rPr>
        <w:t>will</w:t>
      </w:r>
      <w:r>
        <w:rPr>
          <w:sz w:val="20"/>
          <w:szCs w:val="20"/>
          <w:color w:val="auto"/>
        </w:rPr>
        <w:tab/>
      </w:r>
      <w:r>
        <w:rPr>
          <w:rFonts w:ascii="Times New Roman" w:cs="Times New Roman" w:eastAsia="Times New Roman" w:hAnsi="Times New Roman"/>
          <w:sz w:val="14"/>
          <w:szCs w:val="14"/>
          <w:color w:val="auto"/>
        </w:rPr>
        <w:t>not</w:t>
      </w:r>
      <w:r>
        <w:rPr>
          <w:sz w:val="20"/>
          <w:szCs w:val="20"/>
          <w:color w:val="auto"/>
        </w:rPr>
        <w:tab/>
      </w:r>
      <w:r>
        <w:rPr>
          <w:rFonts w:ascii="Times New Roman" w:cs="Times New Roman" w:eastAsia="Times New Roman" w:hAnsi="Times New Roman"/>
          <w:sz w:val="14"/>
          <w:szCs w:val="14"/>
          <w:color w:val="auto"/>
        </w:rPr>
        <w:t>be</w:t>
      </w:r>
      <w:r>
        <w:rPr>
          <w:sz w:val="20"/>
          <w:szCs w:val="20"/>
          <w:color w:val="auto"/>
        </w:rPr>
        <w:tab/>
      </w:r>
      <w:r>
        <w:rPr>
          <w:rFonts w:ascii="Times New Roman" w:cs="Times New Roman" w:eastAsia="Times New Roman" w:hAnsi="Times New Roman"/>
          <w:sz w:val="14"/>
          <w:szCs w:val="14"/>
          <w:color w:val="auto"/>
        </w:rPr>
        <w:t>required</w:t>
      </w:r>
      <w:r>
        <w:rPr>
          <w:sz w:val="20"/>
          <w:szCs w:val="20"/>
          <w:color w:val="auto"/>
        </w:rPr>
        <w:tab/>
      </w:r>
      <w:r>
        <w:rPr>
          <w:rFonts w:ascii="Times New Roman" w:cs="Times New Roman" w:eastAsia="Times New Roman" w:hAnsi="Times New Roman"/>
          <w:sz w:val="14"/>
          <w:szCs w:val="14"/>
          <w:color w:val="auto"/>
        </w:rPr>
        <w:t>to</w:t>
      </w:r>
      <w:r>
        <w:rPr>
          <w:sz w:val="20"/>
          <w:szCs w:val="20"/>
          <w:color w:val="auto"/>
        </w:rPr>
        <w:tab/>
      </w:r>
      <w:r>
        <w:rPr>
          <w:rFonts w:ascii="Times New Roman" w:cs="Times New Roman" w:eastAsia="Times New Roman" w:hAnsi="Times New Roman"/>
          <w:sz w:val="14"/>
          <w:szCs w:val="14"/>
          <w:color w:val="auto"/>
        </w:rPr>
        <w:t>mitigate</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amount</w:t>
      </w:r>
      <w:r>
        <w:rPr>
          <w:sz w:val="20"/>
          <w:szCs w:val="20"/>
          <w:color w:val="auto"/>
        </w:rPr>
        <w:tab/>
      </w:r>
      <w:r>
        <w:rPr>
          <w:rFonts w:ascii="Times New Roman" w:cs="Times New Roman" w:eastAsia="Times New Roman" w:hAnsi="Times New Roman"/>
          <w:sz w:val="14"/>
          <w:szCs w:val="14"/>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-14605</wp:posOffset>
            </wp:positionV>
            <wp:extent cx="11899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189990" cy="5715"/>
                    </a:xfrm>
                    <a:prstGeom prst="rect">
                      <a:avLst/>
                    </a:prstGeom>
                    <a:noFill/>
                  </pic:spPr>
                </pic:pic>
              </a:graphicData>
            </a:graphic>
          </wp:anchor>
        </w:drawing>
      </w:r>
    </w:p>
    <w:p>
      <w:pPr>
        <w:ind w:left="60"/>
        <w:spacing w:after="0" w:line="249" w:lineRule="auto"/>
        <w:rPr>
          <w:sz w:val="20"/>
          <w:szCs w:val="20"/>
          <w:color w:val="auto"/>
        </w:rPr>
      </w:pPr>
      <w:r>
        <w:rPr>
          <w:rFonts w:ascii="Times New Roman" w:cs="Times New Roman" w:eastAsia="Times New Roman" w:hAnsi="Times New Roman"/>
          <w:sz w:val="14"/>
          <w:szCs w:val="14"/>
          <w:color w:val="auto"/>
        </w:rPr>
        <w:t>any payment contemplated by this Agreement, nor will any such payment be reduced by any earnings that Executive may receive from any other source except as specified in Sections 3(e), 4(d) and 5.</w:t>
      </w:r>
    </w:p>
    <w:tbl>
      <w:tblPr>
        <w:tblLayout w:type="fixed"/>
        <w:tblInd w:w="0" w:type="dxa"/>
        <w:tblCellMar>
          <w:top w:w="0" w:type="dxa"/>
          <w:left w:w="0" w:type="dxa"/>
          <w:bottom w:w="0" w:type="dxa"/>
          <w:right w:w="0" w:type="dxa"/>
        </w:tblCellMar>
      </w:tblPr>
      <w:tr>
        <w:trPr>
          <w:trHeight w:val="155"/>
        </w:trPr>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w w:val="97"/>
              </w:rPr>
              <w:t>(b)</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3"/>
              </w:rPr>
              <w:t>Waiver.</w:t>
            </w:r>
          </w:p>
        </w:tc>
        <w:tc>
          <w:tcPr>
            <w:tcW w:w="220" w:type="dxa"/>
            <w:vAlign w:val="bottom"/>
          </w:tcPr>
          <w:p>
            <w:pPr>
              <w:spacing w:after="0"/>
              <w:rPr>
                <w:sz w:val="13"/>
                <w:szCs w:val="13"/>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No</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provision</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of</w:t>
            </w: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w w:val="98"/>
              </w:rPr>
              <w:t>this</w:t>
            </w:r>
          </w:p>
        </w:tc>
        <w:tc>
          <w:tcPr>
            <w:tcW w:w="10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Agreement</w:t>
            </w:r>
          </w:p>
        </w:tc>
        <w:tc>
          <w:tcPr>
            <w:tcW w:w="28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will</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be</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modified,</w:t>
            </w:r>
          </w:p>
        </w:tc>
        <w:tc>
          <w:tcPr>
            <w:tcW w:w="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waived</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or</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discharged</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w w:val="96"/>
              </w:rPr>
              <w:t>unless</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the</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waiver</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or</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discharge</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is</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agreed</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to</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writing</w:t>
            </w:r>
          </w:p>
        </w:tc>
        <w:tc>
          <w:tcPr>
            <w:tcW w:w="5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and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signed</w:t>
            </w:r>
          </w:p>
        </w:tc>
        <w:tc>
          <w:tcPr>
            <w:tcW w:w="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by</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Executive</w:t>
            </w:r>
          </w:p>
        </w:tc>
        <w:tc>
          <w:tcPr>
            <w:tcW w:w="0" w:type="dxa"/>
            <w:vAlign w:val="bottom"/>
          </w:tcPr>
          <w:p>
            <w:pPr>
              <w:spacing w:after="0" w:line="20" w:lineRule="exact"/>
              <w:rPr>
                <w:sz w:val="1"/>
                <w:szCs w:val="1"/>
                <w:color w:val="auto"/>
              </w:rPr>
            </w:pPr>
          </w:p>
        </w:tc>
      </w:tr>
      <w:tr>
        <w:trPr>
          <w:trHeight w:val="151"/>
        </w:trPr>
        <w:tc>
          <w:tcPr>
            <w:tcW w:w="7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color w:val="auto"/>
                <w:w w:val="93"/>
              </w:rPr>
              <w:t>modification,</w:t>
            </w:r>
          </w:p>
        </w:tc>
        <w:tc>
          <w:tcPr>
            <w:tcW w:w="240" w:type="dxa"/>
            <w:vAlign w:val="bottom"/>
            <w:gridSpan w:val="2"/>
          </w:tcPr>
          <w:p>
            <w:pPr>
              <w:spacing w:after="0"/>
              <w:rPr>
                <w:sz w:val="13"/>
                <w:szCs w:val="13"/>
                <w:color w:val="auto"/>
              </w:rPr>
            </w:pPr>
          </w:p>
        </w:tc>
        <w:tc>
          <w:tcPr>
            <w:tcW w:w="5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and</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by</w:t>
            </w:r>
          </w:p>
        </w:tc>
        <w:tc>
          <w:tcPr>
            <w:tcW w:w="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an</w:t>
            </w:r>
          </w:p>
        </w:tc>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authorized</w:t>
            </w: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officer</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w:t>
            </w:r>
          </w:p>
        </w:tc>
        <w:tc>
          <w:tcPr>
            <w:tcW w:w="5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Company</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than</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Executive).</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waiver</w:t>
            </w:r>
          </w:p>
        </w:tc>
        <w:tc>
          <w:tcPr>
            <w:tcW w:w="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either</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party</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any</w:t>
            </w:r>
          </w:p>
        </w:tc>
        <w:tc>
          <w:tcPr>
            <w:tcW w:w="0" w:type="dxa"/>
            <w:vAlign w:val="bottom"/>
          </w:tcPr>
          <w:p>
            <w:pPr>
              <w:spacing w:after="0"/>
              <w:rPr>
                <w:sz w:val="1"/>
                <w:szCs w:val="1"/>
                <w:color w:val="auto"/>
              </w:rPr>
            </w:pPr>
          </w:p>
        </w:tc>
      </w:tr>
    </w:tbl>
    <w:p>
      <w:pPr>
        <w:ind w:left="60"/>
        <w:spacing w:after="0" w:line="245" w:lineRule="auto"/>
        <w:rPr>
          <w:sz w:val="20"/>
          <w:szCs w:val="20"/>
          <w:color w:val="auto"/>
        </w:rPr>
      </w:pPr>
      <w:r>
        <w:rPr>
          <w:rFonts w:ascii="Times New Roman" w:cs="Times New Roman" w:eastAsia="Times New Roman" w:hAnsi="Times New Roman"/>
          <w:sz w:val="14"/>
          <w:szCs w:val="14"/>
          <w:color w:val="auto"/>
        </w:rPr>
        <w:t>breach of, or of compliance with, any condition or provision of this Agreement by the other party will be considered a waiver of any other condition or provision or of the same condition or provision at another time.</w:t>
      </w:r>
    </w:p>
    <w:p>
      <w:pPr>
        <w:spacing w:after="0" w:line="123" w:lineRule="exact"/>
        <w:rPr>
          <w:sz w:val="20"/>
          <w:szCs w:val="20"/>
          <w:color w:val="auto"/>
        </w:rPr>
      </w:pPr>
    </w:p>
    <w:p>
      <w:pPr>
        <w:ind w:left="2040" w:hanging="1138"/>
        <w:spacing w:after="0"/>
        <w:tabs>
          <w:tab w:leader="none" w:pos="20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All captions and section headings used in this Agreement are for convenient reference only and do not form a part of this</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Agreement.</w:t>
      </w:r>
    </w:p>
    <w:p>
      <w:pPr>
        <w:spacing w:after="0" w:line="145" w:lineRule="exact"/>
        <w:rPr>
          <w:sz w:val="20"/>
          <w:szCs w:val="20"/>
          <w:color w:val="auto"/>
        </w:rPr>
      </w:pPr>
    </w:p>
    <w:p>
      <w:pPr>
        <w:ind w:left="2060" w:hanging="1158"/>
        <w:spacing w:after="0"/>
        <w:tabs>
          <w:tab w:leader="none" w:pos="20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constitutes the entire agreement of the parties hereto and supersedes in their entirety all prior</w:t>
      </w:r>
    </w:p>
    <w:p>
      <w:pPr>
        <w:spacing w:after="0" w:line="1" w:lineRule="exact"/>
        <w:rPr>
          <w:rFonts w:ascii="Times New Roman" w:cs="Times New Roman" w:eastAsia="Times New Roman" w:hAnsi="Times New Roman"/>
          <w:sz w:val="14"/>
          <w:szCs w:val="14"/>
          <w:color w:val="auto"/>
        </w:rPr>
      </w:pPr>
    </w:p>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representations,  understandings,  undertakings  or  agreements  (whether  oral  or  written  and  whether  expressed  or  implied)  of  the  parties.  No  waiver,</w:t>
      </w:r>
    </w:p>
    <w:p>
      <w:pPr>
        <w:spacing w:after="0" w:line="147" w:lineRule="exact"/>
        <w:rPr>
          <w:sz w:val="20"/>
          <w:szCs w:val="20"/>
          <w:color w:val="auto"/>
        </w:rPr>
      </w:pPr>
    </w:p>
    <w:p>
      <w:pPr>
        <w:ind w:left="60"/>
        <w:spacing w:after="0" w:line="257" w:lineRule="auto"/>
        <w:rPr>
          <w:sz w:val="20"/>
          <w:szCs w:val="20"/>
          <w:color w:val="auto"/>
        </w:rPr>
      </w:pPr>
      <w:r>
        <w:rPr>
          <w:rFonts w:ascii="Times New Roman" w:cs="Times New Roman" w:eastAsia="Times New Roman" w:hAnsi="Times New Roman"/>
          <w:sz w:val="14"/>
          <w:szCs w:val="14"/>
          <w:color w:val="auto"/>
        </w:rPr>
        <w:t>alteration, or modification of any of the provisions of this Agreement will be binding unless in writing and signed by duly authorized representatives of the parties hereto and which specifically mention this Agreement.</w:t>
      </w:r>
    </w:p>
    <w:p>
      <w:pPr>
        <w:spacing w:after="0" w:line="123" w:lineRule="exact"/>
        <w:rPr>
          <w:sz w:val="20"/>
          <w:szCs w:val="20"/>
          <w:color w:val="auto"/>
        </w:rPr>
      </w:pPr>
    </w:p>
    <w:p>
      <w:pPr>
        <w:ind w:left="2040" w:hanging="1138"/>
        <w:spacing w:after="0"/>
        <w:tabs>
          <w:tab w:leader="none" w:pos="20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Choice of Law</w:t>
      </w:r>
      <w:r>
        <w:rPr>
          <w:rFonts w:ascii="Times New Roman" w:cs="Times New Roman" w:eastAsia="Times New Roman" w:hAnsi="Times New Roman"/>
          <w:sz w:val="14"/>
          <w:szCs w:val="14"/>
          <w:color w:val="auto"/>
        </w:rPr>
        <w:t>. The validity, interpretation, construction, and performance of this Agreement will be governed by the laws of the State</w:t>
      </w:r>
    </w:p>
    <w:p>
      <w:pPr>
        <w:spacing w:after="0" w:line="17" w:lineRule="exact"/>
        <w:rPr>
          <w:sz w:val="20"/>
          <w:szCs w:val="20"/>
          <w:color w:val="auto"/>
        </w:rPr>
      </w:pPr>
    </w:p>
    <w:p>
      <w:pPr>
        <w:jc w:val="both"/>
        <w:ind w:left="60"/>
        <w:spacing w:after="0" w:line="243" w:lineRule="auto"/>
        <w:rPr>
          <w:sz w:val="20"/>
          <w:szCs w:val="20"/>
          <w:color w:val="auto"/>
        </w:rPr>
      </w:pPr>
      <w:r>
        <w:rPr>
          <w:rFonts w:ascii="Times New Roman" w:cs="Times New Roman" w:eastAsia="Times New Roman" w:hAnsi="Times New Roman"/>
          <w:sz w:val="14"/>
          <w:szCs w:val="14"/>
          <w:color w:val="auto"/>
        </w:rPr>
        <w:t>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pacing w:after="0" w:line="125" w:lineRule="exact"/>
        <w:rPr>
          <w:sz w:val="20"/>
          <w:szCs w:val="20"/>
          <w:color w:val="auto"/>
        </w:rPr>
      </w:pPr>
    </w:p>
    <w:p>
      <w:pPr>
        <w:jc w:val="both"/>
        <w:ind w:left="60" w:firstLine="842"/>
        <w:spacing w:after="0" w:line="254" w:lineRule="auto"/>
        <w:tabs>
          <w:tab w:leader="none" w:pos="2043"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spacing w:after="0" w:line="144" w:lineRule="exact"/>
        <w:rPr>
          <w:sz w:val="20"/>
          <w:szCs w:val="20"/>
          <w:color w:val="auto"/>
        </w:rPr>
      </w:pPr>
    </w:p>
    <w:p>
      <w:pPr>
        <w:ind w:left="900"/>
        <w:spacing w:after="0"/>
        <w:tabs>
          <w:tab w:leader="none" w:pos="2280" w:val="left"/>
          <w:tab w:leader="none" w:pos="3360" w:val="left"/>
          <w:tab w:leader="none" w:pos="3880" w:val="left"/>
          <w:tab w:leader="none" w:pos="4740" w:val="left"/>
          <w:tab w:leader="none" w:pos="5320" w:val="left"/>
          <w:tab w:leader="none" w:pos="5820" w:val="left"/>
          <w:tab w:leader="none" w:pos="6520" w:val="left"/>
          <w:tab w:leader="none" w:pos="7420" w:val="left"/>
          <w:tab w:leader="none" w:pos="7860" w:val="left"/>
          <w:tab w:leader="none" w:pos="8460" w:val="left"/>
          <w:tab w:leader="none" w:pos="9220" w:val="left"/>
          <w:tab w:leader="none" w:pos="9640" w:val="left"/>
        </w:tabs>
        <w:rPr>
          <w:sz w:val="20"/>
          <w:szCs w:val="20"/>
          <w:color w:val="auto"/>
        </w:rPr>
      </w:pPr>
      <w:r>
        <w:rPr>
          <w:rFonts w:ascii="Times New Roman" w:cs="Times New Roman" w:eastAsia="Times New Roman" w:hAnsi="Times New Roman"/>
          <w:sz w:val="14"/>
          <w:szCs w:val="14"/>
          <w:color w:val="auto"/>
        </w:rPr>
        <w:t>(g)</w:t>
      </w:r>
      <w:r>
        <w:rPr>
          <w:sz w:val="20"/>
          <w:szCs w:val="20"/>
          <w:color w:val="auto"/>
        </w:rPr>
        <w:tab/>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Company</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any</w:t>
      </w:r>
      <w:r>
        <w:rPr>
          <w:sz w:val="20"/>
          <w:szCs w:val="20"/>
          <w:color w:val="auto"/>
        </w:rPr>
        <w:tab/>
      </w:r>
      <w:r>
        <w:rPr>
          <w:rFonts w:ascii="Times New Roman" w:cs="Times New Roman" w:eastAsia="Times New Roman" w:hAnsi="Times New Roman"/>
          <w:sz w:val="14"/>
          <w:szCs w:val="14"/>
          <w:color w:val="auto"/>
        </w:rPr>
        <w:t>parent,</w:t>
      </w:r>
      <w:r>
        <w:rPr>
          <w:sz w:val="20"/>
          <w:szCs w:val="20"/>
          <w:color w:val="auto"/>
        </w:rPr>
        <w:tab/>
      </w:r>
      <w:r>
        <w:rPr>
          <w:rFonts w:ascii="Times New Roman" w:cs="Times New Roman" w:eastAsia="Times New Roman" w:hAnsi="Times New Roman"/>
          <w:sz w:val="14"/>
          <w:szCs w:val="14"/>
          <w:color w:val="auto"/>
        </w:rPr>
        <w:t>subsidiary</w:t>
      </w:r>
      <w:r>
        <w:rPr>
          <w:sz w:val="20"/>
          <w:szCs w:val="20"/>
          <w:color w:val="auto"/>
        </w:rPr>
        <w:tab/>
      </w:r>
      <w:r>
        <w:rPr>
          <w:rFonts w:ascii="Times New Roman" w:cs="Times New Roman" w:eastAsia="Times New Roman" w:hAnsi="Times New Roman"/>
          <w:sz w:val="14"/>
          <w:szCs w:val="14"/>
          <w:color w:val="auto"/>
        </w:rPr>
        <w:t>or</w:t>
      </w:r>
      <w:r>
        <w:rPr>
          <w:sz w:val="20"/>
          <w:szCs w:val="20"/>
          <w:color w:val="auto"/>
        </w:rPr>
        <w:tab/>
      </w:r>
      <w:r>
        <w:rPr>
          <w:rFonts w:ascii="Times New Roman" w:cs="Times New Roman" w:eastAsia="Times New Roman" w:hAnsi="Times New Roman"/>
          <w:sz w:val="14"/>
          <w:szCs w:val="14"/>
          <w:color w:val="auto"/>
        </w:rPr>
        <w:t>other</w:t>
      </w:r>
      <w:r>
        <w:rPr>
          <w:sz w:val="20"/>
          <w:szCs w:val="20"/>
          <w:color w:val="auto"/>
        </w:rPr>
        <w:tab/>
      </w:r>
      <w:r>
        <w:rPr>
          <w:rFonts w:ascii="Times New Roman" w:cs="Times New Roman" w:eastAsia="Times New Roman" w:hAnsi="Times New Roman"/>
          <w:sz w:val="14"/>
          <w:szCs w:val="14"/>
          <w:color w:val="auto"/>
        </w:rPr>
        <w:t>affiliate</w:t>
      </w:r>
      <w:r>
        <w:rPr>
          <w:sz w:val="20"/>
          <w:szCs w:val="20"/>
          <w:color w:val="auto"/>
        </w:rPr>
        <w:tab/>
      </w:r>
      <w:r>
        <w:rPr>
          <w:rFonts w:ascii="Times New Roman" w:cs="Times New Roman" w:eastAsia="Times New Roman" w:hAnsi="Times New Roman"/>
          <w:sz w:val="14"/>
          <w:szCs w:val="14"/>
          <w:color w:val="auto"/>
        </w:rPr>
        <w:t>of</w:t>
      </w:r>
      <w:r>
        <w:rPr>
          <w:sz w:val="20"/>
          <w:szCs w:val="20"/>
          <w:color w:val="auto"/>
        </w:rPr>
        <w:tab/>
      </w:r>
      <w:r>
        <w:rPr>
          <w:rFonts w:ascii="Times New Roman" w:cs="Times New Roman" w:eastAsia="Times New Roman" w:hAnsi="Times New Roman"/>
          <w:sz w:val="14"/>
          <w:szCs w:val="14"/>
          <w:color w:val="auto"/>
        </w:rPr>
        <w:t>the</w:t>
      </w:r>
    </w:p>
    <w:p>
      <w:pPr>
        <w:spacing w:after="0" w:line="1" w:lineRule="exact"/>
        <w:rPr>
          <w:sz w:val="20"/>
          <w:szCs w:val="20"/>
          <w:color w:val="auto"/>
        </w:rPr>
      </w:pPr>
    </w:p>
    <w:p>
      <w:pPr>
        <w:jc w:val="both"/>
        <w:ind w:left="60"/>
        <w:spacing w:after="0" w:line="247" w:lineRule="auto"/>
        <w:rPr>
          <w:sz w:val="20"/>
          <w:szCs w:val="20"/>
          <w:color w:val="auto"/>
        </w:rPr>
      </w:pPr>
      <w:r>
        <w:rPr>
          <w:rFonts w:ascii="Times New Roman" w:cs="Times New Roman" w:eastAsia="Times New Roman" w:hAnsi="Times New Roman"/>
          <w:sz w:val="14"/>
          <w:szCs w:val="14"/>
          <w:color w:val="auto"/>
        </w:rPr>
        <w:t>Company, as applicable) will have the right and authority to deduct from any payments or benefits all applicable federal, state, local, and/or non-U.S. taxes or other required withholdings and payroll deductions (“</w:t>
      </w:r>
      <w:r>
        <w:rPr>
          <w:rFonts w:ascii="Times New Roman" w:cs="Times New Roman" w:eastAsia="Times New Roman" w:hAnsi="Times New Roman"/>
          <w:sz w:val="14"/>
          <w:szCs w:val="14"/>
          <w:i w:val="1"/>
          <w:iCs w:val="1"/>
          <w:u w:val="single" w:color="auto"/>
          <w:color w:val="auto"/>
        </w:rPr>
        <w:t>Withholdings</w:t>
      </w:r>
      <w:r>
        <w:rPr>
          <w:rFonts w:ascii="Times New Roman" w:cs="Times New Roman" w:eastAsia="Times New Roman" w:hAnsi="Times New Roman"/>
          <w:sz w:val="14"/>
          <w:szCs w:val="14"/>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sectPr>
      </w:pPr>
    </w:p>
    <w:bookmarkStart w:id="87" w:name="page88"/>
    <w:bookmarkEnd w:id="87"/>
    <w:p>
      <w:pPr>
        <w:spacing w:after="0"/>
        <w:rPr>
          <w:sz w:val="20"/>
          <w:szCs w:val="20"/>
          <w:color w:val="auto"/>
        </w:rPr>
      </w:pPr>
      <w:r>
        <w:rPr>
          <w:rFonts w:ascii="Arial" w:cs="Arial" w:eastAsia="Arial" w:hAnsi="Arial"/>
          <w:sz w:val="8"/>
          <w:szCs w:val="8"/>
          <w:color w:val="auto"/>
        </w:rPr>
        <w:t>DocuSign Envelope ID: DE71458D-460C-4C40-8FB7-0CFDB7452F9B</w:t>
      </w:r>
    </w:p>
    <w:p>
      <w:pPr>
        <w:sectPr>
          <w:pgSz w:w="11900" w:h="16838" w:orient="portrait"/>
          <w:cols w:equalWidth="0" w:num="1">
            <w:col w:w="9840"/>
          </w:cols>
          <w:pgMar w:left="1100" w:top="144"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tabs>
          <w:tab w:leader="none" w:pos="780" w:val="left"/>
          <w:tab w:leader="none" w:pos="1280" w:val="left"/>
          <w:tab w:leader="none" w:pos="2160" w:val="left"/>
          <w:tab w:leader="none" w:pos="2680" w:val="left"/>
          <w:tab w:leader="none" w:pos="3200" w:val="left"/>
          <w:tab w:leader="none" w:pos="3920" w:val="left"/>
          <w:tab w:leader="none" w:pos="4840" w:val="left"/>
          <w:tab w:leader="none" w:pos="5280" w:val="left"/>
          <w:tab w:leader="none" w:pos="5900" w:val="left"/>
          <w:tab w:leader="none" w:pos="6660" w:val="left"/>
          <w:tab w:leader="none" w:pos="7100" w:val="left"/>
          <w:tab w:leader="none" w:pos="7600" w:val="left"/>
        </w:tabs>
        <w:rPr>
          <w:sz w:val="20"/>
          <w:szCs w:val="20"/>
          <w:color w:val="auto"/>
        </w:rPr>
      </w:pPr>
      <w:r>
        <w:rPr>
          <w:rFonts w:ascii="Times New Roman" w:cs="Times New Roman" w:eastAsia="Times New Roman" w:hAnsi="Times New Roman"/>
          <w:sz w:val="14"/>
          <w:szCs w:val="14"/>
          <w:color w:val="auto"/>
        </w:rPr>
        <w:t>Neither</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Company</w:t>
      </w:r>
      <w:r>
        <w:rPr>
          <w:sz w:val="20"/>
          <w:szCs w:val="20"/>
          <w:color w:val="auto"/>
        </w:rPr>
        <w:tab/>
      </w:r>
      <w:r>
        <w:rPr>
          <w:rFonts w:ascii="Times New Roman" w:cs="Times New Roman" w:eastAsia="Times New Roman" w:hAnsi="Times New Roman"/>
          <w:sz w:val="14"/>
          <w:szCs w:val="14"/>
          <w:color w:val="auto"/>
        </w:rPr>
        <w:t>nor</w:t>
      </w:r>
      <w:r>
        <w:rPr>
          <w:sz w:val="20"/>
          <w:szCs w:val="20"/>
          <w:color w:val="auto"/>
        </w:rPr>
        <w:tab/>
      </w:r>
      <w:r>
        <w:rPr>
          <w:rFonts w:ascii="Times New Roman" w:cs="Times New Roman" w:eastAsia="Times New Roman" w:hAnsi="Times New Roman"/>
          <w:sz w:val="14"/>
          <w:szCs w:val="14"/>
          <w:color w:val="auto"/>
        </w:rPr>
        <w:t>any</w:t>
      </w:r>
      <w:r>
        <w:rPr>
          <w:sz w:val="20"/>
          <w:szCs w:val="20"/>
          <w:color w:val="auto"/>
        </w:rPr>
        <w:tab/>
      </w:r>
      <w:r>
        <w:rPr>
          <w:rFonts w:ascii="Times New Roman" w:cs="Times New Roman" w:eastAsia="Times New Roman" w:hAnsi="Times New Roman"/>
          <w:sz w:val="14"/>
          <w:szCs w:val="14"/>
          <w:color w:val="auto"/>
        </w:rPr>
        <w:t>parent,</w:t>
      </w:r>
      <w:r>
        <w:rPr>
          <w:sz w:val="20"/>
          <w:szCs w:val="20"/>
          <w:color w:val="auto"/>
        </w:rPr>
        <w:tab/>
      </w:r>
      <w:r>
        <w:rPr>
          <w:rFonts w:ascii="Times New Roman" w:cs="Times New Roman" w:eastAsia="Times New Roman" w:hAnsi="Times New Roman"/>
          <w:sz w:val="14"/>
          <w:szCs w:val="14"/>
          <w:color w:val="auto"/>
        </w:rPr>
        <w:t>subsidiary</w:t>
      </w:r>
      <w:r>
        <w:rPr>
          <w:sz w:val="20"/>
          <w:szCs w:val="20"/>
          <w:color w:val="auto"/>
        </w:rPr>
        <w:tab/>
      </w:r>
      <w:r>
        <w:rPr>
          <w:rFonts w:ascii="Times New Roman" w:cs="Times New Roman" w:eastAsia="Times New Roman" w:hAnsi="Times New Roman"/>
          <w:sz w:val="14"/>
          <w:szCs w:val="14"/>
          <w:color w:val="auto"/>
        </w:rPr>
        <w:t>or</w:t>
      </w:r>
      <w:r>
        <w:rPr>
          <w:sz w:val="20"/>
          <w:szCs w:val="20"/>
          <w:color w:val="auto"/>
        </w:rPr>
        <w:tab/>
      </w:r>
      <w:r>
        <w:rPr>
          <w:rFonts w:ascii="Times New Roman" w:cs="Times New Roman" w:eastAsia="Times New Roman" w:hAnsi="Times New Roman"/>
          <w:sz w:val="14"/>
          <w:szCs w:val="14"/>
          <w:color w:val="auto"/>
        </w:rPr>
        <w:t>other</w:t>
      </w:r>
      <w:r>
        <w:rPr>
          <w:sz w:val="20"/>
          <w:szCs w:val="20"/>
          <w:color w:val="auto"/>
        </w:rPr>
        <w:tab/>
      </w:r>
      <w:r>
        <w:rPr>
          <w:rFonts w:ascii="Times New Roman" w:cs="Times New Roman" w:eastAsia="Times New Roman" w:hAnsi="Times New Roman"/>
          <w:sz w:val="14"/>
          <w:szCs w:val="14"/>
          <w:color w:val="auto"/>
        </w:rPr>
        <w:t>affiliate</w:t>
      </w:r>
      <w:r>
        <w:rPr>
          <w:sz w:val="20"/>
          <w:szCs w:val="20"/>
          <w:color w:val="auto"/>
        </w:rPr>
        <w:tab/>
      </w:r>
      <w:r>
        <w:rPr>
          <w:rFonts w:ascii="Times New Roman" w:cs="Times New Roman" w:eastAsia="Times New Roman" w:hAnsi="Times New Roman"/>
          <w:sz w:val="14"/>
          <w:szCs w:val="14"/>
          <w:color w:val="auto"/>
        </w:rPr>
        <w:t>of</w:t>
      </w:r>
      <w:r>
        <w:rPr>
          <w:sz w:val="20"/>
          <w:szCs w:val="20"/>
          <w:color w:val="auto"/>
        </w:rPr>
        <w:tab/>
      </w:r>
      <w:r>
        <w:rPr>
          <w:rFonts w:ascii="Times New Roman" w:cs="Times New Roman" w:eastAsia="Times New Roman" w:hAnsi="Times New Roman"/>
          <w:sz w:val="14"/>
          <w:szCs w:val="14"/>
          <w:color w:val="auto"/>
        </w:rPr>
        <w:t>the</w:t>
      </w:r>
      <w:r>
        <w:rPr>
          <w:sz w:val="20"/>
          <w:szCs w:val="20"/>
          <w:color w:val="auto"/>
        </w:rPr>
        <w:tab/>
      </w:r>
      <w:r>
        <w:rPr>
          <w:rFonts w:ascii="Times New Roman" w:cs="Times New Roman" w:eastAsia="Times New Roman" w:hAnsi="Times New Roman"/>
          <w:sz w:val="14"/>
          <w:szCs w:val="14"/>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w:t>
      </w:r>
    </w:p>
    <w:p>
      <w:pPr>
        <w:spacing w:after="0" w:line="38" w:lineRule="exact"/>
        <w:rPr>
          <w:sz w:val="20"/>
          <w:szCs w:val="20"/>
          <w:color w:val="auto"/>
        </w:rPr>
      </w:pPr>
    </w:p>
    <w:p>
      <w:pPr>
        <w:sectPr>
          <w:pgSz w:w="11900" w:h="16838" w:orient="portrait"/>
          <w:cols w:equalWidth="0" w:num="4">
            <w:col w:w="8180" w:space="320"/>
            <w:col w:w="220" w:space="320"/>
            <w:col w:w="280" w:space="320"/>
            <w:col w:w="200"/>
          </w:cols>
          <w:pgMar w:left="1100" w:top="144" w:right="95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color w:val="auto"/>
        </w:rPr>
        <w:t>responsibility, liability or obligation to pay Executive’s taxes arising from or relating to any payments or benefits under this Agreement.</w:t>
      </w:r>
    </w:p>
    <w:p>
      <w:pPr>
        <w:sectPr>
          <w:pgSz w:w="11900" w:h="16838" w:orient="portrait"/>
          <w:cols w:equalWidth="0" w:num="1">
            <w:col w:w="9840"/>
          </w:cols>
          <w:pgMar w:left="1100" w:top="144" w:right="959" w:bottom="1440" w:gutter="0" w:footer="0" w:header="0"/>
          <w:type w:val="continuous"/>
        </w:sectPr>
      </w:pPr>
    </w:p>
    <w:p>
      <w:pPr>
        <w:spacing w:after="0" w:line="135" w:lineRule="exact"/>
        <w:rPr>
          <w:sz w:val="20"/>
          <w:szCs w:val="20"/>
          <w:color w:val="auto"/>
        </w:rPr>
      </w:pPr>
    </w:p>
    <w:p>
      <w:pPr>
        <w:ind w:left="60" w:firstLine="842"/>
        <w:spacing w:after="0"/>
        <w:tabs>
          <w:tab w:leader="none" w:pos="2059"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o O 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90805</wp:posOffset>
            </wp:positionV>
            <wp:extent cx="67062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706235" cy="42545"/>
                    </a:xfrm>
                    <a:prstGeom prst="rect">
                      <a:avLst/>
                    </a:prstGeom>
                    <a:noFill/>
                  </pic:spPr>
                </pic:pic>
              </a:graphicData>
            </a:graphic>
          </wp:anchor>
        </w:drawing>
      </w:r>
    </w:p>
    <w:p>
      <w:pPr>
        <w:sectPr>
          <w:pgSz w:w="11900" w:h="16838" w:orient="portrait"/>
          <w:cols w:equalWidth="0" w:num="1">
            <w:col w:w="9840"/>
          </w:cols>
          <w:pgMar w:left="1100" w:top="144" w:right="9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0"/>
          <w:szCs w:val="10"/>
          <w:color w:val="auto"/>
        </w:rPr>
        <w:t>DocuSign Envelope ID: DE71458D-460C-4C40-8FB7-0CFDB7452F9B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IN WITNESS WHEREOF, each of the parties has executed this Agreement, in the case of the Company by its duly authorized officer, as of the Effective Date set forth</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262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COMPANY</w:t>
            </w:r>
          </w:p>
        </w:tc>
        <w:tc>
          <w:tcPr>
            <w:tcW w:w="7940" w:type="dxa"/>
            <w:vAlign w:val="bottom"/>
            <w:gridSpan w:val="4"/>
          </w:tcPr>
          <w:p>
            <w:pPr>
              <w:ind w:left="920"/>
              <w:spacing w:after="0"/>
              <w:rPr>
                <w:sz w:val="20"/>
                <w:szCs w:val="20"/>
                <w:color w:val="auto"/>
              </w:rPr>
            </w:pPr>
            <w:r>
              <w:rPr>
                <w:rFonts w:ascii="Times New Roman" w:cs="Times New Roman" w:eastAsia="Times New Roman" w:hAnsi="Times New Roman"/>
                <w:sz w:val="14"/>
                <w:szCs w:val="14"/>
                <w:color w:val="auto"/>
              </w:rPr>
              <w:t>PACIFIC BIOSCIENCES OF CALIFORNIA, INC.</w:t>
            </w: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7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170"/>
        </w:trPr>
        <w:tc>
          <w:tcPr>
            <w:tcW w:w="2620" w:type="dxa"/>
            <w:vAlign w:val="bottom"/>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Name:</w:t>
            </w:r>
          </w:p>
        </w:tc>
        <w:tc>
          <w:tcPr>
            <w:tcW w:w="0" w:type="dxa"/>
            <w:vAlign w:val="bottom"/>
          </w:tcPr>
          <w:p>
            <w:pPr>
              <w:spacing w:after="0"/>
              <w:rPr>
                <w:sz w:val="1"/>
                <w:szCs w:val="1"/>
                <w:color w:val="auto"/>
              </w:rPr>
            </w:pPr>
          </w:p>
        </w:tc>
      </w:tr>
      <w:tr>
        <w:trPr>
          <w:trHeight w:val="170"/>
        </w:trPr>
        <w:tc>
          <w:tcPr>
            <w:tcW w:w="26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Natalie Welch</w:t>
            </w:r>
          </w:p>
        </w:tc>
        <w:tc>
          <w:tcPr>
            <w:tcW w:w="1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62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6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2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620" w:type="dxa"/>
            <w:vAlign w:val="bottom"/>
            <w:tcBorders>
              <w:bottom w:val="single" w:sz="8" w:color="9A9A9A"/>
            </w:tcBorders>
          </w:tcPr>
          <w:p>
            <w:pPr>
              <w:spacing w:after="0"/>
              <w:rPr>
                <w:sz w:val="6"/>
                <w:szCs w:val="6"/>
                <w:color w:val="auto"/>
              </w:rPr>
            </w:pPr>
          </w:p>
        </w:tc>
        <w:tc>
          <w:tcPr>
            <w:tcW w:w="40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620" w:type="dxa"/>
            <w:vAlign w:val="bottom"/>
            <w:tcBorders>
              <w:left w:val="single" w:sz="8" w:color="9A9A9A"/>
            </w:tcBorders>
          </w:tcPr>
          <w:p>
            <w:pPr>
              <w:spacing w:after="0"/>
              <w:rPr>
                <w:sz w:val="9"/>
                <w:szCs w:val="9"/>
                <w:color w:val="auto"/>
              </w:rPr>
            </w:pPr>
          </w:p>
        </w:tc>
        <w:tc>
          <w:tcPr>
            <w:tcW w:w="12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186"/>
        </w:trPr>
        <w:tc>
          <w:tcPr>
            <w:tcW w:w="2620" w:type="dxa"/>
            <w:vAlign w:val="bottom"/>
          </w:tcPr>
          <w:p>
            <w:pPr>
              <w:ind w:left="140"/>
              <w:spacing w:after="0"/>
              <w:rPr>
                <w:sz w:val="20"/>
                <w:szCs w:val="20"/>
                <w:color w:val="auto"/>
              </w:rPr>
            </w:pPr>
            <w:r>
              <w:rPr>
                <w:rFonts w:ascii="Times New Roman" w:cs="Times New Roman" w:eastAsia="Times New Roman" w:hAnsi="Times New Roman"/>
                <w:sz w:val="11"/>
                <w:szCs w:val="11"/>
                <w:color w:val="auto"/>
                <w:w w:val="98"/>
              </w:rPr>
              <w:t>Vice President, Human Resources and Organization Dev</w:t>
            </w:r>
          </w:p>
        </w:tc>
        <w:tc>
          <w:tcPr>
            <w:tcW w:w="1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6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2620" w:type="dxa"/>
            <w:vAlign w:val="bottom"/>
            <w:tcBorders>
              <w:bottom w:val="single" w:sz="8" w:color="9A9A9A"/>
            </w:tcBorders>
          </w:tcPr>
          <w:p>
            <w:pPr>
              <w:spacing w:after="0"/>
              <w:rPr>
                <w:sz w:val="3"/>
                <w:szCs w:val="3"/>
                <w:color w:val="auto"/>
              </w:rPr>
            </w:pPr>
          </w:p>
        </w:tc>
        <w:tc>
          <w:tcPr>
            <w:tcW w:w="4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5"/>
        </w:trPr>
        <w:tc>
          <w:tcPr>
            <w:tcW w:w="26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262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EXECUTIVE</w:t>
            </w:r>
          </w:p>
        </w:tc>
        <w:tc>
          <w:tcPr>
            <w:tcW w:w="7940" w:type="dxa"/>
            <w:vAlign w:val="bottom"/>
            <w:gridSpan w:val="4"/>
          </w:tcPr>
          <w:p>
            <w:pPr>
              <w:ind w:left="1060"/>
              <w:spacing w:after="0"/>
              <w:rPr>
                <w:sz w:val="20"/>
                <w:szCs w:val="20"/>
                <w:color w:val="auto"/>
              </w:rPr>
            </w:pPr>
            <w:r>
              <w:rPr>
                <w:rFonts w:ascii="Times New Roman" w:cs="Times New Roman" w:eastAsia="Times New Roman" w:hAnsi="Times New Roman"/>
                <w:sz w:val="14"/>
                <w:szCs w:val="14"/>
                <w:color w:val="auto"/>
              </w:rPr>
              <w:t>By:</w:t>
            </w:r>
          </w:p>
        </w:tc>
        <w:tc>
          <w:tcPr>
            <w:tcW w:w="0" w:type="dxa"/>
            <w:vAlign w:val="bottom"/>
          </w:tcPr>
          <w:p>
            <w:pPr>
              <w:spacing w:after="0"/>
              <w:rPr>
                <w:sz w:val="1"/>
                <w:szCs w:val="1"/>
                <w:color w:val="auto"/>
              </w:rPr>
            </w:pPr>
          </w:p>
        </w:tc>
      </w:tr>
      <w:tr>
        <w:trPr>
          <w:trHeight w:val="280"/>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 Denis Zaccarin</w:t>
            </w:r>
          </w:p>
        </w:tc>
        <w:tc>
          <w:tcPr>
            <w:tcW w:w="1260" w:type="dxa"/>
            <w:vAlign w:val="bottom"/>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2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6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620" w:type="dxa"/>
            <w:vAlign w:val="bottom"/>
            <w:tcBorders>
              <w:bottom w:val="single" w:sz="8" w:color="9A9A9A"/>
            </w:tcBorders>
          </w:tcPr>
          <w:p>
            <w:pPr>
              <w:spacing w:after="0"/>
              <w:rPr>
                <w:sz w:val="12"/>
                <w:szCs w:val="12"/>
                <w:color w:val="auto"/>
              </w:rPr>
            </w:pPr>
          </w:p>
        </w:tc>
        <w:tc>
          <w:tcPr>
            <w:tcW w:w="402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-1966595</wp:posOffset>
            </wp:positionV>
            <wp:extent cx="6722745" cy="31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722745" cy="31115"/>
                    </a:xfrm>
                    <a:prstGeom prst="rect">
                      <a:avLst/>
                    </a:prstGeom>
                    <a:noFill/>
                  </pic:spPr>
                </pic:pic>
              </a:graphicData>
            </a:graphic>
          </wp:anchor>
        </w:drawing>
        <w:drawing>
          <wp:anchor simplePos="0" relativeHeight="251657728" behindDoc="1" locked="0" layoutInCell="0" allowOverlap="1">
            <wp:simplePos x="0" y="0"/>
            <wp:positionH relativeFrom="column">
              <wp:posOffset>2451735</wp:posOffset>
            </wp:positionH>
            <wp:positionV relativeFrom="paragraph">
              <wp:posOffset>-1457960</wp:posOffset>
            </wp:positionV>
            <wp:extent cx="168275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682750" cy="42545"/>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-480695</wp:posOffset>
            </wp:positionV>
            <wp:extent cx="16884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1688465" cy="425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3111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111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-3005455</wp:posOffset>
            </wp:positionV>
            <wp:extent cx="657225"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57225" cy="27432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-948055</wp:posOffset>
            </wp:positionV>
            <wp:extent cx="714375"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4375" cy="274320"/>
                    </a:xfrm>
                    <a:prstGeom prst="rect">
                      <a:avLst/>
                    </a:prstGeom>
                    <a:noFill/>
                  </pic:spPr>
                </pic:pic>
              </a:graphicData>
            </a:graphic>
          </wp:anchor>
        </w:drawing>
      </w:r>
    </w:p>
    <w:p>
      <w:pPr>
        <w:sectPr>
          <w:pgSz w:w="11900" w:h="16838" w:orient="portrait"/>
          <w:cols w:equalWidth="0" w:num="1">
            <w:col w:w="10560"/>
          </w:cols>
          <w:pgMar w:left="1100" w:top="144"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SECURITIES EXCHANGE ACT RULES 13a-15(e), AS ADOPTED PURSUANT</w:t>
      </w:r>
    </w:p>
    <w:p>
      <w:pPr>
        <w:jc w:val="center"/>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Christian Henry, certify that:</w:t>
      </w:r>
    </w:p>
    <w:p>
      <w:pPr>
        <w:spacing w:after="0" w:line="33" w:lineRule="exact"/>
        <w:rPr>
          <w:sz w:val="20"/>
          <w:szCs w:val="20"/>
          <w:color w:val="auto"/>
        </w:rPr>
      </w:pPr>
    </w:p>
    <w:p>
      <w:pPr>
        <w:ind w:left="400" w:hanging="110"/>
        <w:spacing w:after="0"/>
        <w:tabs>
          <w:tab w:leader="none" w:pos="40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Pacific Biosciences of California, Inc.;</w:t>
      </w:r>
    </w:p>
    <w:p>
      <w:pPr>
        <w:spacing w:after="0" w:line="96" w:lineRule="exact"/>
        <w:rPr>
          <w:rFonts w:ascii="Times New Roman" w:cs="Times New Roman" w:eastAsia="Times New Roman" w:hAnsi="Times New Roman"/>
          <w:sz w:val="12"/>
          <w:szCs w:val="12"/>
          <w:color w:val="auto"/>
        </w:rPr>
      </w:pPr>
    </w:p>
    <w:p>
      <w:pPr>
        <w:ind w:right="660" w:firstLine="290"/>
        <w:spacing w:after="0" w:line="236" w:lineRule="auto"/>
        <w:tabs>
          <w:tab w:leader="none" w:pos="41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2"/>
          <w:szCs w:val="12"/>
          <w:color w:val="auto"/>
        </w:rPr>
      </w:pPr>
    </w:p>
    <w:p>
      <w:pPr>
        <w:ind w:right="200" w:firstLine="290"/>
        <w:spacing w:after="0" w:line="248" w:lineRule="auto"/>
        <w:tabs>
          <w:tab w:leader="none" w:pos="414"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Times New Roman" w:cs="Times New Roman" w:eastAsia="Times New Roman" w:hAnsi="Times New Roman"/>
          <w:sz w:val="12"/>
          <w:szCs w:val="12"/>
          <w:color w:val="auto"/>
        </w:rPr>
      </w:pPr>
    </w:p>
    <w:p>
      <w:pPr>
        <w:ind w:right="240" w:firstLine="290"/>
        <w:spacing w:after="0" w:line="236" w:lineRule="auto"/>
        <w:tabs>
          <w:tab w:leader="none" w:pos="412"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sz w:val="20"/>
          <w:szCs w:val="20"/>
          <w:color w:val="auto"/>
        </w:rPr>
      </w:pPr>
    </w:p>
    <w:p>
      <w:pPr>
        <w:ind w:right="100" w:firstLine="290"/>
        <w:spacing w:after="0" w:line="236" w:lineRule="auto"/>
        <w:tabs>
          <w:tab w:leader="none" w:pos="4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Times New Roman" w:cs="Times New Roman" w:eastAsia="Times New Roman" w:hAnsi="Times New Roman"/>
          <w:sz w:val="12"/>
          <w:szCs w:val="12"/>
          <w:color w:val="auto"/>
        </w:rPr>
      </w:pPr>
    </w:p>
    <w:p>
      <w:pPr>
        <w:ind w:right="440" w:firstLine="290"/>
        <w:spacing w:after="0" w:line="248" w:lineRule="auto"/>
        <w:tabs>
          <w:tab w:leader="none" w:pos="424"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Times New Roman" w:cs="Times New Roman" w:eastAsia="Times New Roman" w:hAnsi="Times New Roman"/>
          <w:sz w:val="12"/>
          <w:szCs w:val="12"/>
          <w:color w:val="auto"/>
        </w:rPr>
      </w:pPr>
    </w:p>
    <w:p>
      <w:pPr>
        <w:ind w:right="20" w:firstLine="290"/>
        <w:spacing w:after="0" w:line="236" w:lineRule="auto"/>
        <w:tabs>
          <w:tab w:leader="none" w:pos="4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2"/>
          <w:szCs w:val="12"/>
          <w:color w:val="auto"/>
        </w:rPr>
      </w:pPr>
    </w:p>
    <w:p>
      <w:pPr>
        <w:ind w:right="300" w:firstLine="290"/>
        <w:spacing w:after="0" w:line="236" w:lineRule="auto"/>
        <w:tabs>
          <w:tab w:leader="none" w:pos="424"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right="360" w:firstLine="290"/>
        <w:spacing w:after="0" w:line="248" w:lineRule="auto"/>
        <w:tabs>
          <w:tab w:leader="none" w:pos="41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sz w:val="20"/>
          <w:szCs w:val="20"/>
          <w:color w:val="auto"/>
        </w:rPr>
      </w:pPr>
    </w:p>
    <w:p>
      <w:pPr>
        <w:ind w:firstLine="290"/>
        <w:spacing w:after="0" w:line="236" w:lineRule="auto"/>
        <w:tabs>
          <w:tab w:leader="none" w:pos="41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12"/>
          <w:szCs w:val="12"/>
          <w:color w:val="auto"/>
        </w:rPr>
      </w:pPr>
    </w:p>
    <w:p>
      <w:pPr>
        <w:ind w:left="420" w:hanging="130"/>
        <w:spacing w:after="0"/>
        <w:tabs>
          <w:tab w:leader="none" w:pos="4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5, 2022</w:t>
      </w:r>
    </w:p>
    <w:p>
      <w:pPr>
        <w:spacing w:after="0" w:line="182" w:lineRule="exact"/>
        <w:rPr>
          <w:sz w:val="20"/>
          <w:szCs w:val="20"/>
          <w:color w:val="auto"/>
        </w:rPr>
      </w:pPr>
    </w:p>
    <w:p>
      <w:pPr>
        <w:ind w:left="6940"/>
        <w:spacing w:after="0"/>
        <w:tabs>
          <w:tab w:leader="none" w:pos="7820" w:val="left"/>
        </w:tabs>
        <w:rPr>
          <w:sz w:val="20"/>
          <w:szCs w:val="20"/>
          <w:color w:val="auto"/>
        </w:rPr>
      </w:pPr>
      <w:r>
        <w:rPr>
          <w:rFonts w:ascii="Times New Roman" w:cs="Times New Roman" w:eastAsia="Times New Roman" w:hAnsi="Times New Roman"/>
          <w:sz w:val="24"/>
          <w:szCs w:val="24"/>
          <w:color w:val="auto"/>
          <w:vertAlign w:val="superscript"/>
        </w:rPr>
        <w:t>By:</w:t>
      </w:r>
      <w:r>
        <w:rPr>
          <w:sz w:val="20"/>
          <w:szCs w:val="20"/>
          <w:color w:val="auto"/>
        </w:rPr>
        <w:tab/>
      </w:r>
      <w:r>
        <w:rPr>
          <w:rFonts w:ascii="Times New Roman" w:cs="Times New Roman" w:eastAsia="Times New Roman" w:hAnsi="Times New Roman"/>
          <w:sz w:val="12"/>
          <w:szCs w:val="12"/>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15373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537335" cy="5715"/>
                    </a:xfrm>
                    <a:prstGeom prst="rect">
                      <a:avLst/>
                    </a:prstGeom>
                    <a:noFill/>
                  </pic:spPr>
                </pic:pic>
              </a:graphicData>
            </a:graphic>
          </wp:anchor>
        </w:drawing>
      </w:r>
    </w:p>
    <w:p>
      <w:pPr>
        <w:spacing w:after="0" w:line="5"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2"/>
          <w:szCs w:val="12"/>
          <w:color w:val="auto"/>
        </w:rPr>
        <w:t>Christian O. Henry</w:t>
      </w:r>
    </w:p>
    <w:p>
      <w:pPr>
        <w:jc w:val="center"/>
        <w:ind w:left="7140"/>
        <w:spacing w:after="0" w:line="203" w:lineRule="auto"/>
        <w:rPr>
          <w:sz w:val="20"/>
          <w:szCs w:val="20"/>
          <w:color w:val="auto"/>
        </w:rPr>
      </w:pPr>
      <w:r>
        <w:rPr>
          <w:rFonts w:ascii="Times New Roman" w:cs="Times New Roman" w:eastAsia="Times New Roman" w:hAnsi="Times New Roman"/>
          <w:sz w:val="12"/>
          <w:szCs w:val="12"/>
          <w:color w:val="auto"/>
        </w:rPr>
        <w:t>Chief Executive Officer and President</w:t>
      </w:r>
    </w:p>
    <w:p>
      <w:pPr>
        <w:jc w:val="center"/>
        <w:ind w:left="714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61175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p>
      <w:pPr>
        <w:sectPr>
          <w:pgSz w:w="11900" w:h="16838" w:orient="portrait"/>
          <w:cols w:equalWidth="0" w:num="1">
            <w:col w:w="9580"/>
          </w:cols>
          <w:pgMar w:left="1160" w:top="110" w:right="11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SECURITIES EXCHANGE ACT RULES 13a-15(e), AS ADOPTED PURSUANT</w:t>
      </w:r>
    </w:p>
    <w:p>
      <w:pPr>
        <w:jc w:val="center"/>
        <w:spacing w:after="0"/>
        <w:rPr>
          <w:sz w:val="20"/>
          <w:szCs w:val="20"/>
          <w:color w:val="auto"/>
        </w:rPr>
      </w:pPr>
      <w:r>
        <w:rPr>
          <w:rFonts w:ascii="Times New Roman" w:cs="Times New Roman" w:eastAsia="Times New Roman" w:hAnsi="Times New Roman"/>
          <w:sz w:val="12"/>
          <w:szCs w:val="12"/>
          <w:b w:val="1"/>
          <w:bCs w:val="1"/>
          <w:color w:val="auto"/>
        </w:rPr>
        <w:t>TO SECTION 302 OF THE SARBANES-OXLEY ACT OF 2002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Susan Kim, certify that:</w:t>
      </w:r>
    </w:p>
    <w:p>
      <w:pPr>
        <w:spacing w:after="0" w:line="33" w:lineRule="exact"/>
        <w:rPr>
          <w:sz w:val="20"/>
          <w:szCs w:val="20"/>
          <w:color w:val="auto"/>
        </w:rPr>
      </w:pPr>
    </w:p>
    <w:p>
      <w:pPr>
        <w:ind w:left="400" w:hanging="110"/>
        <w:spacing w:after="0"/>
        <w:tabs>
          <w:tab w:leader="none" w:pos="40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Pacific Biosciences of California, Inc.;</w:t>
      </w:r>
    </w:p>
    <w:p>
      <w:pPr>
        <w:spacing w:after="0" w:line="96" w:lineRule="exact"/>
        <w:rPr>
          <w:rFonts w:ascii="Times New Roman" w:cs="Times New Roman" w:eastAsia="Times New Roman" w:hAnsi="Times New Roman"/>
          <w:sz w:val="12"/>
          <w:szCs w:val="12"/>
          <w:color w:val="auto"/>
        </w:rPr>
      </w:pPr>
    </w:p>
    <w:p>
      <w:pPr>
        <w:ind w:right="660" w:firstLine="290"/>
        <w:spacing w:after="0" w:line="236" w:lineRule="auto"/>
        <w:tabs>
          <w:tab w:leader="none" w:pos="414"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2"/>
          <w:szCs w:val="12"/>
          <w:color w:val="auto"/>
        </w:rPr>
      </w:pPr>
    </w:p>
    <w:p>
      <w:pPr>
        <w:ind w:right="200" w:firstLine="290"/>
        <w:spacing w:after="0" w:line="248" w:lineRule="auto"/>
        <w:tabs>
          <w:tab w:leader="none" w:pos="414"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Times New Roman" w:cs="Times New Roman" w:eastAsia="Times New Roman" w:hAnsi="Times New Roman"/>
          <w:sz w:val="12"/>
          <w:szCs w:val="12"/>
          <w:color w:val="auto"/>
        </w:rPr>
      </w:pPr>
    </w:p>
    <w:p>
      <w:pPr>
        <w:ind w:right="240" w:firstLine="290"/>
        <w:spacing w:after="0" w:line="236" w:lineRule="auto"/>
        <w:tabs>
          <w:tab w:leader="none" w:pos="41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 w:lineRule="exact"/>
        <w:rPr>
          <w:sz w:val="20"/>
          <w:szCs w:val="20"/>
          <w:color w:val="auto"/>
        </w:rPr>
      </w:pPr>
    </w:p>
    <w:p>
      <w:pPr>
        <w:ind w:right="100" w:firstLine="290"/>
        <w:spacing w:after="0" w:line="236" w:lineRule="auto"/>
        <w:tabs>
          <w:tab w:leader="none" w:pos="417"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2"/>
          <w:szCs w:val="12"/>
          <w:color w:val="auto"/>
        </w:rPr>
      </w:pPr>
    </w:p>
    <w:p>
      <w:pPr>
        <w:ind w:right="440" w:firstLine="290"/>
        <w:spacing w:after="0" w:line="248" w:lineRule="auto"/>
        <w:tabs>
          <w:tab w:leader="none" w:pos="42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Times New Roman" w:cs="Times New Roman" w:eastAsia="Times New Roman" w:hAnsi="Times New Roman"/>
          <w:sz w:val="12"/>
          <w:szCs w:val="12"/>
          <w:color w:val="auto"/>
        </w:rPr>
      </w:pPr>
    </w:p>
    <w:p>
      <w:pPr>
        <w:ind w:right="20" w:firstLine="290"/>
        <w:spacing w:after="0" w:line="236" w:lineRule="auto"/>
        <w:tabs>
          <w:tab w:leader="none" w:pos="417"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Times New Roman" w:cs="Times New Roman" w:eastAsia="Times New Roman" w:hAnsi="Times New Roman"/>
          <w:sz w:val="12"/>
          <w:szCs w:val="12"/>
          <w:color w:val="auto"/>
        </w:rPr>
      </w:pPr>
    </w:p>
    <w:p>
      <w:pPr>
        <w:ind w:right="300" w:firstLine="290"/>
        <w:spacing w:after="0" w:line="236" w:lineRule="auto"/>
        <w:tabs>
          <w:tab w:leader="none" w:pos="42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right="360" w:firstLine="290"/>
        <w:spacing w:after="0" w:line="248" w:lineRule="auto"/>
        <w:tabs>
          <w:tab w:leader="none" w:pos="412"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sz w:val="20"/>
          <w:szCs w:val="20"/>
          <w:color w:val="auto"/>
        </w:rPr>
      </w:pPr>
    </w:p>
    <w:p>
      <w:pPr>
        <w:ind w:firstLine="290"/>
        <w:spacing w:after="0" w:line="236" w:lineRule="auto"/>
        <w:tabs>
          <w:tab w:leader="none" w:pos="41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Times New Roman" w:cs="Times New Roman" w:eastAsia="Times New Roman" w:hAnsi="Times New Roman"/>
          <w:sz w:val="12"/>
          <w:szCs w:val="12"/>
          <w:color w:val="auto"/>
        </w:rPr>
      </w:pPr>
    </w:p>
    <w:p>
      <w:pPr>
        <w:ind w:left="420" w:hanging="130"/>
        <w:spacing w:after="0"/>
        <w:tabs>
          <w:tab w:leader="none" w:pos="4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5, 2022</w:t>
      </w:r>
    </w:p>
    <w:p>
      <w:pPr>
        <w:spacing w:after="0" w:line="182" w:lineRule="exact"/>
        <w:rPr>
          <w:sz w:val="20"/>
          <w:szCs w:val="20"/>
          <w:color w:val="auto"/>
        </w:rPr>
      </w:pPr>
    </w:p>
    <w:p>
      <w:pPr>
        <w:ind w:left="6940"/>
        <w:spacing w:after="0"/>
        <w:tabs>
          <w:tab w:leader="none" w:pos="7940" w:val="left"/>
        </w:tabs>
        <w:rPr>
          <w:sz w:val="20"/>
          <w:szCs w:val="20"/>
          <w:color w:val="auto"/>
        </w:rPr>
      </w:pPr>
      <w:r>
        <w:rPr>
          <w:rFonts w:ascii="Times New Roman" w:cs="Times New Roman" w:eastAsia="Times New Roman" w:hAnsi="Times New Roman"/>
          <w:sz w:val="24"/>
          <w:szCs w:val="24"/>
          <w:color w:val="auto"/>
          <w:vertAlign w:val="superscript"/>
        </w:rPr>
        <w:t>By:</w:t>
      </w:r>
      <w:r>
        <w:rPr>
          <w:sz w:val="20"/>
          <w:szCs w:val="20"/>
          <w:color w:val="auto"/>
        </w:rPr>
        <w:tab/>
      </w:r>
      <w:r>
        <w:rPr>
          <w:rFonts w:ascii="Times New Roman" w:cs="Times New Roman" w:eastAsia="Times New Roman" w:hAnsi="Times New Roman"/>
          <w:sz w:val="12"/>
          <w:szCs w:val="12"/>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15373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537335" cy="5715"/>
                    </a:xfrm>
                    <a:prstGeom prst="rect">
                      <a:avLst/>
                    </a:prstGeom>
                    <a:noFill/>
                  </pic:spPr>
                </pic:pic>
              </a:graphicData>
            </a:graphic>
          </wp:anchor>
        </w:drawing>
      </w:r>
    </w:p>
    <w:p>
      <w:pPr>
        <w:spacing w:after="0" w:line="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2"/>
          <w:szCs w:val="12"/>
          <w:color w:val="auto"/>
        </w:rPr>
        <w:t>Susan G. Kim</w:t>
      </w:r>
    </w:p>
    <w:p>
      <w:pPr>
        <w:ind w:left="7780"/>
        <w:spacing w:after="0" w:line="203" w:lineRule="auto"/>
        <w:rPr>
          <w:sz w:val="20"/>
          <w:szCs w:val="20"/>
          <w:color w:val="auto"/>
        </w:rPr>
      </w:pPr>
      <w:r>
        <w:rPr>
          <w:rFonts w:ascii="Times New Roman" w:cs="Times New Roman" w:eastAsia="Times New Roman" w:hAnsi="Times New Roman"/>
          <w:sz w:val="12"/>
          <w:szCs w:val="12"/>
          <w:color w:val="auto"/>
        </w:rPr>
        <w:t>Chief Financial Officer</w:t>
      </w:r>
    </w:p>
    <w:p>
      <w:pPr>
        <w:ind w:left="768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61175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p>
      <w:pPr>
        <w:sectPr>
          <w:pgSz w:w="11900" w:h="16838" w:orient="portrait"/>
          <w:cols w:equalWidth="0" w:num="1">
            <w:col w:w="9580"/>
          </w:cols>
          <w:pgMar w:left="1160" w:top="110" w:right="11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CEO Furnished Pursuant to 18 U.S.C. Section 1350,</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75"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1"/>
          <w:szCs w:val="11"/>
          <w:color w:val="auto"/>
        </w:rPr>
        <w:t>In connection with the Quarterly Report of Pacific Biosciences of California, Inc. (the “Company”) on Form 10-Q for the period ended March 31, 2022, as filed with the Securities and Exchange Commission on the date hereof, I, Christian Henry, Chief Executive Officer of the Company, certify for the purposes of section 1350 of chapter 63 of title 18 of the United States Code, as adopted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Section 906 of the Sarbanes-Oxley Act of 2002, that, to the best of my knowledge,</w:t>
      </w:r>
    </w:p>
    <w:p>
      <w:pPr>
        <w:spacing w:after="0" w:line="75" w:lineRule="exact"/>
        <w:rPr>
          <w:sz w:val="20"/>
          <w:szCs w:val="20"/>
          <w:color w:val="auto"/>
        </w:rPr>
      </w:pPr>
    </w:p>
    <w:p>
      <w:pPr>
        <w:ind w:left="420" w:right="300" w:hanging="208"/>
        <w:spacing w:after="0" w:line="236" w:lineRule="auto"/>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of the Company on Form 10-Q for the period ended March 31, 2022 (the “Report”), fully complies with the requirements of section 13(a) or 15(d) of the Securities Exchange Act of 1934, and</w:t>
      </w:r>
    </w:p>
    <w:p>
      <w:pPr>
        <w:spacing w:after="0" w:line="79" w:lineRule="exact"/>
        <w:rPr>
          <w:rFonts w:ascii="Times New Roman" w:cs="Times New Roman" w:eastAsia="Times New Roman" w:hAnsi="Times New Roman"/>
          <w:sz w:val="12"/>
          <w:szCs w:val="12"/>
          <w:color w:val="auto"/>
        </w:rPr>
      </w:pPr>
    </w:p>
    <w:p>
      <w:pPr>
        <w:ind w:left="420" w:hanging="208"/>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76" w:lineRule="exact"/>
        <w:rPr>
          <w:sz w:val="20"/>
          <w:szCs w:val="20"/>
          <w:color w:val="auto"/>
        </w:rPr>
      </w:pPr>
    </w:p>
    <w:p>
      <w:pPr>
        <w:spacing w:after="0"/>
        <w:tabs>
          <w:tab w:leader="none" w:pos="6660" w:val="left"/>
        </w:tabs>
        <w:rPr>
          <w:sz w:val="20"/>
          <w:szCs w:val="20"/>
          <w:color w:val="auto"/>
        </w:rPr>
      </w:pPr>
      <w:r>
        <w:rPr>
          <w:rFonts w:ascii="Times New Roman" w:cs="Times New Roman" w:eastAsia="Times New Roman" w:hAnsi="Times New Roman"/>
          <w:sz w:val="12"/>
          <w:szCs w:val="12"/>
          <w:color w:val="auto"/>
        </w:rPr>
        <w:t>Date: May 5, 2022</w:t>
      </w:r>
      <w:r>
        <w:rPr>
          <w:sz w:val="20"/>
          <w:szCs w:val="20"/>
          <w:color w:val="auto"/>
        </w:rPr>
        <w:tab/>
      </w:r>
      <w:r>
        <w:rPr>
          <w:rFonts w:ascii="Times New Roman" w:cs="Times New Roman" w:eastAsia="Times New Roman" w:hAnsi="Times New Roman"/>
          <w:sz w:val="11"/>
          <w:szCs w:val="11"/>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16510</wp:posOffset>
            </wp:positionV>
            <wp:extent cx="298894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988945" cy="5715"/>
                    </a:xfrm>
                    <a:prstGeom prst="rect">
                      <a:avLst/>
                    </a:prstGeom>
                    <a:noFill/>
                  </pic:spPr>
                </pic:pic>
              </a:graphicData>
            </a:graphic>
          </wp:anchor>
        </w:drawing>
      </w:r>
    </w:p>
    <w:p>
      <w:pPr>
        <w:spacing w:after="0" w:line="13"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2"/>
          <w:szCs w:val="12"/>
          <w:color w:val="auto"/>
        </w:rPr>
        <w:t>Christian O. Henry</w:t>
      </w:r>
    </w:p>
    <w:p>
      <w:pPr>
        <w:spacing w:after="0" w:line="9"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2"/>
          <w:szCs w:val="12"/>
          <w:color w:val="auto"/>
        </w:rPr>
        <w:t>Chief Executive Officer and President</w:t>
      </w:r>
    </w:p>
    <w:p>
      <w:pPr>
        <w:spacing w:after="0" w:line="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173990</wp:posOffset>
            </wp:positionV>
            <wp:extent cx="61175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p>
      <w:pPr>
        <w:sectPr>
          <w:pgSz w:w="11900" w:h="16838" w:orient="portrait"/>
          <w:cols w:equalWidth="0" w:num="1">
            <w:col w:w="9580"/>
          </w:cols>
          <w:pgMar w:left="1160" w:top="110" w:right="11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CFO Furnished Pursuant to 18 U.S.C. Section 1350,</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7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1"/>
          <w:szCs w:val="11"/>
          <w:color w:val="auto"/>
        </w:rPr>
        <w:t>In connection with the Quarterly Report of Pacific Biosciences of California, Inc. (the “Company”) on Form 10-Q for the period ended March 31, 2022, as filed with the Securities and Exchange Commission on the date hereof, I, Susan Kim, Chief Financial Officer of the Company, certify for the purposes of section 1350 of chapter 63 of title 18 of the United States Code, as adopted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Section 906 of the Sarbanes-Oxley Act of 2002, that, to the best of my knowledge,</w:t>
      </w:r>
    </w:p>
    <w:p>
      <w:pPr>
        <w:spacing w:after="0" w:line="75" w:lineRule="exact"/>
        <w:rPr>
          <w:sz w:val="20"/>
          <w:szCs w:val="20"/>
          <w:color w:val="auto"/>
        </w:rPr>
      </w:pPr>
    </w:p>
    <w:p>
      <w:pPr>
        <w:ind w:left="420" w:right="300" w:hanging="208"/>
        <w:spacing w:after="0" w:line="236" w:lineRule="auto"/>
        <w:tabs>
          <w:tab w:leader="none" w:pos="4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of the Company on Form 10-Q for the period ended March 31, 2022 (the “Report”), fully complies with the requirements of section 13(a) or 15(d) of the Securities Exchange Act of 1934, and</w:t>
      </w:r>
    </w:p>
    <w:p>
      <w:pPr>
        <w:spacing w:after="0" w:line="79" w:lineRule="exact"/>
        <w:rPr>
          <w:rFonts w:ascii="Times New Roman" w:cs="Times New Roman" w:eastAsia="Times New Roman" w:hAnsi="Times New Roman"/>
          <w:sz w:val="12"/>
          <w:szCs w:val="12"/>
          <w:color w:val="auto"/>
        </w:rPr>
      </w:pPr>
    </w:p>
    <w:p>
      <w:pPr>
        <w:ind w:left="420" w:hanging="208"/>
        <w:spacing w:after="0"/>
        <w:tabs>
          <w:tab w:leader="none" w:pos="4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spacing w:after="0"/>
        <w:tabs>
          <w:tab w:leader="none" w:pos="6780" w:val="left"/>
        </w:tabs>
        <w:rPr>
          <w:sz w:val="20"/>
          <w:szCs w:val="20"/>
          <w:color w:val="auto"/>
        </w:rPr>
      </w:pPr>
      <w:r>
        <w:rPr>
          <w:rFonts w:ascii="Times New Roman" w:cs="Times New Roman" w:eastAsia="Times New Roman" w:hAnsi="Times New Roman"/>
          <w:sz w:val="12"/>
          <w:szCs w:val="12"/>
          <w:color w:val="auto"/>
        </w:rPr>
        <w:t>Date: May 5, 2022</w:t>
      </w:r>
      <w:r>
        <w:rPr>
          <w:sz w:val="20"/>
          <w:szCs w:val="20"/>
          <w:color w:val="auto"/>
        </w:rPr>
        <w:tab/>
      </w:r>
      <w:r>
        <w:rPr>
          <w:rFonts w:ascii="Times New Roman" w:cs="Times New Roman" w:eastAsia="Times New Roman" w:hAnsi="Times New Roman"/>
          <w:sz w:val="11"/>
          <w:szCs w:val="11"/>
          <w:color w:val="auto"/>
        </w:rPr>
        <w:t>/s/ 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10795</wp:posOffset>
            </wp:positionV>
            <wp:extent cx="298894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988945" cy="5715"/>
                    </a:xfrm>
                    <a:prstGeom prst="rect">
                      <a:avLst/>
                    </a:prstGeom>
                    <a:noFill/>
                  </pic:spPr>
                </pic:pic>
              </a:graphicData>
            </a:graphic>
          </wp:anchor>
        </w:drawing>
      </w:r>
    </w:p>
    <w:p>
      <w:pPr>
        <w:jc w:val="center"/>
        <w:ind w:left="4860"/>
        <w:spacing w:after="0"/>
        <w:rPr>
          <w:sz w:val="20"/>
          <w:szCs w:val="20"/>
          <w:color w:val="auto"/>
        </w:rPr>
      </w:pPr>
      <w:r>
        <w:rPr>
          <w:rFonts w:ascii="Times New Roman" w:cs="Times New Roman" w:eastAsia="Times New Roman" w:hAnsi="Times New Roman"/>
          <w:sz w:val="12"/>
          <w:szCs w:val="12"/>
          <w:color w:val="auto"/>
        </w:rPr>
        <w:t>Susan G. Kim</w:t>
      </w:r>
    </w:p>
    <w:p>
      <w:pPr>
        <w:jc w:val="center"/>
        <w:ind w:left="4860"/>
        <w:spacing w:after="0" w:line="219" w:lineRule="auto"/>
        <w:rPr>
          <w:sz w:val="20"/>
          <w:szCs w:val="20"/>
          <w:color w:val="auto"/>
        </w:rPr>
      </w:pPr>
      <w:r>
        <w:rPr>
          <w:rFonts w:ascii="Times New Roman" w:cs="Times New Roman" w:eastAsia="Times New Roman" w:hAnsi="Times New Roman"/>
          <w:sz w:val="12"/>
          <w:szCs w:val="12"/>
          <w:color w:val="auto"/>
        </w:rPr>
        <w:t>Chief Financial Officer</w:t>
      </w:r>
    </w:p>
    <w:p>
      <w:pPr>
        <w:ind w:left="6540"/>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550545</wp:posOffset>
            </wp:positionV>
            <wp:extent cx="61175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117590" cy="42545"/>
                    </a:xfrm>
                    <a:prstGeom prst="rect">
                      <a:avLst/>
                    </a:prstGeom>
                    <a:noFill/>
                  </pic:spPr>
                </pic:pic>
              </a:graphicData>
            </a:graphic>
          </wp:anchor>
        </w:drawing>
      </w:r>
    </w:p>
    <w:sectPr>
      <w:pgSz w:w="11900" w:h="16838" w:orient="portrait"/>
      <w:cols w:equalWidth="0" w:num="1">
        <w:col w:w="9580"/>
      </w:cols>
      <w:pgMar w:left="1160" w:top="110"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 "/>
      <w:numFmt w:val="bullet"/>
      <w:start w:val="1"/>
    </w:lvl>
  </w:abstractNum>
  <w:abstractNum w:abstractNumId="3">
    <w:nsid w:val="2CD89A32"/>
    <w:multiLevelType w:val="hybridMultilevel"/>
    <w:lvl w:ilvl="0">
      <w:lvlJc w:val="left"/>
      <w:lvlText w:val=" "/>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
      <w:numFmt w:val="bullet"/>
      <w:start w:val="1"/>
    </w:lvl>
  </w:abstractNum>
  <w:abstractNum w:abstractNumId="8">
    <w:nsid w:val="6DE91B18"/>
    <w:multiLevelType w:val="hybridMultilevel"/>
    <w:lvl w:ilvl="0">
      <w:lvlJc w:val="left"/>
      <w:lvlText w:val=" "/>
      <w:numFmt w:val="bullet"/>
      <w:start w:val="1"/>
    </w:lvl>
  </w:abstractNum>
  <w:abstractNum w:abstractNumId="9">
    <w:nsid w:val="38437FDB"/>
    <w:multiLevelType w:val="hybridMultilevel"/>
    <w:lvl w:ilvl="0">
      <w:lvlJc w:val="left"/>
      <w:lvlText w:val=" "/>
      <w:numFmt w:val="bullet"/>
      <w:start w:val="1"/>
    </w:lvl>
  </w:abstractNum>
  <w:abstractNum w:abstractNumId="10">
    <w:nsid w:val="7644A45C"/>
    <w:multiLevelType w:val="hybridMultilevel"/>
    <w:lvl w:ilvl="0">
      <w:lvlJc w:val="left"/>
      <w:lvlText w:val=" "/>
      <w:numFmt w:val="bullet"/>
      <w:start w:val="1"/>
    </w:lvl>
  </w:abstractNum>
  <w:abstractNum w:abstractNumId="11">
    <w:nsid w:val="32FFF902"/>
    <w:multiLevelType w:val="hybridMultilevel"/>
    <w:lvl w:ilvl="0">
      <w:lvlJc w:val="left"/>
      <w:lvlText w:val=" "/>
      <w:numFmt w:val="bullet"/>
      <w:start w:val="1"/>
    </w:lvl>
  </w:abstractNum>
  <w:abstractNum w:abstractNumId="12">
    <w:nsid w:val="684A481A"/>
    <w:multiLevelType w:val="hybridMultilevel"/>
    <w:lvl w:ilvl="0">
      <w:lvlJc w:val="left"/>
      <w:lvlText w:val=" "/>
      <w:numFmt w:val="bullet"/>
      <w:start w:val="1"/>
    </w:lvl>
  </w:abstractNum>
  <w:abstractNum w:abstractNumId="13">
    <w:nsid w:val="579478FE"/>
    <w:multiLevelType w:val="hybridMultilevel"/>
    <w:lvl w:ilvl="0">
      <w:lvlJc w:val="left"/>
      <w:lvlText w:val=" "/>
      <w:numFmt w:val="bullet"/>
      <w:start w:val="1"/>
    </w:lvl>
  </w:abstractNum>
  <w:abstractNum w:abstractNumId="14">
    <w:nsid w:val="749ABB43"/>
    <w:multiLevelType w:val="hybridMultilevel"/>
    <w:lvl w:ilvl="0">
      <w:lvlJc w:val="left"/>
      <w:lvlText w:val=" "/>
      <w:numFmt w:val="bullet"/>
      <w:start w:val="1"/>
    </w:lvl>
  </w:abstractNum>
  <w:abstractNum w:abstractNumId="15">
    <w:nsid w:val="3DC240FB"/>
    <w:multiLevelType w:val="hybridMultilevel"/>
    <w:lvl w:ilvl="0">
      <w:lvlJc w:val="left"/>
      <w:lvlText w:val=" "/>
      <w:numFmt w:val="bullet"/>
      <w:start w:val="1"/>
    </w:lvl>
  </w:abstractNum>
  <w:abstractNum w:abstractNumId="16">
    <w:nsid w:val="1BA026FA"/>
    <w:multiLevelType w:val="hybridMultilevel"/>
    <w:lvl w:ilvl="0">
      <w:lvlJc w:val="left"/>
      <w:lvlText w:val=" "/>
      <w:numFmt w:val="bullet"/>
      <w:start w:val="1"/>
    </w:lvl>
  </w:abstractNum>
  <w:abstractNum w:abstractNumId="17">
    <w:nsid w:val="79A1DEAA"/>
    <w:multiLevelType w:val="hybridMultilevel"/>
    <w:lvl w:ilvl="0">
      <w:lvlJc w:val="left"/>
      <w:lvlText w:val=" "/>
      <w:numFmt w:val="bullet"/>
      <w:start w:val="1"/>
    </w:lvl>
  </w:abstractNum>
  <w:abstractNum w:abstractNumId="18">
    <w:nsid w:val="75C6C33A"/>
    <w:multiLevelType w:val="hybridMultilevel"/>
    <w:lvl w:ilvl="0">
      <w:lvlJc w:val="left"/>
      <w:lvlText w:val=" "/>
      <w:numFmt w:val="bullet"/>
      <w:start w:val="1"/>
    </w:lvl>
  </w:abstractNum>
  <w:abstractNum w:abstractNumId="19">
    <w:nsid w:val="12E685FB"/>
    <w:multiLevelType w:val="hybridMultilevel"/>
    <w:lvl w:ilvl="0">
      <w:lvlJc w:val="left"/>
      <w:lvlText w:val=" "/>
      <w:numFmt w:val="bullet"/>
      <w:start w:val="1"/>
    </w:lvl>
  </w:abstractNum>
  <w:abstractNum w:abstractNumId="20">
    <w:nsid w:val="70C6A529"/>
    <w:multiLevelType w:val="hybridMultilevel"/>
    <w:lvl w:ilvl="0">
      <w:lvlJc w:val="left"/>
      <w:lvlText w:val=" "/>
      <w:numFmt w:val="bullet"/>
      <w:start w:val="1"/>
    </w:lvl>
  </w:abstractNum>
  <w:abstractNum w:abstractNumId="21">
    <w:nsid w:val="520EEDD1"/>
    <w:multiLevelType w:val="hybridMultilevel"/>
    <w:lvl w:ilvl="0">
      <w:lvlJc w:val="left"/>
      <w:lvlText w:val=" "/>
      <w:numFmt w:val="bullet"/>
      <w:start w:val="1"/>
    </w:lvl>
  </w:abstractNum>
  <w:abstractNum w:abstractNumId="22">
    <w:nsid w:val="374A3FE6"/>
    <w:multiLevelType w:val="hybridMultilevel"/>
    <w:lvl w:ilvl="0">
      <w:lvlJc w:val="left"/>
      <w:lvlText w:val=" "/>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4"/>
    </w:lvl>
  </w:abstractNum>
  <w:abstractNum w:abstractNumId="27">
    <w:nsid w:val="39386575"/>
    <w:multiLevelType w:val="hybridMultilevel"/>
    <w:lvl w:ilvl="0">
      <w:lvlJc w:val="left"/>
      <w:lvlText w:val="%1"/>
      <w:numFmt w:val="decimal"/>
      <w:start w:val="1"/>
    </w:lvl>
    <w:lvl w:ilvl="1">
      <w:lvlJc w:val="left"/>
      <w:lvlText w:val="%2."/>
      <w:numFmt w:val="decimal"/>
      <w:start w:val="1"/>
    </w:lvl>
  </w:abstractNum>
  <w:abstractNum w:abstractNumId="28">
    <w:nsid w:val="1CF10FD8"/>
    <w:multiLevelType w:val="hybridMultilevel"/>
    <w:lvl w:ilvl="0">
      <w:lvlJc w:val="left"/>
      <w:lvlText w:val="(%1)"/>
      <w:numFmt w:val="decimal"/>
      <w:start w:val="60"/>
    </w:lvl>
    <w:lvl w:ilvl="1">
      <w:lvlJc w:val="left"/>
      <w:lvlText w:val="%2"/>
      <w:numFmt w:val="decimal"/>
      <w:start w:val="1"/>
    </w:lvl>
  </w:abstractNum>
  <w:abstractNum w:abstractNumId="29">
    <w:nsid w:val="180115BE"/>
    <w:multiLevelType w:val="hybridMultilevel"/>
    <w:lvl w:ilvl="0">
      <w:lvlJc w:val="left"/>
      <w:lvlText w:val="%1."/>
      <w:numFmt w:val="decimal"/>
      <w:start w:val="3"/>
    </w:lvl>
  </w:abstractNum>
  <w:abstractNum w:abstractNumId="30">
    <w:nsid w:val="235BA861"/>
    <w:multiLevelType w:val="hybridMultilevel"/>
    <w:lvl w:ilvl="0">
      <w:lvlJc w:val="left"/>
      <w:lvlText w:val="(%1)"/>
      <w:numFmt w:val="lowerLetter"/>
      <w:start w:val="1"/>
    </w:lvl>
  </w:abstractNum>
  <w:abstractNum w:abstractNumId="31">
    <w:nsid w:val="47398C89"/>
    <w:multiLevelType w:val="hybridMultilevel"/>
    <w:lvl w:ilvl="0">
      <w:lvlJc w:val="left"/>
      <w:lvlText w:val="(%1)"/>
      <w:numFmt w:val="lowerRoman"/>
      <w:start w:val="1"/>
    </w:lvl>
  </w:abstractNum>
  <w:abstractNum w:abstractNumId="32">
    <w:nsid w:val="354FE9F9"/>
    <w:multiLevelType w:val="hybridMultilevel"/>
    <w:lvl w:ilvl="0">
      <w:lvlJc w:val="left"/>
      <w:lvlText w:val="(%1)"/>
      <w:numFmt w:val="lowerRoman"/>
      <w:start w:val="2"/>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lowerRoman"/>
      <w:start w:val="1"/>
    </w:lvl>
  </w:abstractNum>
  <w:abstractNum w:abstractNumId="35">
    <w:nsid w:val="D34B6A8"/>
    <w:multiLevelType w:val="hybridMultilevel"/>
    <w:lvl w:ilvl="0">
      <w:lvlJc w:val="left"/>
      <w:lvlText w:val="(%1)"/>
      <w:numFmt w:val="lowerRoman"/>
      <w:start w:val="2"/>
    </w:lvl>
  </w:abstractNum>
  <w:abstractNum w:abstractNumId="36">
    <w:nsid w:val="10233C99"/>
    <w:multiLevelType w:val="hybridMultilevel"/>
    <w:lvl w:ilvl="0">
      <w:lvlJc w:val="left"/>
      <w:lvlText w:val="(%1)"/>
      <w:numFmt w:val="lowerRoman"/>
      <w:start w:val="3"/>
    </w:lvl>
  </w:abstractNum>
  <w:abstractNum w:abstractNumId="37">
    <w:nsid w:val="3F6AB60F"/>
    <w:multiLevelType w:val="hybridMultilevel"/>
    <w:lvl w:ilvl="0">
      <w:lvlJc w:val="left"/>
      <w:lvlText w:val="(%1)"/>
      <w:numFmt w:val="lowerRoman"/>
      <w:start w:val="4"/>
    </w:lvl>
  </w:abstractNum>
  <w:abstractNum w:abstractNumId="38">
    <w:nsid w:val="61574095"/>
    <w:multiLevelType w:val="hybridMultilevel"/>
    <w:lvl w:ilvl="0">
      <w:lvlJc w:val="left"/>
      <w:lvlText w:val="(%1)"/>
      <w:numFmt w:val="lowerLetter"/>
      <w:start w:val="3"/>
    </w:lvl>
  </w:abstractNum>
  <w:abstractNum w:abstractNumId="39">
    <w:nsid w:val="7E0C57B1"/>
    <w:multiLevelType w:val="hybridMultilevel"/>
    <w:lvl w:ilvl="0">
      <w:lvlJc w:val="left"/>
      <w:lvlText w:val="(%1)"/>
      <w:numFmt w:val="lowerLetter"/>
      <w:start w:val="4"/>
    </w:lvl>
  </w:abstractNum>
  <w:abstractNum w:abstractNumId="40">
    <w:nsid w:val="77AE35EB"/>
    <w:multiLevelType w:val="hybridMultilevel"/>
    <w:lvl w:ilvl="0">
      <w:lvlJc w:val="left"/>
      <w:lvlText w:val="(%1)"/>
      <w:numFmt w:val="lowerLetter"/>
      <w:start w:val="5"/>
    </w:lvl>
  </w:abstractNum>
  <w:abstractNum w:abstractNumId="41">
    <w:nsid w:val="579BE4F1"/>
    <w:multiLevelType w:val="hybridMultilevel"/>
    <w:lvl w:ilvl="0">
      <w:lvlJc w:val="left"/>
      <w:lvlText w:val="%1."/>
      <w:numFmt w:val="decimal"/>
      <w:start w:val="4"/>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2"/>
    </w:lvl>
  </w:abstractNum>
  <w:abstractNum w:abstractNumId="44">
    <w:nsid w:val="2F305DEF"/>
    <w:multiLevelType w:val="hybridMultilevel"/>
    <w:lvl w:ilvl="0">
      <w:lvlJc w:val="left"/>
      <w:lvlText w:val="(%1)"/>
      <w:numFmt w:val="lowerLetter"/>
      <w:start w:val="3"/>
    </w:lvl>
  </w:abstractNum>
  <w:abstractNum w:abstractNumId="45">
    <w:nsid w:val="25A70BF7"/>
    <w:multiLevelType w:val="hybridMultilevel"/>
    <w:lvl w:ilvl="0">
      <w:lvlJc w:val="left"/>
      <w:lvlText w:val="(%1)"/>
      <w:numFmt w:val="lowerLetter"/>
      <w:start w:val="4"/>
    </w:lvl>
  </w:abstractNum>
  <w:abstractNum w:abstractNumId="46">
    <w:nsid w:val="1DBABF00"/>
    <w:multiLevelType w:val="hybridMultilevel"/>
    <w:lvl w:ilvl="0">
      <w:lvlJc w:val="left"/>
      <w:lvlText w:val="(%1)"/>
      <w:numFmt w:val="lowerRoman"/>
      <w:start w:val="1"/>
    </w:lvl>
  </w:abstractNum>
  <w:abstractNum w:abstractNumId="47">
    <w:nsid w:val="4AD084E9"/>
    <w:multiLevelType w:val="hybridMultilevel"/>
    <w:lvl w:ilvl="0">
      <w:lvlJc w:val="left"/>
      <w:lvlText w:val="(%1)"/>
      <w:numFmt w:val="lowerRoman"/>
      <w:start w:val="2"/>
    </w:lvl>
  </w:abstractNum>
  <w:abstractNum w:abstractNumId="48">
    <w:nsid w:val="1F48EAA1"/>
    <w:multiLevelType w:val="hybridMultilevel"/>
    <w:lvl w:ilvl="0">
      <w:lvlJc w:val="left"/>
      <w:lvlText w:val="(%1)"/>
      <w:numFmt w:val="lowerRoman"/>
      <w:start w:val="4"/>
    </w:lvl>
  </w:abstractNum>
  <w:abstractNum w:abstractNumId="49">
    <w:nsid w:val="1381823A"/>
    <w:multiLevelType w:val="hybridMultilevel"/>
    <w:lvl w:ilvl="0">
      <w:lvlJc w:val="left"/>
      <w:lvlText w:val="(%1)"/>
      <w:numFmt w:val="lowerRoman"/>
      <w:start w:val="5"/>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lowerLetter"/>
      <w:start w:val="2"/>
    </w:lvl>
  </w:abstractNum>
  <w:abstractNum w:abstractNumId="52">
    <w:nsid w:val="6590700B"/>
    <w:multiLevelType w:val="hybridMultilevel"/>
    <w:lvl w:ilvl="0">
      <w:lvlJc w:val="left"/>
      <w:lvlText w:val="%1."/>
      <w:numFmt w:val="decimal"/>
      <w:start w:val="6"/>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lowerLetter"/>
      <w:start w:val="2"/>
    </w:lvl>
  </w:abstractNum>
  <w:abstractNum w:abstractNumId="55">
    <w:nsid w:val="98A3148"/>
    <w:multiLevelType w:val="hybridMultilevel"/>
    <w:lvl w:ilvl="0">
      <w:lvlJc w:val="left"/>
      <w:lvlText w:val="(%1)"/>
      <w:numFmt w:val="lowerRoman"/>
      <w:start w:val="1"/>
    </w:lvl>
  </w:abstractNum>
  <w:abstractNum w:abstractNumId="56">
    <w:nsid w:val="799D0247"/>
    <w:multiLevelType w:val="hybridMultilevel"/>
    <w:lvl w:ilvl="0">
      <w:lvlJc w:val="left"/>
      <w:lvlText w:val="(%1)"/>
      <w:numFmt w:val="lowerRoman"/>
      <w:start w:val="2"/>
    </w:lvl>
  </w:abstractNum>
  <w:abstractNum w:abstractNumId="57">
    <w:nsid w:val="6B94764"/>
    <w:multiLevelType w:val="hybridMultilevel"/>
    <w:lvl w:ilvl="0">
      <w:lvlJc w:val="left"/>
      <w:lvlText w:val="(%1)"/>
      <w:numFmt w:val="lowerLetter"/>
      <w:start w:val="3"/>
    </w:lvl>
  </w:abstractNum>
  <w:abstractNum w:abstractNumId="58">
    <w:nsid w:val="42C296BD"/>
    <w:multiLevelType w:val="hybridMultilevel"/>
    <w:lvl w:ilvl="0">
      <w:lvlJc w:val="left"/>
      <w:lvlText w:val="%1"/>
      <w:numFmt w:val="decimal"/>
      <w:start w:val="1"/>
    </w:lvl>
    <w:lvl w:ilvl="1">
      <w:lvlJc w:val="left"/>
      <w:lvlText w:val="(%2)"/>
      <w:numFmt w:val="lowerLetter"/>
      <w:start w:val="4"/>
    </w:lvl>
  </w:abstractNum>
  <w:abstractNum w:abstractNumId="59">
    <w:nsid w:val="168E121F"/>
    <w:multiLevelType w:val="hybridMultilevel"/>
    <w:lvl w:ilvl="0">
      <w:lvlJc w:val="left"/>
      <w:lvlText w:val="(%1)"/>
      <w:numFmt w:val="decimal"/>
      <w:start w:val="12"/>
    </w:lvl>
    <w:lvl w:ilvl="1">
      <w:lvlJc w:val="left"/>
      <w:lvlText w:val="%2"/>
      <w:numFmt w:val="lowerLetter"/>
      <w:start w:val="1"/>
    </w:lvl>
  </w:abstractNum>
  <w:abstractNum w:abstractNumId="60">
    <w:nsid w:val="1EBA5D23"/>
    <w:multiLevelType w:val="hybridMultilevel"/>
    <w:lvl w:ilvl="0">
      <w:lvlJc w:val="left"/>
      <w:lvlText w:val="%1"/>
      <w:numFmt w:val="lowerLetter"/>
      <w:start w:val="1"/>
    </w:lvl>
    <w:lvl w:ilvl="1">
      <w:lvlJc w:val="left"/>
      <w:lvlText w:val="(%2)"/>
      <w:numFmt w:val="lowerLetter"/>
      <w:start w:val="5"/>
    </w:lvl>
  </w:abstractNum>
  <w:abstractNum w:abstractNumId="61">
    <w:nsid w:val="661E3F1E"/>
    <w:multiLevelType w:val="hybridMultilevel"/>
    <w:lvl w:ilvl="0">
      <w:lvlJc w:val="left"/>
      <w:lvlText w:val="(%1)"/>
      <w:numFmt w:val="lowerLetter"/>
      <w:start w:val="9"/>
    </w:lvl>
    <w:lvl w:ilvl="1">
      <w:lvlJc w:val="left"/>
      <w:lvlText w:val="%2"/>
      <w:numFmt w:val="lowerLetter"/>
      <w:start w:val="1"/>
    </w:lvl>
  </w:abstractNum>
  <w:abstractNum w:abstractNumId="62">
    <w:nsid w:val="5DC79EA8"/>
    <w:multiLevelType w:val="hybridMultilevel"/>
    <w:lvl w:ilvl="0">
      <w:lvlJc w:val="left"/>
      <w:lvlText w:val="%1"/>
      <w:numFmt w:val="upperLetter"/>
      <w:start w:val="1"/>
    </w:lvl>
    <w:lvl w:ilvl="1">
      <w:lvlJc w:val="left"/>
      <w:lvlText w:val="(%2)"/>
      <w:numFmt w:val="lowerLetter"/>
      <w:start w:val="6"/>
    </w:lvl>
  </w:abstractNum>
  <w:abstractNum w:abstractNumId="63">
    <w:nsid w:val="540A471C"/>
    <w:multiLevelType w:val="hybridMultilevel"/>
    <w:lvl w:ilvl="0">
      <w:lvlJc w:val="left"/>
      <w:lvlText w:val="(%1)"/>
      <w:numFmt w:val="upperLetter"/>
      <w:start w:val="2"/>
    </w:lvl>
    <w:lvl w:ilvl="1">
      <w:lvlJc w:val="left"/>
      <w:lvlText w:val="%2"/>
      <w:numFmt w:val="lowerLetter"/>
      <w:start w:val="1"/>
    </w:lvl>
  </w:abstractNum>
  <w:abstractNum w:abstractNumId="64">
    <w:nsid w:val="7BD3EE7B"/>
    <w:multiLevelType w:val="hybridMultilevel"/>
    <w:lvl w:ilvl="0">
      <w:lvlJc w:val="left"/>
      <w:lvlText w:val="%1."/>
      <w:numFmt w:val="decimal"/>
      <w:start w:val="7"/>
    </w:lvl>
  </w:abstractNum>
  <w:abstractNum w:abstractNumId="65">
    <w:nsid w:val="51D9C564"/>
    <w:multiLevelType w:val="hybridMultilevel"/>
    <w:lvl w:ilvl="0">
      <w:lvlJc w:val="left"/>
      <w:lvlText w:val="(%1)"/>
      <w:numFmt w:val="lowerLetter"/>
      <w:start w:val="1"/>
    </w:lvl>
  </w:abstractNum>
  <w:abstractNum w:abstractNumId="66">
    <w:nsid w:val="613EFDC5"/>
    <w:multiLevelType w:val="hybridMultilevel"/>
    <w:lvl w:ilvl="0">
      <w:lvlJc w:val="left"/>
      <w:lvlText w:val="%1."/>
      <w:numFmt w:val="decimal"/>
      <w:start w:val="8"/>
    </w:lvl>
  </w:abstractNum>
  <w:abstractNum w:abstractNumId="67">
    <w:nsid w:val="BF72B14"/>
    <w:multiLevelType w:val="hybridMultilevel"/>
    <w:lvl w:ilvl="0">
      <w:lvlJc w:val="left"/>
      <w:lvlText w:val="(%1)"/>
      <w:numFmt w:val="lowerLetter"/>
      <w:start w:val="1"/>
    </w:lvl>
  </w:abstractNum>
  <w:abstractNum w:abstractNumId="68">
    <w:nsid w:val="11447B73"/>
    <w:multiLevelType w:val="hybridMultilevel"/>
    <w:lvl w:ilvl="0">
      <w:lvlJc w:val="left"/>
      <w:lvlText w:val="(%1)"/>
      <w:numFmt w:val="lowerLetter"/>
      <w:start w:val="3"/>
    </w:lvl>
  </w:abstractNum>
  <w:abstractNum w:abstractNumId="69">
    <w:nsid w:val="42963E5A"/>
    <w:multiLevelType w:val="hybridMultilevel"/>
    <w:lvl w:ilvl="0">
      <w:lvlJc w:val="left"/>
      <w:lvlText w:val="%1."/>
      <w:numFmt w:val="decimal"/>
      <w:start w:val="9"/>
    </w:lvl>
  </w:abstractNum>
  <w:abstractNum w:abstractNumId="70">
    <w:nsid w:val="A0382C5"/>
    <w:multiLevelType w:val="hybridMultilevel"/>
    <w:lvl w:ilvl="0">
      <w:lvlJc w:val="left"/>
      <w:lvlText w:val="(%1)"/>
      <w:numFmt w:val="lowerLetter"/>
      <w:start w:val="3"/>
    </w:lvl>
  </w:abstractNum>
  <w:abstractNum w:abstractNumId="71">
    <w:nsid w:val="8F2B15E"/>
    <w:multiLevelType w:val="hybridMultilevel"/>
    <w:lvl w:ilvl="0">
      <w:lvlJc w:val="left"/>
      <w:lvlText w:val="(%1)"/>
      <w:numFmt w:val="lowerLetter"/>
      <w:start w:val="4"/>
    </w:lvl>
  </w:abstractNum>
  <w:abstractNum w:abstractNumId="72">
    <w:nsid w:val="1A32234B"/>
    <w:multiLevelType w:val="hybridMultilevel"/>
    <w:lvl w:ilvl="0">
      <w:lvlJc w:val="left"/>
      <w:lvlText w:val="(%1)"/>
      <w:numFmt w:val="lowerLetter"/>
      <w:start w:val="5"/>
    </w:lvl>
  </w:abstractNum>
  <w:abstractNum w:abstractNumId="73">
    <w:nsid w:val="3B0FD379"/>
    <w:multiLevelType w:val="hybridMultilevel"/>
    <w:lvl w:ilvl="0">
      <w:lvlJc w:val="left"/>
      <w:lvlText w:val="(%1)"/>
      <w:numFmt w:val="lowerLetter"/>
      <w:start w:val="6"/>
    </w:lvl>
  </w:abstractNum>
  <w:abstractNum w:abstractNumId="74">
    <w:nsid w:val="68EB2F63"/>
    <w:multiLevelType w:val="hybridMultilevel"/>
    <w:lvl w:ilvl="0">
      <w:lvlJc w:val="left"/>
      <w:lvlText w:val="(%1)"/>
      <w:numFmt w:val="lowerLetter"/>
      <w:start w:val="8"/>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lowerRoman"/>
      <w:start w:val="1"/>
    </w:lvl>
  </w:abstractNum>
  <w:abstractNum w:abstractNumId="84">
    <w:nsid w:val="6EB5B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jpe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jpeg"/><Relationship Id="rId117" Type="http://schemas.openxmlformats.org/officeDocument/2006/relationships/image" Target="media/image108.jpe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93" Type="http://schemas.openxmlformats.org/officeDocument/2006/relationships/hyperlink" Target="http://www.sec.gov/Archives/edgar/data/1299130/000129913021000223/pacb-20211119xex10_1.htm" TargetMode="External"/><Relationship Id="rId94" Type="http://schemas.openxmlformats.org/officeDocument/2006/relationships/hyperlink" Target="http://www.sec.gov/Archives/edgar/data/1299130/000129913021000216/pacb-20210930x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2022-05-06T05:39:28Z</dcterms:created>
  <dcterms:modified xsi:type="dcterms:W3CDTF">2022-05-06T05:39:28Z</dcterms:modified>
</cp:coreProperties>
</file>