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13335</wp:posOffset>
            </wp:positionH>
            <wp:positionV relativeFrom="page">
              <wp:posOffset>15240</wp:posOffset>
            </wp:positionV>
            <wp:extent cx="7759065" cy="10043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59065" cy="100431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240"/>
        <w:spacing w:after="0"/>
        <w:rPr>
          <w:sz w:val="20"/>
          <w:szCs w:val="20"/>
          <w:color w:val="auto"/>
        </w:rPr>
      </w:pPr>
      <w:r>
        <w:rPr>
          <w:rFonts w:ascii="Arial" w:cs="Arial" w:eastAsia="Arial" w:hAnsi="Arial"/>
          <w:sz w:val="58"/>
          <w:szCs w:val="58"/>
          <w:color w:val="FFFFFF"/>
        </w:rPr>
        <w:t>2025 ANNUAL REPORT</w:t>
      </w:r>
    </w:p>
    <w:p>
      <w:pPr>
        <w:sectPr>
          <w:pgSz w:w="12240" w:h="15840" w:orient="portrait"/>
          <w:cols w:equalWidth="0" w:num="1">
            <w:col w:w="9360"/>
          </w:cols>
          <w:pgMar w:left="1440" w:top="1440" w:right="1440" w:bottom="1440" w:gutter="0" w:footer="0" w:header="0"/>
        </w:sectPr>
      </w:pPr>
    </w:p>
    <w:bookmarkStart w:id="1" w:name="page2"/>
    <w:bookmarkEnd w:id="1"/>
    <w:p>
      <w:pPr>
        <w:spacing w:after="0"/>
        <w:rPr>
          <w:sz w:val="20"/>
          <w:szCs w:val="20"/>
          <w:color w:val="auto"/>
        </w:rPr>
      </w:pPr>
      <w:r>
        <w:rPr>
          <w:rFonts w:ascii="Arial" w:cs="Arial" w:eastAsia="Arial" w:hAnsi="Arial"/>
          <w:sz w:val="24"/>
          <w:szCs w:val="24"/>
          <w:color w:val="auto"/>
        </w:rPr>
        <w:t>Dear PacBio Stockholders,</w:t>
      </w:r>
    </w:p>
    <w:p>
      <w:pPr>
        <w:spacing w:after="0" w:line="220" w:lineRule="exact"/>
        <w:rPr>
          <w:sz w:val="20"/>
          <w:szCs w:val="20"/>
          <w:color w:val="auto"/>
        </w:rPr>
      </w:pPr>
    </w:p>
    <w:p>
      <w:pPr>
        <w:ind w:right="140"/>
        <w:spacing w:after="0" w:line="315" w:lineRule="auto"/>
        <w:rPr>
          <w:sz w:val="20"/>
          <w:szCs w:val="20"/>
          <w:color w:val="auto"/>
        </w:rPr>
      </w:pPr>
      <w:r>
        <w:rPr>
          <w:rFonts w:ascii="Arial" w:cs="Arial" w:eastAsia="Arial" w:hAnsi="Arial"/>
          <w:sz w:val="23"/>
          <w:szCs w:val="23"/>
          <w:color w:val="auto"/>
        </w:rPr>
        <w:t>For decades, patients with rare diseases have endured years-long diagnostic odysseys, often undergoing numerous and expensive genomic tests in an effort to understand the genetic basis of their condition, frequently without ever receiving a definitive answer. Despite the name, rare diseases are not rare. More than 6,000 distinct rare diseases affect approximately 300 million people worldwide, with over 70% believed to have a genetic origin.</w:t>
      </w:r>
    </w:p>
    <w:p>
      <w:pPr>
        <w:spacing w:after="0" w:line="109" w:lineRule="exact"/>
        <w:rPr>
          <w:sz w:val="20"/>
          <w:szCs w:val="20"/>
          <w:color w:val="auto"/>
        </w:rPr>
      </w:pPr>
    </w:p>
    <w:p>
      <w:pPr>
        <w:spacing w:after="0"/>
        <w:rPr>
          <w:sz w:val="20"/>
          <w:szCs w:val="20"/>
          <w:color w:val="auto"/>
        </w:rPr>
      </w:pPr>
      <w:r>
        <w:rPr>
          <w:rFonts w:ascii="Arial" w:cs="Arial" w:eastAsia="Arial" w:hAnsi="Arial"/>
          <w:sz w:val="24"/>
          <w:szCs w:val="24"/>
          <w:color w:val="auto"/>
        </w:rPr>
        <w:t>PacBio aims to change that.</w:t>
      </w:r>
    </w:p>
    <w:p>
      <w:pPr>
        <w:spacing w:after="0" w:line="224" w:lineRule="exact"/>
        <w:rPr>
          <w:sz w:val="20"/>
          <w:szCs w:val="20"/>
          <w:color w:val="auto"/>
        </w:rPr>
      </w:pPr>
    </w:p>
    <w:p>
      <w:pPr>
        <w:ind w:right="160" w:firstLine="1"/>
        <w:spacing w:after="0" w:line="298" w:lineRule="auto"/>
        <w:rPr>
          <w:sz w:val="20"/>
          <w:szCs w:val="20"/>
          <w:color w:val="auto"/>
        </w:rPr>
      </w:pPr>
      <w:r>
        <w:rPr>
          <w:rFonts w:ascii="Arial" w:cs="Arial" w:eastAsia="Arial" w:hAnsi="Arial"/>
          <w:sz w:val="24"/>
          <w:szCs w:val="24"/>
          <w:color w:val="auto"/>
        </w:rPr>
        <w:t>PacBio’s HiFi sequencing, refined over more than a decade and now established as a leading long-read sequencing technology, is increasingly being adopted by research hospitals and clinical investigators as a front-line approach to uncover the genetic causes of disease, in days not years. A single HiFi dataset can replace multiple, often inconclusive assays traditionally used to interrogate genomic variation, delivering more comprehensive and actionable answers.</w:t>
      </w:r>
    </w:p>
    <w:p>
      <w:pPr>
        <w:spacing w:after="0" w:line="124" w:lineRule="exact"/>
        <w:rPr>
          <w:sz w:val="20"/>
          <w:szCs w:val="20"/>
          <w:color w:val="auto"/>
        </w:rPr>
      </w:pPr>
    </w:p>
    <w:p>
      <w:pPr>
        <w:spacing w:after="0"/>
        <w:rPr>
          <w:sz w:val="20"/>
          <w:szCs w:val="20"/>
          <w:color w:val="auto"/>
        </w:rPr>
      </w:pPr>
      <w:r>
        <w:rPr>
          <w:rFonts w:ascii="Arial" w:cs="Arial" w:eastAsia="Arial" w:hAnsi="Arial"/>
          <w:sz w:val="24"/>
          <w:szCs w:val="24"/>
          <w:color w:val="auto"/>
        </w:rPr>
        <w:t>And this is just the beginning.</w:t>
      </w:r>
    </w:p>
    <w:p>
      <w:pPr>
        <w:spacing w:after="0" w:line="220" w:lineRule="exact"/>
        <w:rPr>
          <w:sz w:val="20"/>
          <w:szCs w:val="20"/>
          <w:color w:val="auto"/>
        </w:rPr>
      </w:pPr>
    </w:p>
    <w:p>
      <w:pPr>
        <w:spacing w:after="0" w:line="296" w:lineRule="auto"/>
        <w:rPr>
          <w:sz w:val="20"/>
          <w:szCs w:val="20"/>
          <w:color w:val="auto"/>
        </w:rPr>
      </w:pPr>
      <w:r>
        <w:rPr>
          <w:rFonts w:ascii="Arial" w:cs="Arial" w:eastAsia="Arial" w:hAnsi="Arial"/>
          <w:sz w:val="24"/>
          <w:szCs w:val="24"/>
          <w:color w:val="auto"/>
        </w:rPr>
        <w:t>HiFi sequencing is enabling similarly powerful applications across oncology, AI-driven biology, population-scale genomics, and genetic screening. In 2025 and early 2026, we expanded these opportunities through key partnerships. Our collaboration with Covaris enables high-quality HiFi sequencing from FFPE tumor samples, unlocking vast archives of clinically relevant oncology data that have historically been difficult to access with long-read technologies. In parallel, our work with Basecamp Research positions HiFi sequencing at the foundation of next-generation AI models, supporting large-scale initiatives such as the Trillion Gene Atlas.</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color w:val="auto"/>
        </w:rPr>
        <w:t>One genome. One dataset. Clearer answers in days, not years.</w:t>
      </w: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b w:val="1"/>
          <w:bCs w:val="1"/>
          <w:color w:val="FF3399"/>
        </w:rPr>
        <w:t>The Comprehensiveness of a HiFi Genome Drives Our Opportunity</w:t>
      </w:r>
    </w:p>
    <w:p>
      <w:pPr>
        <w:spacing w:after="0" w:line="220" w:lineRule="exact"/>
        <w:rPr>
          <w:sz w:val="20"/>
          <w:szCs w:val="20"/>
          <w:color w:val="auto"/>
        </w:rPr>
      </w:pPr>
    </w:p>
    <w:p>
      <w:pPr>
        <w:ind w:right="300"/>
        <w:spacing w:after="0" w:line="299" w:lineRule="auto"/>
        <w:rPr>
          <w:sz w:val="20"/>
          <w:szCs w:val="20"/>
          <w:color w:val="auto"/>
        </w:rPr>
      </w:pPr>
      <w:r>
        <w:rPr>
          <w:rFonts w:ascii="Arial" w:cs="Arial" w:eastAsia="Arial" w:hAnsi="Arial"/>
          <w:sz w:val="24"/>
          <w:szCs w:val="24"/>
          <w:color w:val="auto"/>
        </w:rPr>
        <w:t>HiFi sequencing captures substantially all classes of genetic variation in a single assay with extremely high accuracy. It has the potential to replace fragmented, time-consuming workflows with a single, comprehensive analysis improving diagnostic yield while reducing time to answer. At the same time, HiFi datasets represent one of the richest and most complete representations of the genome, making them uniquely valuable for training AI models and enabling new classes of biological insight.</w:t>
      </w:r>
    </w:p>
    <w:p>
      <w:pPr>
        <w:spacing w:after="0" w:line="121" w:lineRule="exact"/>
        <w:rPr>
          <w:sz w:val="20"/>
          <w:szCs w:val="20"/>
          <w:color w:val="auto"/>
        </w:rPr>
      </w:pPr>
    </w:p>
    <w:p>
      <w:pPr>
        <w:ind w:right="160"/>
        <w:spacing w:after="0" w:line="323" w:lineRule="auto"/>
        <w:rPr>
          <w:sz w:val="20"/>
          <w:szCs w:val="20"/>
          <w:color w:val="auto"/>
        </w:rPr>
      </w:pPr>
      <w:r>
        <w:rPr>
          <w:rFonts w:ascii="Arial" w:cs="Arial" w:eastAsia="Arial" w:hAnsi="Arial"/>
          <w:sz w:val="23"/>
          <w:szCs w:val="23"/>
          <w:color w:val="auto"/>
        </w:rPr>
        <w:t>We are seeing increased momentum. In 2025, customers generated more than 60% year-over-year growth in HiFi sequencing data, and cumulative peer-reviewed publications approached 12,000. As datasets expand and evidence continues to build, we believe clinical</w:t>
      </w:r>
    </w:p>
    <w:p>
      <w:pPr>
        <w:sectPr>
          <w:pgSz w:w="12240" w:h="15840" w:orient="portrait"/>
          <w:cols w:equalWidth="0" w:num="1">
            <w:col w:w="9640"/>
          </w:cols>
          <w:pgMar w:left="1300" w:top="1277" w:right="1300" w:bottom="1440" w:gutter="0" w:footer="0" w:header="0"/>
        </w:sectPr>
      </w:pPr>
    </w:p>
    <w:bookmarkStart w:id="2" w:name="page3"/>
    <w:bookmarkEnd w:id="2"/>
    <w:p>
      <w:pPr>
        <w:ind w:right="600"/>
        <w:spacing w:after="0" w:line="318" w:lineRule="auto"/>
        <w:rPr>
          <w:sz w:val="20"/>
          <w:szCs w:val="20"/>
          <w:color w:val="auto"/>
        </w:rPr>
      </w:pPr>
      <w:r>
        <w:rPr>
          <w:rFonts w:ascii="Arial" w:cs="Arial" w:eastAsia="Arial" w:hAnsi="Arial"/>
          <w:sz w:val="24"/>
          <w:szCs w:val="24"/>
          <w:color w:val="auto"/>
        </w:rPr>
        <w:t>confidence will increase, AI-driven applications will accelerate, and HiFi sequencing will increasingly serve as a single, comprehensive genomic assay.</w:t>
      </w:r>
    </w:p>
    <w:p>
      <w:pPr>
        <w:spacing w:after="0" w:line="101" w:lineRule="exact"/>
        <w:rPr>
          <w:sz w:val="20"/>
          <w:szCs w:val="20"/>
          <w:color w:val="auto"/>
        </w:rPr>
      </w:pPr>
    </w:p>
    <w:p>
      <w:pPr>
        <w:jc w:val="both"/>
        <w:ind w:right="460"/>
        <w:spacing w:after="0" w:line="307" w:lineRule="auto"/>
        <w:rPr>
          <w:sz w:val="20"/>
          <w:szCs w:val="20"/>
          <w:color w:val="auto"/>
        </w:rPr>
      </w:pPr>
      <w:r>
        <w:rPr>
          <w:rFonts w:ascii="Arial" w:cs="Arial" w:eastAsia="Arial" w:hAnsi="Arial"/>
          <w:sz w:val="24"/>
          <w:szCs w:val="24"/>
          <w:color w:val="auto"/>
        </w:rPr>
        <w:t>As the economics of HiFi sequencing improve, we expect adoption to continue expanding across clinical, research, and AI-driven applications. We remain focused on driving these improvements.</w:t>
      </w:r>
    </w:p>
    <w:p>
      <w:pPr>
        <w:spacing w:after="0" w:line="113" w:lineRule="exact"/>
        <w:rPr>
          <w:sz w:val="20"/>
          <w:szCs w:val="20"/>
          <w:color w:val="auto"/>
        </w:rPr>
      </w:pPr>
    </w:p>
    <w:p>
      <w:pPr>
        <w:spacing w:after="0" w:line="299" w:lineRule="auto"/>
        <w:rPr>
          <w:sz w:val="20"/>
          <w:szCs w:val="20"/>
          <w:color w:val="auto"/>
        </w:rPr>
      </w:pPr>
      <w:r>
        <w:rPr>
          <w:rFonts w:ascii="Arial" w:cs="Arial" w:eastAsia="Arial" w:hAnsi="Arial"/>
          <w:sz w:val="24"/>
          <w:szCs w:val="24"/>
          <w:color w:val="auto"/>
        </w:rPr>
        <w:t>For example, SPRQ-Nx, our multi-use SMRT Cell technology, is designed to reduce the cost of one of the most expensive components of sequencing by enabling multiple uses per cell. This approach lowers cost per genome while increasing throughput. In early customer data, SPRQ-Nx delivered approximately 25% higher output per SMRT Cell compared to SPRQ, along with improved performance across key metrics.</w:t>
      </w:r>
    </w:p>
    <w:p>
      <w:pPr>
        <w:spacing w:after="0" w:line="125" w:lineRule="exact"/>
        <w:rPr>
          <w:sz w:val="20"/>
          <w:szCs w:val="20"/>
          <w:color w:val="auto"/>
        </w:rPr>
      </w:pPr>
    </w:p>
    <w:p>
      <w:pPr>
        <w:ind w:right="220"/>
        <w:spacing w:after="0" w:line="302" w:lineRule="auto"/>
        <w:rPr>
          <w:sz w:val="20"/>
          <w:szCs w:val="20"/>
          <w:color w:val="auto"/>
        </w:rPr>
      </w:pPr>
      <w:r>
        <w:rPr>
          <w:rFonts w:ascii="Arial" w:cs="Arial" w:eastAsia="Arial" w:hAnsi="Arial"/>
          <w:sz w:val="24"/>
          <w:szCs w:val="24"/>
          <w:color w:val="auto"/>
        </w:rPr>
        <w:t>At scale, whole-genome HiFi sequencing can now be achieved at costs below $300 per genome. This has the potential to unlock broader adoption across clinical settings, population-scale studies, and AI-based applications while also improving our gross margins and overall business model.</w:t>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FF3399"/>
        </w:rPr>
        <w:t>Driving Adoption Globally</w:t>
      </w:r>
    </w:p>
    <w:p>
      <w:pPr>
        <w:spacing w:after="0" w:line="220" w:lineRule="exact"/>
        <w:rPr>
          <w:sz w:val="20"/>
          <w:szCs w:val="20"/>
          <w:color w:val="auto"/>
        </w:rPr>
      </w:pPr>
    </w:p>
    <w:p>
      <w:pPr>
        <w:ind w:right="740"/>
        <w:spacing w:after="0" w:line="323" w:lineRule="auto"/>
        <w:rPr>
          <w:sz w:val="20"/>
          <w:szCs w:val="20"/>
          <w:color w:val="auto"/>
        </w:rPr>
      </w:pPr>
      <w:r>
        <w:rPr>
          <w:rFonts w:ascii="Arial" w:cs="Arial" w:eastAsia="Arial" w:hAnsi="Arial"/>
          <w:sz w:val="24"/>
          <w:szCs w:val="24"/>
          <w:color w:val="auto"/>
        </w:rPr>
        <w:t>In 2025, consumables revenue reached record levels and became the primary driver of growth, reflecting increased system utilization by our customers.</w:t>
      </w:r>
    </w:p>
    <w:p>
      <w:pPr>
        <w:spacing w:after="0" w:line="93" w:lineRule="exact"/>
        <w:rPr>
          <w:sz w:val="20"/>
          <w:szCs w:val="20"/>
          <w:color w:val="auto"/>
        </w:rPr>
      </w:pPr>
    </w:p>
    <w:p>
      <w:pPr>
        <w:ind w:right="100"/>
        <w:spacing w:after="0" w:line="320" w:lineRule="auto"/>
        <w:rPr>
          <w:sz w:val="20"/>
          <w:szCs w:val="20"/>
          <w:color w:val="auto"/>
        </w:rPr>
      </w:pPr>
      <w:r>
        <w:rPr>
          <w:rFonts w:ascii="Arial" w:cs="Arial" w:eastAsia="Arial" w:hAnsi="Arial"/>
          <w:sz w:val="24"/>
          <w:szCs w:val="24"/>
          <w:color w:val="auto"/>
        </w:rPr>
        <w:t>In EMEA, revenue increased 45% year-over-year in the fourth quarter of 2025, driven primarily by clinical customers transitioning from pilot programs to routine use.</w:t>
      </w:r>
    </w:p>
    <w:p>
      <w:pPr>
        <w:spacing w:after="0" w:line="96" w:lineRule="exact"/>
        <w:rPr>
          <w:sz w:val="20"/>
          <w:szCs w:val="20"/>
          <w:color w:val="auto"/>
        </w:rPr>
      </w:pPr>
    </w:p>
    <w:p>
      <w:pPr>
        <w:ind w:right="440"/>
        <w:spacing w:after="0" w:line="318" w:lineRule="auto"/>
        <w:rPr>
          <w:sz w:val="20"/>
          <w:szCs w:val="20"/>
          <w:color w:val="auto"/>
        </w:rPr>
      </w:pPr>
      <w:r>
        <w:rPr>
          <w:rFonts w:ascii="Arial" w:cs="Arial" w:eastAsia="Arial" w:hAnsi="Arial"/>
          <w:sz w:val="23"/>
          <w:szCs w:val="23"/>
          <w:color w:val="auto"/>
        </w:rPr>
        <w:t>In Asia Pacific, regulatory progress continued to advance the market. Notably, regulatory approval for clinical HiFi long-read sequencing in China was achieved through our partner Berry Genomics, enabling routine clinical testing for conditions such as thalassemia. We believe this milestone will support increased adoption in the region.</w:t>
      </w:r>
    </w:p>
    <w:p>
      <w:pPr>
        <w:spacing w:after="0" w:line="106" w:lineRule="exact"/>
        <w:rPr>
          <w:sz w:val="20"/>
          <w:szCs w:val="20"/>
          <w:color w:val="auto"/>
        </w:rPr>
      </w:pPr>
    </w:p>
    <w:p>
      <w:pPr>
        <w:ind w:right="240"/>
        <w:spacing w:after="0" w:line="326" w:lineRule="auto"/>
        <w:rPr>
          <w:sz w:val="20"/>
          <w:szCs w:val="20"/>
          <w:color w:val="auto"/>
        </w:rPr>
      </w:pPr>
      <w:r>
        <w:rPr>
          <w:rFonts w:ascii="Arial" w:cs="Arial" w:eastAsia="Arial" w:hAnsi="Arial"/>
          <w:sz w:val="23"/>
          <w:szCs w:val="23"/>
          <w:color w:val="auto"/>
        </w:rPr>
        <w:t>In the Americas, the academic funding environment remained constrained, impacting instrument demand. While this trend may persist in the near term, it reinforces our strategic priorities: expanding clinical adoption, increasing utilization, and broadening global access.</w:t>
      </w:r>
    </w:p>
    <w:p>
      <w:pPr>
        <w:spacing w:after="0" w:line="94" w:lineRule="exact"/>
        <w:rPr>
          <w:sz w:val="20"/>
          <w:szCs w:val="20"/>
          <w:color w:val="auto"/>
        </w:rPr>
      </w:pPr>
    </w:p>
    <w:p>
      <w:pPr>
        <w:spacing w:after="0"/>
        <w:rPr>
          <w:sz w:val="20"/>
          <w:szCs w:val="20"/>
          <w:color w:val="auto"/>
        </w:rPr>
      </w:pPr>
      <w:r>
        <w:rPr>
          <w:rFonts w:ascii="Arial" w:cs="Arial" w:eastAsia="Arial" w:hAnsi="Arial"/>
          <w:sz w:val="24"/>
          <w:szCs w:val="24"/>
          <w:b w:val="1"/>
          <w:bCs w:val="1"/>
          <w:color w:val="FF3399"/>
        </w:rPr>
        <w:t>Strengthening Our Core Business</w:t>
      </w: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color w:val="auto"/>
        </w:rPr>
        <w:t>We also made meaningful progress in improving the financial foundation of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23"/>
          <w:szCs w:val="23"/>
          <w:color w:val="auto"/>
        </w:rPr>
        <w:t>Revenue reached $160 million in 2025, including record consumables revenue of $82 million.</w:t>
      </w:r>
    </w:p>
    <w:p>
      <w:pPr>
        <w:spacing w:after="0" w:line="235" w:lineRule="exact"/>
        <w:rPr>
          <w:sz w:val="20"/>
          <w:szCs w:val="20"/>
          <w:color w:val="auto"/>
        </w:rPr>
      </w:pPr>
    </w:p>
    <w:p>
      <w:pPr>
        <w:ind w:right="180"/>
        <w:spacing w:after="0" w:line="306" w:lineRule="auto"/>
        <w:rPr>
          <w:sz w:val="20"/>
          <w:szCs w:val="20"/>
          <w:color w:val="auto"/>
        </w:rPr>
      </w:pPr>
      <w:r>
        <w:rPr>
          <w:rFonts w:ascii="Arial" w:cs="Arial" w:eastAsia="Arial" w:hAnsi="Arial"/>
          <w:sz w:val="24"/>
          <w:szCs w:val="24"/>
          <w:color w:val="auto"/>
        </w:rPr>
        <w:t>Non-GAAP gross margin expanded to 40%, and non-GAAP operating expenses were reduced to approximately $230 million. (For a reconciliation to GAAP results, see Exhibit 99.1 to our Current Report on Form 8-K filed with the SEC on February 12, 2026.)</w:t>
      </w:r>
    </w:p>
    <w:p>
      <w:pPr>
        <w:sectPr>
          <w:pgSz w:w="12240" w:h="15840" w:orient="portrait"/>
          <w:cols w:equalWidth="0" w:num="1">
            <w:col w:w="9620"/>
          </w:cols>
          <w:pgMar w:left="1300" w:top="1277" w:right="1320" w:bottom="1440" w:gutter="0" w:footer="0" w:header="0"/>
        </w:sectPr>
      </w:pPr>
    </w:p>
    <w:bookmarkStart w:id="3" w:name="page4"/>
    <w:bookmarkEnd w:id="3"/>
    <w:p>
      <w:pPr>
        <w:ind w:right="240"/>
        <w:spacing w:after="0" w:line="318" w:lineRule="auto"/>
        <w:rPr>
          <w:sz w:val="20"/>
          <w:szCs w:val="20"/>
          <w:color w:val="auto"/>
        </w:rPr>
      </w:pPr>
      <w:r>
        <w:rPr>
          <w:rFonts w:ascii="Arial" w:cs="Arial" w:eastAsia="Arial" w:hAnsi="Arial"/>
          <w:sz w:val="24"/>
          <w:szCs w:val="24"/>
          <w:color w:val="auto"/>
        </w:rPr>
        <w:t>Cash burn improved significantly, and we exited the year with approximately $280 million in cash and investments.</w:t>
      </w:r>
    </w:p>
    <w:p>
      <w:pPr>
        <w:spacing w:after="0" w:line="101" w:lineRule="exact"/>
        <w:rPr>
          <w:sz w:val="20"/>
          <w:szCs w:val="20"/>
          <w:color w:val="auto"/>
        </w:rPr>
      </w:pPr>
    </w:p>
    <w:p>
      <w:pPr>
        <w:jc w:val="both"/>
        <w:spacing w:after="0" w:line="307" w:lineRule="auto"/>
        <w:rPr>
          <w:sz w:val="20"/>
          <w:szCs w:val="20"/>
          <w:color w:val="auto"/>
        </w:rPr>
      </w:pPr>
      <w:r>
        <w:rPr>
          <w:rFonts w:ascii="Arial" w:cs="Arial" w:eastAsia="Arial" w:hAnsi="Arial"/>
          <w:sz w:val="24"/>
          <w:szCs w:val="24"/>
          <w:color w:val="auto"/>
        </w:rPr>
        <w:t>These results reflect a continued shift in our business model. As the installed base increases, we anticipate consumables will continue to become a larger share of our revenue, improving margin profile and increasing revenue predictability.</w:t>
      </w:r>
    </w:p>
    <w:p>
      <w:pPr>
        <w:spacing w:after="0" w:line="113" w:lineRule="exact"/>
        <w:rPr>
          <w:sz w:val="20"/>
          <w:szCs w:val="20"/>
          <w:color w:val="auto"/>
        </w:rPr>
      </w:pPr>
    </w:p>
    <w:p>
      <w:pPr>
        <w:ind w:right="340"/>
        <w:spacing w:after="0" w:line="307" w:lineRule="auto"/>
        <w:rPr>
          <w:sz w:val="20"/>
          <w:szCs w:val="20"/>
          <w:color w:val="auto"/>
        </w:rPr>
      </w:pPr>
      <w:r>
        <w:rPr>
          <w:rFonts w:ascii="Arial" w:cs="Arial" w:eastAsia="Arial" w:hAnsi="Arial"/>
          <w:sz w:val="24"/>
          <w:szCs w:val="24"/>
          <w:color w:val="auto"/>
        </w:rPr>
        <w:t>We also completed the sale of our short-read sequencing assets, sharpening our focus on HiFi sequencing, where we believe we have a clear technical advantage and the greatest opportunity to create long-term value.</w:t>
      </w:r>
    </w:p>
    <w:p>
      <w:pPr>
        <w:spacing w:after="0" w:line="113" w:lineRule="exact"/>
        <w:rPr>
          <w:sz w:val="20"/>
          <w:szCs w:val="20"/>
          <w:color w:val="auto"/>
        </w:rPr>
      </w:pPr>
    </w:p>
    <w:p>
      <w:pPr>
        <w:spacing w:after="0"/>
        <w:rPr>
          <w:sz w:val="20"/>
          <w:szCs w:val="20"/>
          <w:color w:val="auto"/>
        </w:rPr>
      </w:pPr>
      <w:r>
        <w:rPr>
          <w:rFonts w:ascii="Arial" w:cs="Arial" w:eastAsia="Arial" w:hAnsi="Arial"/>
          <w:sz w:val="24"/>
          <w:szCs w:val="24"/>
          <w:b w:val="1"/>
          <w:bCs w:val="1"/>
          <w:color w:val="FF3399"/>
        </w:rPr>
        <w:t>Looking Ahead to 2026 and Beyond</w:t>
      </w: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color w:val="auto"/>
        </w:rPr>
        <w:t>Our priorities for 2026 are clear:</w:t>
      </w:r>
    </w:p>
    <w:p>
      <w:pPr>
        <w:spacing w:after="0" w:line="236" w:lineRule="exact"/>
        <w:rPr>
          <w:sz w:val="20"/>
          <w:szCs w:val="20"/>
          <w:color w:val="auto"/>
        </w:rPr>
      </w:pPr>
    </w:p>
    <w:p>
      <w:pPr>
        <w:ind w:left="720" w:hanging="364"/>
        <w:spacing w:after="0"/>
        <w:tabs>
          <w:tab w:leader="none" w:pos="720" w:val="left"/>
        </w:tabs>
        <w:numPr>
          <w:ilvl w:val="0"/>
          <w:numId w:val="1"/>
        </w:numPr>
        <w:rPr>
          <w:rFonts w:ascii="Arial" w:cs="Arial" w:eastAsia="Arial" w:hAnsi="Arial"/>
          <w:sz w:val="23"/>
          <w:szCs w:val="23"/>
          <w:color w:val="auto"/>
        </w:rPr>
      </w:pPr>
      <w:r>
        <w:rPr>
          <w:rFonts w:ascii="Arial" w:cs="Arial" w:eastAsia="Arial" w:hAnsi="Arial"/>
          <w:sz w:val="23"/>
          <w:szCs w:val="23"/>
          <w:color w:val="auto"/>
        </w:rPr>
        <w:t>Expand clinical adoption in rare disease, oncology, and newborn and carrier screening</w:t>
      </w:r>
    </w:p>
    <w:p>
      <w:pPr>
        <w:spacing w:after="0" w:line="87" w:lineRule="exact"/>
        <w:rPr>
          <w:rFonts w:ascii="Arial" w:cs="Arial" w:eastAsia="Arial" w:hAnsi="Arial"/>
          <w:sz w:val="23"/>
          <w:szCs w:val="23"/>
          <w:color w:val="auto"/>
        </w:rPr>
      </w:pPr>
    </w:p>
    <w:p>
      <w:pPr>
        <w:ind w:left="720" w:right="760" w:hanging="364"/>
        <w:spacing w:after="0" w:line="300" w:lineRule="auto"/>
        <w:tabs>
          <w:tab w:leader="none" w:pos="720" w:val="left"/>
        </w:tabs>
        <w:numPr>
          <w:ilvl w:val="0"/>
          <w:numId w:val="1"/>
        </w:numPr>
        <w:rPr>
          <w:rFonts w:ascii="Arial" w:cs="Arial" w:eastAsia="Arial" w:hAnsi="Arial"/>
          <w:sz w:val="24"/>
          <w:szCs w:val="24"/>
          <w:color w:val="auto"/>
        </w:rPr>
      </w:pPr>
      <w:r>
        <w:rPr>
          <w:rFonts w:ascii="Arial" w:cs="Arial" w:eastAsia="Arial" w:hAnsi="Arial"/>
          <w:sz w:val="24"/>
          <w:szCs w:val="24"/>
          <w:color w:val="auto"/>
        </w:rPr>
        <w:t>Improve sequencing economics through the launch of SPRQ-Nx and continued platform innovation</w:t>
      </w:r>
    </w:p>
    <w:p>
      <w:pPr>
        <w:spacing w:after="0" w:line="2" w:lineRule="exact"/>
        <w:rPr>
          <w:rFonts w:ascii="Arial" w:cs="Arial" w:eastAsia="Arial" w:hAnsi="Arial"/>
          <w:sz w:val="24"/>
          <w:szCs w:val="24"/>
          <w:color w:val="auto"/>
        </w:rPr>
      </w:pPr>
    </w:p>
    <w:p>
      <w:pPr>
        <w:ind w:left="720" w:right="400" w:hanging="364"/>
        <w:spacing w:after="0" w:line="320" w:lineRule="auto"/>
        <w:tabs>
          <w:tab w:leader="none" w:pos="720" w:val="left"/>
        </w:tabs>
        <w:numPr>
          <w:ilvl w:val="0"/>
          <w:numId w:val="1"/>
        </w:numPr>
        <w:rPr>
          <w:rFonts w:ascii="Arial" w:cs="Arial" w:eastAsia="Arial" w:hAnsi="Arial"/>
          <w:sz w:val="24"/>
          <w:szCs w:val="24"/>
          <w:color w:val="auto"/>
        </w:rPr>
      </w:pPr>
      <w:r>
        <w:rPr>
          <w:rFonts w:ascii="Arial" w:cs="Arial" w:eastAsia="Arial" w:hAnsi="Arial"/>
          <w:sz w:val="24"/>
          <w:szCs w:val="24"/>
          <w:color w:val="auto"/>
        </w:rPr>
        <w:t>Support large-scale studies and expand datasets to establish HiFi as a standard of care</w:t>
      </w:r>
    </w:p>
    <w:p>
      <w:pPr>
        <w:spacing w:after="0" w:line="96" w:lineRule="exact"/>
        <w:rPr>
          <w:sz w:val="20"/>
          <w:szCs w:val="20"/>
          <w:color w:val="auto"/>
        </w:rPr>
      </w:pPr>
    </w:p>
    <w:p>
      <w:pPr>
        <w:jc w:val="both"/>
        <w:ind w:right="240"/>
        <w:spacing w:after="0" w:line="308" w:lineRule="auto"/>
        <w:rPr>
          <w:sz w:val="20"/>
          <w:szCs w:val="20"/>
          <w:color w:val="auto"/>
        </w:rPr>
      </w:pPr>
      <w:r>
        <w:rPr>
          <w:rFonts w:ascii="Arial" w:cs="Arial" w:eastAsia="Arial" w:hAnsi="Arial"/>
          <w:sz w:val="24"/>
          <w:szCs w:val="24"/>
          <w:color w:val="auto"/>
        </w:rPr>
        <w:t>While the macro environment, particularly academic research funding in the United States, continues to remain uneven and impact instrument demand in the near term, our strategic direction is clear.</w:t>
      </w:r>
    </w:p>
    <w:p>
      <w:pPr>
        <w:spacing w:after="0" w:line="125" w:lineRule="exact"/>
        <w:rPr>
          <w:sz w:val="20"/>
          <w:szCs w:val="20"/>
          <w:color w:val="auto"/>
        </w:rPr>
      </w:pPr>
    </w:p>
    <w:p>
      <w:pPr>
        <w:ind w:left="720" w:hanging="364"/>
        <w:spacing w:after="0"/>
        <w:tabs>
          <w:tab w:leader="none" w:pos="720" w:val="left"/>
        </w:tabs>
        <w:numPr>
          <w:ilvl w:val="0"/>
          <w:numId w:val="2"/>
        </w:numPr>
        <w:rPr>
          <w:rFonts w:ascii="Arial" w:cs="Arial" w:eastAsia="Arial" w:hAnsi="Arial"/>
          <w:sz w:val="24"/>
          <w:szCs w:val="24"/>
          <w:color w:val="auto"/>
        </w:rPr>
      </w:pPr>
      <w:r>
        <w:rPr>
          <w:rFonts w:ascii="Arial" w:cs="Arial" w:eastAsia="Arial" w:hAnsi="Arial"/>
          <w:sz w:val="24"/>
          <w:szCs w:val="24"/>
          <w:color w:val="auto"/>
        </w:rPr>
        <w:t>Further expansion of clinical adoption</w:t>
      </w:r>
    </w:p>
    <w:p>
      <w:pPr>
        <w:spacing w:after="0" w:line="76" w:lineRule="exact"/>
        <w:rPr>
          <w:rFonts w:ascii="Arial" w:cs="Arial" w:eastAsia="Arial" w:hAnsi="Arial"/>
          <w:sz w:val="24"/>
          <w:szCs w:val="24"/>
          <w:color w:val="auto"/>
        </w:rPr>
      </w:pPr>
    </w:p>
    <w:p>
      <w:pPr>
        <w:ind w:left="720" w:hanging="364"/>
        <w:spacing w:after="0"/>
        <w:tabs>
          <w:tab w:leader="none" w:pos="720" w:val="left"/>
        </w:tabs>
        <w:numPr>
          <w:ilvl w:val="0"/>
          <w:numId w:val="2"/>
        </w:numPr>
        <w:rPr>
          <w:rFonts w:ascii="Arial" w:cs="Arial" w:eastAsia="Arial" w:hAnsi="Arial"/>
          <w:sz w:val="24"/>
          <w:szCs w:val="24"/>
          <w:color w:val="auto"/>
        </w:rPr>
      </w:pPr>
      <w:r>
        <w:rPr>
          <w:rFonts w:ascii="Arial" w:cs="Arial" w:eastAsia="Arial" w:hAnsi="Arial"/>
          <w:sz w:val="24"/>
          <w:szCs w:val="24"/>
          <w:color w:val="auto"/>
        </w:rPr>
        <w:t>Increase utilization</w:t>
      </w:r>
    </w:p>
    <w:p>
      <w:pPr>
        <w:spacing w:after="0" w:line="76" w:lineRule="exact"/>
        <w:rPr>
          <w:rFonts w:ascii="Arial" w:cs="Arial" w:eastAsia="Arial" w:hAnsi="Arial"/>
          <w:sz w:val="24"/>
          <w:szCs w:val="24"/>
          <w:color w:val="auto"/>
        </w:rPr>
      </w:pPr>
    </w:p>
    <w:p>
      <w:pPr>
        <w:ind w:left="720" w:hanging="364"/>
        <w:spacing w:after="0"/>
        <w:tabs>
          <w:tab w:leader="none" w:pos="720" w:val="left"/>
        </w:tabs>
        <w:numPr>
          <w:ilvl w:val="0"/>
          <w:numId w:val="2"/>
        </w:numPr>
        <w:rPr>
          <w:rFonts w:ascii="Arial" w:cs="Arial" w:eastAsia="Arial" w:hAnsi="Arial"/>
          <w:sz w:val="24"/>
          <w:szCs w:val="24"/>
          <w:color w:val="auto"/>
        </w:rPr>
      </w:pPr>
      <w:r>
        <w:rPr>
          <w:rFonts w:ascii="Arial" w:cs="Arial" w:eastAsia="Arial" w:hAnsi="Arial"/>
          <w:sz w:val="24"/>
          <w:szCs w:val="24"/>
          <w:color w:val="auto"/>
        </w:rPr>
        <w:t>Continued improvement in sequencing economics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color w:val="auto"/>
        </w:rPr>
        <w:t>We are focused on execution.</w:t>
      </w:r>
    </w:p>
    <w:p>
      <w:pPr>
        <w:spacing w:after="0" w:line="220" w:lineRule="exact"/>
        <w:rPr>
          <w:sz w:val="20"/>
          <w:szCs w:val="20"/>
          <w:color w:val="auto"/>
        </w:rPr>
      </w:pPr>
    </w:p>
    <w:p>
      <w:pPr>
        <w:ind w:right="240"/>
        <w:spacing w:after="0" w:line="320" w:lineRule="auto"/>
        <w:rPr>
          <w:sz w:val="20"/>
          <w:szCs w:val="20"/>
          <w:color w:val="auto"/>
        </w:rPr>
      </w:pPr>
      <w:r>
        <w:rPr>
          <w:rFonts w:ascii="Arial" w:cs="Arial" w:eastAsia="Arial" w:hAnsi="Arial"/>
          <w:sz w:val="24"/>
          <w:szCs w:val="24"/>
          <w:color w:val="auto"/>
        </w:rPr>
        <w:t>Thank you to our employees, customers, and partners. The impact of this work is becoming increasingly visible with every answer HiFi provides.</w:t>
      </w:r>
    </w:p>
    <w:p>
      <w:pPr>
        <w:spacing w:after="0" w:line="96" w:lineRule="exact"/>
        <w:rPr>
          <w:sz w:val="20"/>
          <w:szCs w:val="20"/>
          <w:color w:val="auto"/>
        </w:rPr>
      </w:pPr>
    </w:p>
    <w:p>
      <w:pPr>
        <w:spacing w:after="0"/>
        <w:rPr>
          <w:sz w:val="20"/>
          <w:szCs w:val="20"/>
          <w:color w:val="auto"/>
        </w:rPr>
      </w:pPr>
      <w:r>
        <w:rPr>
          <w:rFonts w:ascii="Arial" w:cs="Arial" w:eastAsia="Arial" w:hAnsi="Arial"/>
          <w:sz w:val="24"/>
          <w:szCs w:val="2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1543050" cy="772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0" cy="77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4"/>
          <w:szCs w:val="24"/>
          <w:color w:val="auto"/>
        </w:rPr>
        <w:t>Christian Henry</w:t>
      </w:r>
    </w:p>
    <w:p>
      <w:pPr>
        <w:spacing w:after="0" w:line="60" w:lineRule="exact"/>
        <w:rPr>
          <w:sz w:val="20"/>
          <w:szCs w:val="20"/>
          <w:color w:val="auto"/>
        </w:rPr>
      </w:pPr>
    </w:p>
    <w:p>
      <w:pPr>
        <w:spacing w:after="0"/>
        <w:rPr>
          <w:sz w:val="20"/>
          <w:szCs w:val="20"/>
          <w:color w:val="auto"/>
        </w:rPr>
      </w:pPr>
      <w:r>
        <w:rPr>
          <w:rFonts w:ascii="Arial" w:cs="Arial" w:eastAsia="Arial" w:hAnsi="Arial"/>
          <w:sz w:val="24"/>
          <w:szCs w:val="24"/>
          <w:color w:val="auto"/>
        </w:rPr>
        <w:t>President and Chief Executive Officer</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color w:val="auto"/>
        </w:rPr>
        <w:t>PacBio</w:t>
      </w:r>
    </w:p>
    <w:p>
      <w:pPr>
        <w:sectPr>
          <w:pgSz w:w="12240" w:h="15840" w:orient="portrait"/>
          <w:cols w:equalWidth="0" w:num="1">
            <w:col w:w="9560"/>
          </w:cols>
          <w:pgMar w:left="1300" w:top="1277" w:right="1380" w:bottom="1440" w:gutter="0" w:footer="0" w:header="0"/>
        </w:sectPr>
      </w:pPr>
    </w:p>
    <w:bookmarkStart w:id="4" w:name="page5"/>
    <w:bookmarkEnd w:id="4"/>
    <w:p>
      <w:pPr>
        <w:spacing w:after="0" w:line="182" w:lineRule="auto"/>
        <w:rPr>
          <w:sz w:val="20"/>
          <w:szCs w:val="20"/>
          <w:color w:val="auto"/>
        </w:rPr>
      </w:pPr>
      <w:r>
        <w:rPr>
          <w:rFonts w:ascii="Arial" w:cs="Arial" w:eastAsia="Arial" w:hAnsi="Arial"/>
          <w:sz w:val="22"/>
          <w:szCs w:val="22"/>
          <w:b w:val="1"/>
          <w:bCs w:val="1"/>
          <w:color w:val="FF3399"/>
        </w:rPr>
        <w:t>Statement Regarding</w:t>
      </w:r>
      <w:r>
        <w:rPr>
          <w:rFonts w:ascii="Cambria Math" w:cs="Cambria Math" w:eastAsia="Cambria Math" w:hAnsi="Cambria Math"/>
          <w:sz w:val="42"/>
          <w:szCs w:val="42"/>
          <w:color w:val="000000"/>
          <w:vertAlign w:val="subscript"/>
        </w:rPr>
        <w:t>-</w:t>
      </w:r>
      <w:r>
        <w:rPr>
          <w:rFonts w:ascii="Arial" w:cs="Arial" w:eastAsia="Arial" w:hAnsi="Arial"/>
          <w:sz w:val="22"/>
          <w:szCs w:val="22"/>
          <w:b w:val="1"/>
          <w:bCs w:val="1"/>
          <w:color w:val="FF3399"/>
        </w:rPr>
        <w:t xml:space="preserve"> Use of Non-GAAP Financial Measures</w:t>
      </w:r>
    </w:p>
    <w:p>
      <w:pPr>
        <w:jc w:val="both"/>
        <w:spacing w:after="0" w:line="306" w:lineRule="auto"/>
        <w:rPr>
          <w:sz w:val="20"/>
          <w:szCs w:val="20"/>
          <w:color w:val="auto"/>
        </w:rPr>
      </w:pPr>
      <w:r>
        <w:rPr>
          <w:rFonts w:ascii="Arial" w:cs="Arial" w:eastAsia="Arial" w:hAnsi="Arial"/>
          <w:sz w:val="24"/>
          <w:szCs w:val="24"/>
          <w:color w:val="auto"/>
        </w:rPr>
        <w:t>We report non GAAP results for gross margins, gross profit and operating expenses in addition to, and not as a substitute for, or because we believe that such information is superior to, financial measures calculated in accordance with GAAP.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may calculate similarly titled non-GAAP measures differently or may use other measures to evaluate their performance, all of which could reduce the usefulness of our non-GAAP financial measures as tools for comparison.</w:t>
      </w:r>
    </w:p>
    <w:p>
      <w:pPr>
        <w:spacing w:after="0" w:line="8" w:lineRule="exact"/>
        <w:rPr>
          <w:sz w:val="20"/>
          <w:szCs w:val="20"/>
          <w:color w:val="auto"/>
        </w:rPr>
      </w:pPr>
    </w:p>
    <w:p>
      <w:pPr>
        <w:jc w:val="both"/>
        <w:spacing w:after="0" w:line="209" w:lineRule="auto"/>
        <w:rPr>
          <w:sz w:val="20"/>
          <w:szCs w:val="20"/>
          <w:color w:val="auto"/>
        </w:rPr>
      </w:pPr>
      <w:r>
        <w:rPr>
          <w:rFonts w:ascii="Arial" w:cs="Arial" w:eastAsia="Arial" w:hAnsi="Arial"/>
          <w:sz w:val="23"/>
          <w:szCs w:val="23"/>
          <w:color w:val="auto"/>
        </w:rPr>
        <w:t>Our financial measures under GAAP include</w:t>
      </w:r>
      <w:r>
        <w:rPr>
          <w:rFonts w:ascii="Cambria Math" w:cs="Cambria Math" w:eastAsia="Cambria Math" w:hAnsi="Cambria Math"/>
          <w:sz w:val="23"/>
          <w:szCs w:val="23"/>
          <w:color w:val="auto"/>
        </w:rPr>
        <w:t>-</w:t>
      </w:r>
      <w:r>
        <w:rPr>
          <w:rFonts w:ascii="Arial" w:cs="Arial" w:eastAsia="Arial" w:hAnsi="Arial"/>
          <w:sz w:val="23"/>
          <w:szCs w:val="23"/>
          <w:color w:val="auto"/>
        </w:rPr>
        <w:t xml:space="preserve"> substantial charges that are listed in the itemized reconciliations between GAAP and non GAAP financial measures included in Exhibit 99.1 to our Current Report on Form 8-K filed with the SEC on February 12, 2026. We exclude recurring charges from our non-GAAP financial statements, including amortization of intangible assets and changes in fair value of contingent consideration, and further excludes infrequent and limited charges including impairment charges, restructuring related expenses for discrete restructuring events, and other adjustments and rounding differences.</w:t>
      </w:r>
    </w:p>
    <w:p>
      <w:pPr>
        <w:spacing w:after="0" w:line="5" w:lineRule="exact"/>
        <w:rPr>
          <w:sz w:val="20"/>
          <w:szCs w:val="20"/>
          <w:color w:val="auto"/>
        </w:rPr>
      </w:pPr>
    </w:p>
    <w:p>
      <w:pPr>
        <w:jc w:val="both"/>
        <w:spacing w:after="0" w:line="180" w:lineRule="auto"/>
        <w:rPr>
          <w:sz w:val="20"/>
          <w:szCs w:val="20"/>
          <w:color w:val="auto"/>
        </w:rPr>
      </w:pPr>
      <w:r>
        <w:rPr>
          <w:rFonts w:ascii="Arial" w:cs="Arial" w:eastAsia="Arial" w:hAnsi="Arial"/>
          <w:sz w:val="24"/>
          <w:szCs w:val="24"/>
          <w:color w:val="auto"/>
        </w:rPr>
        <w:t>Management has excluded the effects of these items in non</w:t>
      </w:r>
      <w:r>
        <w:rPr>
          <w:rFonts w:ascii="Cambria Math" w:cs="Cambria Math" w:eastAsia="Cambria Math" w:hAnsi="Cambria Math"/>
          <w:sz w:val="24"/>
          <w:szCs w:val="24"/>
          <w:color w:val="auto"/>
        </w:rPr>
        <w:t>-</w:t>
      </w:r>
      <w:r>
        <w:rPr>
          <w:rFonts w:ascii="Arial" w:cs="Arial" w:eastAsia="Arial" w:hAnsi="Arial"/>
          <w:sz w:val="24"/>
          <w:szCs w:val="24"/>
          <w:color w:val="auto"/>
        </w:rPr>
        <w:t>GAAP measures to assist investors in analyzing and assessing past and future operating performance. In addition, management uses non-GAAP measures to compare our performance relative to forecasts and strategic plans and to benchmark our performance externally against competitors.</w:t>
      </w:r>
    </w:p>
    <w:p>
      <w:pPr>
        <w:spacing w:after="0" w:line="63" w:lineRule="exact"/>
        <w:rPr>
          <w:sz w:val="20"/>
          <w:szCs w:val="20"/>
          <w:color w:val="auto"/>
        </w:rPr>
      </w:pPr>
    </w:p>
    <w:p>
      <w:pPr>
        <w:jc w:val="both"/>
        <w:spacing w:after="0" w:line="195" w:lineRule="auto"/>
        <w:rPr>
          <w:sz w:val="20"/>
          <w:szCs w:val="20"/>
          <w:color w:val="auto"/>
        </w:rPr>
      </w:pPr>
      <w:r>
        <w:rPr>
          <w:rFonts w:ascii="Arial" w:cs="Arial" w:eastAsia="Arial" w:hAnsi="Arial"/>
          <w:sz w:val="24"/>
          <w:szCs w:val="24"/>
          <w:color w:val="auto"/>
        </w:rPr>
        <w:t>We encourage investors</w:t>
      </w:r>
      <w:r>
        <w:rPr>
          <w:rFonts w:ascii="Cambria Math" w:cs="Cambria Math" w:eastAsia="Cambria Math" w:hAnsi="Cambria Math"/>
          <w:sz w:val="24"/>
          <w:szCs w:val="24"/>
          <w:color w:val="auto"/>
        </w:rPr>
        <w:t>-</w:t>
      </w:r>
      <w:r>
        <w:rPr>
          <w:rFonts w:ascii="Arial" w:cs="Arial" w:eastAsia="Arial" w:hAnsi="Arial"/>
          <w:sz w:val="24"/>
          <w:szCs w:val="24"/>
          <w:color w:val="auto"/>
        </w:rPr>
        <w:t xml:space="preserve"> to carefully consider our results under GAAP, as well as our supplemental non GAAP information and the reconciliation between these presentations, to more fully understand our business. A reconciliation of our non-GAAP financial measures to their most directly comparable financial measure stated in accordance with GAAP has been provided in Exhibit 99.1 to our Current Report on Form 8-K filed with the SEC on February 12, 2026.</w:t>
      </w:r>
    </w:p>
    <w:p>
      <w:pPr>
        <w:spacing w:after="0" w:line="213" w:lineRule="exact"/>
        <w:rPr>
          <w:sz w:val="20"/>
          <w:szCs w:val="20"/>
          <w:color w:val="auto"/>
        </w:rPr>
      </w:pPr>
    </w:p>
    <w:p>
      <w:pPr>
        <w:spacing w:after="0"/>
        <w:rPr>
          <w:sz w:val="20"/>
          <w:szCs w:val="20"/>
          <w:color w:val="auto"/>
        </w:rPr>
      </w:pPr>
      <w:r>
        <w:rPr>
          <w:rFonts w:ascii="Arial" w:cs="Arial" w:eastAsia="Arial" w:hAnsi="Arial"/>
          <w:sz w:val="24"/>
          <w:szCs w:val="24"/>
          <w:b w:val="1"/>
          <w:bCs w:val="1"/>
          <w:color w:val="FF3399"/>
        </w:rPr>
        <w:t>Forward-Looking Statements</w:t>
      </w:r>
    </w:p>
    <w:p>
      <w:pPr>
        <w:spacing w:after="0" w:line="220" w:lineRule="exact"/>
        <w:rPr>
          <w:sz w:val="20"/>
          <w:szCs w:val="20"/>
          <w:color w:val="auto"/>
        </w:rPr>
      </w:pPr>
    </w:p>
    <w:p>
      <w:pPr>
        <w:ind w:right="380"/>
        <w:spacing w:after="0" w:line="319" w:lineRule="auto"/>
        <w:rPr>
          <w:sz w:val="20"/>
          <w:szCs w:val="20"/>
          <w:color w:val="auto"/>
        </w:rPr>
      </w:pPr>
      <w:r>
        <w:rPr>
          <w:rFonts w:ascii="Arial" w:cs="Arial" w:eastAsia="Arial" w:hAnsi="Arial"/>
          <w:sz w:val="23"/>
          <w:szCs w:val="23"/>
          <w:color w:val="auto"/>
        </w:rPr>
        <w:t>This letter contains “forward-looking statements” within the meaning of Section 21E of the Securities Exchange Act of 1934, as amended, and the U.S. Private Securities Litigation Reform Act of 1995. All statements other than statements of historical fact are forward-looking statements, including, but not limited to, statements related to the timing for when</w:t>
      </w:r>
    </w:p>
    <w:p>
      <w:pPr>
        <w:sectPr>
          <w:pgSz w:w="12240" w:h="15840" w:orient="portrait"/>
          <w:cols w:equalWidth="0" w:num="1">
            <w:col w:w="9640"/>
          </w:cols>
          <w:pgMar w:left="1300" w:top="0" w:right="1300" w:bottom="1103" w:gutter="0" w:footer="0" w:header="0"/>
        </w:sectPr>
      </w:pPr>
    </w:p>
    <w:bookmarkStart w:id="5" w:name="page6"/>
    <w:bookmarkEnd w:id="5"/>
    <w:p>
      <w:pPr>
        <w:spacing w:after="0" w:line="306" w:lineRule="auto"/>
        <w:rPr>
          <w:sz w:val="20"/>
          <w:szCs w:val="20"/>
          <w:color w:val="auto"/>
        </w:rPr>
      </w:pPr>
      <w:r>
        <w:rPr>
          <w:rFonts w:ascii="Arial" w:cs="Arial" w:eastAsia="Arial" w:hAnsi="Arial"/>
          <w:sz w:val="23"/>
          <w:szCs w:val="23"/>
          <w:color w:val="auto"/>
        </w:rPr>
        <w:t>someone with a rare disease may have an answer to the underlying cause, statements that PacBio’s HiFi sequencing is increasingly being adopted by research hospitals and clinical investigators as a front-line approach to uncover the genetic causes of disease, in days not years; statements that PacBio’s collaboration with Covaris enables high-quality HiFi sequencing from FFPE tumor samples, unlocking vast archives of clinically relevant oncology data that have historically been difficult to access with long-read technologies; PacBio’s belief that its work with Basecamp Research positions HiFi sequencing at the foundation of next-generation AI models, supporting large-scale initiatives such as the Trillion Gene Atlas; PacBio’s belief that HiFi sequencing has the potential to replace fragmented, time-consuming workflows with a single, comprehensive analysis, improving diagnostic yield while reducing time to answer; PacBio’s belief that HiFi datasets represent one of the richest and most complete representations of the genome, making them uniquely valuable for training AI models and enabling new classes of biological insight; statements regarding increased momentum and PacBio’s belief that as datasets expand and evidence continues to build, AI-driven applications will accelerate, and HiFi sequencing will increasingly serve as a single, comprehensive genomic assay; PacBio’s expectations that as the economics of HiFi sequencing improve, adoption will continue expanding across clinical, research, and AI-driven applications and its focus on driving these improvements; PacBio’s belief that whole-genome HiFi sequencing has the potential to unlock broader adoption across clinical settings, population-scale studies, and AI-based applications while also improving PacBio’s gross margins and overall business model; PacBio’s belief that, in regards to HiFi sequencing, PacBio has a clear technical advantage and the greatest opportunity to create long-term value; PacBio’s expectations to improve the economics of sequencing through SPRQ-Nx, including SPRQ-Nx’s ability to reduce the cost of one of the most expensive components of sequencing by enabling multiple uses per cell, which will lowers cost per genome while increasing throughput; PacBio’s belief that regulatory progress in Asia Pacific will support increased adoption in the region; PacBio’s expectation that the academic funding environment in the Americas will remain constrained, which will impact instrument demand in the near term; PacBio’s strategic priorities, including expanding clinical adoption, increasing utilization, and broadening global access; PacBio’s priorities for 2026, including expanding clinical adoption in rare disease, oncology, and newborn and carrier screening, improving sequencing economics through the launch of SPRQ-Nx and continued platform innovation, and supporting large-scale studies and expand datasets to establish HiFi as a standard of care; and PacBio’s belief that as the installed base increases, consumables will become a larger share of revenue, improving margin profile and increasing revenue predictability, among other future events. Reported results and orders for any instrument system should not be considered an indication of future performance. You should not place undue reliance on forward-looking statements because they are subject to assumptions, risks, and uncertainties and could cause actual outcomes and results to differ materially from</w:t>
      </w:r>
    </w:p>
    <w:p>
      <w:pPr>
        <w:sectPr>
          <w:pgSz w:w="12240" w:h="15840" w:orient="portrait"/>
          <w:cols w:equalWidth="0" w:num="1">
            <w:col w:w="9640"/>
          </w:cols>
          <w:pgMar w:left="1300" w:top="1277" w:right="1300" w:bottom="847" w:gutter="0" w:footer="0" w:header="0"/>
        </w:sectPr>
      </w:pPr>
    </w:p>
    <w:bookmarkStart w:id="6" w:name="page7"/>
    <w:bookmarkEnd w:id="6"/>
    <w:p>
      <w:pPr>
        <w:spacing w:after="0" w:line="294" w:lineRule="auto"/>
        <w:rPr>
          <w:sz w:val="20"/>
          <w:szCs w:val="20"/>
          <w:color w:val="auto"/>
        </w:rPr>
      </w:pPr>
      <w:r>
        <w:rPr>
          <w:rFonts w:ascii="Arial" w:cs="Arial" w:eastAsia="Arial" w:hAnsi="Arial"/>
          <w:sz w:val="24"/>
          <w:szCs w:val="24"/>
          <w:color w:val="auto"/>
        </w:rPr>
        <w:t>currently anticipated results, including, but not limited to, challenges inherent in developing, manufacturing, launching, marketing and selling new products, and achieving anticipated new sales; potential cancellation of existing instrument orders; assumptions, risks and uncertainties related to the ability to attract new customers and retain and grow sales from existing customers; the impact new, increased or enhanced tariffs and U.S. export restrictions on the shipment of PacBio products to certain countries; rapidly changing technologies and extensive competition in, and potential FDA regulatory issues relating to, genomic sequencing; unanticipated increases in costs or expenses; interruptions or delays in the supply of components or materials for, or manufacturing of, PacBio products and products under development; potential product performance and quality issues and potential delays in development timelines; the possible loss of key employees, customers, or suppliers; customers and prospective customers curtailing or suspending activities using PacBio's products; third-party claims alleging infringement of patents and proprietary rights or seeking to invalidate PacBio's patents or proprietary rights; risks associated with international operations; and other risks associated with general macroeconomic conditions and geopolitical instability, including the conflicts in the Middle East. Additional factors that could materially affect actual results can be found in PacBio's most recent filings with the Securities and Exchange Commission, including PacBio's most recent reports on Forms 8-K, 10-K, and 10-Q, and include those listed under the caption “Risk Factors.” These forward-looking statements are based on current expectations and speak only as of the date hereof; except as required by law, PacBio disclaims any obligation to revise or update these forward-looking statements to reflect events or circumstances in the future, even if new information becomes available.</w:t>
      </w:r>
    </w:p>
    <w:p>
      <w:pPr>
        <w:sectPr>
          <w:pgSz w:w="12240" w:h="15840" w:orient="portrait"/>
          <w:cols w:equalWidth="0" w:num="1">
            <w:col w:w="9620"/>
          </w:cols>
          <w:pgMar w:left="1300" w:top="1277" w:right="132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[This page is intentionally left blank]</w:t>
      </w:r>
    </w:p>
    <w:p>
      <w:pPr>
        <w:sectPr>
          <w:pgSz w:w="12240" w:h="15840" w:orient="portrait"/>
          <w:cols w:equalWidth="0" w:num="1">
            <w:col w:w="9360"/>
          </w:cols>
          <w:pgMar w:left="1440" w:top="1440" w:right="1440"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292100</wp:posOffset>
            </wp:positionV>
            <wp:extent cx="6337300" cy="76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34" w:lineRule="exact"/>
        <w:rPr>
          <w:sz w:val="20"/>
          <w:szCs w:val="20"/>
          <w:color w:val="auto"/>
        </w:rPr>
      </w:pPr>
    </w:p>
    <w:p>
      <w:pPr>
        <w:jc w:val="center"/>
        <w:ind w:left="4800" w:right="140" w:hanging="4660"/>
        <w:spacing w:after="0" w:line="250" w:lineRule="auto"/>
        <w:tabs>
          <w:tab w:leader="none" w:pos="545" w:val="left"/>
        </w:tabs>
        <w:numPr>
          <w:ilvl w:val="0"/>
          <w:numId w:val="3"/>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20"/>
          <w:szCs w:val="20"/>
          <w:b w:val="1"/>
          <w:bCs w:val="1"/>
          <w:color w:val="auto"/>
        </w:rPr>
        <w:t>December 31, 2025</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34" w:lineRule="exact"/>
        <w:rPr>
          <w:sz w:val="20"/>
          <w:szCs w:val="20"/>
          <w:color w:val="auto"/>
        </w:rPr>
      </w:pPr>
    </w:p>
    <w:p>
      <w:pPr>
        <w:jc w:val="center"/>
        <w:ind w:left="4640" w:right="120" w:hanging="4525"/>
        <w:spacing w:after="0" w:line="250" w:lineRule="auto"/>
        <w:tabs>
          <w:tab w:leader="none" w:pos="490" w:val="left"/>
        </w:tabs>
        <w:numPr>
          <w:ilvl w:val="0"/>
          <w:numId w:val="4"/>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0"/>
          <w:szCs w:val="20"/>
          <w:color w:val="auto"/>
        </w:rPr>
      </w:pPr>
    </w:p>
    <w:p>
      <w:pPr>
        <w:ind w:left="3560"/>
        <w:spacing w:after="0"/>
        <w:tabs>
          <w:tab w:leader="none" w:pos="62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001-34899</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2084070</wp:posOffset>
            </wp:positionH>
            <wp:positionV relativeFrom="paragraph">
              <wp:posOffset>158750</wp:posOffset>
            </wp:positionV>
            <wp:extent cx="2190750" cy="45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075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Pacific Biosciences of California,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jc w:val="center"/>
              <w:ind w:left="103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00" w:type="dxa"/>
            <w:vAlign w:val="bottom"/>
            <w:gridSpan w:val="2"/>
          </w:tcPr>
          <w:p>
            <w:pPr>
              <w:jc w:val="right"/>
              <w:ind w:right="1958"/>
              <w:spacing w:after="0"/>
              <w:rPr>
                <w:sz w:val="20"/>
                <w:szCs w:val="20"/>
                <w:color w:val="auto"/>
              </w:rPr>
            </w:pPr>
            <w:r>
              <w:rPr>
                <w:rFonts w:ascii="Times New Roman" w:cs="Times New Roman" w:eastAsia="Times New Roman" w:hAnsi="Times New Roman"/>
                <w:sz w:val="18"/>
                <w:szCs w:val="18"/>
                <w:b w:val="1"/>
                <w:bCs w:val="1"/>
                <w:color w:val="auto"/>
              </w:rPr>
              <w:t>16-1590339</w:t>
            </w:r>
          </w:p>
        </w:tc>
        <w:tc>
          <w:tcPr>
            <w:tcW w:w="0" w:type="dxa"/>
            <w:vAlign w:val="bottom"/>
          </w:tcPr>
          <w:p>
            <w:pPr>
              <w:spacing w:after="0"/>
              <w:rPr>
                <w:sz w:val="1"/>
                <w:szCs w:val="1"/>
                <w:color w:val="auto"/>
              </w:rPr>
            </w:pPr>
          </w:p>
        </w:tc>
      </w:tr>
      <w:tr>
        <w:trPr>
          <w:trHeight w:val="210"/>
        </w:trPr>
        <w:tc>
          <w:tcPr>
            <w:tcW w:w="3840" w:type="dxa"/>
            <w:vAlign w:val="bottom"/>
          </w:tcPr>
          <w:p>
            <w:pPr>
              <w:jc w:val="center"/>
              <w:ind w:left="1035"/>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40" w:type="dxa"/>
            <w:vAlign w:val="bottom"/>
          </w:tcPr>
          <w:p>
            <w:pPr>
              <w:jc w:val="center"/>
              <w:ind w:right="1018"/>
              <w:spacing w:after="0"/>
              <w:rPr>
                <w:sz w:val="20"/>
                <w:szCs w:val="20"/>
                <w:color w:val="auto"/>
              </w:rPr>
            </w:pPr>
            <w:r>
              <w:rPr>
                <w:rFonts w:ascii="Times New Roman" w:cs="Times New Roman" w:eastAsia="Times New Roman" w:hAnsi="Times New Roman"/>
                <w:sz w:val="16"/>
                <w:szCs w:val="16"/>
                <w:b w:val="1"/>
                <w:bCs w:val="1"/>
                <w:color w:val="auto"/>
                <w:w w:val="98"/>
              </w:rPr>
              <w:t>(I.R.S. Employer</w:t>
            </w:r>
          </w:p>
        </w:tc>
        <w:tc>
          <w:tcPr>
            <w:tcW w:w="0" w:type="dxa"/>
            <w:vAlign w:val="bottom"/>
          </w:tcPr>
          <w:p>
            <w:pPr>
              <w:spacing w:after="0"/>
              <w:rPr>
                <w:sz w:val="1"/>
                <w:szCs w:val="1"/>
                <w:color w:val="auto"/>
              </w:rPr>
            </w:pPr>
          </w:p>
        </w:tc>
      </w:tr>
      <w:tr>
        <w:trPr>
          <w:trHeight w:val="211"/>
        </w:trPr>
        <w:tc>
          <w:tcPr>
            <w:tcW w:w="3840" w:type="dxa"/>
            <w:vAlign w:val="bottom"/>
          </w:tcPr>
          <w:p>
            <w:pPr>
              <w:jc w:val="center"/>
              <w:ind w:left="1035"/>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40" w:type="dxa"/>
            <w:vAlign w:val="bottom"/>
          </w:tcPr>
          <w:p>
            <w:pPr>
              <w:jc w:val="center"/>
              <w:ind w:right="1018"/>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350"/>
        </w:trPr>
        <w:tc>
          <w:tcPr>
            <w:tcW w:w="3840" w:type="dxa"/>
            <w:vAlign w:val="bottom"/>
          </w:tcPr>
          <w:p>
            <w:pPr>
              <w:jc w:val="center"/>
              <w:ind w:left="1035"/>
              <w:spacing w:after="0"/>
              <w:rPr>
                <w:sz w:val="20"/>
                <w:szCs w:val="20"/>
                <w:color w:val="auto"/>
              </w:rPr>
            </w:pPr>
            <w:r>
              <w:rPr>
                <w:rFonts w:ascii="Times New Roman" w:cs="Times New Roman" w:eastAsia="Times New Roman" w:hAnsi="Times New Roman"/>
                <w:sz w:val="18"/>
                <w:szCs w:val="18"/>
                <w:b w:val="1"/>
                <w:bCs w:val="1"/>
                <w:color w:val="auto"/>
              </w:rPr>
              <w:t>1305 O’Brien Drive</w:t>
            </w: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gridSpan w:val="2"/>
            <w:vMerge w:val="restart"/>
          </w:tcPr>
          <w:p>
            <w:pPr>
              <w:jc w:val="right"/>
              <w:ind w:right="2158"/>
              <w:spacing w:after="0"/>
              <w:rPr>
                <w:sz w:val="20"/>
                <w:szCs w:val="20"/>
                <w:color w:val="auto"/>
              </w:rPr>
            </w:pPr>
            <w:r>
              <w:rPr>
                <w:rFonts w:ascii="Times New Roman" w:cs="Times New Roman" w:eastAsia="Times New Roman" w:hAnsi="Times New Roman"/>
                <w:sz w:val="18"/>
                <w:szCs w:val="18"/>
                <w:b w:val="1"/>
                <w:bCs w:val="1"/>
                <w:color w:val="auto"/>
              </w:rPr>
              <w:t>94025</w:t>
            </w:r>
          </w:p>
        </w:tc>
        <w:tc>
          <w:tcPr>
            <w:tcW w:w="0" w:type="dxa"/>
            <w:vAlign w:val="bottom"/>
          </w:tcPr>
          <w:p>
            <w:pPr>
              <w:spacing w:after="0"/>
              <w:rPr>
                <w:sz w:val="1"/>
                <w:szCs w:val="1"/>
                <w:color w:val="auto"/>
              </w:rPr>
            </w:pPr>
          </w:p>
        </w:tc>
      </w:tr>
      <w:tr>
        <w:trPr>
          <w:trHeight w:val="238"/>
        </w:trPr>
        <w:tc>
          <w:tcPr>
            <w:tcW w:w="3840" w:type="dxa"/>
            <w:vAlign w:val="bottom"/>
          </w:tcPr>
          <w:p>
            <w:pPr>
              <w:jc w:val="center"/>
              <w:ind w:left="1035"/>
              <w:spacing w:after="0"/>
              <w:rPr>
                <w:sz w:val="20"/>
                <w:szCs w:val="20"/>
                <w:color w:val="auto"/>
              </w:rPr>
            </w:pPr>
            <w:r>
              <w:rPr>
                <w:rFonts w:ascii="Times New Roman" w:cs="Times New Roman" w:eastAsia="Times New Roman" w:hAnsi="Times New Roman"/>
                <w:sz w:val="18"/>
                <w:szCs w:val="18"/>
                <w:b w:val="1"/>
                <w:bCs w:val="1"/>
                <w:color w:val="auto"/>
                <w:w w:val="99"/>
              </w:rPr>
              <w:t>Menlo Park, CA 94025</w:t>
            </w:r>
          </w:p>
        </w:tc>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40" w:type="dxa"/>
            <w:vAlign w:val="bottom"/>
          </w:tcPr>
          <w:p>
            <w:pPr>
              <w:jc w:val="center"/>
              <w:ind w:left="1035"/>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tcPr>
          <w:p>
            <w:pPr>
              <w:jc w:val="center"/>
              <w:ind w:right="1018"/>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0" w:type="dxa"/>
            <w:vAlign w:val="bottom"/>
          </w:tcPr>
          <w:p>
            <w:pPr>
              <w:spacing w:after="0"/>
              <w:rPr>
                <w:sz w:val="1"/>
                <w:szCs w:val="1"/>
                <w:color w:val="auto"/>
              </w:rPr>
            </w:pPr>
          </w:p>
        </w:tc>
      </w:tr>
      <w:tr>
        <w:trPr>
          <w:trHeight w:val="246"/>
        </w:trPr>
        <w:tc>
          <w:tcPr>
            <w:tcW w:w="9900" w:type="dxa"/>
            <w:vAlign w:val="bottom"/>
            <w:gridSpan w:val="5"/>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219"/>
        </w:trPr>
        <w:tc>
          <w:tcPr>
            <w:tcW w:w="3840" w:type="dxa"/>
            <w:vAlign w:val="bottom"/>
          </w:tcPr>
          <w:p>
            <w:pPr>
              <w:spacing w:after="0"/>
              <w:rPr>
                <w:sz w:val="19"/>
                <w:szCs w:val="19"/>
                <w:color w:val="auto"/>
              </w:rPr>
            </w:pPr>
          </w:p>
        </w:tc>
        <w:tc>
          <w:tcPr>
            <w:tcW w:w="2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(650) 521-8000</w:t>
            </w:r>
          </w:p>
        </w:tc>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900" w:type="dxa"/>
            <w:vAlign w:val="bottom"/>
            <w:gridSpan w:val="5"/>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82"/>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60" w:type="dxa"/>
            <w:vAlign w:val="bottom"/>
          </w:tcPr>
          <w:p>
            <w:pPr>
              <w:spacing w:after="0"/>
              <w:rPr>
                <w:sz w:val="24"/>
                <w:szCs w:val="24"/>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60" w:type="dxa"/>
            <w:vAlign w:val="bottom"/>
          </w:tcPr>
          <w:p>
            <w:pPr>
              <w:spacing w:after="0"/>
              <w:rPr>
                <w:sz w:val="24"/>
                <w:szCs w:val="24"/>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60"/>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6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PACB</w:t>
            </w:r>
          </w:p>
        </w:tc>
        <w:tc>
          <w:tcPr>
            <w:tcW w:w="60" w:type="dxa"/>
            <w:vAlign w:val="bottom"/>
          </w:tcPr>
          <w:p>
            <w:pPr>
              <w:spacing w:after="0"/>
              <w:rPr>
                <w:sz w:val="22"/>
                <w:szCs w:val="22"/>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w:t>
      </w:r>
    </w:p>
    <w:p>
      <w:pPr>
        <w:spacing w:after="0" w:line="9" w:lineRule="exact"/>
        <w:rPr>
          <w:sz w:val="20"/>
          <w:szCs w:val="20"/>
          <w:color w:val="auto"/>
        </w:rPr>
      </w:pPr>
    </w:p>
    <w:p>
      <w:pPr>
        <w:ind w:left="360" w:right="20"/>
        <w:spacing w:after="0" w:line="403"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1"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5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400"/>
              <w:spacing w:after="0"/>
              <w:rPr>
                <w:sz w:val="20"/>
                <w:szCs w:val="20"/>
                <w:color w:val="auto"/>
              </w:rPr>
            </w:pPr>
            <w:r>
              <w:rPr>
                <w:rFonts w:ascii="Wingdings" w:cs="Wingdings" w:eastAsia="Wingdings" w:hAnsi="Wingdings"/>
                <w:sz w:val="18"/>
                <w:szCs w:val="18"/>
                <w:b w:val="1"/>
                <w:bCs w:val="1"/>
                <w:color w:val="auto"/>
              </w:rPr>
              <w:t>o</w:t>
            </w:r>
          </w:p>
        </w:tc>
        <w:tc>
          <w:tcPr>
            <w:tcW w:w="45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20"/>
              <w:spacing w:after="0"/>
              <w:rPr>
                <w:sz w:val="20"/>
                <w:szCs w:val="20"/>
                <w:color w:val="auto"/>
              </w:rPr>
            </w:pPr>
            <w:r>
              <w:rPr>
                <w:rFonts w:ascii="Wingdings" w:cs="Wingdings" w:eastAsia="Wingdings" w:hAnsi="Wingdings"/>
                <w:sz w:val="18"/>
                <w:szCs w:val="18"/>
                <w:b w:val="1"/>
                <w:bCs w:val="1"/>
                <w:color w:val="auto"/>
                <w:w w:val="83"/>
              </w:rPr>
              <w:t>x</w:t>
            </w:r>
          </w:p>
        </w:tc>
      </w:tr>
      <w:tr>
        <w:trPr>
          <w:trHeight w:val="285"/>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400"/>
              <w:spacing w:after="0"/>
              <w:rPr>
                <w:sz w:val="20"/>
                <w:szCs w:val="20"/>
                <w:color w:val="auto"/>
              </w:rPr>
            </w:pPr>
            <w:r>
              <w:rPr>
                <w:rFonts w:ascii="Wingdings" w:cs="Wingdings" w:eastAsia="Wingdings" w:hAnsi="Wingdings"/>
                <w:sz w:val="18"/>
                <w:szCs w:val="18"/>
                <w:b w:val="1"/>
                <w:bCs w:val="1"/>
                <w:color w:val="auto"/>
              </w:rPr>
              <w:t>o</w:t>
            </w:r>
          </w:p>
        </w:tc>
        <w:tc>
          <w:tcPr>
            <w:tcW w:w="45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20"/>
              <w:spacing w:after="0"/>
              <w:rPr>
                <w:sz w:val="20"/>
                <w:szCs w:val="20"/>
                <w:color w:val="auto"/>
              </w:rPr>
            </w:pPr>
            <w:r>
              <w:rPr>
                <w:rFonts w:ascii="Wingdings" w:cs="Wingdings" w:eastAsia="Wingdings" w:hAnsi="Wingdings"/>
                <w:sz w:val="18"/>
                <w:szCs w:val="18"/>
                <w:b w:val="1"/>
                <w:bCs w:val="1"/>
                <w:color w:val="auto"/>
                <w:w w:val="99"/>
              </w:rPr>
              <w:t>o</w:t>
            </w:r>
          </w:p>
        </w:tc>
      </w:tr>
      <w:tr>
        <w:trPr>
          <w:trHeight w:val="285"/>
        </w:trPr>
        <w:tc>
          <w:tcPr>
            <w:tcW w:w="20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5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20"/>
              <w:spacing w:after="0"/>
              <w:rPr>
                <w:sz w:val="20"/>
                <w:szCs w:val="20"/>
                <w:color w:val="auto"/>
              </w:rPr>
            </w:pPr>
            <w:r>
              <w:rPr>
                <w:rFonts w:ascii="Wingdings" w:cs="Wingdings" w:eastAsia="Wingdings" w:hAnsi="Wingdings"/>
                <w:sz w:val="18"/>
                <w:szCs w:val="18"/>
                <w:b w:val="1"/>
                <w:bCs w:val="1"/>
                <w:color w:val="auto"/>
                <w:w w:val="99"/>
              </w:rPr>
              <w:t>o</w:t>
            </w:r>
          </w:p>
        </w:tc>
      </w:tr>
    </w:tbl>
    <w:p>
      <w:pPr>
        <w:sectPr>
          <w:pgSz w:w="12240" w:h="15840" w:orient="portrait"/>
          <w:cols w:equalWidth="0" w:num="1">
            <w:col w:w="10020"/>
          </w:cols>
          <w:pgMar w:left="1120" w:top="210" w:right="1100" w:bottom="519"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jc w:val="both"/>
        <w:ind w:firstLine="360"/>
        <w:spacing w:after="0" w:line="29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38"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59" w:lineRule="exact"/>
        <w:rPr>
          <w:sz w:val="20"/>
          <w:szCs w:val="20"/>
          <w:color w:val="auto"/>
        </w:rPr>
      </w:pPr>
    </w:p>
    <w:p>
      <w:pPr>
        <w:jc w:val="both"/>
        <w:ind w:firstLine="360"/>
        <w:spacing w:after="0" w:line="298"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38" w:lineRule="exact"/>
        <w:rPr>
          <w:sz w:val="20"/>
          <w:szCs w:val="20"/>
          <w:color w:val="auto"/>
        </w:rPr>
      </w:pPr>
    </w:p>
    <w:p>
      <w:pPr>
        <w:jc w:val="both"/>
        <w:ind w:firstLine="360"/>
        <w:spacing w:after="0" w:line="298"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Aggregate market value of registrant’s common stock held by non-affiliates of the registrant on June 30, 2025 (the last business day of the registrant’s most recently completed second fiscal quarter), based upon the closing price of common stock on such date as reported by NASDAQ Global Select Market, was approximately $369.9 million. Shares of voting stock held by each officer and director have been excluded in that such persons may be deemed to be affiliates. This assumption regarding affiliate status is not necessarily a conclusive determination for other purposes.</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Number of shares outstanding of the registrant’s common stock as of January 31, 2026: 301,998,292</w:t>
      </w:r>
    </w:p>
    <w:p>
      <w:pPr>
        <w:spacing w:after="0" w:line="1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3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2026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6337300" cy="76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10020"/>
          </w:cols>
          <w:pgMar w:left="1120" w:top="210" w:right="1100"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317"/>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80" w:type="dxa"/>
            <w:vAlign w:val="bottom"/>
            <w:gridSpan w:val="18"/>
          </w:tcPr>
          <w:p>
            <w:pPr>
              <w:jc w:val="center"/>
              <w:ind w:right="1340"/>
              <w:spacing w:after="0"/>
              <w:rPr>
                <w:sz w:val="20"/>
                <w:szCs w:val="20"/>
                <w:color w:val="auto"/>
              </w:rPr>
            </w:pPr>
            <w:r>
              <w:rPr>
                <w:rFonts w:ascii="Arial" w:cs="Arial" w:eastAsia="Arial" w:hAnsi="Arial"/>
                <w:sz w:val="24"/>
                <w:szCs w:val="24"/>
                <w:b w:val="1"/>
                <w:bCs w:val="1"/>
                <w:color w:val="DF1995"/>
                <w:w w:val="94"/>
              </w:rPr>
              <w:t>Pacific Biosciences of California, Inc.</w:t>
            </w:r>
          </w:p>
        </w:tc>
      </w:tr>
      <w:tr>
        <w:trPr>
          <w:trHeight w:val="347"/>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3"/>
          </w:tcPr>
          <w:p>
            <w:pPr>
              <w:jc w:val="center"/>
              <w:ind w:right="1940"/>
              <w:spacing w:after="0"/>
              <w:rPr>
                <w:sz w:val="20"/>
                <w:szCs w:val="20"/>
                <w:color w:val="auto"/>
              </w:rPr>
            </w:pPr>
            <w:r>
              <w:rPr>
                <w:rFonts w:ascii="Arial" w:cs="Arial" w:eastAsia="Arial" w:hAnsi="Arial"/>
                <w:sz w:val="22"/>
                <w:szCs w:val="22"/>
                <w:b w:val="1"/>
                <w:bCs w:val="1"/>
                <w:color w:val="auto"/>
                <w:w w:val="93"/>
              </w:rPr>
              <w:t>Annual Report on Form 10-K</w:t>
            </w:r>
          </w:p>
        </w:tc>
      </w:tr>
      <w:tr>
        <w:trPr>
          <w:trHeight w:val="344"/>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00" w:type="dxa"/>
            <w:vAlign w:val="bottom"/>
            <w:gridSpan w:val="19"/>
          </w:tcPr>
          <w:p>
            <w:pPr>
              <w:jc w:val="center"/>
              <w:ind w:right="940"/>
              <w:spacing w:after="0"/>
              <w:rPr>
                <w:sz w:val="20"/>
                <w:szCs w:val="20"/>
                <w:color w:val="auto"/>
              </w:rPr>
            </w:pPr>
            <w:r>
              <w:rPr>
                <w:rFonts w:ascii="Arial" w:cs="Arial" w:eastAsia="Arial" w:hAnsi="Arial"/>
                <w:sz w:val="22"/>
                <w:szCs w:val="22"/>
                <w:b w:val="1"/>
                <w:bCs w:val="1"/>
                <w:color w:val="auto"/>
                <w:w w:val="94"/>
              </w:rPr>
              <w:t>For the Fiscal Year Ended December 31, 2025</w:t>
            </w:r>
          </w:p>
        </w:tc>
      </w:tr>
      <w:tr>
        <w:trPr>
          <w:trHeight w:val="344"/>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gridSpan w:val="11"/>
          </w:tcPr>
          <w:p>
            <w:pPr>
              <w:jc w:val="center"/>
              <w:ind w:right="2420"/>
              <w:spacing w:after="0"/>
              <w:rPr>
                <w:sz w:val="20"/>
                <w:szCs w:val="20"/>
                <w:color w:val="auto"/>
              </w:rPr>
            </w:pPr>
            <w:r>
              <w:rPr>
                <w:rFonts w:ascii="Arial" w:cs="Arial" w:eastAsia="Arial" w:hAnsi="Arial"/>
                <w:sz w:val="22"/>
                <w:szCs w:val="22"/>
                <w:b w:val="1"/>
                <w:bCs w:val="1"/>
                <w:color w:val="auto"/>
                <w:w w:val="94"/>
              </w:rPr>
              <w:t>Table of Contents</w:t>
            </w:r>
          </w:p>
        </w:tc>
      </w:tr>
      <w:tr>
        <w:trPr>
          <w:trHeight w:val="834"/>
        </w:trPr>
        <w:tc>
          <w:tcPr>
            <w:tcW w:w="1200" w:type="dxa"/>
            <w:vAlign w:val="bottom"/>
            <w:gridSpan w:val="7"/>
          </w:tcPr>
          <w:p>
            <w:pPr>
              <w:spacing w:after="0"/>
              <w:rPr>
                <w:sz w:val="20"/>
                <w:szCs w:val="20"/>
                <w:color w:val="auto"/>
              </w:rPr>
            </w:pPr>
            <w:r>
              <w:rPr>
                <w:rFonts w:ascii="Arial" w:cs="Arial" w:eastAsia="Arial" w:hAnsi="Arial"/>
                <w:sz w:val="22"/>
                <w:szCs w:val="22"/>
                <w:b w:val="1"/>
                <w:bCs w:val="1"/>
                <w:color w:val="FFFFFF"/>
              </w:rPr>
              <w:t>PART I</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1.</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Business</w:t>
            </w: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5"/>
        </w:trPr>
        <w:tc>
          <w:tcPr>
            <w:tcW w:w="280" w:type="dxa"/>
            <w:vAlign w:val="bottom"/>
          </w:tcPr>
          <w:p>
            <w:pPr>
              <w:spacing w:after="0"/>
              <w:rPr>
                <w:sz w:val="24"/>
                <w:szCs w:val="24"/>
                <w:color w:val="auto"/>
              </w:rPr>
            </w:pPr>
          </w:p>
        </w:tc>
        <w:tc>
          <w:tcPr>
            <w:tcW w:w="780" w:type="dxa"/>
            <w:vAlign w:val="bottom"/>
            <w:gridSpan w:val="5"/>
          </w:tcPr>
          <w:p>
            <w:pPr>
              <w:spacing w:after="0"/>
              <w:rPr>
                <w:sz w:val="20"/>
                <w:szCs w:val="20"/>
                <w:color w:val="auto"/>
              </w:rPr>
            </w:pPr>
            <w:r>
              <w:rPr>
                <w:rFonts w:ascii="Arial" w:cs="Arial" w:eastAsia="Arial" w:hAnsi="Arial"/>
                <w:sz w:val="20"/>
                <w:szCs w:val="20"/>
                <w:b w:val="1"/>
                <w:bCs w:val="1"/>
                <w:color w:val="0E32E1"/>
                <w:w w:val="95"/>
              </w:rPr>
              <w:t>Item 1A.</w:t>
            </w:r>
          </w:p>
        </w:tc>
        <w:tc>
          <w:tcPr>
            <w:tcW w:w="140" w:type="dxa"/>
            <w:vAlign w:val="bottom"/>
          </w:tcPr>
          <w:p>
            <w:pPr>
              <w:spacing w:after="0"/>
              <w:rPr>
                <w:sz w:val="24"/>
                <w:szCs w:val="24"/>
                <w:color w:val="auto"/>
              </w:rPr>
            </w:pP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Risk Factors</w:t>
            </w:r>
          </w:p>
        </w:tc>
      </w:tr>
      <w:tr>
        <w:trPr>
          <w:trHeight w:val="20"/>
        </w:trPr>
        <w:tc>
          <w:tcPr>
            <w:tcW w:w="280" w:type="dxa"/>
            <w:vAlign w:val="bottom"/>
          </w:tcPr>
          <w:p>
            <w:pPr>
              <w:spacing w:after="0" w:line="20" w:lineRule="exact"/>
              <w:rPr>
                <w:sz w:val="1"/>
                <w:szCs w:val="1"/>
                <w:color w:val="auto"/>
              </w:rPr>
            </w:pPr>
          </w:p>
        </w:tc>
        <w:tc>
          <w:tcPr>
            <w:tcW w:w="680" w:type="dxa"/>
            <w:vAlign w:val="bottom"/>
            <w:gridSpan w:val="2"/>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5"/>
        </w:trPr>
        <w:tc>
          <w:tcPr>
            <w:tcW w:w="28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Arial" w:cs="Arial" w:eastAsia="Arial" w:hAnsi="Arial"/>
                <w:sz w:val="20"/>
                <w:szCs w:val="20"/>
                <w:b w:val="1"/>
                <w:bCs w:val="1"/>
                <w:color w:val="0E32E1"/>
                <w:w w:val="92"/>
              </w:rPr>
              <w:t>Item 1B.</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Unresolved Staff Comments</w:t>
            </w:r>
          </w:p>
        </w:tc>
      </w:tr>
      <w:tr>
        <w:trPr>
          <w:trHeight w:val="295"/>
        </w:trPr>
        <w:tc>
          <w:tcPr>
            <w:tcW w:w="280" w:type="dxa"/>
            <w:vAlign w:val="bottom"/>
          </w:tcPr>
          <w:p>
            <w:pPr>
              <w:spacing w:after="0"/>
              <w:rPr>
                <w:sz w:val="24"/>
                <w:szCs w:val="24"/>
                <w:color w:val="auto"/>
              </w:rPr>
            </w:pPr>
          </w:p>
        </w:tc>
        <w:tc>
          <w:tcPr>
            <w:tcW w:w="740" w:type="dxa"/>
            <w:vAlign w:val="bottom"/>
            <w:tcBorders>
              <w:top w:val="single" w:sz="8" w:color="0E32E1"/>
              <w:bottom w:val="single" w:sz="8" w:color="0E32E1"/>
            </w:tcBorders>
            <w:gridSpan w:val="4"/>
          </w:tcPr>
          <w:p>
            <w:pPr>
              <w:spacing w:after="0"/>
              <w:rPr>
                <w:sz w:val="20"/>
                <w:szCs w:val="20"/>
                <w:color w:val="auto"/>
              </w:rPr>
            </w:pPr>
            <w:r>
              <w:rPr>
                <w:rFonts w:ascii="Arial" w:cs="Arial" w:eastAsia="Arial" w:hAnsi="Arial"/>
                <w:sz w:val="20"/>
                <w:szCs w:val="20"/>
                <w:b w:val="1"/>
                <w:bCs w:val="1"/>
                <w:color w:val="0E32E1"/>
                <w:w w:val="92"/>
              </w:rPr>
              <w:t>Item 1C.</w:t>
            </w:r>
          </w:p>
        </w:tc>
        <w:tc>
          <w:tcPr>
            <w:tcW w:w="40" w:type="dxa"/>
            <w:vAlign w:val="bottom"/>
            <w:tcBorders>
              <w:bottom w:val="single" w:sz="8" w:color="0E32E1"/>
            </w:tcBorders>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20"/>
                <w:szCs w:val="20"/>
                <w:b w:val="1"/>
                <w:bCs w:val="1"/>
                <w:color w:val="auto"/>
                <w:w w:val="89"/>
              </w:rPr>
              <w:t>Cybersecurity</w:t>
            </w:r>
          </w:p>
        </w:tc>
        <w:tc>
          <w:tcPr>
            <w:tcW w:w="1280" w:type="dxa"/>
            <w:vAlign w:val="bottom"/>
            <w:tcBorders>
              <w:top w:val="single" w:sz="8" w:color="auto"/>
            </w:tcBorders>
            <w:gridSpan w:val="7"/>
          </w:tcPr>
          <w:p>
            <w:pPr>
              <w:spacing w:after="0"/>
              <w:rPr>
                <w:sz w:val="24"/>
                <w:szCs w:val="24"/>
                <w:color w:val="auto"/>
              </w:rPr>
            </w:pPr>
          </w:p>
        </w:tc>
        <w:tc>
          <w:tcPr>
            <w:tcW w:w="4620" w:type="dxa"/>
            <w:vAlign w:val="bottom"/>
            <w:gridSpan w:val="12"/>
          </w:tcPr>
          <w:p>
            <w:pPr>
              <w:spacing w:after="0"/>
              <w:rPr>
                <w:sz w:val="24"/>
                <w:szCs w:val="24"/>
                <w:color w:val="auto"/>
              </w:rPr>
            </w:pPr>
          </w:p>
        </w:tc>
      </w:tr>
      <w:tr>
        <w:trPr>
          <w:trHeight w:val="295"/>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2.</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Properties</w:t>
            </w: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5"/>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3.</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Legal Proceedings</w:t>
            </w: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5"/>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4.</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Mine Safety Disclosures</w:t>
            </w: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4"/>
        </w:trPr>
        <w:tc>
          <w:tcPr>
            <w:tcW w:w="1200" w:type="dxa"/>
            <w:vAlign w:val="bottom"/>
            <w:gridSpan w:val="7"/>
          </w:tcPr>
          <w:p>
            <w:pPr>
              <w:spacing w:after="0"/>
              <w:rPr>
                <w:sz w:val="20"/>
                <w:szCs w:val="20"/>
                <w:color w:val="auto"/>
              </w:rPr>
            </w:pPr>
            <w:r>
              <w:rPr>
                <w:rFonts w:ascii="Arial" w:cs="Arial" w:eastAsia="Arial" w:hAnsi="Arial"/>
                <w:sz w:val="22"/>
                <w:szCs w:val="22"/>
                <w:b w:val="1"/>
                <w:bCs w:val="1"/>
                <w:color w:val="FFFFFF"/>
              </w:rPr>
              <w:t>PART II</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5.</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w w:val="92"/>
              </w:rPr>
              <w:t>Market for Registrant’s Common Equity, Related Stockholder Matters and Issuer</w:t>
            </w:r>
          </w:p>
        </w:tc>
      </w:tr>
      <w:tr>
        <w:trPr>
          <w:trHeight w:val="180"/>
        </w:trPr>
        <w:tc>
          <w:tcPr>
            <w:tcW w:w="280" w:type="dxa"/>
            <w:vAlign w:val="bottom"/>
          </w:tcPr>
          <w:p>
            <w:pPr>
              <w:spacing w:after="0"/>
              <w:rPr>
                <w:sz w:val="15"/>
                <w:szCs w:val="15"/>
                <w:color w:val="auto"/>
              </w:rPr>
            </w:pPr>
          </w:p>
        </w:tc>
        <w:tc>
          <w:tcPr>
            <w:tcW w:w="600" w:type="dxa"/>
            <w:vAlign w:val="bottom"/>
            <w:tcBorders>
              <w:top w:val="single" w:sz="8" w:color="0E32E1"/>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Borders>
              <w:top w:val="single" w:sz="8" w:color="auto"/>
              <w:bottom w:val="single" w:sz="8" w:color="auto"/>
            </w:tcBorders>
            <w:gridSpan w:val="15"/>
          </w:tcPr>
          <w:p>
            <w:pPr>
              <w:spacing w:after="0" w:line="180" w:lineRule="exact"/>
              <w:rPr>
                <w:sz w:val="20"/>
                <w:szCs w:val="20"/>
                <w:color w:val="auto"/>
              </w:rPr>
            </w:pPr>
            <w:r>
              <w:rPr>
                <w:rFonts w:ascii="Arial" w:cs="Arial" w:eastAsia="Arial" w:hAnsi="Arial"/>
                <w:sz w:val="20"/>
                <w:szCs w:val="20"/>
                <w:b w:val="1"/>
                <w:bCs w:val="1"/>
                <w:color w:val="auto"/>
                <w:w w:val="91"/>
              </w:rPr>
              <w:t>Purchases of Equity Securities</w:t>
            </w:r>
          </w:p>
        </w:tc>
        <w:tc>
          <w:tcPr>
            <w:tcW w:w="4420" w:type="dxa"/>
            <w:vAlign w:val="bottom"/>
            <w:tcBorders>
              <w:top w:val="single" w:sz="8" w:color="auto"/>
            </w:tcBorders>
            <w:gridSpan w:val="11"/>
          </w:tcPr>
          <w:p>
            <w:pPr>
              <w:spacing w:after="0"/>
              <w:rPr>
                <w:sz w:val="15"/>
                <w:szCs w:val="15"/>
                <w:color w:val="auto"/>
              </w:rPr>
            </w:pPr>
          </w:p>
        </w:tc>
      </w:tr>
      <w:tr>
        <w:trPr>
          <w:trHeight w:val="305"/>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6.</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[Reserved]</w:t>
            </w: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5"/>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7.</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w w:val="96"/>
              </w:rPr>
              <w:t>Management’s Discussion and Analysis of Financial Condition and Results of</w:t>
            </w:r>
          </w:p>
        </w:tc>
      </w:tr>
      <w:tr>
        <w:trPr>
          <w:trHeight w:val="180"/>
        </w:trPr>
        <w:tc>
          <w:tcPr>
            <w:tcW w:w="280" w:type="dxa"/>
            <w:vAlign w:val="bottom"/>
          </w:tcPr>
          <w:p>
            <w:pPr>
              <w:spacing w:after="0"/>
              <w:rPr>
                <w:sz w:val="15"/>
                <w:szCs w:val="15"/>
                <w:color w:val="auto"/>
              </w:rPr>
            </w:pPr>
          </w:p>
        </w:tc>
        <w:tc>
          <w:tcPr>
            <w:tcW w:w="600" w:type="dxa"/>
            <w:vAlign w:val="bottom"/>
            <w:tcBorders>
              <w:top w:val="single" w:sz="8" w:color="0E32E1"/>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top w:val="single" w:sz="8" w:color="auto"/>
              <w:bottom w:val="single" w:sz="8" w:color="auto"/>
            </w:tcBorders>
            <w:gridSpan w:val="5"/>
          </w:tcPr>
          <w:p>
            <w:pPr>
              <w:spacing w:after="0" w:line="180" w:lineRule="exact"/>
              <w:rPr>
                <w:sz w:val="20"/>
                <w:szCs w:val="20"/>
                <w:color w:val="auto"/>
              </w:rPr>
            </w:pPr>
            <w:r>
              <w:rPr>
                <w:rFonts w:ascii="Arial" w:cs="Arial" w:eastAsia="Arial" w:hAnsi="Arial"/>
                <w:sz w:val="20"/>
                <w:szCs w:val="20"/>
                <w:b w:val="1"/>
                <w:bCs w:val="1"/>
                <w:color w:val="auto"/>
                <w:w w:val="90"/>
              </w:rPr>
              <w:t>Operations</w:t>
            </w:r>
          </w:p>
        </w:tc>
        <w:tc>
          <w:tcPr>
            <w:tcW w:w="5900" w:type="dxa"/>
            <w:vAlign w:val="bottom"/>
            <w:tcBorders>
              <w:top w:val="single" w:sz="8" w:color="auto"/>
            </w:tcBorders>
            <w:gridSpan w:val="18"/>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05"/>
        </w:trPr>
        <w:tc>
          <w:tcPr>
            <w:tcW w:w="280" w:type="dxa"/>
            <w:vAlign w:val="bottom"/>
          </w:tcPr>
          <w:p>
            <w:pPr>
              <w:spacing w:after="0"/>
              <w:rPr>
                <w:sz w:val="24"/>
                <w:szCs w:val="24"/>
                <w:color w:val="auto"/>
              </w:rPr>
            </w:pPr>
          </w:p>
        </w:tc>
        <w:tc>
          <w:tcPr>
            <w:tcW w:w="780" w:type="dxa"/>
            <w:vAlign w:val="bottom"/>
            <w:tcBorders>
              <w:bottom w:val="single" w:sz="8" w:color="0E32E1"/>
            </w:tcBorders>
            <w:gridSpan w:val="5"/>
          </w:tcPr>
          <w:p>
            <w:pPr>
              <w:spacing w:after="0"/>
              <w:rPr>
                <w:sz w:val="20"/>
                <w:szCs w:val="20"/>
                <w:color w:val="auto"/>
              </w:rPr>
            </w:pPr>
            <w:r>
              <w:rPr>
                <w:rFonts w:ascii="Arial" w:cs="Arial" w:eastAsia="Arial" w:hAnsi="Arial"/>
                <w:sz w:val="20"/>
                <w:szCs w:val="20"/>
                <w:b w:val="1"/>
                <w:bCs w:val="1"/>
                <w:color w:val="0E32E1"/>
                <w:w w:val="95"/>
              </w:rPr>
              <w:t>Item 7A.</w:t>
            </w:r>
          </w:p>
        </w:tc>
        <w:tc>
          <w:tcPr>
            <w:tcW w:w="140" w:type="dxa"/>
            <w:vAlign w:val="bottom"/>
          </w:tcPr>
          <w:p>
            <w:pPr>
              <w:spacing w:after="0"/>
              <w:rPr>
                <w:sz w:val="24"/>
                <w:szCs w:val="24"/>
                <w:color w:val="auto"/>
              </w:rPr>
            </w:pPr>
          </w:p>
        </w:tc>
        <w:tc>
          <w:tcPr>
            <w:tcW w:w="5200" w:type="dxa"/>
            <w:vAlign w:val="bottom"/>
            <w:tcBorders>
              <w:bottom w:val="single" w:sz="8" w:color="auto"/>
            </w:tcBorders>
            <w:gridSpan w:val="20"/>
          </w:tcPr>
          <w:p>
            <w:pPr>
              <w:spacing w:after="0"/>
              <w:rPr>
                <w:sz w:val="20"/>
                <w:szCs w:val="20"/>
                <w:color w:val="auto"/>
              </w:rPr>
            </w:pPr>
            <w:r>
              <w:rPr>
                <w:rFonts w:ascii="Arial" w:cs="Arial" w:eastAsia="Arial" w:hAnsi="Arial"/>
                <w:sz w:val="20"/>
                <w:szCs w:val="20"/>
                <w:b w:val="1"/>
                <w:bCs w:val="1"/>
                <w:color w:val="auto"/>
                <w:w w:val="92"/>
              </w:rPr>
              <w:t>Quantitative and Qualitative Disclosures about Market Risk</w:t>
            </w:r>
          </w:p>
        </w:tc>
        <w:tc>
          <w:tcPr>
            <w:tcW w:w="1920" w:type="dxa"/>
            <w:vAlign w:val="bottom"/>
            <w:gridSpan w:val="6"/>
          </w:tcPr>
          <w:p>
            <w:pPr>
              <w:spacing w:after="0"/>
              <w:rPr>
                <w:sz w:val="24"/>
                <w:szCs w:val="24"/>
                <w:color w:val="auto"/>
              </w:rPr>
            </w:pPr>
          </w:p>
        </w:tc>
      </w:tr>
      <w:tr>
        <w:trPr>
          <w:trHeight w:val="295"/>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8.</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Financial Statements and Supplementary Data</w:t>
            </w: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5"/>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9.</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w w:val="94"/>
              </w:rPr>
              <w:t>Changes in and Disagreements with Accountants on Accounting and Financial</w:t>
            </w:r>
          </w:p>
        </w:tc>
      </w:tr>
      <w:tr>
        <w:trPr>
          <w:trHeight w:val="180"/>
        </w:trPr>
        <w:tc>
          <w:tcPr>
            <w:tcW w:w="280" w:type="dxa"/>
            <w:vAlign w:val="bottom"/>
          </w:tcPr>
          <w:p>
            <w:pPr>
              <w:spacing w:after="0"/>
              <w:rPr>
                <w:sz w:val="15"/>
                <w:szCs w:val="15"/>
                <w:color w:val="auto"/>
              </w:rPr>
            </w:pPr>
          </w:p>
        </w:tc>
        <w:tc>
          <w:tcPr>
            <w:tcW w:w="600" w:type="dxa"/>
            <w:vAlign w:val="bottom"/>
            <w:tcBorders>
              <w:top w:val="single" w:sz="8" w:color="0E32E1"/>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top w:val="single" w:sz="8" w:color="auto"/>
              <w:bottom w:val="single" w:sz="8" w:color="auto"/>
            </w:tcBorders>
            <w:gridSpan w:val="3"/>
          </w:tcPr>
          <w:p>
            <w:pPr>
              <w:spacing w:after="0" w:line="180" w:lineRule="exact"/>
              <w:rPr>
                <w:sz w:val="20"/>
                <w:szCs w:val="20"/>
                <w:color w:val="auto"/>
              </w:rPr>
            </w:pPr>
            <w:r>
              <w:rPr>
                <w:rFonts w:ascii="Arial" w:cs="Arial" w:eastAsia="Arial" w:hAnsi="Arial"/>
                <w:sz w:val="20"/>
                <w:szCs w:val="20"/>
                <w:b w:val="1"/>
                <w:bCs w:val="1"/>
                <w:color w:val="auto"/>
                <w:w w:val="89"/>
              </w:rPr>
              <w:t>Disclosure</w:t>
            </w:r>
          </w:p>
        </w:tc>
        <w:tc>
          <w:tcPr>
            <w:tcW w:w="6040" w:type="dxa"/>
            <w:vAlign w:val="bottom"/>
            <w:tcBorders>
              <w:top w:val="single" w:sz="8" w:color="auto"/>
            </w:tcBorders>
            <w:gridSpan w:val="21"/>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05"/>
        </w:trPr>
        <w:tc>
          <w:tcPr>
            <w:tcW w:w="280" w:type="dxa"/>
            <w:vAlign w:val="bottom"/>
          </w:tcPr>
          <w:p>
            <w:pPr>
              <w:spacing w:after="0"/>
              <w:rPr>
                <w:sz w:val="24"/>
                <w:szCs w:val="24"/>
                <w:color w:val="auto"/>
              </w:rPr>
            </w:pPr>
          </w:p>
        </w:tc>
        <w:tc>
          <w:tcPr>
            <w:tcW w:w="780" w:type="dxa"/>
            <w:vAlign w:val="bottom"/>
            <w:tcBorders>
              <w:bottom w:val="single" w:sz="8" w:color="0E32E1"/>
            </w:tcBorders>
            <w:gridSpan w:val="5"/>
          </w:tcPr>
          <w:p>
            <w:pPr>
              <w:spacing w:after="0"/>
              <w:rPr>
                <w:sz w:val="20"/>
                <w:szCs w:val="20"/>
                <w:color w:val="auto"/>
              </w:rPr>
            </w:pPr>
            <w:r>
              <w:rPr>
                <w:rFonts w:ascii="Arial" w:cs="Arial" w:eastAsia="Arial" w:hAnsi="Arial"/>
                <w:sz w:val="20"/>
                <w:szCs w:val="20"/>
                <w:b w:val="1"/>
                <w:bCs w:val="1"/>
                <w:color w:val="0E32E1"/>
                <w:w w:val="95"/>
              </w:rPr>
              <w:t>Item 9A.</w:t>
            </w:r>
          </w:p>
        </w:tc>
        <w:tc>
          <w:tcPr>
            <w:tcW w:w="140" w:type="dxa"/>
            <w:vAlign w:val="bottom"/>
          </w:tcPr>
          <w:p>
            <w:pPr>
              <w:spacing w:after="0"/>
              <w:rPr>
                <w:sz w:val="24"/>
                <w:szCs w:val="24"/>
                <w:color w:val="auto"/>
              </w:rPr>
            </w:pPr>
          </w:p>
        </w:tc>
        <w:tc>
          <w:tcPr>
            <w:tcW w:w="2220" w:type="dxa"/>
            <w:vAlign w:val="bottom"/>
            <w:tcBorders>
              <w:bottom w:val="single" w:sz="8" w:color="auto"/>
            </w:tcBorders>
            <w:gridSpan w:val="13"/>
          </w:tcPr>
          <w:p>
            <w:pPr>
              <w:spacing w:after="0"/>
              <w:rPr>
                <w:sz w:val="20"/>
                <w:szCs w:val="20"/>
                <w:color w:val="auto"/>
              </w:rPr>
            </w:pPr>
            <w:r>
              <w:rPr>
                <w:rFonts w:ascii="Arial" w:cs="Arial" w:eastAsia="Arial" w:hAnsi="Arial"/>
                <w:sz w:val="20"/>
                <w:szCs w:val="20"/>
                <w:b w:val="1"/>
                <w:bCs w:val="1"/>
                <w:color w:val="auto"/>
                <w:w w:val="92"/>
              </w:rPr>
              <w:t>Controls and Procedures</w:t>
            </w:r>
          </w:p>
        </w:tc>
        <w:tc>
          <w:tcPr>
            <w:tcW w:w="4900" w:type="dxa"/>
            <w:vAlign w:val="bottom"/>
            <w:gridSpan w:val="13"/>
          </w:tcPr>
          <w:p>
            <w:pPr>
              <w:spacing w:after="0"/>
              <w:rPr>
                <w:sz w:val="24"/>
                <w:szCs w:val="24"/>
                <w:color w:val="auto"/>
              </w:rPr>
            </w:pPr>
          </w:p>
        </w:tc>
      </w:tr>
      <w:tr>
        <w:trPr>
          <w:trHeight w:val="295"/>
        </w:trPr>
        <w:tc>
          <w:tcPr>
            <w:tcW w:w="280" w:type="dxa"/>
            <w:vAlign w:val="bottom"/>
          </w:tcPr>
          <w:p>
            <w:pPr>
              <w:spacing w:after="0"/>
              <w:rPr>
                <w:sz w:val="24"/>
                <w:szCs w:val="24"/>
                <w:color w:val="auto"/>
              </w:rPr>
            </w:pPr>
          </w:p>
        </w:tc>
        <w:tc>
          <w:tcPr>
            <w:tcW w:w="740" w:type="dxa"/>
            <w:vAlign w:val="bottom"/>
            <w:tcBorders>
              <w:bottom w:val="single" w:sz="8" w:color="0E32E1"/>
            </w:tcBorders>
            <w:gridSpan w:val="4"/>
          </w:tcPr>
          <w:p>
            <w:pPr>
              <w:spacing w:after="0"/>
              <w:rPr>
                <w:sz w:val="20"/>
                <w:szCs w:val="20"/>
                <w:color w:val="auto"/>
              </w:rPr>
            </w:pPr>
            <w:r>
              <w:rPr>
                <w:rFonts w:ascii="Arial" w:cs="Arial" w:eastAsia="Arial" w:hAnsi="Arial"/>
                <w:sz w:val="20"/>
                <w:szCs w:val="20"/>
                <w:b w:val="1"/>
                <w:bCs w:val="1"/>
                <w:color w:val="0E32E1"/>
                <w:w w:val="92"/>
              </w:rPr>
              <w:t>Item 9B.</w:t>
            </w:r>
          </w:p>
        </w:tc>
        <w:tc>
          <w:tcPr>
            <w:tcW w:w="180" w:type="dxa"/>
            <w:vAlign w:val="bottom"/>
            <w:gridSpan w:val="2"/>
          </w:tcPr>
          <w:p>
            <w:pPr>
              <w:spacing w:after="0"/>
              <w:rPr>
                <w:sz w:val="24"/>
                <w:szCs w:val="24"/>
                <w:color w:val="auto"/>
              </w:rPr>
            </w:pPr>
          </w:p>
        </w:tc>
        <w:tc>
          <w:tcPr>
            <w:tcW w:w="1640" w:type="dxa"/>
            <w:vAlign w:val="bottom"/>
            <w:tcBorders>
              <w:bottom w:val="single" w:sz="8" w:color="auto"/>
            </w:tcBorders>
            <w:gridSpan w:val="8"/>
          </w:tcPr>
          <w:p>
            <w:pPr>
              <w:spacing w:after="0"/>
              <w:rPr>
                <w:sz w:val="20"/>
                <w:szCs w:val="20"/>
                <w:color w:val="auto"/>
              </w:rPr>
            </w:pPr>
            <w:r>
              <w:rPr>
                <w:rFonts w:ascii="Arial" w:cs="Arial" w:eastAsia="Arial" w:hAnsi="Arial"/>
                <w:sz w:val="20"/>
                <w:szCs w:val="20"/>
                <w:b w:val="1"/>
                <w:bCs w:val="1"/>
                <w:color w:val="auto"/>
                <w:w w:val="94"/>
              </w:rPr>
              <w:t>Other Information</w:t>
            </w:r>
          </w:p>
        </w:tc>
        <w:tc>
          <w:tcPr>
            <w:tcW w:w="5480" w:type="dxa"/>
            <w:vAlign w:val="bottom"/>
            <w:gridSpan w:val="18"/>
          </w:tcPr>
          <w:p>
            <w:pPr>
              <w:spacing w:after="0"/>
              <w:rPr>
                <w:sz w:val="24"/>
                <w:szCs w:val="24"/>
                <w:color w:val="auto"/>
              </w:rPr>
            </w:pPr>
          </w:p>
        </w:tc>
      </w:tr>
      <w:tr>
        <w:trPr>
          <w:trHeight w:val="295"/>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9C</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Disclosure Regarding Foreign Jurisdictions that Prevent Inspections</w:t>
            </w:r>
          </w:p>
        </w:tc>
      </w:tr>
      <w:tr>
        <w:trPr>
          <w:trHeight w:val="20"/>
        </w:trPr>
        <w:tc>
          <w:tcPr>
            <w:tcW w:w="280" w:type="dxa"/>
            <w:vAlign w:val="bottom"/>
          </w:tcPr>
          <w:p>
            <w:pPr>
              <w:spacing w:after="0" w:line="20" w:lineRule="exact"/>
              <w:rPr>
                <w:sz w:val="1"/>
                <w:szCs w:val="1"/>
                <w:color w:val="auto"/>
              </w:rPr>
            </w:pPr>
          </w:p>
        </w:tc>
        <w:tc>
          <w:tcPr>
            <w:tcW w:w="68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4"/>
        </w:trPr>
        <w:tc>
          <w:tcPr>
            <w:tcW w:w="1200" w:type="dxa"/>
            <w:vAlign w:val="bottom"/>
            <w:gridSpan w:val="7"/>
          </w:tcPr>
          <w:p>
            <w:pPr>
              <w:spacing w:after="0"/>
              <w:rPr>
                <w:sz w:val="20"/>
                <w:szCs w:val="20"/>
                <w:color w:val="auto"/>
              </w:rPr>
            </w:pPr>
            <w:r>
              <w:rPr>
                <w:rFonts w:ascii="Arial" w:cs="Arial" w:eastAsia="Arial" w:hAnsi="Arial"/>
                <w:sz w:val="22"/>
                <w:szCs w:val="22"/>
                <w:b w:val="1"/>
                <w:bCs w:val="1"/>
                <w:color w:val="FFFFFF"/>
              </w:rPr>
              <w:t>PART III</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28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20"/>
                <w:szCs w:val="20"/>
                <w:b w:val="1"/>
                <w:bCs w:val="1"/>
                <w:color w:val="0E32E1"/>
                <w:w w:val="93"/>
              </w:rPr>
              <w:t>Item 10.</w:t>
            </w:r>
          </w:p>
        </w:tc>
        <w:tc>
          <w:tcPr>
            <w:tcW w:w="200" w:type="dxa"/>
            <w:vAlign w:val="bottom"/>
            <w:gridSpan w:val="3"/>
          </w:tcPr>
          <w:p>
            <w:pPr>
              <w:spacing w:after="0"/>
              <w:rPr>
                <w:sz w:val="24"/>
                <w:szCs w:val="24"/>
                <w:color w:val="auto"/>
              </w:rPr>
            </w:pP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Directors, Executive Officers and Corporate Governance</w:t>
            </w:r>
          </w:p>
        </w:tc>
      </w:tr>
      <w:tr>
        <w:trPr>
          <w:trHeight w:val="295"/>
        </w:trPr>
        <w:tc>
          <w:tcPr>
            <w:tcW w:w="280" w:type="dxa"/>
            <w:vAlign w:val="bottom"/>
          </w:tcPr>
          <w:p>
            <w:pPr>
              <w:spacing w:after="0"/>
              <w:rPr>
                <w:sz w:val="24"/>
                <w:szCs w:val="24"/>
                <w:color w:val="auto"/>
              </w:rPr>
            </w:pPr>
          </w:p>
        </w:tc>
        <w:tc>
          <w:tcPr>
            <w:tcW w:w="720" w:type="dxa"/>
            <w:vAlign w:val="bottom"/>
            <w:tcBorders>
              <w:top w:val="single" w:sz="8" w:color="0E32E1"/>
              <w:bottom w:val="single" w:sz="8" w:color="0E32E1"/>
            </w:tcBorders>
            <w:gridSpan w:val="3"/>
          </w:tcPr>
          <w:p>
            <w:pPr>
              <w:spacing w:after="0"/>
              <w:rPr>
                <w:sz w:val="20"/>
                <w:szCs w:val="20"/>
                <w:color w:val="auto"/>
              </w:rPr>
            </w:pPr>
            <w:r>
              <w:rPr>
                <w:rFonts w:ascii="Arial" w:cs="Arial" w:eastAsia="Arial" w:hAnsi="Arial"/>
                <w:sz w:val="20"/>
                <w:szCs w:val="20"/>
                <w:b w:val="1"/>
                <w:bCs w:val="1"/>
                <w:color w:val="0E32E1"/>
                <w:w w:val="93"/>
              </w:rPr>
              <w:t>Item 11.</w:t>
            </w:r>
          </w:p>
        </w:tc>
        <w:tc>
          <w:tcPr>
            <w:tcW w:w="200" w:type="dxa"/>
            <w:vAlign w:val="bottom"/>
            <w:gridSpan w:val="3"/>
          </w:tcPr>
          <w:p>
            <w:pPr>
              <w:spacing w:after="0"/>
              <w:rPr>
                <w:sz w:val="24"/>
                <w:szCs w:val="24"/>
                <w:color w:val="auto"/>
              </w:rPr>
            </w:pPr>
          </w:p>
        </w:tc>
        <w:tc>
          <w:tcPr>
            <w:tcW w:w="220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20"/>
                <w:szCs w:val="20"/>
                <w:b w:val="1"/>
                <w:bCs w:val="1"/>
                <w:color w:val="auto"/>
                <w:w w:val="91"/>
              </w:rPr>
              <w:t>Executive Compensation</w:t>
            </w:r>
          </w:p>
        </w:tc>
        <w:tc>
          <w:tcPr>
            <w:tcW w:w="2720" w:type="dxa"/>
            <w:vAlign w:val="bottom"/>
            <w:tcBorders>
              <w:top w:val="single" w:sz="8" w:color="auto"/>
            </w:tcBorders>
            <w:gridSpan w:val="7"/>
          </w:tcPr>
          <w:p>
            <w:pPr>
              <w:spacing w:after="0"/>
              <w:rPr>
                <w:sz w:val="24"/>
                <w:szCs w:val="24"/>
                <w:color w:val="auto"/>
              </w:rPr>
            </w:pPr>
          </w:p>
        </w:tc>
        <w:tc>
          <w:tcPr>
            <w:tcW w:w="2200" w:type="dxa"/>
            <w:vAlign w:val="bottom"/>
            <w:gridSpan w:val="7"/>
          </w:tcPr>
          <w:p>
            <w:pPr>
              <w:spacing w:after="0"/>
              <w:rPr>
                <w:sz w:val="24"/>
                <w:szCs w:val="24"/>
                <w:color w:val="auto"/>
              </w:rPr>
            </w:pPr>
          </w:p>
        </w:tc>
      </w:tr>
      <w:tr>
        <w:trPr>
          <w:trHeight w:val="295"/>
        </w:trPr>
        <w:tc>
          <w:tcPr>
            <w:tcW w:w="28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20"/>
                <w:szCs w:val="20"/>
                <w:b w:val="1"/>
                <w:bCs w:val="1"/>
                <w:color w:val="0E32E1"/>
              </w:rPr>
              <w:t>Item 12.</w:t>
            </w: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w w:val="94"/>
              </w:rPr>
              <w:t>Security Ownership of Certain Beneficial Owners and Management and Related</w:t>
            </w:r>
          </w:p>
        </w:tc>
      </w:tr>
      <w:tr>
        <w:trPr>
          <w:trHeight w:val="180"/>
        </w:trPr>
        <w:tc>
          <w:tcPr>
            <w:tcW w:w="280" w:type="dxa"/>
            <w:vAlign w:val="bottom"/>
          </w:tcPr>
          <w:p>
            <w:pPr>
              <w:spacing w:after="0"/>
              <w:rPr>
                <w:sz w:val="15"/>
                <w:szCs w:val="15"/>
                <w:color w:val="auto"/>
              </w:rPr>
            </w:pPr>
          </w:p>
        </w:tc>
        <w:tc>
          <w:tcPr>
            <w:tcW w:w="600" w:type="dxa"/>
            <w:vAlign w:val="bottom"/>
            <w:tcBorders>
              <w:top w:val="single" w:sz="8" w:color="0E32E1"/>
            </w:tcBorders>
          </w:tcPr>
          <w:p>
            <w:pPr>
              <w:spacing w:after="0"/>
              <w:rPr>
                <w:sz w:val="15"/>
                <w:szCs w:val="15"/>
                <w:color w:val="auto"/>
              </w:rPr>
            </w:pPr>
          </w:p>
        </w:tc>
        <w:tc>
          <w:tcPr>
            <w:tcW w:w="80" w:type="dxa"/>
            <w:vAlign w:val="bottom"/>
            <w:tcBorders>
              <w:top w:val="single" w:sz="8" w:color="0E32E1"/>
            </w:tcBorders>
          </w:tcPr>
          <w:p>
            <w:pPr>
              <w:spacing w:after="0"/>
              <w:rPr>
                <w:sz w:val="15"/>
                <w:szCs w:val="15"/>
                <w:color w:val="auto"/>
              </w:rPr>
            </w:pPr>
          </w:p>
        </w:tc>
        <w:tc>
          <w:tcPr>
            <w:tcW w:w="40" w:type="dxa"/>
            <w:vAlign w:val="bottom"/>
            <w:tcBorders>
              <w:top w:val="single" w:sz="8" w:color="0E32E1"/>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40" w:type="dxa"/>
            <w:vAlign w:val="bottom"/>
            <w:tcBorders>
              <w:top w:val="single" w:sz="8" w:color="auto"/>
            </w:tcBorders>
            <w:gridSpan w:val="25"/>
          </w:tcPr>
          <w:p>
            <w:pPr>
              <w:spacing w:after="0" w:line="180" w:lineRule="exact"/>
              <w:rPr>
                <w:sz w:val="20"/>
                <w:szCs w:val="20"/>
                <w:color w:val="auto"/>
              </w:rPr>
            </w:pPr>
            <w:r>
              <w:rPr>
                <w:rFonts w:ascii="Arial" w:cs="Arial" w:eastAsia="Arial" w:hAnsi="Arial"/>
                <w:sz w:val="20"/>
                <w:szCs w:val="20"/>
                <w:b w:val="1"/>
                <w:bCs w:val="1"/>
                <w:color w:val="auto"/>
              </w:rPr>
              <w:t>Stockholder Matters</w:t>
            </w:r>
          </w:p>
        </w:tc>
        <w:tc>
          <w:tcPr>
            <w:tcW w:w="8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305"/>
        </w:trPr>
        <w:tc>
          <w:tcPr>
            <w:tcW w:w="280" w:type="dxa"/>
            <w:vAlign w:val="bottom"/>
          </w:tcPr>
          <w:p>
            <w:pPr>
              <w:spacing w:after="0"/>
              <w:rPr>
                <w:sz w:val="24"/>
                <w:szCs w:val="24"/>
                <w:color w:val="auto"/>
              </w:rPr>
            </w:pPr>
          </w:p>
        </w:tc>
        <w:tc>
          <w:tcPr>
            <w:tcW w:w="720" w:type="dxa"/>
            <w:vAlign w:val="bottom"/>
            <w:tcBorders>
              <w:bottom w:val="single" w:sz="8" w:color="0E32E1"/>
            </w:tcBorders>
            <w:gridSpan w:val="3"/>
          </w:tcPr>
          <w:p>
            <w:pPr>
              <w:spacing w:after="0"/>
              <w:rPr>
                <w:sz w:val="20"/>
                <w:szCs w:val="20"/>
                <w:color w:val="auto"/>
              </w:rPr>
            </w:pPr>
            <w:r>
              <w:rPr>
                <w:rFonts w:ascii="Arial" w:cs="Arial" w:eastAsia="Arial" w:hAnsi="Arial"/>
                <w:sz w:val="20"/>
                <w:szCs w:val="20"/>
                <w:b w:val="1"/>
                <w:bCs w:val="1"/>
                <w:color w:val="0E32E1"/>
                <w:w w:val="93"/>
              </w:rPr>
              <w:t>Item 13.</w:t>
            </w:r>
          </w:p>
        </w:tc>
        <w:tc>
          <w:tcPr>
            <w:tcW w:w="200" w:type="dxa"/>
            <w:vAlign w:val="bottom"/>
            <w:gridSpan w:val="3"/>
          </w:tcPr>
          <w:p>
            <w:pPr>
              <w:spacing w:after="0"/>
              <w:rPr>
                <w:sz w:val="24"/>
                <w:szCs w:val="24"/>
                <w:color w:val="auto"/>
              </w:rPr>
            </w:pPr>
          </w:p>
        </w:tc>
        <w:tc>
          <w:tcPr>
            <w:tcW w:w="6680" w:type="dxa"/>
            <w:vAlign w:val="bottom"/>
            <w:tcBorders>
              <w:bottom w:val="single" w:sz="8" w:color="auto"/>
            </w:tcBorders>
            <w:gridSpan w:val="22"/>
          </w:tcPr>
          <w:p>
            <w:pPr>
              <w:spacing w:after="0"/>
              <w:rPr>
                <w:sz w:val="20"/>
                <w:szCs w:val="20"/>
                <w:color w:val="auto"/>
              </w:rPr>
            </w:pPr>
            <w:r>
              <w:rPr>
                <w:rFonts w:ascii="Arial" w:cs="Arial" w:eastAsia="Arial" w:hAnsi="Arial"/>
                <w:sz w:val="20"/>
                <w:szCs w:val="20"/>
                <w:b w:val="1"/>
                <w:bCs w:val="1"/>
                <w:color w:val="auto"/>
                <w:w w:val="92"/>
              </w:rPr>
              <w:t>Certain Relationships and Related Transactions, and Director Independence</w:t>
            </w:r>
          </w:p>
        </w:tc>
        <w:tc>
          <w:tcPr>
            <w:tcW w:w="440" w:type="dxa"/>
            <w:vAlign w:val="bottom"/>
            <w:gridSpan w:val="4"/>
          </w:tcPr>
          <w:p>
            <w:pPr>
              <w:spacing w:after="0"/>
              <w:rPr>
                <w:sz w:val="24"/>
                <w:szCs w:val="24"/>
                <w:color w:val="auto"/>
              </w:rPr>
            </w:pPr>
          </w:p>
        </w:tc>
      </w:tr>
      <w:tr>
        <w:trPr>
          <w:trHeight w:val="295"/>
        </w:trPr>
        <w:tc>
          <w:tcPr>
            <w:tcW w:w="28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20"/>
                <w:szCs w:val="20"/>
                <w:b w:val="1"/>
                <w:bCs w:val="1"/>
                <w:color w:val="0E32E1"/>
                <w:w w:val="93"/>
              </w:rPr>
              <w:t>Item 14.</w:t>
            </w:r>
          </w:p>
        </w:tc>
        <w:tc>
          <w:tcPr>
            <w:tcW w:w="200" w:type="dxa"/>
            <w:vAlign w:val="bottom"/>
            <w:gridSpan w:val="3"/>
          </w:tcPr>
          <w:p>
            <w:pPr>
              <w:spacing w:after="0"/>
              <w:rPr>
                <w:sz w:val="24"/>
                <w:szCs w:val="24"/>
                <w:color w:val="auto"/>
              </w:rPr>
            </w:pP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Principal Accountant Fees and Services</w:t>
            </w:r>
          </w:p>
        </w:tc>
      </w:tr>
      <w:tr>
        <w:trPr>
          <w:trHeight w:val="20"/>
        </w:trPr>
        <w:tc>
          <w:tcPr>
            <w:tcW w:w="280" w:type="dxa"/>
            <w:vAlign w:val="bottom"/>
          </w:tcPr>
          <w:p>
            <w:pPr>
              <w:spacing w:after="0" w:line="20" w:lineRule="exact"/>
              <w:rPr>
                <w:sz w:val="1"/>
                <w:szCs w:val="1"/>
                <w:color w:val="auto"/>
              </w:rPr>
            </w:pPr>
          </w:p>
        </w:tc>
        <w:tc>
          <w:tcPr>
            <w:tcW w:w="720" w:type="dxa"/>
            <w:vAlign w:val="bottom"/>
            <w:gridSpan w:val="3"/>
            <w:shd w:val="clear" w:color="auto" w:fill="0E32E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4"/>
        </w:trPr>
        <w:tc>
          <w:tcPr>
            <w:tcW w:w="1200" w:type="dxa"/>
            <w:vAlign w:val="bottom"/>
            <w:gridSpan w:val="7"/>
          </w:tcPr>
          <w:p>
            <w:pPr>
              <w:spacing w:after="0"/>
              <w:rPr>
                <w:sz w:val="20"/>
                <w:szCs w:val="20"/>
                <w:color w:val="auto"/>
              </w:rPr>
            </w:pPr>
            <w:r>
              <w:rPr>
                <w:rFonts w:ascii="Arial" w:cs="Arial" w:eastAsia="Arial" w:hAnsi="Arial"/>
                <w:sz w:val="22"/>
                <w:szCs w:val="22"/>
                <w:b w:val="1"/>
                <w:bCs w:val="1"/>
                <w:color w:val="FFFFFF"/>
              </w:rPr>
              <w:t>PART IV</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28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20"/>
                <w:szCs w:val="20"/>
                <w:b w:val="1"/>
                <w:bCs w:val="1"/>
                <w:color w:val="0E32E1"/>
                <w:w w:val="93"/>
              </w:rPr>
              <w:t>Item 15.</w:t>
            </w:r>
          </w:p>
        </w:tc>
        <w:tc>
          <w:tcPr>
            <w:tcW w:w="200" w:type="dxa"/>
            <w:vAlign w:val="bottom"/>
            <w:gridSpan w:val="3"/>
          </w:tcPr>
          <w:p>
            <w:pPr>
              <w:spacing w:after="0"/>
              <w:rPr>
                <w:sz w:val="24"/>
                <w:szCs w:val="24"/>
                <w:color w:val="auto"/>
              </w:rPr>
            </w:pPr>
          </w:p>
        </w:tc>
        <w:tc>
          <w:tcPr>
            <w:tcW w:w="7120" w:type="dxa"/>
            <w:vAlign w:val="bottom"/>
            <w:gridSpan w:val="26"/>
          </w:tcPr>
          <w:p>
            <w:pPr>
              <w:spacing w:after="0"/>
              <w:rPr>
                <w:sz w:val="20"/>
                <w:szCs w:val="20"/>
                <w:color w:val="auto"/>
              </w:rPr>
            </w:pPr>
            <w:r>
              <w:rPr>
                <w:rFonts w:ascii="Arial" w:cs="Arial" w:eastAsia="Arial" w:hAnsi="Arial"/>
                <w:sz w:val="20"/>
                <w:szCs w:val="20"/>
                <w:b w:val="1"/>
                <w:bCs w:val="1"/>
                <w:color w:val="auto"/>
              </w:rPr>
              <w:t>Exhibits, Financial Statement Schedules</w:t>
            </w:r>
          </w:p>
        </w:tc>
      </w:tr>
      <w:tr>
        <w:trPr>
          <w:trHeight w:val="295"/>
        </w:trPr>
        <w:tc>
          <w:tcPr>
            <w:tcW w:w="280" w:type="dxa"/>
            <w:vAlign w:val="bottom"/>
          </w:tcPr>
          <w:p>
            <w:pPr>
              <w:spacing w:after="0"/>
              <w:rPr>
                <w:sz w:val="24"/>
                <w:szCs w:val="24"/>
                <w:color w:val="auto"/>
              </w:rPr>
            </w:pPr>
          </w:p>
        </w:tc>
        <w:tc>
          <w:tcPr>
            <w:tcW w:w="720" w:type="dxa"/>
            <w:vAlign w:val="bottom"/>
            <w:tcBorders>
              <w:top w:val="single" w:sz="8" w:color="0E32E1"/>
            </w:tcBorders>
            <w:gridSpan w:val="3"/>
          </w:tcPr>
          <w:p>
            <w:pPr>
              <w:spacing w:after="0"/>
              <w:rPr>
                <w:sz w:val="20"/>
                <w:szCs w:val="20"/>
                <w:color w:val="auto"/>
              </w:rPr>
            </w:pPr>
            <w:r>
              <w:rPr>
                <w:rFonts w:ascii="Arial" w:cs="Arial" w:eastAsia="Arial" w:hAnsi="Arial"/>
                <w:sz w:val="20"/>
                <w:szCs w:val="20"/>
                <w:b w:val="1"/>
                <w:bCs w:val="1"/>
                <w:color w:val="0E32E1"/>
                <w:w w:val="93"/>
              </w:rPr>
              <w:t>Item 16.</w:t>
            </w:r>
          </w:p>
        </w:tc>
        <w:tc>
          <w:tcPr>
            <w:tcW w:w="200" w:type="dxa"/>
            <w:vAlign w:val="bottom"/>
            <w:gridSpan w:val="3"/>
          </w:tcPr>
          <w:p>
            <w:pPr>
              <w:spacing w:after="0"/>
              <w:rPr>
                <w:sz w:val="24"/>
                <w:szCs w:val="24"/>
                <w:color w:val="auto"/>
              </w:rPr>
            </w:pPr>
          </w:p>
        </w:tc>
        <w:tc>
          <w:tcPr>
            <w:tcW w:w="3520" w:type="dxa"/>
            <w:vAlign w:val="bottom"/>
            <w:tcBorders>
              <w:top w:val="single" w:sz="8" w:color="auto"/>
            </w:tcBorders>
            <w:gridSpan w:val="17"/>
          </w:tcPr>
          <w:p>
            <w:pPr>
              <w:spacing w:after="0"/>
              <w:rPr>
                <w:sz w:val="20"/>
                <w:szCs w:val="20"/>
                <w:color w:val="auto"/>
              </w:rPr>
            </w:pPr>
            <w:r>
              <w:rPr>
                <w:rFonts w:ascii="Arial" w:cs="Arial" w:eastAsia="Arial" w:hAnsi="Arial"/>
                <w:sz w:val="20"/>
                <w:szCs w:val="20"/>
                <w:b w:val="1"/>
                <w:bCs w:val="1"/>
                <w:color w:val="auto"/>
              </w:rPr>
              <w:t>Form 10-K Summary</w:t>
            </w:r>
          </w:p>
        </w:tc>
        <w:tc>
          <w:tcPr>
            <w:tcW w:w="3600" w:type="dxa"/>
            <w:vAlign w:val="bottom"/>
            <w:gridSpan w:val="9"/>
          </w:tcPr>
          <w:p>
            <w:pPr>
              <w:spacing w:after="0"/>
              <w:rPr>
                <w:sz w:val="24"/>
                <w:szCs w:val="24"/>
                <w:color w:val="auto"/>
              </w:rPr>
            </w:pPr>
          </w:p>
        </w:tc>
      </w:tr>
      <w:tr>
        <w:trPr>
          <w:trHeight w:val="610"/>
        </w:trPr>
        <w:tc>
          <w:tcPr>
            <w:tcW w:w="280" w:type="dxa"/>
            <w:vAlign w:val="bottom"/>
          </w:tcPr>
          <w:p>
            <w:pPr>
              <w:spacing w:after="0"/>
              <w:rPr>
                <w:sz w:val="24"/>
                <w:szCs w:val="24"/>
                <w:color w:val="auto"/>
              </w:rPr>
            </w:pPr>
          </w:p>
        </w:tc>
        <w:tc>
          <w:tcPr>
            <w:tcW w:w="6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0"/>
                <w:szCs w:val="20"/>
                <w:b w:val="1"/>
                <w:bCs w:val="1"/>
                <w:color w:val="auto"/>
                <w:w w:val="90"/>
              </w:rPr>
              <w:t>Signatures</w:t>
            </w:r>
          </w:p>
        </w:tc>
        <w:tc>
          <w:tcPr>
            <w:tcW w:w="860" w:type="dxa"/>
            <w:vAlign w:val="bottom"/>
            <w:tcBorders>
              <w:top w:val="single" w:sz="8" w:color="auto"/>
            </w:tcBorders>
            <w:gridSpan w:val="6"/>
          </w:tcPr>
          <w:p>
            <w:pPr>
              <w:spacing w:after="0"/>
              <w:rPr>
                <w:sz w:val="24"/>
                <w:szCs w:val="24"/>
                <w:color w:val="auto"/>
              </w:rPr>
            </w:pPr>
          </w:p>
        </w:tc>
        <w:tc>
          <w:tcPr>
            <w:tcW w:w="5300" w:type="dxa"/>
            <w:vAlign w:val="bottom"/>
            <w:gridSpan w:val="1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-6983730</wp:posOffset>
            </wp:positionV>
            <wp:extent cx="6311900" cy="244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1900" cy="2444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-5164455</wp:posOffset>
            </wp:positionV>
            <wp:extent cx="6311900" cy="244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1900" cy="2444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-2545080</wp:posOffset>
            </wp:positionV>
            <wp:extent cx="6311900" cy="244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1900" cy="2444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-992505</wp:posOffset>
            </wp:positionV>
            <wp:extent cx="6311900" cy="244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-146050</wp:posOffset>
                </wp:positionH>
                <wp:positionV relativeFrom="paragraph">
                  <wp:posOffset>52070</wp:posOffset>
                </wp:positionV>
                <wp:extent cx="5715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9pt,4.1pt" to="33.5pt,4.1pt" o:allowincell="f" strokecolor="#000000" strokeweight="1pt"/>
            </w:pict>
          </mc:Fallback>
        </mc:AlternateContent>
      </w: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3</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14</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55</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55</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56</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57</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58</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59</w:t>
      </w:r>
    </w:p>
    <w:p>
      <w:pPr>
        <w:spacing w:after="0" w:line="29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60</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76</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77</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122</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122</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124</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125</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125</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125</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125</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126</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129</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130</w:t>
      </w:r>
    </w:p>
    <w:p>
      <w:pPr>
        <w:sectPr>
          <w:pgSz w:w="12240" w:h="15840" w:orient="portrait"/>
          <w:cols w:equalWidth="0" w:num="2">
            <w:col w:w="8500" w:space="720"/>
            <w:col w:w="440"/>
          </w:cols>
          <w:pgMar w:left="1180" w:top="210" w:right="1400"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DF1995"/>
        </w:rPr>
        <w:t>SPECIAL NOTE REGARDING FORWARD-LOOKING STATEMENTS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This Annual Report on Form 10-K, including the sections titled “Business,” “Risk Factors” and “Management’s Discussion and Analysis of Financial Condition and Results of Operations” contain or may contain forward-looking statements that are based on the beliefs and assumptions of the management of Pacific Biosciences of California, Inc. (the “Company,” “we,” “us,” or “our”) and on information currently available to our management. The statements contained in this Annual Report on Form 10-K that are not purely historical are forward-looking statements within the meaning of Section 27A of the Securities Act of 1933, as amended (the “Securities Act”), and Section 21E of the Securities Exchange Act of 1934, as amended (the “Exchange Act”), and include, but are not limited to:</w:t>
      </w:r>
    </w:p>
    <w:p>
      <w:pPr>
        <w:spacing w:after="0" w:line="145" w:lineRule="exact"/>
        <w:rPr>
          <w:sz w:val="20"/>
          <w:szCs w:val="20"/>
          <w:color w:val="auto"/>
        </w:rPr>
      </w:pPr>
    </w:p>
    <w:p>
      <w:pPr>
        <w:jc w:val="both"/>
        <w:ind w:left="720" w:right="20" w:hanging="370"/>
        <w:spacing w:after="0" w:line="294" w:lineRule="auto"/>
        <w:tabs>
          <w:tab w:leader="none" w:pos="720" w:val="left"/>
        </w:tabs>
        <w:numPr>
          <w:ilvl w:val="0"/>
          <w:numId w:val="5"/>
        </w:numPr>
        <w:rPr>
          <w:rFonts w:ascii="Arial" w:cs="Arial" w:eastAsia="Arial" w:hAnsi="Arial"/>
          <w:sz w:val="19"/>
          <w:szCs w:val="19"/>
          <w:b w:val="1"/>
          <w:bCs w:val="1"/>
          <w:color w:val="DF1995"/>
        </w:rPr>
      </w:pPr>
      <w:r>
        <w:rPr>
          <w:rFonts w:ascii="Arial" w:cs="Arial" w:eastAsia="Arial" w:hAnsi="Arial"/>
          <w:sz w:val="19"/>
          <w:szCs w:val="19"/>
          <w:b w:val="1"/>
          <w:bCs w:val="1"/>
          <w:color w:val="auto"/>
        </w:rPr>
        <w:t>the availability, uses, accuracy, sensitivity, advantages, compatibility, pricing, specifications, quality, or performance of, or benefits or expected benefits of using, our products or technologies, including the Revio</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and Vega</w:t>
      </w:r>
      <w:r>
        <w:rPr>
          <w:rFonts w:ascii="Arial" w:cs="Arial" w:eastAsia="Arial" w:hAnsi="Arial"/>
          <w:sz w:val="11"/>
          <w:szCs w:val="11"/>
          <w:b w:val="1"/>
          <w:bCs w:val="1"/>
          <w:color w:val="auto"/>
        </w:rPr>
        <w:t>TM</w:t>
      </w:r>
      <w:r>
        <w:rPr>
          <w:rFonts w:ascii="Arial" w:cs="Arial" w:eastAsia="Arial" w:hAnsi="Arial"/>
          <w:sz w:val="19"/>
          <w:szCs w:val="19"/>
          <w:b w:val="1"/>
          <w:bCs w:val="1"/>
          <w:color w:val="auto"/>
        </w:rPr>
        <w:t xml:space="preserve"> systems, and our expectations regarding HiFi sequencing;</w:t>
      </w:r>
    </w:p>
    <w:p>
      <w:pPr>
        <w:spacing w:after="0" w:line="12" w:lineRule="exact"/>
        <w:rPr>
          <w:rFonts w:ascii="Arial" w:cs="Arial" w:eastAsia="Arial" w:hAnsi="Arial"/>
          <w:sz w:val="19"/>
          <w:szCs w:val="19"/>
          <w:b w:val="1"/>
          <w:bCs w:val="1"/>
          <w:color w:val="DF1995"/>
        </w:rPr>
      </w:pPr>
    </w:p>
    <w:p>
      <w:pPr>
        <w:jc w:val="both"/>
        <w:ind w:left="720" w:hanging="370"/>
        <w:spacing w:after="0" w:line="288" w:lineRule="auto"/>
        <w:tabs>
          <w:tab w:leader="none" w:pos="720" w:val="left"/>
        </w:tabs>
        <w:numPr>
          <w:ilvl w:val="0"/>
          <w:numId w:val="5"/>
        </w:numPr>
        <w:rPr>
          <w:rFonts w:ascii="Arial" w:cs="Arial" w:eastAsia="Arial" w:hAnsi="Arial"/>
          <w:sz w:val="19"/>
          <w:szCs w:val="19"/>
          <w:b w:val="1"/>
          <w:bCs w:val="1"/>
          <w:color w:val="DF1995"/>
        </w:rPr>
      </w:pPr>
      <w:r>
        <w:rPr>
          <w:rFonts w:ascii="Arial" w:cs="Arial" w:eastAsia="Arial" w:hAnsi="Arial"/>
          <w:sz w:val="19"/>
          <w:szCs w:val="19"/>
          <w:b w:val="1"/>
          <w:bCs w:val="1"/>
          <w:color w:val="auto"/>
        </w:rPr>
        <w:t>our expectations, estimates and assumptions about the Asset Sale (as defined below), including our expectations with respect to timing and payment to the former equity holders of Apton (as defined below) and the satisfaction of the related milestone obligations related to our acquisition of Apton;</w:t>
      </w:r>
    </w:p>
    <w:p>
      <w:pPr>
        <w:spacing w:after="0" w:line="113" w:lineRule="exact"/>
        <w:rPr>
          <w:rFonts w:ascii="Arial" w:cs="Arial" w:eastAsia="Arial" w:hAnsi="Arial"/>
          <w:sz w:val="19"/>
          <w:szCs w:val="19"/>
          <w:b w:val="1"/>
          <w:bCs w:val="1"/>
          <w:color w:val="DF1995"/>
        </w:rPr>
      </w:pPr>
    </w:p>
    <w:p>
      <w:pPr>
        <w:ind w:left="720" w:right="20" w:hanging="370"/>
        <w:spacing w:after="0" w:line="285" w:lineRule="auto"/>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expectations regarding commercial availability and lowering the cost of long-read sequencing through SPRQ-Nx chemistry;</w:t>
      </w:r>
    </w:p>
    <w:p>
      <w:pPr>
        <w:spacing w:after="0" w:line="113" w:lineRule="exact"/>
        <w:rPr>
          <w:rFonts w:ascii="Arial" w:cs="Arial" w:eastAsia="Arial" w:hAnsi="Arial"/>
          <w:sz w:val="20"/>
          <w:szCs w:val="20"/>
          <w:b w:val="1"/>
          <w:bCs w:val="1"/>
          <w:color w:val="DF1995"/>
        </w:rPr>
      </w:pPr>
    </w:p>
    <w:p>
      <w:pPr>
        <w:ind w:left="720" w:right="20" w:hanging="370"/>
        <w:spacing w:after="0" w:line="285" w:lineRule="auto"/>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expectations regarding the development of kitted-solutions, like our Kinnex Full-length RNA kits and PureTarget;</w:t>
      </w:r>
    </w:p>
    <w:p>
      <w:pPr>
        <w:spacing w:after="0" w:line="11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current and future products;</w:t>
      </w:r>
    </w:p>
    <w:p>
      <w:pPr>
        <w:spacing w:after="0" w:line="19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improvements to our existing products;</w:t>
      </w:r>
    </w:p>
    <w:p>
      <w:pPr>
        <w:spacing w:after="0" w:line="130" w:lineRule="exact"/>
        <w:rPr>
          <w:rFonts w:ascii="Arial" w:cs="Arial" w:eastAsia="Arial" w:hAnsi="Arial"/>
          <w:sz w:val="20"/>
          <w:szCs w:val="20"/>
          <w:b w:val="1"/>
          <w:bCs w:val="1"/>
          <w:color w:val="DF1995"/>
        </w:rPr>
      </w:pPr>
    </w:p>
    <w:p>
      <w:pPr>
        <w:ind w:left="720" w:hanging="370"/>
        <w:spacing w:after="0" w:line="285" w:lineRule="auto"/>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strategic and commercial plans, including our expectations regarding our clinical strategy and Revio and Vega systems;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market opportunity, including market size and expected market growth;</w:t>
      </w:r>
    </w:p>
    <w:p>
      <w:pPr>
        <w:spacing w:after="0" w:line="130" w:lineRule="exact"/>
        <w:rPr>
          <w:rFonts w:ascii="Arial" w:cs="Arial" w:eastAsia="Arial" w:hAnsi="Arial"/>
          <w:sz w:val="20"/>
          <w:szCs w:val="20"/>
          <w:b w:val="1"/>
          <w:bCs w:val="1"/>
          <w:color w:val="DF1995"/>
        </w:rPr>
      </w:pPr>
    </w:p>
    <w:p>
      <w:pPr>
        <w:ind w:left="720" w:right="20" w:hanging="370"/>
        <w:spacing w:after="0" w:line="285" w:lineRule="auto"/>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expectations regarding the timing and conversion of backlog to revenue and the pricing and gross margin for products;</w:t>
      </w:r>
    </w:p>
    <w:p>
      <w:pPr>
        <w:spacing w:after="0" w:line="53" w:lineRule="exact"/>
        <w:rPr>
          <w:rFonts w:ascii="Arial" w:cs="Arial" w:eastAsia="Arial" w:hAnsi="Arial"/>
          <w:sz w:val="20"/>
          <w:szCs w:val="20"/>
          <w:b w:val="1"/>
          <w:bCs w:val="1"/>
          <w:color w:val="DF1995"/>
        </w:rPr>
      </w:pPr>
    </w:p>
    <w:p>
      <w:pPr>
        <w:ind w:left="720" w:right="20" w:hanging="370"/>
        <w:spacing w:after="0" w:line="285" w:lineRule="auto"/>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manufacturing plans including developing and scaling of manufacturing and delivery of our products;</w:t>
      </w:r>
    </w:p>
    <w:p>
      <w:pPr>
        <w:spacing w:after="0" w:line="53" w:lineRule="exact"/>
        <w:rPr>
          <w:rFonts w:ascii="Arial" w:cs="Arial" w:eastAsia="Arial" w:hAnsi="Arial"/>
          <w:sz w:val="20"/>
          <w:szCs w:val="20"/>
          <w:b w:val="1"/>
          <w:bCs w:val="1"/>
          <w:color w:val="DF1995"/>
        </w:rPr>
      </w:pPr>
    </w:p>
    <w:p>
      <w:pPr>
        <w:jc w:val="both"/>
        <w:ind w:left="720" w:hanging="370"/>
        <w:spacing w:after="0" w:line="311" w:lineRule="auto"/>
        <w:tabs>
          <w:tab w:leader="none" w:pos="720" w:val="left"/>
        </w:tabs>
        <w:numPr>
          <w:ilvl w:val="0"/>
          <w:numId w:val="5"/>
        </w:numPr>
        <w:rPr>
          <w:rFonts w:ascii="Arial" w:cs="Arial" w:eastAsia="Arial" w:hAnsi="Arial"/>
          <w:sz w:val="18"/>
          <w:szCs w:val="18"/>
          <w:b w:val="1"/>
          <w:bCs w:val="1"/>
          <w:color w:val="DF1995"/>
        </w:rPr>
      </w:pPr>
      <w:r>
        <w:rPr>
          <w:rFonts w:ascii="Arial" w:cs="Arial" w:eastAsia="Arial" w:hAnsi="Arial"/>
          <w:sz w:val="18"/>
          <w:szCs w:val="18"/>
          <w:b w:val="1"/>
          <w:bCs w:val="1"/>
          <w:color w:val="auto"/>
        </w:rPr>
        <w:t>any reductions or potential reductions in academic or government funding, including for the National Institutes of Health (“NIH"), or targeted cancellations by the U.S. federal government of certain grants or contracts, could negatively impact our customers and reduce demand for our products and services;</w:t>
      </w:r>
    </w:p>
    <w:p>
      <w:pPr>
        <w:spacing w:after="0" w:line="35" w:lineRule="exact"/>
        <w:rPr>
          <w:rFonts w:ascii="Arial" w:cs="Arial" w:eastAsia="Arial" w:hAnsi="Arial"/>
          <w:sz w:val="18"/>
          <w:szCs w:val="18"/>
          <w:b w:val="1"/>
          <w:bCs w:val="1"/>
          <w:color w:val="DF1995"/>
        </w:rPr>
      </w:pPr>
    </w:p>
    <w:p>
      <w:pPr>
        <w:ind w:left="720" w:hanging="370"/>
        <w:spacing w:after="0"/>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research and development plans;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expected timing of payment of certain intangible assets;</w:t>
      </w:r>
    </w:p>
    <w:p>
      <w:pPr>
        <w:spacing w:after="0" w:line="130" w:lineRule="exact"/>
        <w:rPr>
          <w:rFonts w:ascii="Arial" w:cs="Arial" w:eastAsia="Arial" w:hAnsi="Arial"/>
          <w:sz w:val="20"/>
          <w:szCs w:val="20"/>
          <w:b w:val="1"/>
          <w:bCs w:val="1"/>
          <w:color w:val="DF1995"/>
        </w:rPr>
      </w:pPr>
    </w:p>
    <w:p>
      <w:pPr>
        <w:ind w:left="720" w:right="20" w:hanging="370"/>
        <w:spacing w:after="0" w:line="283" w:lineRule="auto"/>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the anticipated impact of catastrophic events, including health epidemics or pandemics and military or other armed conflicts, on our business, business plans and results of operations;</w:t>
      </w:r>
    </w:p>
    <w:p>
      <w:pPr>
        <w:spacing w:after="0" w:line="57" w:lineRule="exact"/>
        <w:rPr>
          <w:rFonts w:ascii="Arial" w:cs="Arial" w:eastAsia="Arial" w:hAnsi="Arial"/>
          <w:sz w:val="20"/>
          <w:szCs w:val="20"/>
          <w:b w:val="1"/>
          <w:bCs w:val="1"/>
          <w:color w:val="DF1995"/>
        </w:rPr>
      </w:pPr>
    </w:p>
    <w:p>
      <w:pPr>
        <w:ind w:left="720" w:right="20" w:hanging="370"/>
        <w:spacing w:after="0" w:line="283" w:lineRule="auto"/>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uncertainty regarding or potential changes in diplomatic and trade relationships as a result of the recent change in the U.S. government administration;</w:t>
      </w:r>
    </w:p>
    <w:p>
      <w:pPr>
        <w:spacing w:after="0" w:line="57" w:lineRule="exact"/>
        <w:rPr>
          <w:rFonts w:ascii="Arial" w:cs="Arial" w:eastAsia="Arial" w:hAnsi="Arial"/>
          <w:sz w:val="20"/>
          <w:szCs w:val="20"/>
          <w:b w:val="1"/>
          <w:bCs w:val="1"/>
          <w:color w:val="DF1995"/>
        </w:rPr>
      </w:pPr>
    </w:p>
    <w:p>
      <w:pPr>
        <w:jc w:val="both"/>
        <w:ind w:left="720" w:right="20" w:hanging="370"/>
        <w:spacing w:after="0" w:line="287" w:lineRule="auto"/>
        <w:tabs>
          <w:tab w:leader="none" w:pos="720" w:val="left"/>
        </w:tabs>
        <w:numPr>
          <w:ilvl w:val="0"/>
          <w:numId w:val="5"/>
        </w:numPr>
        <w:rPr>
          <w:rFonts w:ascii="Arial" w:cs="Arial" w:eastAsia="Arial" w:hAnsi="Arial"/>
          <w:sz w:val="19"/>
          <w:szCs w:val="19"/>
          <w:b w:val="1"/>
          <w:bCs w:val="1"/>
          <w:color w:val="DF1995"/>
        </w:rPr>
      </w:pPr>
      <w:r>
        <w:rPr>
          <w:rFonts w:ascii="Arial" w:cs="Arial" w:eastAsia="Arial" w:hAnsi="Arial"/>
          <w:sz w:val="19"/>
          <w:szCs w:val="19"/>
          <w:b w:val="1"/>
          <w:bCs w:val="1"/>
          <w:color w:val="auto"/>
        </w:rPr>
        <w:t>the impact of tariffs recently imposed by the U.S. government and its trading partners in response, other possible tariffs or trade protection measures, import or export licensing requirements, new or different customs duties, trade embargoes and sanctions and other trade barriers;</w:t>
      </w:r>
    </w:p>
    <w:p>
      <w:pPr>
        <w:spacing w:after="0" w:line="56" w:lineRule="exact"/>
        <w:rPr>
          <w:rFonts w:ascii="Arial" w:cs="Arial" w:eastAsia="Arial" w:hAnsi="Arial"/>
          <w:sz w:val="19"/>
          <w:szCs w:val="19"/>
          <w:b w:val="1"/>
          <w:bCs w:val="1"/>
          <w:color w:val="DF1995"/>
        </w:rPr>
      </w:pPr>
    </w:p>
    <w:p>
      <w:pPr>
        <w:jc w:val="both"/>
        <w:ind w:left="720" w:right="20" w:hanging="370"/>
        <w:spacing w:after="0" w:line="266" w:lineRule="auto"/>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product development plans, roadmaps, and objectives, including, among other things, statements relating to future uses, quality, or performance of, or benefits of using, products or technologies, updates, or improvements of our products;</w:t>
      </w:r>
    </w:p>
    <w:p>
      <w:pPr>
        <w:spacing w:after="0" w:line="75" w:lineRule="exact"/>
        <w:rPr>
          <w:rFonts w:ascii="Arial" w:cs="Arial" w:eastAsia="Arial" w:hAnsi="Arial"/>
          <w:sz w:val="20"/>
          <w:szCs w:val="20"/>
          <w:b w:val="1"/>
          <w:bCs w:val="1"/>
          <w:color w:val="DF1995"/>
        </w:rPr>
      </w:pPr>
    </w:p>
    <w:p>
      <w:pPr>
        <w:ind w:left="720" w:hanging="370"/>
        <w:spacing w:after="0"/>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intentions regarding seeking regulatory approval for our products;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5"/>
        </w:numPr>
        <w:rPr>
          <w:rFonts w:ascii="Arial" w:cs="Arial" w:eastAsia="Arial" w:hAnsi="Arial"/>
          <w:sz w:val="19"/>
          <w:szCs w:val="19"/>
          <w:b w:val="1"/>
          <w:bCs w:val="1"/>
          <w:color w:val="DF1995"/>
        </w:rPr>
      </w:pPr>
      <w:r>
        <w:rPr>
          <w:rFonts w:ascii="Arial" w:cs="Arial" w:eastAsia="Arial" w:hAnsi="Arial"/>
          <w:sz w:val="19"/>
          <w:szCs w:val="19"/>
          <w:b w:val="1"/>
          <w:bCs w:val="1"/>
          <w:color w:val="auto"/>
        </w:rPr>
        <w:t>our competitive landscape, including competition in the long-read sequencing technologies market;</w:t>
      </w:r>
    </w:p>
    <w:p>
      <w:pPr>
        <w:spacing w:after="0" w:line="141" w:lineRule="exact"/>
        <w:rPr>
          <w:rFonts w:ascii="Arial" w:cs="Arial" w:eastAsia="Arial" w:hAnsi="Arial"/>
          <w:sz w:val="19"/>
          <w:szCs w:val="19"/>
          <w:b w:val="1"/>
          <w:bCs w:val="1"/>
          <w:color w:val="DF1995"/>
        </w:rPr>
      </w:pPr>
    </w:p>
    <w:p>
      <w:pPr>
        <w:ind w:left="720" w:hanging="370"/>
        <w:spacing w:after="0"/>
        <w:tabs>
          <w:tab w:leader="none" w:pos="720" w:val="left"/>
        </w:tabs>
        <w:numPr>
          <w:ilvl w:val="0"/>
          <w:numId w:val="5"/>
        </w:numPr>
        <w:rPr>
          <w:rFonts w:ascii="Arial" w:cs="Arial" w:eastAsia="Arial" w:hAnsi="Arial"/>
          <w:sz w:val="20"/>
          <w:szCs w:val="20"/>
          <w:b w:val="1"/>
          <w:bCs w:val="1"/>
          <w:color w:val="DF1995"/>
        </w:rPr>
      </w:pPr>
      <w:r>
        <w:rPr>
          <w:rFonts w:ascii="Arial" w:cs="Arial" w:eastAsia="Arial" w:hAnsi="Arial"/>
          <w:sz w:val="20"/>
          <w:szCs w:val="20"/>
          <w:b w:val="1"/>
          <w:bCs w:val="1"/>
          <w:color w:val="auto"/>
        </w:rPr>
        <w:t>our expectations regarding collaborations and partnerships;</w:t>
      </w:r>
    </w:p>
    <w:p>
      <w:pPr>
        <w:sectPr>
          <w:pgSz w:w="12240" w:h="15840" w:orient="portrait"/>
          <w:cols w:equalWidth="0" w:num="1">
            <w:col w:w="9900"/>
          </w:cols>
          <w:pgMar w:left="1180" w:top="210" w:right="1160" w:bottom="525"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DF1995"/>
        </w:rPr>
      </w:pPr>
      <w:r>
        <w:rPr>
          <w:rFonts w:ascii="Arial" w:cs="Arial" w:eastAsia="Arial" w:hAnsi="Arial"/>
          <w:sz w:val="20"/>
          <w:szCs w:val="20"/>
          <w:b w:val="1"/>
          <w:bCs w:val="1"/>
          <w:color w:val="auto"/>
        </w:rPr>
        <w:t>our expectations regarding unrecognized income tax benefits;</w:t>
      </w:r>
    </w:p>
    <w:p>
      <w:pPr>
        <w:spacing w:after="0" w:line="130" w:lineRule="exact"/>
        <w:rPr>
          <w:rFonts w:ascii="Arial" w:cs="Arial" w:eastAsia="Arial" w:hAnsi="Arial"/>
          <w:sz w:val="20"/>
          <w:szCs w:val="20"/>
          <w:b w:val="1"/>
          <w:bCs w:val="1"/>
          <w:color w:val="DF1995"/>
        </w:rPr>
      </w:pPr>
    </w:p>
    <w:p>
      <w:pPr>
        <w:ind w:left="720" w:hanging="370"/>
        <w:spacing w:after="0" w:line="285" w:lineRule="auto"/>
        <w:tabs>
          <w:tab w:leader="none" w:pos="720" w:val="left"/>
        </w:tabs>
        <w:numPr>
          <w:ilvl w:val="0"/>
          <w:numId w:val="6"/>
        </w:numPr>
        <w:rPr>
          <w:rFonts w:ascii="Arial" w:cs="Arial" w:eastAsia="Arial" w:hAnsi="Arial"/>
          <w:sz w:val="20"/>
          <w:szCs w:val="20"/>
          <w:b w:val="1"/>
          <w:bCs w:val="1"/>
          <w:color w:val="DF1995"/>
        </w:rPr>
      </w:pPr>
      <w:r>
        <w:rPr>
          <w:rFonts w:ascii="Arial" w:cs="Arial" w:eastAsia="Arial" w:hAnsi="Arial"/>
          <w:sz w:val="20"/>
          <w:szCs w:val="20"/>
          <w:b w:val="1"/>
          <w:bCs w:val="1"/>
          <w:color w:val="auto"/>
        </w:rPr>
        <w:t>our expectations regarding market risk, including interest rate changes and general macroeconomic conditions;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6"/>
        </w:numPr>
        <w:rPr>
          <w:rFonts w:ascii="Arial" w:cs="Arial" w:eastAsia="Arial" w:hAnsi="Arial"/>
          <w:sz w:val="19"/>
          <w:szCs w:val="19"/>
          <w:b w:val="1"/>
          <w:bCs w:val="1"/>
          <w:color w:val="DF1995"/>
        </w:rPr>
      </w:pPr>
      <w:r>
        <w:rPr>
          <w:rFonts w:ascii="Arial" w:cs="Arial" w:eastAsia="Arial" w:hAnsi="Arial"/>
          <w:sz w:val="19"/>
          <w:szCs w:val="19"/>
          <w:b w:val="1"/>
          <w:bCs w:val="1"/>
          <w:color w:val="auto"/>
        </w:rPr>
        <w:t>the sufficiency of cash, cash equivalents, and investments to fund projected operating requirements;</w:t>
      </w:r>
    </w:p>
    <w:p>
      <w:pPr>
        <w:spacing w:after="0" w:line="141" w:lineRule="exact"/>
        <w:rPr>
          <w:rFonts w:ascii="Arial" w:cs="Arial" w:eastAsia="Arial" w:hAnsi="Arial"/>
          <w:sz w:val="19"/>
          <w:szCs w:val="19"/>
          <w:b w:val="1"/>
          <w:bCs w:val="1"/>
          <w:color w:val="DF1995"/>
        </w:rPr>
      </w:pPr>
    </w:p>
    <w:p>
      <w:pPr>
        <w:ind w:left="720" w:hanging="370"/>
        <w:spacing w:after="0"/>
        <w:tabs>
          <w:tab w:leader="none" w:pos="720" w:val="left"/>
        </w:tabs>
        <w:numPr>
          <w:ilvl w:val="0"/>
          <w:numId w:val="6"/>
        </w:numPr>
        <w:rPr>
          <w:rFonts w:ascii="Arial" w:cs="Arial" w:eastAsia="Arial" w:hAnsi="Arial"/>
          <w:sz w:val="20"/>
          <w:szCs w:val="20"/>
          <w:b w:val="1"/>
          <w:bCs w:val="1"/>
          <w:color w:val="DF1995"/>
        </w:rPr>
      </w:pPr>
      <w:r>
        <w:rPr>
          <w:rFonts w:ascii="Arial" w:cs="Arial" w:eastAsia="Arial" w:hAnsi="Arial"/>
          <w:sz w:val="20"/>
          <w:szCs w:val="20"/>
          <w:b w:val="1"/>
          <w:bCs w:val="1"/>
          <w:color w:val="auto"/>
        </w:rPr>
        <w:t>the effects of recent accounting pronouncements on our financial statements; and</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6"/>
        </w:numPr>
        <w:rPr>
          <w:rFonts w:ascii="Arial" w:cs="Arial" w:eastAsia="Arial" w:hAnsi="Arial"/>
          <w:sz w:val="20"/>
          <w:szCs w:val="20"/>
          <w:b w:val="1"/>
          <w:bCs w:val="1"/>
          <w:color w:val="DF1995"/>
        </w:rPr>
      </w:pPr>
      <w:r>
        <w:rPr>
          <w:rFonts w:ascii="Arial" w:cs="Arial" w:eastAsia="Arial" w:hAnsi="Arial"/>
          <w:sz w:val="20"/>
          <w:szCs w:val="20"/>
          <w:b w:val="1"/>
          <w:bCs w:val="1"/>
          <w:color w:val="auto"/>
        </w:rPr>
        <w:t>other future events.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Forward-looking statements can be identified by words such as: “anticipates,” “believes,” “could,” “estimates,” “expects,” “intends,” “may,” “plans,” “potential,” “predicts,” “projects,” “seeks,” “should,” “target,” “will,” “would,” or similar expressions and the negatives of those terms.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Factors that could cause or contribute to such differences include, but are not limited to, those discussed under the heading “Risk Factors” in this report and in other documents we file with the Securities and Exchange Commission ("SEC"). Given these risks and uncertainties, you should not place undue reliance on forward-looking statements. Also, forward-looking statements represent management’s beliefs and assumptions as of the date of this report. Except as required by law, we assume no obligation to update forward-looking statements publicly, or to update the reasons actual results could differ materially from those anticipated in these forward-looking statements, even if new information becomes available in the future.</w:t>
      </w:r>
    </w:p>
    <w:p>
      <w:pPr>
        <w:spacing w:after="0" w:line="5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This Annual Report on Form 10-K also contains estimates, projections, and other information concerning our industry, our business, and the markets for our products, including data regarding the estimated size and estimated growth for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pgSz w:w="12240" w:h="15840" w:orient="portrait"/>
          <w:cols w:equalWidth="0" w:num="1">
            <w:col w:w="9880"/>
          </w:cols>
          <w:pgMar w:left="1180" w:top="210" w:right="1180"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387" w:lineRule="exact"/>
        <w:rPr>
          <w:sz w:val="20"/>
          <w:szCs w:val="20"/>
          <w:color w:val="auto"/>
        </w:rPr>
      </w:pPr>
    </w:p>
    <w:p>
      <w:pPr>
        <w:ind w:left="4560"/>
        <w:spacing w:after="0"/>
        <w:rPr>
          <w:sz w:val="20"/>
          <w:szCs w:val="20"/>
          <w:color w:val="auto"/>
        </w:rPr>
      </w:pPr>
      <w:r>
        <w:rPr>
          <w:rFonts w:ascii="Arial" w:cs="Arial" w:eastAsia="Arial" w:hAnsi="Arial"/>
          <w:sz w:val="24"/>
          <w:szCs w:val="24"/>
          <w:b w:val="1"/>
          <w:bCs w:val="1"/>
          <w:color w:val="DF1995"/>
        </w:rPr>
        <w:t>PART 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129540</wp:posOffset>
                </wp:positionV>
                <wp:extent cx="62865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0.2pt" to="494.5pt,10.2pt" o:allowincell="f" strokecolor="#DF1995" strokeweight="1pt"/>
            </w:pict>
          </mc:Fallback>
        </mc:AlternateConten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1.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Overview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DF1995"/>
                          </a:solidFill>
                          <a:prstDash val="dash"/>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DF1995"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We are a premier life science technology company that designs, develops, and manufactures advanced sequencing solutions that enable scientists and clinical researchers to improve their understanding of the genome and ultimately, resolve genetically complex problems.</w:t>
      </w:r>
    </w:p>
    <w:p>
      <w:pPr>
        <w:spacing w:after="0" w:line="7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products and technology, which include our HiFi long-read sequencing technology, address a broad set of applications including human germline sequencing, plant and animal sciences, infectious disease and microbiology, oncology, and other emerging applications.</w:t>
      </w:r>
    </w:p>
    <w:p>
      <w:pPr>
        <w:spacing w:after="0" w:line="7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Our focus is on creating some of the world's most advanced sequencing systems to provide our customers with the most complete and accurate view of genomes, transcriptomes, and epigenomes.</w:t>
      </w:r>
    </w:p>
    <w:p>
      <w:pPr>
        <w:spacing w:after="0" w:line="54"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Recent Developments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4" w:lineRule="auto"/>
        <w:rPr>
          <w:sz w:val="20"/>
          <w:szCs w:val="20"/>
          <w:color w:val="auto"/>
        </w:rPr>
      </w:pPr>
      <w:r>
        <w:rPr>
          <w:rFonts w:ascii="Arial" w:cs="Arial" w:eastAsia="Arial" w:hAnsi="Arial"/>
          <w:sz w:val="18"/>
          <w:szCs w:val="18"/>
          <w:b w:val="1"/>
          <w:bCs w:val="1"/>
          <w:color w:val="auto"/>
        </w:rPr>
        <w:t>On January 30, 2026, we completed the disposition of assets to Illumina Cambridge Limited (the “Buyer”) in accordance with the terms of an Asset Purchase Agreement, dated January 30, 2026 (the “Asset Purchase Agreement”), by and among us, Buyer, and Illumina, Inc. ("Illumina"), solely for purposes of Section 8.16 of the Asset Purchase Agreement, pursuant to which, among other matters, Buyer acquired certain intellectual property and other assets related to our short-read DNA sequencing technology and related clustering, sequencing reagent, and detection technologies (the “Asset Sale”). As consideration for the Asset Sale, Buyer paid us $50.0 million in cash and assumed certain liabilities (the “Purchase Price”). In addition, Buyer granted us a non-exclusive license to certain intellectual property included in the purchased assets. In connection with the Asset Sale, Buyer will pay at our direction 4% of the net proceeds from the Purchase Price to the former equity holders of Apton Biosystems, Inc. (“Apton”) related to the waiver of all remaining milestone obligations associated with our purchase of Apton in August 2023, which payment is expected in the first quarter of 2026. As a result, we received approximately $48.1 million in net cash proceeds from the Asset Sale.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Our Mission and Impact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84" w:lineRule="auto"/>
        <w:rPr>
          <w:sz w:val="20"/>
          <w:szCs w:val="20"/>
          <w:color w:val="auto"/>
        </w:rPr>
      </w:pPr>
      <w:r>
        <w:rPr>
          <w:rFonts w:ascii="Arial" w:cs="Arial" w:eastAsia="Arial" w:hAnsi="Arial"/>
          <w:sz w:val="18"/>
          <w:szCs w:val="18"/>
          <w:b w:val="1"/>
          <w:bCs w:val="1"/>
          <w:color w:val="auto"/>
        </w:rPr>
        <w:t>Our mission is to enable the promise of genomics to better human health. Genomics is core to all biological processes, and our advanced genomics tools provide scientists and clinical researchers with the insights to better understand biology and health. The “promise of genomics” postulates that medicine, agriculture, public health, drug development, and other disciplines will be transformed by incorporating routine genomic information over the coming decades. We see early progress toward this transformation in the applied use of genomics in areas such as genetic disease, oncology, and sustainable food production. However, legacy genomics technologies have fundamental limitations in progressing these fields toward the promise of genomics. We believe that unleashing the full potential of genomics will require a level of accuracy and completeness inaccessible to legacy technologies. Accuracy and completeness are central to our product development strategy; thus, we have created some of the most innovative and high-quality genomics solutions on the market. Our products also have enhanced multi-omic capabilities to look beyond the genome to the transcriptome and epigenome, which we believe is key to understanding a full picture of biology.</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The Underlying Science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8" w:lineRule="auto"/>
        <w:rPr>
          <w:sz w:val="20"/>
          <w:szCs w:val="20"/>
          <w:color w:val="auto"/>
        </w:rPr>
      </w:pPr>
      <w:r>
        <w:rPr>
          <w:rFonts w:ascii="Arial" w:cs="Arial" w:eastAsia="Arial" w:hAnsi="Arial"/>
          <w:sz w:val="19"/>
          <w:szCs w:val="19"/>
          <w:b w:val="1"/>
          <w:bCs w:val="1"/>
          <w:color w:val="auto"/>
        </w:rPr>
        <w:t>Genetic inheritance in living organisms is conveyed through a naturally occurring information storage system known as deoxyribonucleic acid, or DNA. DNA stores information in linear chains of the chemical bases adenine, cytosine, guanine, and thymine, represented by the symbols A, C, G, and T respectively.</w:t>
      </w:r>
    </w:p>
    <w:p>
      <w:pPr>
        <w:spacing w:after="0" w:line="53" w:lineRule="exact"/>
        <w:rPr>
          <w:sz w:val="20"/>
          <w:szCs w:val="20"/>
          <w:color w:val="auto"/>
        </w:rPr>
      </w:pPr>
    </w:p>
    <w:p>
      <w:pPr>
        <w:jc w:val="both"/>
        <w:ind w:right="680"/>
        <w:spacing w:after="0" w:line="313" w:lineRule="auto"/>
        <w:rPr>
          <w:sz w:val="20"/>
          <w:szCs w:val="20"/>
          <w:color w:val="auto"/>
        </w:rPr>
      </w:pPr>
      <w:r>
        <w:rPr>
          <w:rFonts w:ascii="Arial" w:cs="Arial" w:eastAsia="Arial" w:hAnsi="Arial"/>
          <w:sz w:val="19"/>
          <w:szCs w:val="19"/>
          <w:b w:val="1"/>
          <w:bCs w:val="1"/>
          <w:color w:val="auto"/>
        </w:rPr>
        <w:t>In humans, the genome is comprised of approximately three billion DNA base pairs, which are divided into 23 chromosomes ranging in size from 50 million to 250 million bases. A human carries two copies of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234950</wp:posOffset>
                </wp:positionV>
                <wp:extent cx="73152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8.5pt" to="535pt,1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234950</wp:posOffset>
                </wp:positionV>
                <wp:extent cx="73152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8.5pt" to="535pt,18.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21" w:lineRule="exact"/>
        <w:rPr>
          <w:sz w:val="20"/>
          <w:szCs w:val="20"/>
          <w:color w:val="auto"/>
        </w:rPr>
      </w:pPr>
    </w:p>
    <w:p>
      <w:pPr>
        <w:ind w:left="320"/>
        <w:spacing w:after="0"/>
        <w:tabs>
          <w:tab w:leader="none" w:pos="1044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chromosomes, one inherited from each parent. Approximately 23,000 smaller regions within these chromosomes, called genes, contain the blueprints for protein production. The proteins synthesized from these blueprints essentially underlie the operation of all biological systems.</w:t>
      </w:r>
    </w:p>
    <w:p>
      <w:pPr>
        <w:spacing w:after="0" w:line="70" w:lineRule="exact"/>
        <w:rPr>
          <w:sz w:val="20"/>
          <w:szCs w:val="20"/>
          <w:color w:val="auto"/>
        </w:rPr>
      </w:pPr>
    </w:p>
    <w:p>
      <w:pPr>
        <w:jc w:val="both"/>
        <w:ind w:right="700"/>
        <w:spacing w:after="0" w:line="257" w:lineRule="auto"/>
        <w:rPr>
          <w:sz w:val="20"/>
          <w:szCs w:val="20"/>
          <w:color w:val="auto"/>
        </w:rPr>
      </w:pPr>
      <w:r>
        <w:rPr>
          <w:rFonts w:ascii="Arial" w:cs="Arial" w:eastAsia="Arial" w:hAnsi="Arial"/>
          <w:sz w:val="20"/>
          <w:szCs w:val="20"/>
          <w:b w:val="1"/>
          <w:bCs w:val="1"/>
          <w:color w:val="auto"/>
        </w:rPr>
        <w:t>Genome sequencing reads the bases of long fragments of nucleic acids. Initial genome sequencing studies have shown that variation in these DNA base pairs play a critical role in human disease, contributing to the burgeoning field of genomics. Recent discoveries have highlighted additional complexities of DNA and RNA. These discoveries include the presence of chemical modifications to the bases, such as methylation, and post-transcriptional modification, or the processing of RNA molecules after they are transcribed from the genome, both of which can affect protein synthesis.</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Our Principal Markets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Researchers utilize our solutions in human genomics, plant and animal sciences, infectious disease and microbiology, oncology, and other emerging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6286500" cy="614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6286500" cy="61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Human Genomics: Improving rare disease research and understanding</w:t>
      </w:r>
    </w:p>
    <w:p>
      <w:pPr>
        <w:spacing w:after="0" w:line="130" w:lineRule="exact"/>
        <w:rPr>
          <w:sz w:val="20"/>
          <w:szCs w:val="20"/>
          <w:color w:val="auto"/>
        </w:rPr>
      </w:pPr>
    </w:p>
    <w:p>
      <w:pPr>
        <w:jc w:val="both"/>
        <w:ind w:right="700"/>
        <w:spacing w:after="0" w:line="268" w:lineRule="auto"/>
        <w:rPr>
          <w:sz w:val="20"/>
          <w:szCs w:val="20"/>
          <w:color w:val="auto"/>
        </w:rPr>
      </w:pPr>
      <w:r>
        <w:rPr>
          <w:rFonts w:ascii="Arial" w:cs="Arial" w:eastAsia="Arial" w:hAnsi="Arial"/>
          <w:sz w:val="19"/>
          <w:szCs w:val="19"/>
          <w:b w:val="1"/>
          <w:bCs w:val="1"/>
          <w:color w:val="auto"/>
        </w:rPr>
        <w:t>According to global health organizations, there are currently over 6,000 distinct rare diseases worldwide, affecting approximately 300 million people, and over 70% of these conditions are believed to have a genetic origin. These genetic diseases are DNA differences, called variants, in the affected individuals. Variants range in size from single nucleotide substitutions to large losses or gains of entire chromosomes. Other sequencing technologies applied to rare disease diagnosis are technologically limited to interrogating small variants, representing only a subset of possible genomic variation. Consequently, most genetic disease cases are undiagnosed, leaving families on multi-year diagnostic odysseys. Sequencing the human genome with long and accurate reads enables the potential detection of all known classes of disease-causing variation. In addition, the ability of PacBio’s long-read sequencing technology to detect 5-Methylcytosine DNA methylation, an epigenetic modification shown to alter gene behavior, may enable further advances in research and development in genetic disease diagnosis.</w:t>
      </w:r>
    </w:p>
    <w:p>
      <w:pPr>
        <w:spacing w:after="0" w:line="136"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i w:val="1"/>
          <w:iCs w:val="1"/>
          <w:color w:val="DF1995"/>
        </w:rPr>
        <w:t>Infectious Disease and Microbiology: Understanding and tracking microbes and pathogens in support of global public health</w:t>
      </w:r>
    </w:p>
    <w:p>
      <w:pPr>
        <w:spacing w:after="0" w:line="58" w:lineRule="exact"/>
        <w:rPr>
          <w:sz w:val="20"/>
          <w:szCs w:val="20"/>
          <w:color w:val="auto"/>
        </w:rPr>
      </w:pPr>
    </w:p>
    <w:p>
      <w:pPr>
        <w:jc w:val="both"/>
        <w:ind w:right="700"/>
        <w:spacing w:after="0" w:line="280" w:lineRule="auto"/>
        <w:rPr>
          <w:sz w:val="20"/>
          <w:szCs w:val="20"/>
          <w:color w:val="auto"/>
        </w:rPr>
      </w:pPr>
      <w:r>
        <w:rPr>
          <w:rFonts w:ascii="Arial" w:cs="Arial" w:eastAsia="Arial" w:hAnsi="Arial"/>
          <w:sz w:val="19"/>
          <w:szCs w:val="19"/>
          <w:b w:val="1"/>
          <w:bCs w:val="1"/>
          <w:color w:val="auto"/>
        </w:rPr>
        <w:t>Our technology has increased the scientific community’s understanding of microorganisms and viruses and their malignancy, transmission, and potential resistance to antibiotics or vaccines. Our sequencing technology delivers highly comprehensive and complete genomes, enabling federal agencies, public health organizations, and healthcare providers to conduct wide-ranging research and surveillance activities to:</w:t>
      </w:r>
    </w:p>
    <w:p>
      <w:pPr>
        <w:spacing w:after="0" w:line="60" w:lineRule="exact"/>
        <w:rPr>
          <w:sz w:val="20"/>
          <w:szCs w:val="20"/>
          <w:color w:val="auto"/>
        </w:rPr>
      </w:pPr>
    </w:p>
    <w:p>
      <w:pPr>
        <w:ind w:left="720" w:right="680" w:hanging="370"/>
        <w:spacing w:after="0" w:line="310" w:lineRule="auto"/>
        <w:tabs>
          <w:tab w:leader="none" w:pos="720" w:val="left"/>
        </w:tabs>
        <w:numPr>
          <w:ilvl w:val="0"/>
          <w:numId w:val="7"/>
        </w:numPr>
        <w:rPr>
          <w:rFonts w:ascii="Arial" w:cs="Arial" w:eastAsia="Arial" w:hAnsi="Arial"/>
          <w:sz w:val="19"/>
          <w:szCs w:val="19"/>
          <w:b w:val="1"/>
          <w:bCs w:val="1"/>
          <w:color w:val="DF1995"/>
        </w:rPr>
      </w:pPr>
      <w:r>
        <w:rPr>
          <w:rFonts w:ascii="Arial" w:cs="Arial" w:eastAsia="Arial" w:hAnsi="Arial"/>
          <w:sz w:val="19"/>
          <w:szCs w:val="19"/>
          <w:b w:val="1"/>
          <w:bCs w:val="1"/>
          <w:color w:val="auto"/>
        </w:rPr>
        <w:t>generate high quality, complete genome assemblies, revealing variants of all known types, to gain a deeper understanding of community-acquired and hospital-associated infections and transmissions;</w:t>
      </w:r>
    </w:p>
    <w:p>
      <w:pPr>
        <w:spacing w:after="0" w:line="35" w:lineRule="exact"/>
        <w:rPr>
          <w:rFonts w:ascii="Arial" w:cs="Arial" w:eastAsia="Arial" w:hAnsi="Arial"/>
          <w:sz w:val="19"/>
          <w:szCs w:val="19"/>
          <w:b w:val="1"/>
          <w:bCs w:val="1"/>
          <w:color w:val="DF1995"/>
        </w:rPr>
      </w:pPr>
    </w:p>
    <w:p>
      <w:pPr>
        <w:ind w:left="720" w:right="700" w:hanging="370"/>
        <w:spacing w:after="0" w:line="283" w:lineRule="auto"/>
        <w:tabs>
          <w:tab w:leader="none" w:pos="720" w:val="left"/>
        </w:tabs>
        <w:numPr>
          <w:ilvl w:val="0"/>
          <w:numId w:val="7"/>
        </w:numPr>
        <w:rPr>
          <w:rFonts w:ascii="Arial" w:cs="Arial" w:eastAsia="Arial" w:hAnsi="Arial"/>
          <w:sz w:val="20"/>
          <w:szCs w:val="20"/>
          <w:b w:val="1"/>
          <w:bCs w:val="1"/>
          <w:color w:val="DF1995"/>
        </w:rPr>
      </w:pPr>
      <w:r>
        <w:rPr>
          <w:rFonts w:ascii="Arial" w:cs="Arial" w:eastAsia="Arial" w:hAnsi="Arial"/>
          <w:sz w:val="20"/>
          <w:szCs w:val="20"/>
          <w:b w:val="1"/>
          <w:bCs w:val="1"/>
          <w:color w:val="auto"/>
        </w:rPr>
        <w:t>identify and characterize pathogens to inform regional, national, and global public health agencies for preparation and response to rapidly evolving microorganisms; and</w:t>
      </w:r>
    </w:p>
    <w:p>
      <w:pPr>
        <w:spacing w:after="0" w:line="57" w:lineRule="exact"/>
        <w:rPr>
          <w:rFonts w:ascii="Arial" w:cs="Arial" w:eastAsia="Arial" w:hAnsi="Arial"/>
          <w:sz w:val="20"/>
          <w:szCs w:val="20"/>
          <w:b w:val="1"/>
          <w:bCs w:val="1"/>
          <w:color w:val="DF1995"/>
        </w:rPr>
      </w:pPr>
    </w:p>
    <w:p>
      <w:pPr>
        <w:ind w:left="720" w:right="700" w:hanging="370"/>
        <w:spacing w:after="0" w:line="283" w:lineRule="auto"/>
        <w:tabs>
          <w:tab w:leader="none" w:pos="720" w:val="left"/>
        </w:tabs>
        <w:numPr>
          <w:ilvl w:val="0"/>
          <w:numId w:val="7"/>
        </w:numPr>
        <w:rPr>
          <w:rFonts w:ascii="Arial" w:cs="Arial" w:eastAsia="Arial" w:hAnsi="Arial"/>
          <w:sz w:val="20"/>
          <w:szCs w:val="20"/>
          <w:b w:val="1"/>
          <w:bCs w:val="1"/>
          <w:color w:val="DF1995"/>
        </w:rPr>
      </w:pPr>
      <w:r>
        <w:rPr>
          <w:rFonts w:ascii="Arial" w:cs="Arial" w:eastAsia="Arial" w:hAnsi="Arial"/>
          <w:sz w:val="20"/>
          <w:szCs w:val="20"/>
          <w:b w:val="1"/>
          <w:bCs w:val="1"/>
          <w:color w:val="auto"/>
        </w:rPr>
        <w:t>characterize complex microbial communities to understand their role in human, animal, and environmental health.</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Oncology: Enabling discovery of cancer biology, progression, and relapse</w:t>
      </w:r>
    </w:p>
    <w:p>
      <w:pPr>
        <w:spacing w:after="0" w:line="130" w:lineRule="exact"/>
        <w:rPr>
          <w:sz w:val="20"/>
          <w:szCs w:val="20"/>
          <w:color w:val="auto"/>
        </w:rPr>
      </w:pPr>
    </w:p>
    <w:p>
      <w:pPr>
        <w:jc w:val="both"/>
        <w:ind w:right="680"/>
        <w:spacing w:after="0" w:line="257" w:lineRule="auto"/>
        <w:rPr>
          <w:sz w:val="20"/>
          <w:szCs w:val="20"/>
          <w:color w:val="auto"/>
        </w:rPr>
      </w:pPr>
      <w:r>
        <w:rPr>
          <w:rFonts w:ascii="Arial" w:cs="Arial" w:eastAsia="Arial" w:hAnsi="Arial"/>
          <w:sz w:val="20"/>
          <w:szCs w:val="20"/>
          <w:b w:val="1"/>
          <w:bCs w:val="1"/>
          <w:color w:val="auto"/>
        </w:rPr>
        <w:t>Our HiFi sequencing technology supports oncology research by enabling highly accurate, long-read analysis of both DNA and RNA, providing researchers with deeper insight into cancer biology. HiFi RNA sequencing allows generation of full-length transcript data from complex tumor samples, capturing isoforms, fusion transcripts, and alternative splicing events associated with tumor biology. By providing a more complete view of transcript diversity, these approaches support research into biomarkers and molecular mechanisms related to tumor progression and therapeutic response.</w:t>
      </w:r>
    </w:p>
    <w:p>
      <w:pPr>
        <w:spacing w:after="0" w:line="82" w:lineRule="exact"/>
        <w:rPr>
          <w:sz w:val="20"/>
          <w:szCs w:val="20"/>
          <w:color w:val="auto"/>
        </w:rPr>
      </w:pPr>
    </w:p>
    <w:p>
      <w:pPr>
        <w:jc w:val="both"/>
        <w:ind w:right="700"/>
        <w:spacing w:after="0" w:line="313" w:lineRule="auto"/>
        <w:rPr>
          <w:sz w:val="20"/>
          <w:szCs w:val="20"/>
          <w:color w:val="auto"/>
        </w:rPr>
      </w:pPr>
      <w:r>
        <w:rPr>
          <w:rFonts w:ascii="Arial" w:cs="Arial" w:eastAsia="Arial" w:hAnsi="Arial"/>
          <w:sz w:val="19"/>
          <w:szCs w:val="19"/>
          <w:b w:val="1"/>
          <w:bCs w:val="1"/>
          <w:color w:val="auto"/>
        </w:rPr>
        <w:t>HiFi whole-genome sequencing ("WGS") of tumor and matched normal samples supports comprehensive characterization of genomic alterations across cancer types. The combination of long reads and single-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193675</wp:posOffset>
                </wp:positionV>
                <wp:extent cx="73152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25pt" to="535pt,1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193675</wp:posOffset>
                </wp:positionV>
                <wp:extent cx="73152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25pt" to="535pt,15.2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56" w:lineRule="exact"/>
        <w:rPr>
          <w:sz w:val="20"/>
          <w:szCs w:val="20"/>
          <w:color w:val="auto"/>
        </w:rPr>
      </w:pPr>
    </w:p>
    <w:p>
      <w:pPr>
        <w:ind w:left="320"/>
        <w:spacing w:after="0"/>
        <w:tabs>
          <w:tab w:leader="none" w:pos="1044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0" w:lineRule="auto"/>
        <w:rPr>
          <w:sz w:val="20"/>
          <w:szCs w:val="20"/>
          <w:color w:val="auto"/>
        </w:rPr>
      </w:pPr>
      <w:r>
        <w:rPr>
          <w:rFonts w:ascii="Arial" w:cs="Arial" w:eastAsia="Arial" w:hAnsi="Arial"/>
          <w:sz w:val="19"/>
          <w:szCs w:val="19"/>
          <w:b w:val="1"/>
          <w:bCs w:val="1"/>
          <w:color w:val="auto"/>
        </w:rPr>
        <w:t>molecule accuracy enables detailed analysis of structural variants, copy-number changes, methylation patterns, and other somatic alterations associated with oncogenesis and treatment resistance. Researchers increasingly use HiFi tumor/normal WGS to resolve complex genomic rearrangements and to investigate genome-wide mutational processes that are difficult to assess with short-read sequencing technologies.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Plant and Animal Sciences: Helping scientists answer biological questions for a healthier world</w:t>
      </w:r>
    </w:p>
    <w:p>
      <w:pPr>
        <w:spacing w:after="0" w:line="130" w:lineRule="exact"/>
        <w:rPr>
          <w:sz w:val="20"/>
          <w:szCs w:val="20"/>
          <w:color w:val="auto"/>
        </w:rPr>
      </w:pPr>
    </w:p>
    <w:p>
      <w:pPr>
        <w:jc w:val="both"/>
        <w:ind w:right="700"/>
        <w:spacing w:after="0" w:line="273" w:lineRule="auto"/>
        <w:rPr>
          <w:sz w:val="20"/>
          <w:szCs w:val="20"/>
          <w:color w:val="auto"/>
        </w:rPr>
      </w:pPr>
      <w:r>
        <w:rPr>
          <w:rFonts w:ascii="Arial" w:cs="Arial" w:eastAsia="Arial" w:hAnsi="Arial"/>
          <w:sz w:val="19"/>
          <w:szCs w:val="19"/>
          <w:b w:val="1"/>
          <w:bCs w:val="1"/>
          <w:color w:val="auto"/>
        </w:rPr>
        <w:t>In Plant and Animal Sciences, academic, government and corporate researchers are using our technology to explore and catalog the genetic and biological diversity of organisms for the breeding, propagation, and production of crops and livestock while conserving the planet’s natural resources. Our HiFi sequencing enables researchers to build high quality de novo reference genomes and transcriptomes to study variations across species enabling improvements to global conservation initiatives and support the breeding and production of resilient and higher yielding crops to meet the world's growing population and demand.</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Our Technology, Products, and Solutions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300" w:lineRule="auto"/>
        <w:rPr>
          <w:sz w:val="20"/>
          <w:szCs w:val="20"/>
          <w:color w:val="auto"/>
        </w:rPr>
      </w:pPr>
      <w:r>
        <w:rPr>
          <w:rFonts w:ascii="Arial" w:cs="Arial" w:eastAsia="Arial" w:hAnsi="Arial"/>
          <w:sz w:val="18"/>
          <w:szCs w:val="18"/>
          <w:b w:val="1"/>
          <w:bCs w:val="1"/>
          <w:color w:val="auto"/>
        </w:rPr>
        <w:t>Our HiFi long-read sequencing approach is based on Single-Molecule Real-Time ("SMRT") technology and enables highly accurate detection of the nucleotide sequence and epigenetic status of individual DNA molecules. HiFi sequencing delivers long, highly accurate reads that support analysis of complex genomic and transcriptomic features that are difficult to resolve using conventional short-read sequencing technologies.</w:t>
      </w:r>
    </w:p>
    <w:p>
      <w:pPr>
        <w:spacing w:after="0" w:line="4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offerings include sequencing instruments, nanofluidic chips ("SMRT Cells"), reagents for DNA extraction, library preparation, and sequencing, application-specific sequencing workflows, as well as services we perform for customers.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HiFi Long-Read Sequencing</w:t>
      </w:r>
    </w:p>
    <w:p>
      <w:pPr>
        <w:spacing w:after="0" w:line="130" w:lineRule="exact"/>
        <w:rPr>
          <w:sz w:val="20"/>
          <w:szCs w:val="20"/>
          <w:color w:val="auto"/>
        </w:rPr>
      </w:pPr>
    </w:p>
    <w:p>
      <w:pPr>
        <w:jc w:val="both"/>
        <w:ind w:right="680"/>
        <w:spacing w:after="0" w:line="262" w:lineRule="auto"/>
        <w:rPr>
          <w:sz w:val="20"/>
          <w:szCs w:val="20"/>
          <w:color w:val="auto"/>
        </w:rPr>
      </w:pPr>
      <w:r>
        <w:rPr>
          <w:rFonts w:ascii="Arial" w:cs="Arial" w:eastAsia="Arial" w:hAnsi="Arial"/>
          <w:sz w:val="20"/>
          <w:szCs w:val="20"/>
          <w:b w:val="1"/>
          <w:bCs w:val="1"/>
          <w:color w:val="auto"/>
        </w:rPr>
        <w:t>Our HiFi long-read sequencing protocol was built upon our SMRT sequencing systems, including consumables and software, and offers customized end-to-end workflows for different sequencing applications. Highly accurate, long sequence reads simplify and accelerate data analysis algorithms, reducing the need for error correction and/or assembly, depending on the application.</w:t>
      </w:r>
    </w:p>
    <w:p>
      <w:pPr>
        <w:spacing w:after="0" w:line="76" w:lineRule="exact"/>
        <w:rPr>
          <w:sz w:val="20"/>
          <w:szCs w:val="20"/>
          <w:color w:val="auto"/>
        </w:rPr>
      </w:pPr>
    </w:p>
    <w:p>
      <w:pPr>
        <w:jc w:val="both"/>
        <w:ind w:right="700"/>
        <w:spacing w:after="0" w:line="261" w:lineRule="auto"/>
        <w:rPr>
          <w:sz w:val="20"/>
          <w:szCs w:val="20"/>
          <w:color w:val="auto"/>
        </w:rPr>
      </w:pPr>
      <w:r>
        <w:rPr>
          <w:rFonts w:ascii="Arial" w:cs="Arial" w:eastAsia="Arial" w:hAnsi="Arial"/>
          <w:sz w:val="20"/>
          <w:szCs w:val="20"/>
          <w:b w:val="1"/>
          <w:bCs w:val="1"/>
          <w:color w:val="auto"/>
        </w:rPr>
        <w:t xml:space="preserve">Customers use our HiFi long-read sequencing platforms in a wide range of sequencing applications, including whole genome sequencing and </w:t>
      </w:r>
      <w:r>
        <w:rPr>
          <w:rFonts w:ascii="Arial" w:cs="Arial" w:eastAsia="Arial" w:hAnsi="Arial"/>
          <w:sz w:val="20"/>
          <w:szCs w:val="20"/>
          <w:b w:val="1"/>
          <w:bCs w:val="1"/>
          <w:i w:val="1"/>
          <w:iCs w:val="1"/>
          <w:color w:val="auto"/>
        </w:rPr>
        <w:t>de novo</w:t>
      </w:r>
      <w:r>
        <w:rPr>
          <w:rFonts w:ascii="Arial" w:cs="Arial" w:eastAsia="Arial" w:hAnsi="Arial"/>
          <w:sz w:val="20"/>
          <w:szCs w:val="20"/>
          <w:b w:val="1"/>
          <w:bCs w:val="1"/>
          <w:color w:val="auto"/>
        </w:rPr>
        <w:t xml:space="preserve"> genome assembly, long-range phasing, targeted sequencing, full-length RNA and single-cell sequencing, characterization of metagenomic communities and other mixed DNA samples, viral genome sequencing, and others. Our technology is also capable of detecting epigenetic markers simultaneously by analyzing the kinetics of DNA polymerization that is affected, and thereby detectable, by epigenetic markers such as 5-methylcytosine or N</w:t>
      </w:r>
      <w:r>
        <w:rPr>
          <w:rFonts w:ascii="Arial" w:cs="Arial" w:eastAsia="Arial" w:hAnsi="Arial"/>
          <w:sz w:val="26"/>
          <w:szCs w:val="26"/>
          <w:b w:val="1"/>
          <w:bCs w:val="1"/>
          <w:color w:val="auto"/>
          <w:vertAlign w:val="superscript"/>
        </w:rPr>
        <w:t>6</w:t>
      </w:r>
      <w:r>
        <w:rPr>
          <w:rFonts w:ascii="Arial" w:cs="Arial" w:eastAsia="Arial" w:hAnsi="Arial"/>
          <w:sz w:val="20"/>
          <w:szCs w:val="20"/>
          <w:b w:val="1"/>
          <w:bCs w:val="1"/>
          <w:color w:val="auto"/>
        </w:rPr>
        <w:t>-methyladenine.</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SMRT Technology</w:t>
      </w:r>
    </w:p>
    <w:p>
      <w:pPr>
        <w:spacing w:after="0" w:line="130" w:lineRule="exact"/>
        <w:rPr>
          <w:sz w:val="20"/>
          <w:szCs w:val="20"/>
          <w:color w:val="auto"/>
        </w:rPr>
      </w:pPr>
    </w:p>
    <w:p>
      <w:pPr>
        <w:jc w:val="both"/>
        <w:ind w:right="700"/>
        <w:spacing w:after="0" w:line="275" w:lineRule="auto"/>
        <w:rPr>
          <w:sz w:val="20"/>
          <w:szCs w:val="20"/>
          <w:color w:val="auto"/>
        </w:rPr>
      </w:pPr>
      <w:r>
        <w:rPr>
          <w:rFonts w:ascii="Arial" w:cs="Arial" w:eastAsia="Arial" w:hAnsi="Arial"/>
          <w:sz w:val="19"/>
          <w:szCs w:val="19"/>
          <w:b w:val="1"/>
          <w:bCs w:val="1"/>
          <w:color w:val="auto"/>
        </w:rPr>
        <w:t>Our proprietary SMRT sequencing technology enables the direct observation of DNA synthesis in real time by monitoring the activity of individual DNA polymerase molecules as they incorporate nucleotides into a growing DNA strand. Using optical nanostructures known as zero-mode waveguides ("ZMWs"), SMRT sequencing detects fluorescently labeled nucleotides as they are incorporated, providing a precise, single-molecule record of DNA sequence and polymerase kinetics without amplification or cloning steps.</w:t>
      </w:r>
    </w:p>
    <w:p>
      <w:pPr>
        <w:spacing w:after="0" w:line="68" w:lineRule="exact"/>
        <w:rPr>
          <w:sz w:val="20"/>
          <w:szCs w:val="20"/>
          <w:color w:val="auto"/>
        </w:rPr>
      </w:pPr>
    </w:p>
    <w:p>
      <w:pPr>
        <w:jc w:val="both"/>
        <w:ind w:right="680"/>
        <w:spacing w:after="0" w:line="290" w:lineRule="auto"/>
        <w:rPr>
          <w:sz w:val="20"/>
          <w:szCs w:val="20"/>
          <w:color w:val="auto"/>
        </w:rPr>
      </w:pPr>
      <w:r>
        <w:rPr>
          <w:rFonts w:ascii="Arial" w:cs="Arial" w:eastAsia="Arial" w:hAnsi="Arial"/>
          <w:sz w:val="18"/>
          <w:szCs w:val="18"/>
          <w:b w:val="1"/>
          <w:bCs w:val="1"/>
          <w:color w:val="auto"/>
        </w:rPr>
        <w:t>Each DNA molecule is prepared as a circularized SMRTbell template, allowing both strands of the same molecule to be sequenced multiple times. These repeated observations are combined through circular consensus sequencing ("CCS") to generate highly accurate HiFi reads, typically achieving median accuracies above Q30 with average read lengths of 15–20 kilobases. The resulting data combines long-range context with base-level precision, enabling the detection of all major classes of genetic variation—including single-nucleotide variants, structural variants, tandem repeat expansions, and DNA methylation—in a single workflow.</w:t>
      </w:r>
    </w:p>
    <w:p>
      <w:pPr>
        <w:spacing w:after="0" w:line="59" w:lineRule="exact"/>
        <w:rPr>
          <w:sz w:val="20"/>
          <w:szCs w:val="20"/>
          <w:color w:val="auto"/>
        </w:rPr>
      </w:pPr>
    </w:p>
    <w:p>
      <w:pPr>
        <w:jc w:val="both"/>
        <w:ind w:right="680"/>
        <w:spacing w:after="0" w:line="256" w:lineRule="auto"/>
        <w:rPr>
          <w:sz w:val="20"/>
          <w:szCs w:val="20"/>
          <w:color w:val="auto"/>
        </w:rPr>
      </w:pPr>
      <w:r>
        <w:rPr>
          <w:rFonts w:ascii="Arial" w:cs="Arial" w:eastAsia="Arial" w:hAnsi="Arial"/>
          <w:sz w:val="20"/>
          <w:szCs w:val="20"/>
          <w:b w:val="1"/>
          <w:bCs w:val="1"/>
          <w:color w:val="auto"/>
        </w:rPr>
        <w:t>HiFi sequencing has been shown to improve the resolution of complex genomic regions and to increase diagnostic yield in rare disease research. Across multiple clinical studies, HiFi whole-genome sequencing has approximately doubled the solve rate for previously undiagnosed cases compared to short-read methods. HiFi sequencing also supports the construction of complete, telomere-to-telomere human reference genomes and pangenomes, further establishing it as a standard for high-accuracy, comprehensive genome analysis. Collectively, these attributes position SMRT sequencing as a leading technology for achieving complete and accurate views of the genome.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410210</wp:posOffset>
                </wp:positionV>
                <wp:extent cx="73152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2.3pt" to="535pt,32.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410210</wp:posOffset>
                </wp:positionV>
                <wp:extent cx="73152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2.3pt" to="535pt,32.3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tabs>
          <w:tab w:leader="none" w:pos="1044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Revio system, Vega system, and Sequel systems</w:t>
      </w:r>
    </w:p>
    <w:p>
      <w:pPr>
        <w:spacing w:after="0" w:line="130" w:lineRule="exact"/>
        <w:rPr>
          <w:sz w:val="20"/>
          <w:szCs w:val="20"/>
          <w:color w:val="auto"/>
        </w:rPr>
      </w:pPr>
    </w:p>
    <w:p>
      <w:pPr>
        <w:jc w:val="both"/>
        <w:ind w:right="700"/>
        <w:spacing w:after="0" w:line="294" w:lineRule="auto"/>
        <w:rPr>
          <w:sz w:val="20"/>
          <w:szCs w:val="20"/>
          <w:color w:val="auto"/>
        </w:rPr>
      </w:pPr>
      <w:r>
        <w:rPr>
          <w:rFonts w:ascii="Arial" w:cs="Arial" w:eastAsia="Arial" w:hAnsi="Arial"/>
          <w:sz w:val="18"/>
          <w:szCs w:val="18"/>
          <w:b w:val="1"/>
          <w:bCs w:val="1"/>
          <w:color w:val="auto"/>
        </w:rPr>
        <w:t>Our Revio, Vega, and Sequel instruments conduct, monitor, and analyze single-molecule biochemical reactions on SMRT Cell microchips. The instruments use highly sensitive imaging systems to capture fluorescent signals generated during nucleotide incorporation and translate those signals into base calls and quality scores through integrated computational analysis. The Vega and Sequel systems sequence one SMRT Cell at a time, while the Revio system can run up to four SMRT Cells simultaneously to increase throughput.</w:t>
      </w:r>
    </w:p>
    <w:p>
      <w:pPr>
        <w:spacing w:after="0" w:line="52" w:lineRule="exact"/>
        <w:rPr>
          <w:sz w:val="20"/>
          <w:szCs w:val="20"/>
          <w:color w:val="auto"/>
        </w:rPr>
      </w:pPr>
    </w:p>
    <w:p>
      <w:pPr>
        <w:jc w:val="both"/>
        <w:ind w:right="700"/>
        <w:spacing w:after="0" w:line="280" w:lineRule="auto"/>
        <w:rPr>
          <w:sz w:val="20"/>
          <w:szCs w:val="20"/>
          <w:color w:val="auto"/>
        </w:rPr>
      </w:pPr>
      <w:r>
        <w:rPr>
          <w:rFonts w:ascii="Arial" w:cs="Arial" w:eastAsia="Arial" w:hAnsi="Arial"/>
          <w:sz w:val="19"/>
          <w:szCs w:val="19"/>
          <w:b w:val="1"/>
          <w:bCs w:val="1"/>
          <w:color w:val="auto"/>
        </w:rPr>
        <w:t>All instruments feature automated pipetting and reagent handling, on-board basecalling, perform consensus read generation, barcode demultiplexing, and methylation analysis, reducing the need for external computing resources. Together, these capabilities deliver fast, highly accurate, and efficient sequencing for applications ranging from large-scale population studies to focused translational research.</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HiFi Consumables</w:t>
      </w:r>
    </w:p>
    <w:p>
      <w:pPr>
        <w:spacing w:after="0" w:line="130" w:lineRule="exact"/>
        <w:rPr>
          <w:sz w:val="20"/>
          <w:szCs w:val="20"/>
          <w:color w:val="auto"/>
        </w:rPr>
      </w:pPr>
    </w:p>
    <w:p>
      <w:pPr>
        <w:jc w:val="both"/>
        <w:ind w:right="680"/>
        <w:spacing w:after="0" w:line="273" w:lineRule="auto"/>
        <w:rPr>
          <w:sz w:val="20"/>
          <w:szCs w:val="20"/>
          <w:color w:val="auto"/>
        </w:rPr>
      </w:pPr>
      <w:r>
        <w:rPr>
          <w:rFonts w:ascii="Arial" w:cs="Arial" w:eastAsia="Arial" w:hAnsi="Arial"/>
          <w:sz w:val="19"/>
          <w:szCs w:val="19"/>
          <w:b w:val="1"/>
          <w:bCs w:val="1"/>
          <w:color w:val="auto"/>
        </w:rPr>
        <w:t>Customers purchase proprietary consumable products to run their PacBio systems, including our SMRT Cells and reagent kits. Typically, one SMRT Cell is consumed per sequencing reaction, and scientists can choose the number of SMRT Cells they use per experiment. In the second half of 2025, we introduced our latest SMRT Cell Nx products which are designed to support multiple sequencing reactions on a single SMRT Cell, improving flexibility and lowering per-sample cost. Beta testing of SPRQ-Nx chemistry on the higher throughput Revio commenced in 2025, with full commercial availability planned in 2026.</w:t>
      </w:r>
    </w:p>
    <w:p>
      <w:pPr>
        <w:spacing w:after="0" w:line="69" w:lineRule="exact"/>
        <w:rPr>
          <w:sz w:val="20"/>
          <w:szCs w:val="20"/>
          <w:color w:val="auto"/>
        </w:rPr>
      </w:pPr>
    </w:p>
    <w:p>
      <w:pPr>
        <w:jc w:val="both"/>
        <w:ind w:right="680"/>
        <w:spacing w:after="0" w:line="257" w:lineRule="auto"/>
        <w:rPr>
          <w:sz w:val="20"/>
          <w:szCs w:val="20"/>
          <w:color w:val="auto"/>
        </w:rPr>
      </w:pPr>
      <w:r>
        <w:rPr>
          <w:rFonts w:ascii="Arial" w:cs="Arial" w:eastAsia="Arial" w:hAnsi="Arial"/>
          <w:sz w:val="20"/>
          <w:szCs w:val="20"/>
          <w:b w:val="1"/>
          <w:bCs w:val="1"/>
          <w:color w:val="auto"/>
        </w:rPr>
        <w:t>We offer several reagent kits, each designed to address a specific step in the core sequencing workflow. A library preparation kit is used to convert DNA into SMRTbell double-stranded DNA library formats and includes typical molecular biology reagents, such as ligase, buffers, and exonucleases. Our binding/polymerase kits include our modified DNA polymerase and are used to bind SMRTbell libraries to the polymerase in preparation for sequencing. Our core sequencing kits contain reagents required for on-instrument, real-time sequencing, including phospholinked nucleotides.</w:t>
      </w:r>
    </w:p>
    <w:p>
      <w:pPr>
        <w:spacing w:after="0" w:line="82" w:lineRule="exact"/>
        <w:rPr>
          <w:sz w:val="20"/>
          <w:szCs w:val="20"/>
          <w:color w:val="auto"/>
        </w:rPr>
      </w:pPr>
    </w:p>
    <w:p>
      <w:pPr>
        <w:jc w:val="both"/>
        <w:ind w:right="680"/>
        <w:spacing w:after="0" w:line="244" w:lineRule="auto"/>
        <w:rPr>
          <w:sz w:val="20"/>
          <w:szCs w:val="20"/>
          <w:color w:val="auto"/>
        </w:rPr>
      </w:pPr>
      <w:r>
        <w:rPr>
          <w:rFonts w:ascii="Arial" w:cs="Arial" w:eastAsia="Arial" w:hAnsi="Arial"/>
          <w:sz w:val="20"/>
          <w:szCs w:val="20"/>
          <w:b w:val="1"/>
          <w:bCs w:val="1"/>
          <w:color w:val="auto"/>
        </w:rPr>
        <w:t>Our Kinnex</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kits with companion SMRT Link software enable high-throughput, scalable, cost-effective RNA applications including bulk RNA, single-cell RNA, and 16S rRNA sequencing. The Kinnex kits use a molecular concatenation approach to link smaller amplicons into longer fragments for sequencing on PacBio long-read systems, significantly increasing molecular yield. Our PureTarget™ panels and reagent kits for targeted sequencing applications, including repeat expansion analysis and carrier screening, leverage HiFi sequencing accuracy to detect complex variants and repeat expansions with single-molecule resolution, enabling efficient, scalable targeted analysis.</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Our Strategy for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Our main objectives are to grow revenue and expand gross margins through the following five activities. These initiatives are designed to improve the economics of HiFi sequencing, expand adoption across clinical and research markets, and drive durable growth across our platform portfolio.</w:t>
      </w:r>
    </w:p>
    <w:p>
      <w:pPr>
        <w:spacing w:after="0" w:line="100" w:lineRule="exact"/>
        <w:rPr>
          <w:sz w:val="20"/>
          <w:szCs w:val="20"/>
          <w:color w:val="auto"/>
        </w:rPr>
      </w:pPr>
    </w:p>
    <w:p>
      <w:pPr>
        <w:jc w:val="both"/>
        <w:ind w:left="720" w:right="700" w:hanging="370"/>
        <w:spacing w:after="0" w:line="292" w:lineRule="auto"/>
        <w:tabs>
          <w:tab w:leader="none" w:pos="720" w:val="left"/>
        </w:tabs>
        <w:numPr>
          <w:ilvl w:val="0"/>
          <w:numId w:val="8"/>
        </w:numPr>
        <w:rPr>
          <w:rFonts w:ascii="Arial" w:cs="Arial" w:eastAsia="Arial" w:hAnsi="Arial"/>
          <w:sz w:val="24"/>
          <w:szCs w:val="24"/>
          <w:b w:val="1"/>
          <w:bCs w:val="1"/>
          <w:color w:val="DF1995"/>
        </w:rPr>
      </w:pPr>
      <w:r>
        <w:rPr>
          <w:rFonts w:ascii="Arial" w:cs="Arial" w:eastAsia="Arial" w:hAnsi="Arial"/>
          <w:sz w:val="20"/>
          <w:szCs w:val="20"/>
          <w:b w:val="1"/>
          <w:bCs w:val="1"/>
          <w:color w:val="DF1995"/>
        </w:rPr>
        <w:t xml:space="preserve">Accelerate samples onto the Revio platform through SPRQ-Nx chemistry and application kits. </w:t>
      </w:r>
      <w:r>
        <w:rPr>
          <w:rFonts w:ascii="Arial" w:cs="Arial" w:eastAsia="Arial" w:hAnsi="Arial"/>
          <w:sz w:val="20"/>
          <w:szCs w:val="20"/>
          <w:b w:val="1"/>
          <w:bCs w:val="1"/>
          <w:color w:val="000000"/>
        </w:rPr>
        <w:t>SPRQ-Nx is designed to lower the cost of sequencing and improve sequencing efficiency, which we believe will support higher throughput, increased sample volumes, and broader adoption of HiFi sequencing in large-scale research studies and clinical applications.</w:t>
      </w:r>
    </w:p>
    <w:p>
      <w:pPr>
        <w:spacing w:after="0" w:line="96" w:lineRule="exact"/>
        <w:rPr>
          <w:rFonts w:ascii="Arial" w:cs="Arial" w:eastAsia="Arial" w:hAnsi="Arial"/>
          <w:sz w:val="24"/>
          <w:szCs w:val="24"/>
          <w:b w:val="1"/>
          <w:bCs w:val="1"/>
          <w:color w:val="DF1995"/>
        </w:rPr>
      </w:pPr>
    </w:p>
    <w:p>
      <w:pPr>
        <w:jc w:val="both"/>
        <w:ind w:left="720" w:right="680" w:hanging="370"/>
        <w:spacing w:after="0" w:line="307" w:lineRule="auto"/>
        <w:tabs>
          <w:tab w:leader="none" w:pos="720" w:val="left"/>
        </w:tabs>
        <w:numPr>
          <w:ilvl w:val="0"/>
          <w:numId w:val="8"/>
        </w:numPr>
        <w:rPr>
          <w:rFonts w:ascii="Arial" w:cs="Arial" w:eastAsia="Arial" w:hAnsi="Arial"/>
          <w:sz w:val="23"/>
          <w:szCs w:val="23"/>
          <w:b w:val="1"/>
          <w:bCs w:val="1"/>
          <w:color w:val="DF1995"/>
        </w:rPr>
      </w:pPr>
      <w:r>
        <w:rPr>
          <w:rFonts w:ascii="Arial" w:cs="Arial" w:eastAsia="Arial" w:hAnsi="Arial"/>
          <w:sz w:val="19"/>
          <w:szCs w:val="19"/>
          <w:b w:val="1"/>
          <w:bCs w:val="1"/>
          <w:color w:val="DF1995"/>
        </w:rPr>
        <w:t xml:space="preserve">Expand the capabilities of the Vega benchtop platform to broaden our market reach. </w:t>
      </w:r>
      <w:r>
        <w:rPr>
          <w:rFonts w:ascii="Arial" w:cs="Arial" w:eastAsia="Arial" w:hAnsi="Arial"/>
          <w:sz w:val="19"/>
          <w:szCs w:val="19"/>
          <w:b w:val="1"/>
          <w:bCs w:val="1"/>
          <w:color w:val="000000"/>
        </w:rPr>
        <w:t>We plan to enable</w:t>
      </w:r>
      <w:r>
        <w:rPr>
          <w:rFonts w:ascii="Arial" w:cs="Arial" w:eastAsia="Arial" w:hAnsi="Arial"/>
          <w:sz w:val="19"/>
          <w:szCs w:val="19"/>
          <w:b w:val="1"/>
          <w:bCs w:val="1"/>
          <w:color w:val="DF1995"/>
        </w:rPr>
        <w:t xml:space="preserve"> </w:t>
      </w:r>
      <w:r>
        <w:rPr>
          <w:rFonts w:ascii="Arial" w:cs="Arial" w:eastAsia="Arial" w:hAnsi="Arial"/>
          <w:sz w:val="19"/>
          <w:szCs w:val="19"/>
          <w:b w:val="1"/>
          <w:bCs w:val="1"/>
          <w:color w:val="000000"/>
        </w:rPr>
        <w:t>faster run times and enhanced user experience through software improvements, which are intended to support broader adoption and improve the overall economics of HiFi sequencing.</w:t>
      </w:r>
    </w:p>
    <w:p>
      <w:pPr>
        <w:spacing w:after="0" w:line="86" w:lineRule="exact"/>
        <w:rPr>
          <w:rFonts w:ascii="Arial" w:cs="Arial" w:eastAsia="Arial" w:hAnsi="Arial"/>
          <w:sz w:val="23"/>
          <w:szCs w:val="23"/>
          <w:b w:val="1"/>
          <w:bCs w:val="1"/>
          <w:color w:val="DF1995"/>
        </w:rPr>
      </w:pPr>
    </w:p>
    <w:p>
      <w:pPr>
        <w:jc w:val="both"/>
        <w:ind w:left="720" w:right="700" w:hanging="370"/>
        <w:spacing w:after="0" w:line="292" w:lineRule="auto"/>
        <w:tabs>
          <w:tab w:leader="none" w:pos="720" w:val="left"/>
        </w:tabs>
        <w:numPr>
          <w:ilvl w:val="0"/>
          <w:numId w:val="8"/>
        </w:numPr>
        <w:rPr>
          <w:rFonts w:ascii="Arial" w:cs="Arial" w:eastAsia="Arial" w:hAnsi="Arial"/>
          <w:sz w:val="24"/>
          <w:szCs w:val="24"/>
          <w:b w:val="1"/>
          <w:bCs w:val="1"/>
          <w:color w:val="DF1995"/>
        </w:rPr>
      </w:pPr>
      <w:r>
        <w:rPr>
          <w:rFonts w:ascii="Arial" w:cs="Arial" w:eastAsia="Arial" w:hAnsi="Arial"/>
          <w:sz w:val="20"/>
          <w:szCs w:val="20"/>
          <w:b w:val="1"/>
          <w:bCs w:val="1"/>
          <w:color w:val="DF1995"/>
        </w:rPr>
        <w:t xml:space="preserve">Progress our clinical strategy to improve outcomes and create durability. </w:t>
      </w:r>
      <w:r>
        <w:rPr>
          <w:rFonts w:ascii="Arial" w:cs="Arial" w:eastAsia="Arial" w:hAnsi="Arial"/>
          <w:sz w:val="20"/>
          <w:szCs w:val="20"/>
          <w:b w:val="1"/>
          <w:bCs w:val="1"/>
          <w:color w:val="000000"/>
        </w:rPr>
        <w:t>Revio is increasingly being</w:t>
      </w:r>
      <w:r>
        <w:rPr>
          <w:rFonts w:ascii="Arial" w:cs="Arial" w:eastAsia="Arial" w:hAnsi="Arial"/>
          <w:sz w:val="20"/>
          <w:szCs w:val="20"/>
          <w:b w:val="1"/>
          <w:bCs w:val="1"/>
          <w:color w:val="DF1995"/>
        </w:rPr>
        <w:t xml:space="preserve"> </w:t>
      </w:r>
      <w:r>
        <w:rPr>
          <w:rFonts w:ascii="Arial" w:cs="Arial" w:eastAsia="Arial" w:hAnsi="Arial"/>
          <w:sz w:val="20"/>
          <w:szCs w:val="20"/>
          <w:b w:val="1"/>
          <w:bCs w:val="1"/>
          <w:color w:val="000000"/>
        </w:rPr>
        <w:t>adopted in laboratory-developed test ("LDT") and clinical research settings, supporting consolidation of multiple tests, addressing complex genetic challenges, and driving sustained utilization of HiFi sequencing.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864870</wp:posOffset>
                </wp:positionV>
                <wp:extent cx="73152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68.1pt" to="535pt,68.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864870</wp:posOffset>
                </wp:positionV>
                <wp:extent cx="73152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68.1pt" to="535pt,68.1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0"/>
        <w:spacing w:after="0"/>
        <w:tabs>
          <w:tab w:leader="none" w:pos="1044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720" w:right="700" w:hanging="370"/>
        <w:spacing w:after="0" w:line="295" w:lineRule="auto"/>
        <w:tabs>
          <w:tab w:leader="none" w:pos="720" w:val="left"/>
        </w:tabs>
        <w:numPr>
          <w:ilvl w:val="0"/>
          <w:numId w:val="9"/>
        </w:numPr>
        <w:rPr>
          <w:rFonts w:ascii="Arial" w:cs="Arial" w:eastAsia="Arial" w:hAnsi="Arial"/>
          <w:sz w:val="24"/>
          <w:szCs w:val="24"/>
          <w:b w:val="1"/>
          <w:bCs w:val="1"/>
          <w:color w:val="DF1995"/>
        </w:rPr>
      </w:pPr>
      <w:r>
        <w:rPr>
          <w:rFonts w:ascii="Arial" w:cs="Arial" w:eastAsia="Arial" w:hAnsi="Arial"/>
          <w:sz w:val="20"/>
          <w:szCs w:val="20"/>
          <w:b w:val="1"/>
          <w:bCs w:val="1"/>
          <w:color w:val="DF1995"/>
        </w:rPr>
        <w:t xml:space="preserve">Advance data-driven interpretation through scalable HiFi datasets and analytics. </w:t>
      </w:r>
      <w:r>
        <w:rPr>
          <w:rFonts w:ascii="Arial" w:cs="Arial" w:eastAsia="Arial" w:hAnsi="Arial"/>
          <w:sz w:val="20"/>
          <w:szCs w:val="20"/>
          <w:b w:val="1"/>
          <w:bCs w:val="1"/>
          <w:color w:val="000000"/>
        </w:rPr>
        <w:t>We are focused on</w:t>
      </w:r>
      <w:r>
        <w:rPr>
          <w:rFonts w:ascii="Arial" w:cs="Arial" w:eastAsia="Arial" w:hAnsi="Arial"/>
          <w:sz w:val="20"/>
          <w:szCs w:val="20"/>
          <w:b w:val="1"/>
          <w:bCs w:val="1"/>
          <w:color w:val="DF1995"/>
        </w:rPr>
        <w:t xml:space="preserve"> </w:t>
      </w:r>
      <w:r>
        <w:rPr>
          <w:rFonts w:ascii="Arial" w:cs="Arial" w:eastAsia="Arial" w:hAnsi="Arial"/>
          <w:sz w:val="20"/>
          <w:szCs w:val="20"/>
          <w:b w:val="1"/>
          <w:bCs w:val="1"/>
          <w:color w:val="000000"/>
        </w:rPr>
        <w:t>leveraging the accuracy of HiFi sequencing and growing datasets to support advanced data analysis and AI-assisted interpretation approaches. Collaborative initiatives, such as the HiFi Solves Global Consortium, are designed to aggregate large, well-characterized HiFi datasets, which we believe can support improved understanding of complex genetic variation and disease biology while maintaining expert oversight.</w:t>
      </w:r>
    </w:p>
    <w:p>
      <w:pPr>
        <w:spacing w:after="0" w:line="95" w:lineRule="exact"/>
        <w:rPr>
          <w:rFonts w:ascii="Arial" w:cs="Arial" w:eastAsia="Arial" w:hAnsi="Arial"/>
          <w:sz w:val="24"/>
          <w:szCs w:val="24"/>
          <w:b w:val="1"/>
          <w:bCs w:val="1"/>
          <w:color w:val="DF1995"/>
        </w:rPr>
      </w:pPr>
    </w:p>
    <w:p>
      <w:pPr>
        <w:jc w:val="both"/>
        <w:ind w:left="720" w:right="680" w:hanging="370"/>
        <w:spacing w:after="0" w:line="292" w:lineRule="auto"/>
        <w:tabs>
          <w:tab w:leader="none" w:pos="720" w:val="left"/>
        </w:tabs>
        <w:numPr>
          <w:ilvl w:val="0"/>
          <w:numId w:val="9"/>
        </w:numPr>
        <w:rPr>
          <w:rFonts w:ascii="Arial" w:cs="Arial" w:eastAsia="Arial" w:hAnsi="Arial"/>
          <w:sz w:val="24"/>
          <w:szCs w:val="24"/>
          <w:b w:val="1"/>
          <w:bCs w:val="1"/>
          <w:color w:val="DF1995"/>
        </w:rPr>
      </w:pPr>
      <w:r>
        <w:rPr>
          <w:rFonts w:ascii="Arial" w:cs="Arial" w:eastAsia="Arial" w:hAnsi="Arial"/>
          <w:sz w:val="20"/>
          <w:szCs w:val="20"/>
          <w:b w:val="1"/>
          <w:bCs w:val="1"/>
          <w:color w:val="DF1995"/>
        </w:rPr>
        <w:t xml:space="preserve">Invest in future product launches to drive platform innovation. </w:t>
      </w:r>
      <w:r>
        <w:rPr>
          <w:rFonts w:ascii="Arial" w:cs="Arial" w:eastAsia="Arial" w:hAnsi="Arial"/>
          <w:sz w:val="20"/>
          <w:szCs w:val="20"/>
          <w:b w:val="1"/>
          <w:bCs w:val="1"/>
          <w:color w:val="000000"/>
        </w:rPr>
        <w:t>We continue to develop sequencing</w:t>
      </w:r>
      <w:r>
        <w:rPr>
          <w:rFonts w:ascii="Arial" w:cs="Arial" w:eastAsia="Arial" w:hAnsi="Arial"/>
          <w:sz w:val="20"/>
          <w:szCs w:val="20"/>
          <w:b w:val="1"/>
          <w:bCs w:val="1"/>
          <w:color w:val="DF1995"/>
        </w:rPr>
        <w:t xml:space="preserve"> </w:t>
      </w:r>
      <w:r>
        <w:rPr>
          <w:rFonts w:ascii="Arial" w:cs="Arial" w:eastAsia="Arial" w:hAnsi="Arial"/>
          <w:sz w:val="20"/>
          <w:szCs w:val="20"/>
          <w:b w:val="1"/>
          <w:bCs w:val="1"/>
          <w:color w:val="000000"/>
        </w:rPr>
        <w:t>solutions designed to increase throughput, simplify workflows, lower the cost to sequence a genome, and enhance downstream data analysis and interpretation capabilities, which we believe will allow us to address a larger portion of the market.</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Marketing, Sales, Service, and Support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We market our products through a global sales force and through distribution partners in Australia, certain parts of Asia, Europe, the Middle East, Africa, Central America and South America. We plan to continue to invest in growing our marketing, sales, service, and support resources as we drive continued adoption of products, launch new products, and expand our customer base.</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Customers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7" w:lineRule="auto"/>
        <w:rPr>
          <w:sz w:val="20"/>
          <w:szCs w:val="20"/>
          <w:color w:val="auto"/>
        </w:rPr>
      </w:pPr>
      <w:r>
        <w:rPr>
          <w:rFonts w:ascii="Arial" w:cs="Arial" w:eastAsia="Arial" w:hAnsi="Arial"/>
          <w:sz w:val="20"/>
          <w:szCs w:val="20"/>
          <w:b w:val="1"/>
          <w:bCs w:val="1"/>
          <w:color w:val="auto"/>
        </w:rPr>
        <w:t>Our customers include academic and governmental research institutions, commercial testing and service laboratories, genome centers, public health labs, hospitals and clinical research institutes, CROs, pharmaceutical companies, and agricultural companies. Our customers isolate, prepare, and analyze genetic samples using PacBio systems in their own laboratories, or send their genetic samples to third-party service providers who in turn sequence the samples with PacBio systems and provide the sequence data back to the customer for further analysis.</w:t>
      </w:r>
    </w:p>
    <w:p>
      <w:pPr>
        <w:spacing w:after="0" w:line="82"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We receive a significant portion of our revenue from a limited number of customers, many of whom make large purchases on a purchase-order basis. For the years ended December 31, 2025, 2024, and 2023, no customer accounted for 10% or more of our total revenue.</w:t>
      </w:r>
    </w:p>
    <w:p>
      <w:pPr>
        <w:spacing w:after="0" w:line="70"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We believe that the majority of our current customers are early adopters of sequencing technology. By focusing our efforts on high-value applications and developing whole product solutions around these applications, we seek to drive the adoption of our products across a broader customer base and into numerous large-scale projects. In general, the broader adoption of new technologies by mainstream customers can take a number of years.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Backlog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57" w:lineRule="auto"/>
        <w:rPr>
          <w:sz w:val="20"/>
          <w:szCs w:val="20"/>
          <w:color w:val="auto"/>
        </w:rPr>
      </w:pPr>
      <w:r>
        <w:rPr>
          <w:rFonts w:ascii="Arial" w:cs="Arial" w:eastAsia="Arial" w:hAnsi="Arial"/>
          <w:sz w:val="20"/>
          <w:szCs w:val="20"/>
          <w:b w:val="1"/>
          <w:bCs w:val="1"/>
          <w:color w:val="auto"/>
        </w:rPr>
        <w:t>As of December 31, 2025, our backlog was approximately $49.2 million, compared to $58.6 million as of December 31, 2024. We define backlog as purchase orders or signed contracts from our customers, which we believe are firm and for which we have not yet recognized revenue. We expect to convert approximately 80% of our backlog to revenue in 2026, approximately 16% in 2027, and the remainder thereafter; however, our ability to do so is subject to customers who may seek to cancel or delay their orders even if we are prepared to fulfill them.</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Manufacturing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70" w:lineRule="auto"/>
        <w:rPr>
          <w:sz w:val="20"/>
          <w:szCs w:val="20"/>
          <w:color w:val="auto"/>
        </w:rPr>
      </w:pPr>
      <w:r>
        <w:rPr>
          <w:rFonts w:ascii="Arial" w:cs="Arial" w:eastAsia="Arial" w:hAnsi="Arial"/>
          <w:sz w:val="19"/>
          <w:szCs w:val="19"/>
          <w:b w:val="1"/>
          <w:bCs w:val="1"/>
          <w:color w:val="auto"/>
        </w:rPr>
        <w:t>We manufacture sequencing instruments, SMRT Cells, and reagents. Our key manufacturing and service facility in Menlo Park, California has received ISO 13485 and ISO 9001 certifications for the design, development, manufacture, distribution, installation, and servicing of its nucleic acid sequencing platforms. We utilize domestic and international subcontract manufacturers for components of the manufacturing process. We purchase both custom and off-the-shelf components from a large number of suppliers worldwide and subject them to significant quality specifications. We periodically conduct quality audits of most of our critical suppliers and have established a supplier qualification program. Some of the components required in our products are currently either sole sourced or single sourced.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280670</wp:posOffset>
                </wp:positionV>
                <wp:extent cx="73152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2.1pt" to="535pt,22.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280670</wp:posOffset>
                </wp:positionV>
                <wp:extent cx="73152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2.1pt" to="535pt,22.1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93" w:lineRule="exact"/>
        <w:rPr>
          <w:sz w:val="20"/>
          <w:szCs w:val="20"/>
          <w:color w:val="auto"/>
        </w:rPr>
      </w:pPr>
    </w:p>
    <w:p>
      <w:pPr>
        <w:ind w:left="320"/>
        <w:spacing w:after="0"/>
        <w:tabs>
          <w:tab w:leader="none" w:pos="1044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3">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Research and Development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300" w:lineRule="auto"/>
        <w:rPr>
          <w:sz w:val="20"/>
          <w:szCs w:val="20"/>
          <w:color w:val="auto"/>
        </w:rPr>
      </w:pPr>
      <w:r>
        <w:rPr>
          <w:rFonts w:ascii="Arial" w:cs="Arial" w:eastAsia="Arial" w:hAnsi="Arial"/>
          <w:sz w:val="18"/>
          <w:szCs w:val="18"/>
          <w:b w:val="1"/>
          <w:bCs w:val="1"/>
          <w:color w:val="auto"/>
        </w:rPr>
        <w:t>We have historically made and plan to continue to make significant investments in research and development. Our research and development efforts focus on programs to develop new and existing platforms, as well as increasing throughput and decreasing costs on behalf of our customers. We also innovate across end-to-end workflows to improve usability, as well as develop new applications for the advancement of human health.</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Intellectual Property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311" w:lineRule="auto"/>
        <w:rPr>
          <w:sz w:val="20"/>
          <w:szCs w:val="20"/>
          <w:color w:val="auto"/>
        </w:rPr>
      </w:pPr>
      <w:r>
        <w:rPr>
          <w:rFonts w:ascii="Arial" w:cs="Arial" w:eastAsia="Arial" w:hAnsi="Arial"/>
          <w:sz w:val="18"/>
          <w:szCs w:val="18"/>
          <w:b w:val="1"/>
          <w:bCs w:val="1"/>
          <w:color w:val="auto"/>
        </w:rPr>
        <w:t>Developing and maintaining a strong intellectual property portfolio is an important element of our business. We have sought, and will continue to seek, patent protection for our technology, for improvements to our technology, as well as for any of our other technologies where we believe such protection will be advantageous.</w:t>
      </w:r>
    </w:p>
    <w:p>
      <w:pPr>
        <w:spacing w:after="0" w:line="35" w:lineRule="exact"/>
        <w:rPr>
          <w:sz w:val="20"/>
          <w:szCs w:val="20"/>
          <w:color w:val="auto"/>
        </w:rPr>
      </w:pPr>
    </w:p>
    <w:p>
      <w:pPr>
        <w:jc w:val="both"/>
        <w:ind w:right="680"/>
        <w:spacing w:after="0" w:line="284" w:lineRule="auto"/>
        <w:rPr>
          <w:sz w:val="20"/>
          <w:szCs w:val="20"/>
          <w:color w:val="auto"/>
        </w:rPr>
      </w:pPr>
      <w:r>
        <w:rPr>
          <w:rFonts w:ascii="Arial" w:cs="Arial" w:eastAsia="Arial" w:hAnsi="Arial"/>
          <w:sz w:val="18"/>
          <w:szCs w:val="18"/>
          <w:b w:val="1"/>
          <w:bCs w:val="1"/>
          <w:color w:val="auto"/>
        </w:rPr>
        <w:t>Our current patent portfolio, including patents exclusively licensed to us, is directed to various technologies, including SMRT nucleic acid sequencing and other methods for analyzing biological samples, ZMW arrays, surface treatments, phospholinked nucleotides and other reagents for use in nucleic acid sequencing, nucleic acid preparation, and purification components and systems, processes for identifying nucleotides within nucleic acid sequences, and processes for analysis and comparison of nucleic acid sequence data. Some of the patents and applications that we own, as well as some of the patents and applications that we have licensed from other parties, are subject to U.S. government march-in rights, whereby the U.S. government may disregard our exclusive patent rights on its own behalf or on behalf of third parties by imposing licenses in certain circumstances, such as if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and U.S. government funding must be disclosed in any resulting patent applications.</w:t>
      </w:r>
    </w:p>
    <w:p>
      <w:pPr>
        <w:spacing w:after="0" w:line="61"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As of December 31, 2025, we own or hold exclusive licenses to 450 issued U.S. patents, 69 pending U.S. patent applications, 8 pending Patent Cooperation Treaty ("PCT") patent applications, 318 issued foreign patents, and 104 pending foreign patent applications. The full term of the issued U.S. patents will expire between 2026 and 2042. We also have non-exclusive patent licenses with various third parties to supplement our own large and robust patent portfolio.</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Other Sequencing Solutions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6">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b w:val="1"/>
          <w:bCs w:val="1"/>
          <w:color w:val="auto"/>
        </w:rPr>
        <w:t>There are a significant number of companies offering nucleic acid sequencing equipment or consumables. These include, but are not limited to, Illumina, BGI Genomics (also known as MGI or Complete Genomics), Thermo Fisher Scientific Inc. (“Thermo”), Oxford Nanopore Technologies Ltd. (“ONT Ltd.”), Roche Holding AG (“Roche”), Qiagen N.V. (“Qiagen”), Element Biosciences, Inc. (“Element”), Bionano Genomics, Inc. (“Bionano”), Ultima Genomics, Inc. (“Ultima”), and 10x Genomics, Inc. ("10x"). These companies may have different levels of financial, technical, manufacturing, administrative, and support resources available to them. We expect continued intense competition within the overall nucleic acid sequencing market as there are several companies developing new sequencing technologies, products and/or services. Increased competition may result in pricing pressures, which could harm our sales, profitability, or share of supply.</w:t>
      </w:r>
    </w:p>
    <w:p>
      <w:pPr>
        <w:spacing w:after="0" w:line="76" w:lineRule="exact"/>
        <w:rPr>
          <w:sz w:val="20"/>
          <w:szCs w:val="20"/>
          <w:color w:val="auto"/>
        </w:rPr>
      </w:pPr>
    </w:p>
    <w:p>
      <w:pPr>
        <w:jc w:val="both"/>
        <w:ind w:right="680"/>
        <w:spacing w:after="0" w:line="258" w:lineRule="auto"/>
        <w:rPr>
          <w:sz w:val="20"/>
          <w:szCs w:val="20"/>
          <w:color w:val="auto"/>
        </w:rPr>
      </w:pPr>
      <w:r>
        <w:rPr>
          <w:rFonts w:ascii="Arial" w:cs="Arial" w:eastAsia="Arial" w:hAnsi="Arial"/>
          <w:sz w:val="20"/>
          <w:szCs w:val="20"/>
          <w:b w:val="1"/>
          <w:bCs w:val="1"/>
          <w:color w:val="auto"/>
        </w:rPr>
        <w:t>In order for us to maintain and increase our sales, we will need to demonstrate that our products deliver superior performance and value as a result of our key differentiators. Our HiFi long-read sequencing will need to continue to deliver high consensus accuracy and long-read lengths, include single-molecule, real-time resolution, detect real-time kinetic information, provide fast time-to-result and flexibility, and support the breadth and depth of current and future applications.</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Government Regulation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9" w:lineRule="auto"/>
        <w:rPr>
          <w:sz w:val="20"/>
          <w:szCs w:val="20"/>
          <w:color w:val="auto"/>
        </w:rPr>
      </w:pPr>
      <w:r>
        <w:rPr>
          <w:rFonts w:ascii="Arial" w:cs="Arial" w:eastAsia="Arial" w:hAnsi="Arial"/>
          <w:sz w:val="18"/>
          <w:szCs w:val="18"/>
          <w:b w:val="1"/>
          <w:bCs w:val="1"/>
          <w:color w:val="auto"/>
        </w:rPr>
        <w:t>The development, testing, manufacturing, marketing, post-market surveillance, distribution, advertising, and labeling of certain medical devices, including in vitro diagnostic products and laboratory-developed tests, are subject to regulation in the United States by the Center for Devices and Radiological Health of the U.S. Food and Drug Administration ("FDA") under the Federal Food, Drug, and Cosmetic Act ("FDCA") and comparable state and foreign regulatory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230505</wp:posOffset>
                </wp:positionV>
                <wp:extent cx="73152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8.15pt" to="535pt,18.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230505</wp:posOffset>
                </wp:positionV>
                <wp:extent cx="73152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8.15pt" to="535pt,18.1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14" w:lineRule="exact"/>
        <w:rPr>
          <w:sz w:val="20"/>
          <w:szCs w:val="20"/>
          <w:color w:val="auto"/>
        </w:rPr>
      </w:pPr>
    </w:p>
    <w:p>
      <w:pPr>
        <w:ind w:left="320"/>
        <w:spacing w:after="0"/>
        <w:tabs>
          <w:tab w:leader="none" w:pos="1044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9" w:name="page20"/>
    <w:bookmarkEnd w:id="19"/>
    <w:p>
      <w:pPr>
        <w:ind w:left="1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left="10" w:right="700"/>
        <w:spacing w:after="0" w:line="256" w:lineRule="auto"/>
        <w:rPr>
          <w:sz w:val="20"/>
          <w:szCs w:val="20"/>
          <w:color w:val="auto"/>
        </w:rPr>
      </w:pPr>
      <w:r>
        <w:rPr>
          <w:rFonts w:ascii="Arial" w:cs="Arial" w:eastAsia="Arial" w:hAnsi="Arial"/>
          <w:sz w:val="20"/>
          <w:szCs w:val="20"/>
          <w:b w:val="1"/>
          <w:bCs w:val="1"/>
          <w:color w:val="auto"/>
        </w:rPr>
        <w:t>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83" w:lineRule="exact"/>
        <w:rPr>
          <w:sz w:val="20"/>
          <w:szCs w:val="20"/>
          <w:color w:val="auto"/>
        </w:rPr>
      </w:pPr>
    </w:p>
    <w:p>
      <w:pPr>
        <w:jc w:val="both"/>
        <w:ind w:left="10" w:right="680"/>
        <w:spacing w:after="0" w:line="280" w:lineRule="auto"/>
        <w:rPr>
          <w:sz w:val="20"/>
          <w:szCs w:val="20"/>
          <w:color w:val="auto"/>
        </w:rPr>
      </w:pPr>
      <w:r>
        <w:rPr>
          <w:rFonts w:ascii="Arial" w:cs="Arial" w:eastAsia="Arial" w:hAnsi="Arial"/>
          <w:sz w:val="18"/>
          <w:szCs w:val="18"/>
          <w:b w:val="1"/>
          <w:bCs w:val="1"/>
          <w:color w:val="auto"/>
        </w:rPr>
        <w:t>We currently label and sell our products for research use only (“RUO”) and primarily sell them to research customers in various settings, including academic institutions, life sciences and research laboratories that conduct research, and biopharmaceutical and biotechnology companies for non-diagnostic and non-clinical purposes. Our current RUO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the FDA. Rather, while FDA regulations require that RUO products be labeled for research use only and to market and distribute RUO products in accordance with the FDA RUO guidance, the regulations do not subject RUO products to the FDA’s jurisdiction or the broader pre- and post-market controls for medical devices. However, in the future, certain of our products or related applications, such as those that may be developed for clinical uses, could be subject to FDA regulation, or the FDA’s regulatory jurisdiction could be expanded to include our products. If we wish to label and expand product lines to address the diagnosis of disease, regulation by governmental authorities in the United States and other countries will become an increasingly significant factor in development, testing, production, and marketing. In the future,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and we would be required to obtain either prior 510(k) clearance or prior pre-market approval from the FDA before commercializing the product. Obtaining the requisite regulatory approvals can be expensive and may involve considerable delay. Some countries have regulatory review processes that are substantially longer than U.S. processes. Failure to obtain regulatory approval in a timely manner and meet all of the local regulatory requirements including language and specific safety standards in any foreign country in which we plan to market our products could prevent us from marketing products in such countries or subject us to sanctions and fines. Changes to the current regulatory framework, including the imposition of additional or new regulations, could arise at any time during the development or marketing of our products.</w:t>
      </w:r>
    </w:p>
    <w:p>
      <w:pPr>
        <w:spacing w:after="0" w:line="323" w:lineRule="exact"/>
        <w:rPr>
          <w:sz w:val="20"/>
          <w:szCs w:val="20"/>
          <w:color w:val="auto"/>
        </w:rPr>
      </w:pPr>
    </w:p>
    <w:p>
      <w:pPr>
        <w:jc w:val="both"/>
        <w:ind w:left="10" w:right="680"/>
        <w:spacing w:after="0" w:line="283" w:lineRule="auto"/>
        <w:rPr>
          <w:sz w:val="20"/>
          <w:szCs w:val="20"/>
          <w:color w:val="auto"/>
        </w:rPr>
      </w:pPr>
      <w:r>
        <w:rPr>
          <w:rFonts w:ascii="Arial" w:cs="Arial" w:eastAsia="Arial" w:hAnsi="Arial"/>
          <w:sz w:val="18"/>
          <w:szCs w:val="18"/>
          <w:b w:val="1"/>
          <w:bCs w:val="1"/>
          <w:color w:val="auto"/>
        </w:rPr>
        <w:t>In 2013, the FDA issued a final guidance on products labeled for research use only,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67" w:lineRule="exact"/>
        <w:rPr>
          <w:sz w:val="20"/>
          <w:szCs w:val="20"/>
          <w:color w:val="auto"/>
        </w:rPr>
      </w:pPr>
    </w:p>
    <w:p>
      <w:pPr>
        <w:jc w:val="both"/>
        <w:ind w:left="10" w:right="680"/>
        <w:spacing w:after="0" w:line="283" w:lineRule="auto"/>
        <w:rPr>
          <w:sz w:val="20"/>
          <w:szCs w:val="20"/>
          <w:color w:val="auto"/>
        </w:rPr>
      </w:pPr>
      <w:r>
        <w:rPr>
          <w:rFonts w:ascii="Arial" w:cs="Arial" w:eastAsia="Arial" w:hAnsi="Arial"/>
          <w:sz w:val="18"/>
          <w:szCs w:val="18"/>
          <w:b w:val="1"/>
          <w:bCs w:val="1"/>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FDCA. This process, known as 510(k) clearance, requires that the manufacturer demonstrate that the device is substantially equivalent to a previously cleared and legally marketed 510(k) device or a “pre-amendment” Class</w:t>
      </w:r>
    </w:p>
    <w:p>
      <w:pPr>
        <w:spacing w:after="0" w:line="1" w:lineRule="exact"/>
        <w:rPr>
          <w:sz w:val="20"/>
          <w:szCs w:val="20"/>
          <w:color w:val="auto"/>
        </w:rPr>
      </w:pPr>
    </w:p>
    <w:p>
      <w:pPr>
        <w:jc w:val="both"/>
        <w:ind w:left="10" w:right="700" w:hanging="10"/>
        <w:spacing w:after="0" w:line="286" w:lineRule="auto"/>
        <w:tabs>
          <w:tab w:leader="none" w:pos="24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FDCA as Class III, which generally requires pre-market approval, or PMA approval. However, the FDA can reclassify or use “de novo classification” for a device that meets the FDCA standards for a Class II device,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wp:posOffset>
                </wp:positionH>
                <wp:positionV relativeFrom="paragraph">
                  <wp:posOffset>182245</wp:posOffset>
                </wp:positionV>
                <wp:extent cx="73152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999pt,14.35pt" to="535.5pt,1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182245</wp:posOffset>
                </wp:positionV>
                <wp:extent cx="73152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999pt,14.35pt" to="535.5pt,14.35pt" o:allowincell="f" strokecolor="#DF1995" strokeweight="1pt"/>
            </w:pict>
          </mc:Fallback>
        </mc:AlternateContent>
      </w:r>
    </w:p>
    <w:p>
      <w:pPr>
        <w:sectPr>
          <w:pgSz w:w="12240" w:h="15840" w:orient="portrait"/>
          <w:cols w:equalWidth="0" w:num="1">
            <w:col w:w="10590"/>
          </w:cols>
          <w:pgMar w:left="1170" w:top="210" w:right="480"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330"/>
        <w:spacing w:after="0"/>
        <w:tabs>
          <w:tab w:leader="none" w:pos="1045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-121285</wp:posOffset>
            </wp:positionV>
            <wp:extent cx="457200" cy="996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90"/>
          </w:cols>
          <w:pgMar w:left="1170" w:top="210" w:right="480" w:bottom="0" w:gutter="0" w:footer="0" w:header="0"/>
          <w:type w:val="continuous"/>
        </w:sectPr>
      </w:pPr>
    </w:p>
    <w:bookmarkStart w:id="20" w:name="page21"/>
    <w:bookmarkEnd w:id="20"/>
    <w:p>
      <w:pPr>
        <w:ind w:left="1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left="10" w:right="680"/>
        <w:spacing w:after="0" w:line="262" w:lineRule="auto"/>
        <w:rPr>
          <w:sz w:val="20"/>
          <w:szCs w:val="20"/>
          <w:color w:val="auto"/>
        </w:rPr>
      </w:pPr>
      <w:r>
        <w:rPr>
          <w:rFonts w:ascii="Arial" w:cs="Arial" w:eastAsia="Arial" w:hAnsi="Arial"/>
          <w:sz w:val="20"/>
          <w:szCs w:val="20"/>
          <w:b w:val="1"/>
          <w:bCs w:val="1"/>
          <w:color w:val="auto"/>
        </w:rPr>
        <w:t>permitting the device to be marketed without PMA approval. To grant such a reclassification, FDA must determine that the FDCA’s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76" w:lineRule="exact"/>
        <w:rPr>
          <w:sz w:val="20"/>
          <w:szCs w:val="20"/>
          <w:color w:val="auto"/>
        </w:rPr>
      </w:pPr>
    </w:p>
    <w:p>
      <w:pPr>
        <w:jc w:val="both"/>
        <w:ind w:left="10" w:right="700"/>
        <w:spacing w:after="0" w:line="291" w:lineRule="auto"/>
        <w:rPr>
          <w:sz w:val="20"/>
          <w:szCs w:val="20"/>
          <w:color w:val="auto"/>
        </w:rPr>
      </w:pPr>
      <w:r>
        <w:rPr>
          <w:rFonts w:ascii="Arial" w:cs="Arial" w:eastAsia="Arial" w:hAnsi="Arial"/>
          <w:sz w:val="18"/>
          <w:szCs w:val="18"/>
          <w:b w:val="1"/>
          <w:bCs w:val="1"/>
          <w:color w:val="auto"/>
        </w:rPr>
        <w:t>Devices deemed by the FDA to pose the greatest risk, such as life-sustaining, life-supporting, or implantable devices, or those deemed not substantially equivalent to a legally marketed predicate device, are placed in Class</w:t>
      </w:r>
    </w:p>
    <w:p>
      <w:pPr>
        <w:spacing w:after="0" w:line="2" w:lineRule="exact"/>
        <w:rPr>
          <w:sz w:val="20"/>
          <w:szCs w:val="20"/>
          <w:color w:val="auto"/>
        </w:rPr>
      </w:pPr>
    </w:p>
    <w:p>
      <w:pPr>
        <w:jc w:val="both"/>
        <w:ind w:left="10" w:right="680" w:hanging="10"/>
        <w:spacing w:after="0" w:line="266" w:lineRule="auto"/>
        <w:tabs>
          <w:tab w:leader="none" w:pos="276"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75" w:lineRule="exact"/>
        <w:rPr>
          <w:sz w:val="20"/>
          <w:szCs w:val="20"/>
          <w:color w:val="auto"/>
        </w:rPr>
      </w:pPr>
    </w:p>
    <w:p>
      <w:pPr>
        <w:jc w:val="both"/>
        <w:ind w:left="10" w:right="700"/>
        <w:spacing w:after="0" w:line="285" w:lineRule="auto"/>
        <w:rPr>
          <w:sz w:val="20"/>
          <w:szCs w:val="20"/>
          <w:color w:val="auto"/>
        </w:rPr>
      </w:pPr>
      <w:r>
        <w:rPr>
          <w:rFonts w:ascii="Arial" w:cs="Arial" w:eastAsia="Arial" w:hAnsi="Arial"/>
          <w:sz w:val="18"/>
          <w:szCs w:val="18"/>
          <w:b w:val="1"/>
          <w:bCs w:val="1"/>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62" w:lineRule="exact"/>
        <w:rPr>
          <w:sz w:val="20"/>
          <w:szCs w:val="20"/>
          <w:color w:val="auto"/>
        </w:rPr>
      </w:pPr>
    </w:p>
    <w:p>
      <w:pPr>
        <w:jc w:val="both"/>
        <w:ind w:left="10" w:right="700"/>
        <w:spacing w:after="0" w:line="294" w:lineRule="auto"/>
        <w:rPr>
          <w:sz w:val="20"/>
          <w:szCs w:val="20"/>
          <w:color w:val="auto"/>
        </w:rPr>
      </w:pPr>
      <w:r>
        <w:rPr>
          <w:rFonts w:ascii="Arial" w:cs="Arial" w:eastAsia="Arial" w:hAnsi="Arial"/>
          <w:sz w:val="18"/>
          <w:szCs w:val="18"/>
          <w:b w:val="1"/>
          <w:bCs w:val="1"/>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52" w:lineRule="exact"/>
        <w:rPr>
          <w:sz w:val="20"/>
          <w:szCs w:val="20"/>
          <w:color w:val="auto"/>
        </w:rPr>
      </w:pPr>
    </w:p>
    <w:p>
      <w:pPr>
        <w:jc w:val="both"/>
        <w:ind w:left="10" w:right="680"/>
        <w:spacing w:after="0" w:line="281" w:lineRule="auto"/>
        <w:rPr>
          <w:sz w:val="20"/>
          <w:szCs w:val="20"/>
          <w:color w:val="auto"/>
        </w:rPr>
      </w:pPr>
      <w:r>
        <w:rPr>
          <w:rFonts w:ascii="Arial" w:cs="Arial" w:eastAsia="Arial" w:hAnsi="Arial"/>
          <w:sz w:val="18"/>
          <w:szCs w:val="18"/>
          <w:b w:val="1"/>
          <w:bCs w:val="1"/>
          <w:color w:val="auto"/>
        </w:rPr>
        <w:t>For example, in some cases, our customers, including laboratories that offer services as part of our certified service provider program, may use our RUO products in their own LDTs or in other FDA-regulated products for clinical diagnostic use. The FDA has historically exercised enforcement discretion in not enforcing the medical device regulations against LDTs and LDT manufacturers.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In May 2024, the FDA issued a final rule that phases out its enforcement discretion for most LDTs and amends the FDA’s regulations to make explicit that in vitro diagnostics are medical devices under the FDCA, including when the manufacturer of the diagnostic product is a laboratory. On March 31, 2025, a U.S. District Court in Texas ruled that the FDA exceeded its authority and vacated and set aside this LDT final rule in its entirety. Further, in June 2024, the U.S.</w:t>
      </w:r>
    </w:p>
    <w:p>
      <w:pPr>
        <w:spacing w:after="0" w:line="4" w:lineRule="exact"/>
        <w:rPr>
          <w:sz w:val="20"/>
          <w:szCs w:val="20"/>
          <w:color w:val="auto"/>
        </w:rPr>
      </w:pPr>
    </w:p>
    <w:p>
      <w:pPr>
        <w:jc w:val="both"/>
        <w:ind w:left="10" w:right="680"/>
        <w:spacing w:after="0" w:line="258" w:lineRule="auto"/>
        <w:rPr>
          <w:sz w:val="20"/>
          <w:szCs w:val="20"/>
          <w:color w:val="auto"/>
        </w:rPr>
      </w:pPr>
      <w:r>
        <w:rPr>
          <w:rFonts w:ascii="Arial" w:cs="Arial" w:eastAsia="Arial" w:hAnsi="Arial"/>
          <w:sz w:val="20"/>
          <w:szCs w:val="20"/>
          <w:b w:val="1"/>
          <w:bCs w:val="1"/>
          <w:color w:val="auto"/>
        </w:rPr>
        <w:t xml:space="preserve">Supreme Court overruled the </w:t>
      </w:r>
      <w:r>
        <w:rPr>
          <w:rFonts w:ascii="Arial" w:cs="Arial" w:eastAsia="Arial" w:hAnsi="Arial"/>
          <w:sz w:val="20"/>
          <w:szCs w:val="20"/>
          <w:b w:val="1"/>
          <w:bCs w:val="1"/>
          <w:i w:val="1"/>
          <w:iCs w:val="1"/>
          <w:color w:val="auto"/>
        </w:rPr>
        <w:t>Chevron</w:t>
      </w:r>
      <w:r>
        <w:rPr>
          <w:rFonts w:ascii="Arial" w:cs="Arial" w:eastAsia="Arial" w:hAnsi="Arial"/>
          <w:sz w:val="20"/>
          <w:szCs w:val="20"/>
          <w:b w:val="1"/>
          <w:bCs w:val="1"/>
          <w:color w:val="auto"/>
        </w:rPr>
        <w:t xml:space="preserve"> 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of the FDA. The government may issue new policies and regulations that can impact the compliance status of our products or that of our customers. If our products become subject to FDA regulation as medical devices, we would need to invest significant time and resources to ensure ongoing compliance with FDA quality system regulations and other post-market regulatory requirements.</w:t>
      </w:r>
    </w:p>
    <w:p>
      <w:pPr>
        <w:spacing w:after="0" w:line="80" w:lineRule="exact"/>
        <w:rPr>
          <w:sz w:val="20"/>
          <w:szCs w:val="20"/>
          <w:color w:val="auto"/>
        </w:rPr>
      </w:pPr>
    </w:p>
    <w:p>
      <w:pPr>
        <w:jc w:val="both"/>
        <w:ind w:left="10" w:right="700"/>
        <w:spacing w:after="0" w:line="294" w:lineRule="auto"/>
        <w:rPr>
          <w:sz w:val="20"/>
          <w:szCs w:val="20"/>
          <w:color w:val="auto"/>
        </w:rPr>
      </w:pPr>
      <w:r>
        <w:rPr>
          <w:rFonts w:ascii="Arial" w:cs="Arial" w:eastAsia="Arial" w:hAnsi="Arial"/>
          <w:sz w:val="18"/>
          <w:szCs w:val="18"/>
          <w:b w:val="1"/>
          <w:bCs w:val="1"/>
          <w:color w:val="auto"/>
        </w:rPr>
        <w:t>If our products become subject to FDA regulation as medical devices, the regulatory clearance or approval and the maintenance of continued and post-market regulatory compliance for such products will be expensive, time-consuming, and uncertain both in timing and in outcome. Commercialization of such regulated medical devices can increase our exposure under additional laws. For example, medical device companies are subject to additional healthcare regulation and enforcement by the federal government and by authorities in the states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wp:posOffset>
                </wp:positionH>
                <wp:positionV relativeFrom="paragraph">
                  <wp:posOffset>299720</wp:posOffset>
                </wp:positionV>
                <wp:extent cx="73152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999pt,23.6pt" to="535.5pt,23.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299720</wp:posOffset>
                </wp:positionV>
                <wp:extent cx="73152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999pt,23.6pt" to="535.5pt,23.6pt" o:allowincell="f" strokecolor="#DF1995" strokeweight="1pt"/>
            </w:pict>
          </mc:Fallback>
        </mc:AlternateContent>
      </w:r>
    </w:p>
    <w:p>
      <w:pPr>
        <w:sectPr>
          <w:pgSz w:w="12240" w:h="15840" w:orient="portrait"/>
          <w:cols w:equalWidth="0" w:num="1">
            <w:col w:w="10590"/>
          </w:cols>
          <w:pgMar w:left="117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0"/>
        <w:spacing w:after="0"/>
        <w:tabs>
          <w:tab w:leader="none" w:pos="1033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-121285</wp:posOffset>
            </wp:positionV>
            <wp:extent cx="457200" cy="996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90"/>
          </w:cols>
          <w:pgMar w:left="1170" w:top="210" w:right="480" w:bottom="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86" w:lineRule="auto"/>
        <w:rPr>
          <w:sz w:val="20"/>
          <w:szCs w:val="20"/>
          <w:color w:val="auto"/>
        </w:rPr>
      </w:pPr>
      <w:r>
        <w:rPr>
          <w:rFonts w:ascii="Arial" w:cs="Arial" w:eastAsia="Arial" w:hAnsi="Arial"/>
          <w:sz w:val="18"/>
          <w:szCs w:val="18"/>
          <w:b w:val="1"/>
          <w:bCs w:val="1"/>
          <w:color w:val="auto"/>
        </w:rPr>
        <w:t>foreign jurisdictions in which they conduct their business and may constrain the financial arrangements and relationships through which we research, as well as sell, market and distribute any medical products for which we obtain marketing authorization. Such laws include, without limitation, state and federal anti-kickback, fraud and abuse, false claims, data privacy and security, and transparency laws and regulations related to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60" w:lineRule="exact"/>
        <w:rPr>
          <w:sz w:val="20"/>
          <w:szCs w:val="20"/>
          <w:color w:val="auto"/>
        </w:rPr>
      </w:pPr>
    </w:p>
    <w:p>
      <w:pPr>
        <w:jc w:val="both"/>
        <w:ind w:right="700"/>
        <w:spacing w:after="0" w:line="285" w:lineRule="auto"/>
        <w:rPr>
          <w:sz w:val="20"/>
          <w:szCs w:val="20"/>
          <w:color w:val="auto"/>
        </w:rPr>
      </w:pPr>
      <w:r>
        <w:rPr>
          <w:rFonts w:ascii="Arial" w:cs="Arial" w:eastAsia="Arial" w:hAnsi="Arial"/>
          <w:sz w:val="18"/>
          <w:szCs w:val="18"/>
          <w:b w:val="1"/>
          <w:bCs w:val="1"/>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62" w:lineRule="exact"/>
        <w:rPr>
          <w:sz w:val="20"/>
          <w:szCs w:val="20"/>
          <w:color w:val="auto"/>
        </w:rPr>
      </w:pPr>
    </w:p>
    <w:p>
      <w:pPr>
        <w:jc w:val="both"/>
        <w:ind w:right="700"/>
        <w:spacing w:after="0" w:line="291" w:lineRule="auto"/>
        <w:rPr>
          <w:sz w:val="20"/>
          <w:szCs w:val="20"/>
          <w:color w:val="auto"/>
        </w:rPr>
      </w:pPr>
      <w:r>
        <w:rPr>
          <w:rFonts w:ascii="Arial" w:cs="Arial" w:eastAsia="Arial" w:hAnsi="Arial"/>
          <w:sz w:val="18"/>
          <w:szCs w:val="18"/>
          <w:b w:val="1"/>
          <w:bCs w:val="1"/>
          <w:color w:val="auto"/>
        </w:rPr>
        <w:t>International sales of medical devices are subject to foreign government regulations, which vary substantially from country to country. In the future, if we decide to distribute or market our diagnostic products as IVDs in Europe, such products are subject to regulation under the European Union (“EU”) IVD Medical Device Regulation (“IVDR”) EU 2017/746. Outside of the EU, regulatory approval needs to be sought on a country-by-country basis in order to market medical devices. Although there is a trend towards harmonization of a quality system, standards and regulations in each country may vary substantially, which can affect timelines of introduction.</w:t>
      </w:r>
    </w:p>
    <w:p>
      <w:pPr>
        <w:spacing w:after="0" w:line="54" w:lineRule="exact"/>
        <w:rPr>
          <w:sz w:val="20"/>
          <w:szCs w:val="20"/>
          <w:color w:val="auto"/>
        </w:rPr>
      </w:pPr>
    </w:p>
    <w:p>
      <w:pPr>
        <w:jc w:val="both"/>
        <w:ind w:right="680"/>
        <w:spacing w:after="0" w:line="256" w:lineRule="auto"/>
        <w:rPr>
          <w:sz w:val="20"/>
          <w:szCs w:val="20"/>
          <w:color w:val="auto"/>
        </w:rPr>
      </w:pPr>
      <w:r>
        <w:rPr>
          <w:rFonts w:ascii="Arial" w:cs="Arial" w:eastAsia="Arial" w:hAnsi="Arial"/>
          <w:sz w:val="20"/>
          <w:szCs w:val="20"/>
          <w:b w:val="1"/>
          <w:bCs w:val="1"/>
          <w:color w:val="auto"/>
        </w:rPr>
        <w:t>We are committed to the protection of our employees and the environment. Our operations require the use of hazardous materials that subject us to various federal, state, and local environmental and safety laws and regulations. We believe that we are in material compliance with current applicable laws and regulations. However, we could be held liable for damages and fines should contamination of the environment or individual exposures to hazardous substances occur. In addition, we cannot predict how changes in these laws and regulations, or the development of new laws and regulations, will affect our business operations or the cost of compliance.</w:t>
      </w:r>
    </w:p>
    <w:p>
      <w:pPr>
        <w:spacing w:after="0" w:line="83"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b w:val="1"/>
          <w:bCs w:val="1"/>
          <w:color w:val="auto"/>
        </w:rPr>
        <w:t>Additionally, we must comply with complex foreign and U.S. laws and regulations, such as the U.S. Foreign Corrupt Practices Act, the U.K. Bribery Act, and other local laws prohibiting corrupt payments to governmental officials, anti-competition regulations and sanctions imposed by the U.S. Office of Foreign Assets Control, and other similar laws and regulations. Violations of these laws and regulations could result in fines and penalties, criminal sanctions, restrictions on our business conduct, and on our ability to offer our products in one or more countries,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76" w:lineRule="exact"/>
        <w:rPr>
          <w:sz w:val="20"/>
          <w:szCs w:val="20"/>
          <w:color w:val="auto"/>
        </w:rPr>
      </w:pPr>
    </w:p>
    <w:p>
      <w:pPr>
        <w:jc w:val="both"/>
        <w:ind w:right="680"/>
        <w:spacing w:after="0" w:line="279" w:lineRule="auto"/>
        <w:rPr>
          <w:sz w:val="20"/>
          <w:szCs w:val="20"/>
          <w:color w:val="auto"/>
        </w:rPr>
      </w:pPr>
      <w:r>
        <w:rPr>
          <w:rFonts w:ascii="Arial" w:cs="Arial" w:eastAsia="Arial" w:hAnsi="Arial"/>
          <w:sz w:val="19"/>
          <w:szCs w:val="19"/>
          <w:b w:val="1"/>
          <w:bCs w:val="1"/>
          <w:color w:val="auto"/>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1861820</wp:posOffset>
                </wp:positionV>
                <wp:extent cx="73152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46.6pt" to="535pt,146.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1861820</wp:posOffset>
                </wp:positionV>
                <wp:extent cx="73152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46.6pt" to="535pt,146.6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Human Capital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88" w:lineRule="exact"/>
        <w:rPr>
          <w:sz w:val="20"/>
          <w:szCs w:val="20"/>
          <w:color w:val="auto"/>
        </w:rPr>
      </w:pPr>
    </w:p>
    <w:p>
      <w:pPr>
        <w:jc w:val="right"/>
        <w:ind w:right="7900"/>
        <w:spacing w:after="0"/>
        <w:rPr>
          <w:sz w:val="20"/>
          <w:szCs w:val="20"/>
          <w:color w:val="auto"/>
        </w:rPr>
      </w:pPr>
      <w:r>
        <w:rPr>
          <w:rFonts w:ascii="Arial" w:cs="Arial" w:eastAsia="Arial" w:hAnsi="Arial"/>
          <w:sz w:val="22"/>
          <w:szCs w:val="22"/>
          <w:b w:val="1"/>
          <w:bCs w:val="1"/>
          <w:color w:val="595959"/>
        </w:rPr>
        <w:t>Full Time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271780</wp:posOffset>
            </wp:positionV>
            <wp:extent cx="1868170" cy="17818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
                      <a:extLst>
                        <a:ext uri="{28A0092B-C50C-407E-A947-70E740481C1C}"/>
                      </a:extLst>
                    </a:blip>
                    <a:srcRect/>
                    <a:stretch>
                      <a:fillRect/>
                    </a:stretch>
                  </pic:blipFill>
                  <pic:spPr bwMode="auto">
                    <a:xfrm>
                      <a:off x="0" y="0"/>
                      <a:ext cx="1868170" cy="1781810"/>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FFFFF"/>
        </w:rPr>
        <w:t>G&amp;A</w:t>
      </w:r>
    </w:p>
    <w:p>
      <w:pPr>
        <w:spacing w:after="0" w:line="199"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FFFFFF"/>
        </w:rPr>
        <w:t>R&amp;D</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FFFFFF"/>
        </w:rPr>
        <w:t>Marketing</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FFFFFF"/>
        </w:rPr>
        <w:t>and Sales</w:t>
      </w:r>
    </w:p>
    <w:p>
      <w:pPr>
        <w:spacing w:after="0" w:line="200" w:lineRule="exact"/>
        <w:rPr>
          <w:sz w:val="20"/>
          <w:szCs w:val="20"/>
          <w:color w:val="auto"/>
        </w:rPr>
      </w:pPr>
    </w:p>
    <w:p>
      <w:pPr>
        <w:spacing w:after="0" w:line="234" w:lineRule="exact"/>
        <w:rPr>
          <w:sz w:val="20"/>
          <w:szCs w:val="20"/>
          <w:color w:val="auto"/>
        </w:rPr>
      </w:pPr>
    </w:p>
    <w:p>
      <w:pPr>
        <w:ind w:left="1840"/>
        <w:spacing w:after="0"/>
        <w:rPr>
          <w:sz w:val="20"/>
          <w:szCs w:val="20"/>
          <w:color w:val="auto"/>
        </w:rPr>
      </w:pPr>
      <w:r>
        <w:rPr>
          <w:rFonts w:ascii="Arial" w:cs="Arial" w:eastAsia="Arial" w:hAnsi="Arial"/>
          <w:sz w:val="15"/>
          <w:szCs w:val="15"/>
          <w:b w:val="1"/>
          <w:bCs w:val="1"/>
          <w:color w:val="FFFFFF"/>
        </w:rPr>
        <w:t>Operations</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FFFFFF"/>
        </w:rPr>
        <w:t>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jc w:val="both"/>
        <w:ind w:right="700"/>
        <w:spacing w:after="0" w:line="253" w:lineRule="auto"/>
        <w:rPr>
          <w:sz w:val="20"/>
          <w:szCs w:val="20"/>
          <w:color w:val="auto"/>
        </w:rPr>
      </w:pPr>
      <w:r>
        <w:rPr>
          <w:rFonts w:ascii="Arial" w:cs="Arial" w:eastAsia="Arial" w:hAnsi="Arial"/>
          <w:sz w:val="20"/>
          <w:szCs w:val="20"/>
          <w:b w:val="1"/>
          <w:bCs w:val="1"/>
          <w:color w:val="auto"/>
        </w:rPr>
        <w:t>As of December 31, 2025, we had 485 full-time employees. Of these employees, 162 were in research and development, 64 were in operations, 37 were in service, 163 were in marketing and sales, and 59 were in general and administration. With the exception of our field-based sales, marketing, and service teams, the majority of our employees are in California. None of our employees are represented by labor unions or are covered by a collective bargaining agreement with respect to their employment. We have not experienced any work stoppages, and we consider our relationship with our employees to be good.</w:t>
      </w:r>
    </w:p>
    <w:p>
      <w:pPr>
        <w:spacing w:after="0" w:line="200" w:lineRule="exact"/>
        <w:rPr>
          <w:sz w:val="20"/>
          <w:szCs w:val="20"/>
          <w:color w:val="auto"/>
        </w:rPr>
      </w:pPr>
    </w:p>
    <w:p>
      <w:pPr>
        <w:sectPr>
          <w:pgSz w:w="12240" w:h="15840" w:orient="portrait"/>
          <w:cols w:equalWidth="0" w:num="2">
            <w:col w:w="3560" w:space="720"/>
            <w:col w:w="6300"/>
          </w:cols>
          <w:pgMar w:left="1180" w:top="210" w:right="480" w:bottom="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Talent Acquisition and Retention</w:t>
      </w:r>
    </w:p>
    <w:p>
      <w:pPr>
        <w:spacing w:after="0" w:line="130" w:lineRule="exact"/>
        <w:rPr>
          <w:sz w:val="20"/>
          <w:szCs w:val="20"/>
          <w:color w:val="auto"/>
        </w:rPr>
      </w:pPr>
    </w:p>
    <w:p>
      <w:pPr>
        <w:jc w:val="both"/>
        <w:ind w:right="680"/>
        <w:spacing w:after="0" w:line="280" w:lineRule="auto"/>
        <w:rPr>
          <w:sz w:val="20"/>
          <w:szCs w:val="20"/>
          <w:color w:val="auto"/>
        </w:rPr>
      </w:pPr>
      <w:r>
        <w:rPr>
          <w:rFonts w:ascii="Arial" w:cs="Arial" w:eastAsia="Arial" w:hAnsi="Arial"/>
          <w:sz w:val="19"/>
          <w:szCs w:val="19"/>
          <w:b w:val="1"/>
          <w:bCs w:val="1"/>
          <w:color w:val="auto"/>
        </w:rPr>
        <w:t>We recognize that our employees are the driving force behind our success. To support our continued growth, we are committed to attracting, developing, and retaining best-in-class talent across the globe. Our Talent Acquisition team leverages both internal and external partnerships, data-driven strategies, and a strong employer brand to identify and recruit highly skilled professionals who align with our mission and values.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Total Rewards</w:t>
      </w:r>
    </w:p>
    <w:p>
      <w:pPr>
        <w:spacing w:after="0" w:line="130"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At PacBio, our Total Rewards philosophy centers on investing in our people - the foundation of our success. We are committed to offering competitive, equitable, and comprehensive compensation and benefits that recognize performance, support well-being, and promote long-term growth.</w:t>
      </w:r>
    </w:p>
    <w:p>
      <w:pPr>
        <w:spacing w:after="0" w:line="70" w:lineRule="exact"/>
        <w:rPr>
          <w:sz w:val="20"/>
          <w:szCs w:val="20"/>
          <w:color w:val="auto"/>
        </w:rPr>
      </w:pPr>
    </w:p>
    <w:p>
      <w:pPr>
        <w:jc w:val="both"/>
        <w:ind w:right="680"/>
        <w:spacing w:after="0" w:line="257" w:lineRule="auto"/>
        <w:rPr>
          <w:sz w:val="20"/>
          <w:szCs w:val="20"/>
          <w:color w:val="auto"/>
        </w:rPr>
      </w:pPr>
      <w:r>
        <w:rPr>
          <w:rFonts w:ascii="Arial" w:cs="Arial" w:eastAsia="Arial" w:hAnsi="Arial"/>
          <w:sz w:val="20"/>
          <w:szCs w:val="20"/>
          <w:b w:val="1"/>
          <w:bCs w:val="1"/>
          <w:color w:val="auto"/>
        </w:rPr>
        <w:t>Our compensation packages include base salary, short-term incentives such as annual bonuses and commissions, and long-term equity awards that align employees with the company’s success. In addition, we provide a broad range of benefits tailored by country and region, including life, disability, and health insurance; health savings and flexible spending accounts; generous paid time off; paid parental leave; and retirement savings plans such as our 401(k) program. Employees also have the opportunity to share in PacBio’s growth through our Employee Stock Purchase Program.</w:t>
      </w:r>
    </w:p>
    <w:p>
      <w:pPr>
        <w:spacing w:after="0" w:line="82"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We strive to be an employer of choice in our industry by ensuring our Total Rewards are not only market-competitive, but also reflective of our commitment to supporting employees’ financial, physical, and emotional well-being.</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Health, Safety, and Wellness</w:t>
      </w:r>
    </w:p>
    <w:p>
      <w:pPr>
        <w:spacing w:after="0" w:line="130" w:lineRule="exact"/>
        <w:rPr>
          <w:sz w:val="20"/>
          <w:szCs w:val="20"/>
          <w:color w:val="auto"/>
        </w:rPr>
      </w:pPr>
    </w:p>
    <w:p>
      <w:pPr>
        <w:jc w:val="both"/>
        <w:ind w:right="700"/>
        <w:spacing w:after="0" w:line="341" w:lineRule="auto"/>
        <w:rPr>
          <w:sz w:val="20"/>
          <w:szCs w:val="20"/>
          <w:color w:val="auto"/>
        </w:rPr>
      </w:pPr>
      <w:r>
        <w:rPr>
          <w:rFonts w:ascii="Arial" w:cs="Arial" w:eastAsia="Arial" w:hAnsi="Arial"/>
          <w:sz w:val="18"/>
          <w:szCs w:val="18"/>
          <w:b w:val="1"/>
          <w:bCs w:val="1"/>
          <w:color w:val="auto"/>
        </w:rPr>
        <w:t>The health, safety, and overall well-being of our employees are fundamental to our success and culture. We are deeply committed to investing in programs and resources that help our employees and their families thrive.</w:t>
      </w:r>
    </w:p>
    <w:p>
      <w:pPr>
        <w:spacing w:after="0" w:line="12" w:lineRule="exact"/>
        <w:rPr>
          <w:sz w:val="20"/>
          <w:szCs w:val="20"/>
          <w:color w:val="auto"/>
        </w:rPr>
      </w:pPr>
    </w:p>
    <w:p>
      <w:pPr>
        <w:jc w:val="both"/>
        <w:ind w:right="700"/>
        <w:spacing w:after="0" w:line="309" w:lineRule="auto"/>
        <w:rPr>
          <w:sz w:val="20"/>
          <w:szCs w:val="20"/>
          <w:color w:val="auto"/>
        </w:rPr>
      </w:pPr>
      <w:r>
        <w:rPr>
          <w:rFonts w:ascii="Arial" w:cs="Arial" w:eastAsia="Arial" w:hAnsi="Arial"/>
          <w:sz w:val="18"/>
          <w:szCs w:val="18"/>
          <w:b w:val="1"/>
          <w:bCs w:val="1"/>
          <w:color w:val="auto"/>
        </w:rPr>
        <w:t>We offer a wide range of innovative, flexible, and accessible health and wellness programs designed to promote physical, mental, and financial well-being. These benefits provide employees with security and peace of mind, supporting them through life events that may require time away from work or impact their financial stability.</w:t>
      </w:r>
    </w:p>
    <w:p>
      <w:pPr>
        <w:spacing w:after="0" w:line="41"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To ensure employees can make the most of these offerings, our programs are regularly reviewed, enhanced, and featured on our internal benefits platform, keeping our workforce informed and engaged with the resources available to them.</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Diversity, Equity, and Inclusion</w:t>
      </w:r>
    </w:p>
    <w:p>
      <w:pPr>
        <w:spacing w:after="0" w:line="130"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We believe that diversity drives innovation and strengthens our organization. A diverse, equitable, and inclusive workforce enables us to better serve our global community and achieve lasting success.</w:t>
      </w:r>
    </w:p>
    <w:p>
      <w:pPr>
        <w:spacing w:after="0" w:line="58"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mission is to embrace and value differences including race, ethnicity, religion, nationality, gender, age, sexual orientation, education, experience, and perspective. We are committed to fostering a workplace where all employees feel respected, empowered, and supported to contribute their best.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186055</wp:posOffset>
                </wp:positionV>
                <wp:extent cx="73152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4.65pt" to="535pt,1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186055</wp:posOffset>
                </wp:positionV>
                <wp:extent cx="73152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4.65pt" to="535pt,14.65pt" o:allowincell="f" strokecolor="#DF1995" strokeweight="1pt"/>
            </w:pict>
          </mc:Fallback>
        </mc:AlternateContent>
      </w:r>
    </w:p>
    <w:p>
      <w:pPr>
        <w:sectPr>
          <w:pgSz w:w="12240" w:h="15840" w:orient="portrait"/>
          <w:cols w:equalWidth="0" w:num="1">
            <w:col w:w="10580"/>
          </w:cols>
          <w:pgMar w:left="1180" w:top="210" w:right="480" w:bottom="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4">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To advance these principles, we provide training and development programs that build awareness, promote inclusion, and help employees recognize and mitigate bias throughout the employee lifecycle. Our ongoing efforts focus on inclusive hiring practices, fair and equitable treatment, and organizational flexibility, supported by tools and resources that enable every employee to do their best work.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Training and Development</w:t>
      </w:r>
    </w:p>
    <w:p>
      <w:pPr>
        <w:spacing w:after="0" w:line="34" w:lineRule="exact"/>
        <w:rPr>
          <w:sz w:val="20"/>
          <w:szCs w:val="20"/>
          <w:color w:val="auto"/>
        </w:rPr>
      </w:pPr>
    </w:p>
    <w:p>
      <w:pPr>
        <w:jc w:val="both"/>
        <w:ind w:right="700"/>
        <w:spacing w:after="0" w:line="253" w:lineRule="auto"/>
        <w:rPr>
          <w:sz w:val="20"/>
          <w:szCs w:val="20"/>
          <w:color w:val="auto"/>
        </w:rPr>
      </w:pPr>
      <w:r>
        <w:rPr>
          <w:rFonts w:ascii="Arial" w:cs="Arial" w:eastAsia="Arial" w:hAnsi="Arial"/>
          <w:sz w:val="20"/>
          <w:szCs w:val="20"/>
          <w:b w:val="1"/>
          <w:bCs w:val="1"/>
          <w:color w:val="auto"/>
        </w:rPr>
        <w:t>We are committed to fostering a culture of continuous learning and growth. We encourage employees to be lifelong learners by offering ongoing opportunities for professional and leadership development. We provide required compliance training for employees, along with targeted, function-specific training where applicable, and ongoing learning through cross-functional collaboration and knowledge sharing.</w:t>
      </w:r>
    </w:p>
    <w:p>
      <w:pPr>
        <w:spacing w:after="0" w:line="87" w:lineRule="exact"/>
        <w:rPr>
          <w:sz w:val="20"/>
          <w:szCs w:val="20"/>
          <w:color w:val="auto"/>
        </w:rPr>
      </w:pPr>
    </w:p>
    <w:p>
      <w:pPr>
        <w:jc w:val="both"/>
        <w:ind w:right="680"/>
        <w:spacing w:after="0" w:line="262" w:lineRule="auto"/>
        <w:rPr>
          <w:sz w:val="20"/>
          <w:szCs w:val="20"/>
          <w:color w:val="auto"/>
        </w:rPr>
      </w:pPr>
      <w:r>
        <w:rPr>
          <w:rFonts w:ascii="Arial" w:cs="Arial" w:eastAsia="Arial" w:hAnsi="Arial"/>
          <w:sz w:val="20"/>
          <w:szCs w:val="20"/>
          <w:b w:val="1"/>
          <w:bCs w:val="1"/>
          <w:color w:val="auto"/>
        </w:rPr>
        <w:t>While we emphasize real-time recognition of employee performance throughout the year, we also conduct a formal annual review process. This process not only informs pay and equity adjustments based on individual contributions but also helps identify areas where additional training and development can support each employee’s continued success.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Available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9" w:lineRule="auto"/>
        <w:rPr>
          <w:sz w:val="20"/>
          <w:szCs w:val="20"/>
          <w:color w:val="auto"/>
        </w:rPr>
      </w:pPr>
      <w:r>
        <w:rPr>
          <w:rFonts w:ascii="Arial" w:cs="Arial" w:eastAsia="Arial" w:hAnsi="Arial"/>
          <w:sz w:val="18"/>
          <w:szCs w:val="18"/>
          <w:b w:val="1"/>
          <w:bCs w:val="1"/>
          <w:color w:val="auto"/>
        </w:rPr>
        <w:t xml:space="preserve">Our website is located at </w:t>
      </w:r>
      <w:r>
        <w:rPr>
          <w:rFonts w:ascii="Arial" w:cs="Arial" w:eastAsia="Arial" w:hAnsi="Arial"/>
          <w:sz w:val="18"/>
          <w:szCs w:val="18"/>
          <w:b w:val="1"/>
          <w:bCs w:val="1"/>
          <w:u w:val="single" w:color="auto"/>
          <w:color w:val="auto"/>
        </w:rPr>
        <w:t>www.pacb.com</w:t>
      </w:r>
      <w:r>
        <w:rPr>
          <w:rFonts w:ascii="Arial" w:cs="Arial" w:eastAsia="Arial" w:hAnsi="Arial"/>
          <w:sz w:val="18"/>
          <w:szCs w:val="18"/>
          <w:b w:val="1"/>
          <w:bCs w:val="1"/>
          <w:color w:val="auto"/>
        </w:rPr>
        <w:t>. The information posted on, or that can be accessed through, our website is not incorporated by reference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Exchange Act are available free of charge through the “Investor Relations” section of our website as soon as reasonably practicable after we electronically file such material with, or furnish it to, the SEC. The SEC also maintains a website that contains our SEC filings. The address of the site is www.sec.gov.</w:t>
      </w:r>
    </w:p>
    <w:p>
      <w:pPr>
        <w:spacing w:after="0" w:line="55"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 xml:space="preserve">Additionally, we use our website (including the blog section of our website at </w:t>
      </w:r>
      <w:r>
        <w:rPr>
          <w:rFonts w:ascii="Arial" w:cs="Arial" w:eastAsia="Arial" w:hAnsi="Arial"/>
          <w:sz w:val="19"/>
          <w:szCs w:val="19"/>
          <w:b w:val="1"/>
          <w:bCs w:val="1"/>
          <w:u w:val="single" w:color="auto"/>
          <w:color w:val="auto"/>
        </w:rPr>
        <w:t>www.pacb.com/blog</w:t>
      </w:r>
      <w:r>
        <w:rPr>
          <w:rFonts w:ascii="Arial" w:cs="Arial" w:eastAsia="Arial" w:hAnsi="Arial"/>
          <w:sz w:val="19"/>
          <w:szCs w:val="19"/>
          <w:b w:val="1"/>
          <w:bCs w:val="1"/>
          <w:color w:val="auto"/>
        </w:rPr>
        <w:t>) as well as our Bluesky (@pacbio.bsky.social), X (</w:t>
      </w:r>
      <w:r>
        <w:rPr>
          <w:rFonts w:ascii="Arial" w:cs="Arial" w:eastAsia="Arial" w:hAnsi="Arial"/>
          <w:sz w:val="19"/>
          <w:szCs w:val="19"/>
          <w:b w:val="1"/>
          <w:bCs w:val="1"/>
          <w:u w:val="single" w:color="auto"/>
          <w:color w:val="auto"/>
        </w:rPr>
        <w:t>@pacbio</w:t>
      </w:r>
      <w:r>
        <w:rPr>
          <w:rFonts w:ascii="Arial" w:cs="Arial" w:eastAsia="Arial" w:hAnsi="Arial"/>
          <w:sz w:val="19"/>
          <w:szCs w:val="19"/>
          <w:b w:val="1"/>
          <w:bCs w:val="1"/>
          <w:color w:val="auto"/>
        </w:rPr>
        <w:t>), and LinkedIn (www.linkedin.com/company/pacific-biosciences) accounts as channels of distribution, where important company information is routinely posted and accessible, and to comply with our disclosure obligations under Regulation FD. Important information, including press releases, analyst presentations, and financial information regarding us, as well as corporate governance information, is routinely posted and accessible on the “Investor Relations” section of the website, which is accessible by clicking on the tab labeled “Company - Investors” on our website home page. The contents of our website and our social media accounts are not incorporated by reference into this Annual Report on Form 10-K or in any other report or document we file with the SEC, and any references to our website or X account are intended to be inactive textual references only.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3793490</wp:posOffset>
                </wp:positionV>
                <wp:extent cx="73152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98.7pt" to="535pt,29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3793490</wp:posOffset>
                </wp:positionV>
                <wp:extent cx="73152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98.7pt" to="535pt,298.7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DF1995" strokeweight="1pt"/>
            </w:pict>
          </mc:Fallback>
        </mc:AlternateConten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1A. RISK FACTORS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07" w:lineRule="exact"/>
        <w:rPr>
          <w:sz w:val="20"/>
          <w:szCs w:val="20"/>
          <w:color w:val="auto"/>
        </w:rPr>
      </w:pPr>
    </w:p>
    <w:p>
      <w:pPr>
        <w:jc w:val="both"/>
        <w:ind w:right="680"/>
        <w:spacing w:after="0" w:line="271" w:lineRule="auto"/>
        <w:rPr>
          <w:sz w:val="20"/>
          <w:szCs w:val="20"/>
          <w:color w:val="auto"/>
        </w:rPr>
      </w:pPr>
      <w:r>
        <w:rPr>
          <w:rFonts w:ascii="Arial" w:cs="Arial" w:eastAsia="Arial" w:hAnsi="Arial"/>
          <w:sz w:val="19"/>
          <w:szCs w:val="19"/>
          <w:b w:val="1"/>
          <w:bCs w:val="1"/>
          <w:i w:val="1"/>
          <w:iCs w:val="1"/>
          <w:color w:val="auto"/>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1383C6"/>
        </w:rPr>
        <w:t>Summary Risk Factors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8" w:lineRule="exact"/>
        <w:rPr>
          <w:sz w:val="20"/>
          <w:szCs w:val="20"/>
          <w:color w:val="auto"/>
        </w:rPr>
      </w:pPr>
    </w:p>
    <w:p>
      <w:pPr>
        <w:ind w:left="720" w:right="700" w:hanging="370"/>
        <w:spacing w:after="0" w:line="285" w:lineRule="auto"/>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successfully market, commercialize, and sell current and future products and related maintenance services;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achieve profitability for our business;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implement required expense reduction initiatives;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repay our debt and fund our long-term operations;</w:t>
      </w:r>
    </w:p>
    <w:p>
      <w:pPr>
        <w:spacing w:after="0" w:line="130" w:lineRule="exact"/>
        <w:rPr>
          <w:rFonts w:ascii="Arial" w:cs="Arial" w:eastAsia="Arial" w:hAnsi="Arial"/>
          <w:sz w:val="20"/>
          <w:szCs w:val="20"/>
          <w:b w:val="1"/>
          <w:bCs w:val="1"/>
          <w:color w:val="DF1995"/>
        </w:rPr>
      </w:pPr>
    </w:p>
    <w:p>
      <w:pPr>
        <w:jc w:val="both"/>
        <w:ind w:left="720" w:right="700" w:hanging="370"/>
        <w:spacing w:after="0" w:line="268" w:lineRule="auto"/>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the impact of the disposition of assets related to our short-read DNA sequencing technology and related clustering, sequencing reagent, and detection technologies could have on our business, financial condition and results of operations;</w:t>
      </w:r>
    </w:p>
    <w:p>
      <w:pPr>
        <w:spacing w:after="0" w:line="69"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successfully leverage and integrate our acquisitions and future acquisitions;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19"/>
          <w:szCs w:val="19"/>
          <w:b w:val="1"/>
          <w:bCs w:val="1"/>
          <w:color w:val="DF1995"/>
        </w:rPr>
      </w:pPr>
      <w:r>
        <w:rPr>
          <w:rFonts w:ascii="Arial" w:cs="Arial" w:eastAsia="Arial" w:hAnsi="Arial"/>
          <w:sz w:val="19"/>
          <w:szCs w:val="19"/>
          <w:b w:val="1"/>
          <w:bCs w:val="1"/>
          <w:color w:val="auto"/>
        </w:rPr>
        <w:t>our ability to successfully research, develop and timely manufacture our current and future products;</w:t>
      </w:r>
    </w:p>
    <w:p>
      <w:pPr>
        <w:spacing w:after="0" w:line="141" w:lineRule="exact"/>
        <w:rPr>
          <w:rFonts w:ascii="Arial" w:cs="Arial" w:eastAsia="Arial" w:hAnsi="Arial"/>
          <w:sz w:val="19"/>
          <w:szCs w:val="19"/>
          <w:b w:val="1"/>
          <w:bCs w:val="1"/>
          <w:color w:val="DF1995"/>
        </w:rPr>
      </w:pPr>
    </w:p>
    <w:p>
      <w:pPr>
        <w:ind w:left="720" w:right="680" w:hanging="370"/>
        <w:spacing w:after="0" w:line="285" w:lineRule="auto"/>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management of new product introductions and transitions, resultant costs, and ability of new products to generate promised performance;</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recent significant changes to our leadership team and resultant disruptions to our business;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19"/>
          <w:szCs w:val="19"/>
          <w:b w:val="1"/>
          <w:bCs w:val="1"/>
          <w:color w:val="DF1995"/>
        </w:rPr>
      </w:pPr>
      <w:r>
        <w:rPr>
          <w:rFonts w:ascii="Arial" w:cs="Arial" w:eastAsia="Arial" w:hAnsi="Arial"/>
          <w:sz w:val="19"/>
          <w:szCs w:val="19"/>
          <w:b w:val="1"/>
          <w:bCs w:val="1"/>
          <w:color w:val="auto"/>
        </w:rPr>
        <w:t>retention, recruitment, and training of senior management, key personnel, scientists and engineers;</w:t>
      </w:r>
    </w:p>
    <w:p>
      <w:pPr>
        <w:spacing w:after="0" w:line="141" w:lineRule="exact"/>
        <w:rPr>
          <w:rFonts w:ascii="Arial" w:cs="Arial" w:eastAsia="Arial" w:hAnsi="Arial"/>
          <w:sz w:val="19"/>
          <w:szCs w:val="19"/>
          <w:b w:val="1"/>
          <w:bCs w:val="1"/>
          <w:color w:val="DF1995"/>
        </w:rPr>
      </w:pPr>
    </w:p>
    <w:p>
      <w:pPr>
        <w:ind w:left="720" w:hanging="370"/>
        <w:spacing w:after="0"/>
        <w:tabs>
          <w:tab w:leader="none" w:pos="720" w:val="left"/>
        </w:tabs>
        <w:numPr>
          <w:ilvl w:val="0"/>
          <w:numId w:val="12"/>
        </w:numPr>
        <w:rPr>
          <w:rFonts w:ascii="Arial" w:cs="Arial" w:eastAsia="Arial" w:hAnsi="Arial"/>
          <w:sz w:val="18"/>
          <w:szCs w:val="18"/>
          <w:b w:val="1"/>
          <w:bCs w:val="1"/>
          <w:color w:val="DF1995"/>
        </w:rPr>
      </w:pPr>
      <w:r>
        <w:rPr>
          <w:rFonts w:ascii="Arial" w:cs="Arial" w:eastAsia="Arial" w:hAnsi="Arial"/>
          <w:sz w:val="18"/>
          <w:szCs w:val="18"/>
          <w:b w:val="1"/>
          <w:bCs w:val="1"/>
          <w:color w:val="auto"/>
        </w:rPr>
        <w:t>our ability to further penetrate nucleic acid sequencing applications, as well as grow product demand;</w:t>
      </w:r>
    </w:p>
    <w:p>
      <w:pPr>
        <w:spacing w:after="0" w:line="153" w:lineRule="exact"/>
        <w:rPr>
          <w:rFonts w:ascii="Arial" w:cs="Arial" w:eastAsia="Arial" w:hAnsi="Arial"/>
          <w:sz w:val="18"/>
          <w:szCs w:val="18"/>
          <w:b w:val="1"/>
          <w:bCs w:val="1"/>
          <w:color w:val="DF1995"/>
        </w:rPr>
      </w:pPr>
    </w:p>
    <w:p>
      <w:pPr>
        <w:ind w:left="720" w:right="700" w:hanging="370"/>
        <w:spacing w:after="0" w:line="285" w:lineRule="auto"/>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our reliance on outsourcing to other companies for manufacturing certain of our products, components and sub-assemblies, some of which are sole-sourced;</w:t>
      </w:r>
    </w:p>
    <w:p>
      <w:pPr>
        <w:spacing w:after="0" w:line="53" w:lineRule="exact"/>
        <w:rPr>
          <w:rFonts w:ascii="Arial" w:cs="Arial" w:eastAsia="Arial" w:hAnsi="Arial"/>
          <w:sz w:val="20"/>
          <w:szCs w:val="20"/>
          <w:b w:val="1"/>
          <w:bCs w:val="1"/>
          <w:color w:val="DF1995"/>
        </w:rPr>
      </w:pPr>
    </w:p>
    <w:p>
      <w:pPr>
        <w:jc w:val="both"/>
        <w:ind w:left="720" w:right="700" w:hanging="370"/>
        <w:spacing w:after="0" w:line="288" w:lineRule="auto"/>
        <w:tabs>
          <w:tab w:leader="none" w:pos="720" w:val="left"/>
        </w:tabs>
        <w:numPr>
          <w:ilvl w:val="0"/>
          <w:numId w:val="12"/>
        </w:numPr>
        <w:rPr>
          <w:rFonts w:ascii="Arial" w:cs="Arial" w:eastAsia="Arial" w:hAnsi="Arial"/>
          <w:sz w:val="19"/>
          <w:szCs w:val="19"/>
          <w:b w:val="1"/>
          <w:bCs w:val="1"/>
          <w:color w:val="DF1995"/>
        </w:rPr>
      </w:pPr>
      <w:r>
        <w:rPr>
          <w:rFonts w:ascii="Arial" w:cs="Arial" w:eastAsia="Arial" w:hAnsi="Arial"/>
          <w:sz w:val="19"/>
          <w:szCs w:val="19"/>
          <w:b w:val="1"/>
          <w:bCs w:val="1"/>
          <w:color w:val="auto"/>
        </w:rPr>
        <w:t>the impact of tariffs recently imposed by the U.S. government and its trading partners in response, other possible tariffs or trade protection measures, import or export licensing requirements, new or different customs duties, trade embargoes and sanctions and other trade barriers;</w:t>
      </w:r>
    </w:p>
    <w:p>
      <w:pPr>
        <w:spacing w:after="0" w:line="53" w:lineRule="exact"/>
        <w:rPr>
          <w:rFonts w:ascii="Arial" w:cs="Arial" w:eastAsia="Arial" w:hAnsi="Arial"/>
          <w:sz w:val="19"/>
          <w:szCs w:val="19"/>
          <w:b w:val="1"/>
          <w:bCs w:val="1"/>
          <w:color w:val="DF1995"/>
        </w:rPr>
      </w:pPr>
    </w:p>
    <w:p>
      <w:pPr>
        <w:ind w:left="720" w:right="700" w:hanging="370"/>
        <w:spacing w:after="0" w:line="283" w:lineRule="auto"/>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consistently manufacture our instruments and consumables to meet customers’ specifications, quantity, cost, or performance requirements;</w:t>
      </w:r>
    </w:p>
    <w:p>
      <w:pPr>
        <w:spacing w:after="0" w:line="57"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the high amount of competition we face in our industry;</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attract customers and increase sales of current and future products;</w:t>
      </w:r>
    </w:p>
    <w:p>
      <w:pPr>
        <w:spacing w:after="0" w:line="130" w:lineRule="exact"/>
        <w:rPr>
          <w:rFonts w:ascii="Arial" w:cs="Arial" w:eastAsia="Arial" w:hAnsi="Arial"/>
          <w:sz w:val="20"/>
          <w:szCs w:val="20"/>
          <w:b w:val="1"/>
          <w:bCs w:val="1"/>
          <w:color w:val="DF1995"/>
        </w:rPr>
      </w:pPr>
    </w:p>
    <w:p>
      <w:pPr>
        <w:jc w:val="both"/>
        <w:ind w:left="720" w:right="700" w:hanging="370"/>
        <w:spacing w:after="0" w:line="287" w:lineRule="auto"/>
        <w:tabs>
          <w:tab w:leader="none" w:pos="720" w:val="left"/>
        </w:tabs>
        <w:numPr>
          <w:ilvl w:val="0"/>
          <w:numId w:val="12"/>
        </w:numPr>
        <w:rPr>
          <w:rFonts w:ascii="Arial" w:cs="Arial" w:eastAsia="Arial" w:hAnsi="Arial"/>
          <w:sz w:val="19"/>
          <w:szCs w:val="19"/>
          <w:b w:val="1"/>
          <w:bCs w:val="1"/>
          <w:color w:val="DF1995"/>
        </w:rPr>
      </w:pPr>
      <w:r>
        <w:rPr>
          <w:rFonts w:ascii="Arial" w:cs="Arial" w:eastAsia="Arial" w:hAnsi="Arial"/>
          <w:sz w:val="19"/>
          <w:szCs w:val="19"/>
          <w:b w:val="1"/>
          <w:bCs w:val="1"/>
          <w:color w:val="auto"/>
        </w:rPr>
        <w:t>our reliance on a limited number of customers for a significant portion of our revenues, including academic, research and government institutions, which may be impacted by reductions in funding or targeted cancellations of certain grants or contracts by the U.S. federal government;</w:t>
      </w:r>
    </w:p>
    <w:p>
      <w:pPr>
        <w:spacing w:after="0" w:line="56" w:lineRule="exact"/>
        <w:rPr>
          <w:rFonts w:ascii="Arial" w:cs="Arial" w:eastAsia="Arial" w:hAnsi="Arial"/>
          <w:sz w:val="19"/>
          <w:szCs w:val="19"/>
          <w:b w:val="1"/>
          <w:bCs w:val="1"/>
          <w:color w:val="DF1995"/>
        </w:rPr>
      </w:pPr>
    </w:p>
    <w:p>
      <w:pPr>
        <w:ind w:left="720" w:hanging="370"/>
        <w:spacing w:after="0"/>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the complexity of our products giving rise to defects or errors;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our unpredictable and lengthy sales cycles;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the possibility that our goodwill or intangible assets could become impaired;</w:t>
      </w:r>
    </w:p>
    <w:p>
      <w:pPr>
        <w:spacing w:after="0" w:line="130" w:lineRule="exact"/>
        <w:rPr>
          <w:rFonts w:ascii="Arial" w:cs="Arial" w:eastAsia="Arial" w:hAnsi="Arial"/>
          <w:sz w:val="20"/>
          <w:szCs w:val="20"/>
          <w:b w:val="1"/>
          <w:bCs w:val="1"/>
          <w:color w:val="DF1995"/>
        </w:rPr>
      </w:pPr>
    </w:p>
    <w:p>
      <w:pPr>
        <w:ind w:left="720" w:right="700" w:hanging="370"/>
        <w:spacing w:after="0" w:line="283" w:lineRule="auto"/>
        <w:tabs>
          <w:tab w:leader="none" w:pos="720" w:val="left"/>
        </w:tabs>
        <w:numPr>
          <w:ilvl w:val="0"/>
          <w:numId w:val="12"/>
        </w:numPr>
        <w:rPr>
          <w:rFonts w:ascii="Arial" w:cs="Arial" w:eastAsia="Arial" w:hAnsi="Arial"/>
          <w:sz w:val="20"/>
          <w:szCs w:val="20"/>
          <w:b w:val="1"/>
          <w:bCs w:val="1"/>
          <w:color w:val="DF1995"/>
        </w:rPr>
      </w:pPr>
      <w:r>
        <w:rPr>
          <w:rFonts w:ascii="Arial" w:cs="Arial" w:eastAsia="Arial" w:hAnsi="Arial"/>
          <w:sz w:val="20"/>
          <w:szCs w:val="20"/>
          <w:b w:val="1"/>
          <w:bCs w:val="1"/>
          <w:color w:val="auto"/>
        </w:rPr>
        <w:t>adverse effects resulting from political and economic tensions between the United States and other countries, including China and Russia, and other geopolitical uncertainties;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407035</wp:posOffset>
                </wp:positionV>
                <wp:extent cx="73152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2.05pt" to="535pt,32.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407035</wp:posOffset>
                </wp:positionV>
                <wp:extent cx="73152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2.05pt" to="535pt,32.0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left="720" w:right="700" w:hanging="370"/>
        <w:spacing w:after="0" w:line="285" w:lineRule="auto"/>
        <w:tabs>
          <w:tab w:leader="none" w:pos="720" w:val="left"/>
        </w:tabs>
        <w:numPr>
          <w:ilvl w:val="0"/>
          <w:numId w:val="13"/>
        </w:numPr>
        <w:rPr>
          <w:rFonts w:ascii="Arial" w:cs="Arial" w:eastAsia="Arial" w:hAnsi="Arial"/>
          <w:sz w:val="20"/>
          <w:szCs w:val="20"/>
          <w:b w:val="1"/>
          <w:bCs w:val="1"/>
          <w:color w:val="DF1995"/>
        </w:rPr>
      </w:pPr>
      <w:r>
        <w:rPr>
          <w:rFonts w:ascii="Arial" w:cs="Arial" w:eastAsia="Arial" w:hAnsi="Arial"/>
          <w:sz w:val="20"/>
          <w:szCs w:val="20"/>
          <w:b w:val="1"/>
          <w:bCs w:val="1"/>
          <w:color w:val="auto"/>
        </w:rPr>
        <w:t>securing and maintaining patent or other intellectual property protection for our products and related improvements;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3"/>
        </w:numPr>
        <w:rPr>
          <w:rFonts w:ascii="Arial" w:cs="Arial" w:eastAsia="Arial" w:hAnsi="Arial"/>
          <w:sz w:val="20"/>
          <w:szCs w:val="20"/>
          <w:b w:val="1"/>
          <w:bCs w:val="1"/>
          <w:color w:val="DF1995"/>
        </w:rPr>
      </w:pPr>
      <w:r>
        <w:rPr>
          <w:rFonts w:ascii="Arial" w:cs="Arial" w:eastAsia="Arial" w:hAnsi="Arial"/>
          <w:sz w:val="20"/>
          <w:szCs w:val="20"/>
          <w:b w:val="1"/>
          <w:bCs w:val="1"/>
          <w:color w:val="auto"/>
        </w:rPr>
        <w:t>current and future legal proceedings filed against us claiming intellectual property infringement;</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3"/>
        </w:numPr>
        <w:rPr>
          <w:rFonts w:ascii="Arial" w:cs="Arial" w:eastAsia="Arial" w:hAnsi="Arial"/>
          <w:sz w:val="20"/>
          <w:szCs w:val="20"/>
          <w:b w:val="1"/>
          <w:bCs w:val="1"/>
          <w:color w:val="DF1995"/>
        </w:rPr>
      </w:pPr>
      <w:r>
        <w:rPr>
          <w:rFonts w:ascii="Arial" w:cs="Arial" w:eastAsia="Arial" w:hAnsi="Arial"/>
          <w:sz w:val="20"/>
          <w:szCs w:val="20"/>
          <w:b w:val="1"/>
          <w:bCs w:val="1"/>
          <w:color w:val="auto"/>
        </w:rPr>
        <w:t>the potential adverse impact of health epidemics;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3"/>
        </w:numPr>
        <w:rPr>
          <w:rFonts w:ascii="Arial" w:cs="Arial" w:eastAsia="Arial" w:hAnsi="Arial"/>
          <w:sz w:val="20"/>
          <w:szCs w:val="20"/>
          <w:b w:val="1"/>
          <w:bCs w:val="1"/>
          <w:color w:val="DF1995"/>
        </w:rPr>
      </w:pPr>
      <w:r>
        <w:rPr>
          <w:rFonts w:ascii="Arial" w:cs="Arial" w:eastAsia="Arial" w:hAnsi="Arial"/>
          <w:sz w:val="20"/>
          <w:szCs w:val="20"/>
          <w:b w:val="1"/>
          <w:bCs w:val="1"/>
          <w:color w:val="auto"/>
        </w:rPr>
        <w:t>potential cybersecurity incidents and security breaches;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3"/>
        </w:numPr>
        <w:rPr>
          <w:rFonts w:ascii="Arial" w:cs="Arial" w:eastAsia="Arial" w:hAnsi="Arial"/>
          <w:sz w:val="20"/>
          <w:szCs w:val="20"/>
          <w:b w:val="1"/>
          <w:bCs w:val="1"/>
          <w:color w:val="DF1995"/>
        </w:rPr>
      </w:pPr>
      <w:r>
        <w:rPr>
          <w:rFonts w:ascii="Arial" w:cs="Arial" w:eastAsia="Arial" w:hAnsi="Arial"/>
          <w:sz w:val="20"/>
          <w:szCs w:val="20"/>
          <w:b w:val="1"/>
          <w:bCs w:val="1"/>
          <w:color w:val="auto"/>
        </w:rPr>
        <w:t>governmental regulations that burden operations or narrow the market for our products;</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3"/>
        </w:numPr>
        <w:rPr>
          <w:rFonts w:ascii="Arial" w:cs="Arial" w:eastAsia="Arial" w:hAnsi="Arial"/>
          <w:sz w:val="20"/>
          <w:szCs w:val="20"/>
          <w:b w:val="1"/>
          <w:bCs w:val="1"/>
          <w:color w:val="DF1995"/>
        </w:rPr>
      </w:pPr>
      <w:r>
        <w:rPr>
          <w:rFonts w:ascii="Arial" w:cs="Arial" w:eastAsia="Arial" w:hAnsi="Arial"/>
          <w:sz w:val="20"/>
          <w:szCs w:val="20"/>
          <w:b w:val="1"/>
          <w:bCs w:val="1"/>
          <w:color w:val="auto"/>
        </w:rPr>
        <w:t>adverse effects resulting from new, increased, or enhanced trade tariffs, import restrictions, export restrictions, or other trade barriers;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3"/>
        </w:numPr>
        <w:rPr>
          <w:rFonts w:ascii="Arial" w:cs="Arial" w:eastAsia="Arial" w:hAnsi="Arial"/>
          <w:sz w:val="20"/>
          <w:szCs w:val="20"/>
          <w:b w:val="1"/>
          <w:bCs w:val="1"/>
          <w:color w:val="DF1995"/>
        </w:rPr>
      </w:pPr>
      <w:r>
        <w:rPr>
          <w:rFonts w:ascii="Arial" w:cs="Arial" w:eastAsia="Arial" w:hAnsi="Arial"/>
          <w:sz w:val="20"/>
          <w:szCs w:val="20"/>
          <w:b w:val="1"/>
          <w:bCs w:val="1"/>
          <w:color w:val="auto"/>
        </w:rPr>
        <w:t>evolving ethical, legal, privacy, social, and regulatory concerns regarding genetic testing;</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3"/>
        </w:numPr>
        <w:rPr>
          <w:rFonts w:ascii="Arial" w:cs="Arial" w:eastAsia="Arial" w:hAnsi="Arial"/>
          <w:sz w:val="20"/>
          <w:szCs w:val="20"/>
          <w:b w:val="1"/>
          <w:bCs w:val="1"/>
          <w:color w:val="DF1995"/>
        </w:rPr>
      </w:pPr>
      <w:r>
        <w:rPr>
          <w:rFonts w:ascii="Arial" w:cs="Arial" w:eastAsia="Arial" w:hAnsi="Arial"/>
          <w:sz w:val="20"/>
          <w:szCs w:val="20"/>
          <w:b w:val="1"/>
          <w:bCs w:val="1"/>
          <w:color w:val="auto"/>
        </w:rPr>
        <w:t>volatility of the price of our common stock; and</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3"/>
        </w:numPr>
        <w:rPr>
          <w:rFonts w:ascii="Arial" w:cs="Arial" w:eastAsia="Arial" w:hAnsi="Arial"/>
          <w:sz w:val="20"/>
          <w:szCs w:val="20"/>
          <w:b w:val="1"/>
          <w:bCs w:val="1"/>
          <w:color w:val="DF1995"/>
        </w:rPr>
      </w:pPr>
      <w:r>
        <w:rPr>
          <w:rFonts w:ascii="Arial" w:cs="Arial" w:eastAsia="Arial" w:hAnsi="Arial"/>
          <w:sz w:val="20"/>
          <w:szCs w:val="20"/>
          <w:b w:val="1"/>
          <w:bCs w:val="1"/>
          <w:color w:val="auto"/>
        </w:rPr>
        <w:t>our stock price falling as a result of future offerings or sales of securities.</w:t>
      </w:r>
    </w:p>
    <w:p>
      <w:pPr>
        <w:spacing w:after="0" w:line="130"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color w:val="auto"/>
        </w:rPr>
        <w:t>Our risk factors are not guarantees that no such conditions exist as of the date hereof and should not be interpreted as an affirmative statement that such risks or conditions have not materialized, in whole or in part.</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1383C6"/>
        </w:rPr>
        <w:t>Risks Related to Our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i w:val="1"/>
          <w:iCs w:val="1"/>
          <w:color w:val="DF1995"/>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79" w:lineRule="exact"/>
        <w:rPr>
          <w:sz w:val="20"/>
          <w:szCs w:val="20"/>
          <w:color w:val="auto"/>
        </w:rPr>
      </w:pPr>
    </w:p>
    <w:p>
      <w:pPr>
        <w:jc w:val="both"/>
        <w:ind w:right="680"/>
        <w:spacing w:after="0" w:line="253" w:lineRule="auto"/>
        <w:rPr>
          <w:sz w:val="20"/>
          <w:szCs w:val="20"/>
          <w:color w:val="auto"/>
        </w:rPr>
      </w:pPr>
      <w:r>
        <w:rPr>
          <w:rFonts w:ascii="Arial" w:cs="Arial" w:eastAsia="Arial" w:hAnsi="Arial"/>
          <w:sz w:val="20"/>
          <w:szCs w:val="20"/>
          <w:b w:val="1"/>
          <w:bCs w:val="1"/>
          <w:color w:val="auto"/>
        </w:rPr>
        <w:t>We have made and expect to continue making substantial investments to develop new products and enhance our existing products through our acquisitions and research and development efforts. For example, we commenced commercial shipments of Revio, our long-read sequencing system, in 2023. We also began taking orders and shipping our new Vega benchtop long-read sequencing system in the fourth quarter of 2024. Our future success is substantially dependent on our ability to successfully develop and commercialize our products, including in particular the Revio and Vega systems, as well as acquired technologies, which are anticipated to be used in demanding scientific research that requires substantial levels of accuracy and precision. In addition, we may not be successful in transitioning the customers of our prior generation products to our Revio and Vega products, or transitioning users of other third-party sequencing platforms to our portfolio of products, and have incurred and could continue to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spacing w:after="0" w:line="86" w:lineRule="exact"/>
        <w:rPr>
          <w:sz w:val="20"/>
          <w:szCs w:val="20"/>
          <w:color w:val="auto"/>
        </w:rPr>
      </w:pPr>
    </w:p>
    <w:p>
      <w:pPr>
        <w:jc w:val="both"/>
        <w:ind w:left="720" w:right="680" w:hanging="370"/>
        <w:spacing w:after="0" w:line="266" w:lineRule="auto"/>
        <w:tabs>
          <w:tab w:leader="none" w:pos="720" w:val="left"/>
        </w:tabs>
        <w:numPr>
          <w:ilvl w:val="0"/>
          <w:numId w:val="14"/>
        </w:numPr>
        <w:rPr>
          <w:rFonts w:ascii="Arial" w:cs="Arial" w:eastAsia="Arial" w:hAnsi="Arial"/>
          <w:sz w:val="20"/>
          <w:szCs w:val="20"/>
          <w:b w:val="1"/>
          <w:bCs w:val="1"/>
          <w:color w:val="DF1995"/>
        </w:rPr>
      </w:pPr>
      <w:r>
        <w:rPr>
          <w:rFonts w:ascii="Arial" w:cs="Arial" w:eastAsia="Arial" w:hAnsi="Arial"/>
          <w:sz w:val="20"/>
          <w:szCs w:val="20"/>
          <w:b w:val="1"/>
          <w:bCs w:val="1"/>
          <w:color w:val="auto"/>
        </w:rPr>
        <w:t>manage the timeliness of our new product introductions and the rate at which sales of our new products may cannibalize sales of our existing products or manage sales and marketing of multiple sequencing platforms;</w:t>
      </w:r>
    </w:p>
    <w:p>
      <w:pPr>
        <w:spacing w:after="0" w:line="75"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4"/>
        </w:numPr>
        <w:rPr>
          <w:rFonts w:ascii="Arial" w:cs="Arial" w:eastAsia="Arial" w:hAnsi="Arial"/>
          <w:sz w:val="20"/>
          <w:szCs w:val="20"/>
          <w:b w:val="1"/>
          <w:bCs w:val="1"/>
          <w:color w:val="DF1995"/>
        </w:rPr>
      </w:pPr>
      <w:r>
        <w:rPr>
          <w:rFonts w:ascii="Arial" w:cs="Arial" w:eastAsia="Arial" w:hAnsi="Arial"/>
          <w:sz w:val="20"/>
          <w:szCs w:val="20"/>
          <w:b w:val="1"/>
          <w:bCs w:val="1"/>
          <w:color w:val="auto"/>
        </w:rPr>
        <w:t>drive adoption of our current and future products;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4"/>
        </w:numPr>
        <w:rPr>
          <w:rFonts w:ascii="Arial" w:cs="Arial" w:eastAsia="Arial" w:hAnsi="Arial"/>
          <w:sz w:val="19"/>
          <w:szCs w:val="19"/>
          <w:b w:val="1"/>
          <w:bCs w:val="1"/>
          <w:color w:val="DF1995"/>
        </w:rPr>
      </w:pPr>
      <w:r>
        <w:rPr>
          <w:rFonts w:ascii="Arial" w:cs="Arial" w:eastAsia="Arial" w:hAnsi="Arial"/>
          <w:sz w:val="19"/>
          <w:szCs w:val="19"/>
          <w:b w:val="1"/>
          <w:bCs w:val="1"/>
          <w:color w:val="auto"/>
        </w:rPr>
        <w:t>maintain our competitive position by continuing to attract and retain customers for our products;</w:t>
      </w:r>
    </w:p>
    <w:p>
      <w:pPr>
        <w:spacing w:after="0" w:line="141" w:lineRule="exact"/>
        <w:rPr>
          <w:rFonts w:ascii="Arial" w:cs="Arial" w:eastAsia="Arial" w:hAnsi="Arial"/>
          <w:sz w:val="19"/>
          <w:szCs w:val="19"/>
          <w:b w:val="1"/>
          <w:bCs w:val="1"/>
          <w:color w:val="DF1995"/>
        </w:rPr>
      </w:pPr>
    </w:p>
    <w:p>
      <w:pPr>
        <w:ind w:left="720" w:hanging="370"/>
        <w:spacing w:after="0"/>
        <w:tabs>
          <w:tab w:leader="none" w:pos="720" w:val="left"/>
        </w:tabs>
        <w:numPr>
          <w:ilvl w:val="0"/>
          <w:numId w:val="14"/>
        </w:numPr>
        <w:rPr>
          <w:rFonts w:ascii="Arial" w:cs="Arial" w:eastAsia="Arial" w:hAnsi="Arial"/>
          <w:sz w:val="20"/>
          <w:szCs w:val="20"/>
          <w:b w:val="1"/>
          <w:bCs w:val="1"/>
          <w:color w:val="DF1995"/>
        </w:rPr>
      </w:pPr>
      <w:r>
        <w:rPr>
          <w:rFonts w:ascii="Arial" w:cs="Arial" w:eastAsia="Arial" w:hAnsi="Arial"/>
          <w:sz w:val="20"/>
          <w:szCs w:val="20"/>
          <w:b w:val="1"/>
          <w:bCs w:val="1"/>
          <w:color w:val="auto"/>
        </w:rPr>
        <w:t>provide appropriate levels of customer training and support for our products;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4"/>
        </w:numPr>
        <w:rPr>
          <w:rFonts w:ascii="Arial" w:cs="Arial" w:eastAsia="Arial" w:hAnsi="Arial"/>
          <w:sz w:val="20"/>
          <w:szCs w:val="20"/>
          <w:b w:val="1"/>
          <w:bCs w:val="1"/>
          <w:color w:val="DF1995"/>
        </w:rPr>
      </w:pPr>
      <w:r>
        <w:rPr>
          <w:rFonts w:ascii="Arial" w:cs="Arial" w:eastAsia="Arial" w:hAnsi="Arial"/>
          <w:sz w:val="20"/>
          <w:szCs w:val="20"/>
          <w:b w:val="1"/>
          <w:bCs w:val="1"/>
          <w:color w:val="auto"/>
        </w:rPr>
        <w:t>implement an effective marketing strategy to promote awareness of our products;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4"/>
        </w:numPr>
        <w:rPr>
          <w:rFonts w:ascii="Arial" w:cs="Arial" w:eastAsia="Arial" w:hAnsi="Arial"/>
          <w:sz w:val="18"/>
          <w:szCs w:val="18"/>
          <w:b w:val="1"/>
          <w:bCs w:val="1"/>
          <w:color w:val="DF1995"/>
        </w:rPr>
      </w:pPr>
      <w:r>
        <w:rPr>
          <w:rFonts w:ascii="Arial" w:cs="Arial" w:eastAsia="Arial" w:hAnsi="Arial"/>
          <w:sz w:val="18"/>
          <w:szCs w:val="18"/>
          <w:b w:val="1"/>
          <w:bCs w:val="1"/>
          <w:color w:val="auto"/>
        </w:rPr>
        <w:t>develop and implement an effective sales and distribution strategy for our current and future products;</w:t>
      </w:r>
    </w:p>
    <w:p>
      <w:pPr>
        <w:spacing w:after="0" w:line="153" w:lineRule="exact"/>
        <w:rPr>
          <w:rFonts w:ascii="Arial" w:cs="Arial" w:eastAsia="Arial" w:hAnsi="Arial"/>
          <w:sz w:val="18"/>
          <w:szCs w:val="18"/>
          <w:b w:val="1"/>
          <w:bCs w:val="1"/>
          <w:color w:val="DF1995"/>
        </w:rPr>
      </w:pPr>
    </w:p>
    <w:p>
      <w:pPr>
        <w:ind w:left="720" w:right="700" w:hanging="370"/>
        <w:spacing w:after="0" w:line="283" w:lineRule="auto"/>
        <w:tabs>
          <w:tab w:leader="none" w:pos="720" w:val="left"/>
        </w:tabs>
        <w:numPr>
          <w:ilvl w:val="0"/>
          <w:numId w:val="14"/>
        </w:numPr>
        <w:rPr>
          <w:rFonts w:ascii="Arial" w:cs="Arial" w:eastAsia="Arial" w:hAnsi="Arial"/>
          <w:sz w:val="20"/>
          <w:szCs w:val="20"/>
          <w:b w:val="1"/>
          <w:bCs w:val="1"/>
          <w:color w:val="DF1995"/>
        </w:rPr>
      </w:pPr>
      <w:r>
        <w:rPr>
          <w:rFonts w:ascii="Arial" w:cs="Arial" w:eastAsia="Arial" w:hAnsi="Arial"/>
          <w:sz w:val="20"/>
          <w:szCs w:val="20"/>
          <w:b w:val="1"/>
          <w:bCs w:val="1"/>
          <w:color w:val="auto"/>
        </w:rPr>
        <w:t>develop, manufacture and commercialize new products or achieve an acceptable return on our manufacturing or research and development efforts and expenses;</w:t>
      </w:r>
    </w:p>
    <w:p>
      <w:pPr>
        <w:spacing w:after="0" w:line="57"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4"/>
        </w:numPr>
        <w:rPr>
          <w:rFonts w:ascii="Arial" w:cs="Arial" w:eastAsia="Arial" w:hAnsi="Arial"/>
          <w:sz w:val="20"/>
          <w:szCs w:val="20"/>
          <w:b w:val="1"/>
          <w:bCs w:val="1"/>
          <w:color w:val="DF1995"/>
        </w:rPr>
      </w:pPr>
      <w:r>
        <w:rPr>
          <w:rFonts w:ascii="Arial" w:cs="Arial" w:eastAsia="Arial" w:hAnsi="Arial"/>
          <w:sz w:val="20"/>
          <w:szCs w:val="20"/>
          <w:b w:val="1"/>
          <w:bCs w:val="1"/>
          <w:color w:val="auto"/>
        </w:rPr>
        <w:t>comply with regulatory requirements applicable to our products;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4"/>
        </w:numPr>
        <w:rPr>
          <w:rFonts w:ascii="Arial" w:cs="Arial" w:eastAsia="Arial" w:hAnsi="Arial"/>
          <w:sz w:val="20"/>
          <w:szCs w:val="20"/>
          <w:b w:val="1"/>
          <w:bCs w:val="1"/>
          <w:color w:val="DF1995"/>
        </w:rPr>
      </w:pPr>
      <w:r>
        <w:rPr>
          <w:rFonts w:ascii="Arial" w:cs="Arial" w:eastAsia="Arial" w:hAnsi="Arial"/>
          <w:sz w:val="20"/>
          <w:szCs w:val="20"/>
          <w:b w:val="1"/>
          <w:bCs w:val="1"/>
          <w:color w:val="auto"/>
        </w:rPr>
        <w:t>anticipate and adapt to changes in our market;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516255</wp:posOffset>
                </wp:positionV>
                <wp:extent cx="73152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0.65pt" to="535pt,4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516255</wp:posOffset>
                </wp:positionV>
                <wp:extent cx="73152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0.65pt" to="535pt,40.6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0">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left="720" w:right="700" w:hanging="370"/>
        <w:spacing w:after="0" w:line="285" w:lineRule="auto"/>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accommodate customer expectations and demands with respect to our products, increase product adoption by our existing customers or develop new customer relationships;</w:t>
      </w:r>
    </w:p>
    <w:p>
      <w:pPr>
        <w:spacing w:after="0" w:line="53"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deliver our early access systems to our external early access testing sites or complete our external early access testing program on our currently expected timelines;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overcome unexpected challenges discovered during early access testing;</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complete the scientific and technical validation of new products on our currently expected timeline or at all;</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deliver our future products in a timely manner to our customers;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5"/>
        </w:numPr>
        <w:rPr>
          <w:rFonts w:ascii="Arial" w:cs="Arial" w:eastAsia="Arial" w:hAnsi="Arial"/>
          <w:sz w:val="19"/>
          <w:szCs w:val="19"/>
          <w:b w:val="1"/>
          <w:bCs w:val="1"/>
          <w:color w:val="DF1995"/>
        </w:rPr>
      </w:pPr>
      <w:r>
        <w:rPr>
          <w:rFonts w:ascii="Arial" w:cs="Arial" w:eastAsia="Arial" w:hAnsi="Arial"/>
          <w:sz w:val="19"/>
          <w:szCs w:val="19"/>
          <w:b w:val="1"/>
          <w:bCs w:val="1"/>
          <w:color w:val="auto"/>
        </w:rPr>
        <w:t>grow our market share by marketing and selling our products for new and additional applications;</w:t>
      </w:r>
    </w:p>
    <w:p>
      <w:pPr>
        <w:spacing w:after="0" w:line="141" w:lineRule="exact"/>
        <w:rPr>
          <w:rFonts w:ascii="Arial" w:cs="Arial" w:eastAsia="Arial" w:hAnsi="Arial"/>
          <w:sz w:val="19"/>
          <w:szCs w:val="19"/>
          <w:b w:val="1"/>
          <w:bCs w:val="1"/>
          <w:color w:val="DF1995"/>
        </w:rPr>
      </w:pPr>
    </w:p>
    <w:p>
      <w:pPr>
        <w:ind w:left="720" w:right="700" w:hanging="370"/>
        <w:spacing w:after="0" w:line="313" w:lineRule="auto"/>
        <w:tabs>
          <w:tab w:leader="none" w:pos="720" w:val="left"/>
        </w:tabs>
        <w:numPr>
          <w:ilvl w:val="0"/>
          <w:numId w:val="15"/>
        </w:numPr>
        <w:rPr>
          <w:rFonts w:ascii="Arial" w:cs="Arial" w:eastAsia="Arial" w:hAnsi="Arial"/>
          <w:sz w:val="19"/>
          <w:szCs w:val="19"/>
          <w:b w:val="1"/>
          <w:bCs w:val="1"/>
          <w:color w:val="DF1995"/>
        </w:rPr>
      </w:pPr>
      <w:r>
        <w:rPr>
          <w:rFonts w:ascii="Arial" w:cs="Arial" w:eastAsia="Arial" w:hAnsi="Arial"/>
          <w:sz w:val="19"/>
          <w:szCs w:val="19"/>
          <w:b w:val="1"/>
          <w:bCs w:val="1"/>
          <w:color w:val="auto"/>
        </w:rPr>
        <w:t>manage the significant burdens that expanding our existing or future products into current and new markets may impose on marketing, compliance, and other administrative and managerial resources;</w:t>
      </w:r>
    </w:p>
    <w:p>
      <w:pPr>
        <w:spacing w:after="0" w:line="30" w:lineRule="exact"/>
        <w:rPr>
          <w:rFonts w:ascii="Arial" w:cs="Arial" w:eastAsia="Arial" w:hAnsi="Arial"/>
          <w:sz w:val="19"/>
          <w:szCs w:val="19"/>
          <w:b w:val="1"/>
          <w:bCs w:val="1"/>
          <w:color w:val="DF1995"/>
        </w:rPr>
      </w:pPr>
    </w:p>
    <w:p>
      <w:pPr>
        <w:jc w:val="both"/>
        <w:ind w:left="720" w:right="680" w:hanging="370"/>
        <w:spacing w:after="0" w:line="268" w:lineRule="auto"/>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69"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adapt or scale our manufacturing activities to meet performance specifications and potential demand at a reasonable cost;</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avoid infringement and misappropriation of third-party intellectual property;</w:t>
      </w:r>
    </w:p>
    <w:p>
      <w:pPr>
        <w:spacing w:after="0" w:line="130" w:lineRule="exact"/>
        <w:rPr>
          <w:rFonts w:ascii="Arial" w:cs="Arial" w:eastAsia="Arial" w:hAnsi="Arial"/>
          <w:sz w:val="20"/>
          <w:szCs w:val="20"/>
          <w:b w:val="1"/>
          <w:bCs w:val="1"/>
          <w:color w:val="DF1995"/>
        </w:rPr>
      </w:pPr>
    </w:p>
    <w:p>
      <w:pPr>
        <w:ind w:left="720" w:right="680" w:hanging="370"/>
        <w:spacing w:after="0" w:line="285" w:lineRule="auto"/>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obtain and maintain any necessary licenses to third-party intellectual property on commercially reasonable terms;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5"/>
        </w:numPr>
        <w:rPr>
          <w:rFonts w:ascii="Arial" w:cs="Arial" w:eastAsia="Arial" w:hAnsi="Arial"/>
          <w:sz w:val="18"/>
          <w:szCs w:val="18"/>
          <w:b w:val="1"/>
          <w:bCs w:val="1"/>
          <w:color w:val="DF1995"/>
        </w:rPr>
      </w:pPr>
      <w:r>
        <w:rPr>
          <w:rFonts w:ascii="Arial" w:cs="Arial" w:eastAsia="Arial" w:hAnsi="Arial"/>
          <w:sz w:val="18"/>
          <w:szCs w:val="18"/>
          <w:b w:val="1"/>
          <w:bCs w:val="1"/>
          <w:color w:val="auto"/>
        </w:rPr>
        <w:t>obtain valid and enforceable patents that give us a competitive advantage or enforce existing patents;</w:t>
      </w:r>
    </w:p>
    <w:p>
      <w:pPr>
        <w:spacing w:after="0" w:line="153" w:lineRule="exact"/>
        <w:rPr>
          <w:rFonts w:ascii="Arial" w:cs="Arial" w:eastAsia="Arial" w:hAnsi="Arial"/>
          <w:sz w:val="18"/>
          <w:szCs w:val="18"/>
          <w:b w:val="1"/>
          <w:bCs w:val="1"/>
          <w:color w:val="DF1995"/>
        </w:rPr>
      </w:pPr>
    </w:p>
    <w:p>
      <w:pPr>
        <w:ind w:left="720" w:hanging="370"/>
        <w:spacing w:after="0"/>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protect our proprietary technology; and</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5"/>
        </w:numPr>
        <w:rPr>
          <w:rFonts w:ascii="Arial" w:cs="Arial" w:eastAsia="Arial" w:hAnsi="Arial"/>
          <w:sz w:val="20"/>
          <w:szCs w:val="20"/>
          <w:b w:val="1"/>
          <w:bCs w:val="1"/>
          <w:color w:val="DF1995"/>
        </w:rPr>
      </w:pPr>
      <w:r>
        <w:rPr>
          <w:rFonts w:ascii="Arial" w:cs="Arial" w:eastAsia="Arial" w:hAnsi="Arial"/>
          <w:sz w:val="20"/>
          <w:szCs w:val="20"/>
          <w:b w:val="1"/>
          <w:bCs w:val="1"/>
          <w:color w:val="auto"/>
        </w:rPr>
        <w:t>attract, retain, and motivate qualified personnel.</w:t>
      </w:r>
    </w:p>
    <w:p>
      <w:pPr>
        <w:spacing w:after="0" w:line="130"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79" w:lineRule="exact"/>
        <w:rPr>
          <w:sz w:val="20"/>
          <w:szCs w:val="20"/>
          <w:color w:val="auto"/>
        </w:rPr>
      </w:pPr>
    </w:p>
    <w:p>
      <w:pPr>
        <w:jc w:val="both"/>
        <w:ind w:right="700"/>
        <w:spacing w:after="0" w:line="266" w:lineRule="auto"/>
        <w:rPr>
          <w:sz w:val="20"/>
          <w:szCs w:val="20"/>
          <w:color w:val="auto"/>
        </w:rPr>
      </w:pPr>
      <w:r>
        <w:rPr>
          <w:rFonts w:ascii="Arial" w:cs="Arial" w:eastAsia="Arial" w:hAnsi="Arial"/>
          <w:sz w:val="19"/>
          <w:szCs w:val="19"/>
          <w:b w:val="1"/>
          <w:bCs w:val="1"/>
          <w:color w:val="auto"/>
        </w:rPr>
        <w:t xml:space="preserve">We evaluate goodwill and other intangible assets with indefinite useful lives for impairment annually and whenever events or changes in circumstances indicate that the fair value of such assets may be less than the carrying value. We also perform regular reviews to determine if any event has occurred that may indicate that the carrying values of our intangible assets with finite lives and other finite-lived assets are impaired. Events that would indicate impairment and trigger an interim impairment test include, but are not limited to, adverse changes in business or economic conditions, lower-than-expected performance of a product line or business, changes in strategic direction, unanticipated technological or competitive developments, loss of key personnel, and actions by governments or courts. The occurrence of any of these events, may require us to record future impairment charges. For example, we recorded $184.5 million of impairment charges during the year ended December 31, 2024 as described in additional detail in </w:t>
      </w:r>
      <w:r>
        <w:rPr>
          <w:rFonts w:ascii="Arial" w:cs="Arial" w:eastAsia="Arial" w:hAnsi="Arial"/>
          <w:sz w:val="19"/>
          <w:szCs w:val="19"/>
          <w:b w:val="1"/>
          <w:bCs w:val="1"/>
          <w:i w:val="1"/>
          <w:iCs w:val="1"/>
          <w:color w:val="auto"/>
        </w:rPr>
        <w:t>Note 4. Balance Sheet Components</w:t>
      </w:r>
      <w:r>
        <w:rPr>
          <w:rFonts w:ascii="Arial" w:cs="Arial" w:eastAsia="Arial" w:hAnsi="Arial"/>
          <w:sz w:val="19"/>
          <w:szCs w:val="19"/>
          <w:b w:val="1"/>
          <w:bCs w:val="1"/>
          <w:color w:val="auto"/>
        </w:rPr>
        <w:t xml:space="preserve"> in Part II, Item 8 of our Annual Report on Form 10-K for the fiscal year ended December 31, 2024, and $15.0 million of impairment charges during the year ended December 31, 2025, as described in additional detail in </w:t>
      </w:r>
      <w:r>
        <w:rPr>
          <w:rFonts w:ascii="Arial" w:cs="Arial" w:eastAsia="Arial" w:hAnsi="Arial"/>
          <w:sz w:val="19"/>
          <w:szCs w:val="19"/>
          <w:b w:val="1"/>
          <w:bCs w:val="1"/>
          <w:i w:val="1"/>
          <w:iCs w:val="1"/>
          <w:u w:val="single" w:color="auto"/>
          <w:color w:val="0000FF"/>
        </w:rPr>
        <w:t>Note 4. Balance Sheet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u w:val="single" w:color="auto"/>
          <w:color w:val="0000FF"/>
        </w:rPr>
        <w:t>Components</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in Part II, Item 8 of this Annual Report on Form 10-K. Additionally, amortization of acquired</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 xml:space="preserve">intangible assets during the year ended December 31, 2025 included $359.3 million of accelerated amortization pertaining to the Company's change in estimate of its remaining useful life of the developed technology acquired in connection with the 2021 Omniome acquisition as described in additional detail in </w:t>
      </w:r>
      <w:r>
        <w:rPr>
          <w:rFonts w:ascii="Arial" w:cs="Arial" w:eastAsia="Arial" w:hAnsi="Arial"/>
          <w:sz w:val="19"/>
          <w:szCs w:val="19"/>
          <w:b w:val="1"/>
          <w:bCs w:val="1"/>
          <w:i w:val="1"/>
          <w:iCs w:val="1"/>
          <w:u w:val="single" w:color="auto"/>
          <w:color w:val="0000FF"/>
        </w:rPr>
        <w:t>Note 6.</w:t>
      </w:r>
      <w:r>
        <w:rPr>
          <w:rFonts w:ascii="Arial" w:cs="Arial" w:eastAsia="Arial" w:hAnsi="Arial"/>
          <w:sz w:val="19"/>
          <w:szCs w:val="19"/>
          <w:b w:val="1"/>
          <w:bCs w:val="1"/>
          <w:color w:val="000000"/>
        </w:rPr>
        <w:t xml:space="preserve"> </w:t>
      </w:r>
      <w:r>
        <w:rPr>
          <w:rFonts w:ascii="Arial" w:cs="Arial" w:eastAsia="Arial" w:hAnsi="Arial"/>
          <w:sz w:val="19"/>
          <w:szCs w:val="19"/>
          <w:b w:val="1"/>
          <w:bCs w:val="1"/>
          <w:i w:val="1"/>
          <w:iCs w:val="1"/>
          <w:u w:val="single" w:color="auto"/>
          <w:color w:val="0000FF"/>
        </w:rPr>
        <w:t>Restructuring</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in Part II, Item 8 of this Annual Report on Form 10-K. Any such charges may adversely affect our</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1110615</wp:posOffset>
                </wp:positionV>
                <wp:extent cx="73152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87.45pt" to="535pt,87.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1110615</wp:posOffset>
                </wp:positionV>
                <wp:extent cx="73152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87.45pt" to="535pt,87.4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We have incurred losses to date, and we expect to continue to incur significant losses as we develop our business and we may never achieve profitability.</w:t>
      </w:r>
    </w:p>
    <w:p>
      <w:pPr>
        <w:spacing w:after="0" w:line="54" w:lineRule="exact"/>
        <w:rPr>
          <w:sz w:val="20"/>
          <w:szCs w:val="20"/>
          <w:color w:val="auto"/>
        </w:rPr>
      </w:pPr>
    </w:p>
    <w:p>
      <w:pPr>
        <w:jc w:val="both"/>
        <w:ind w:right="680"/>
        <w:spacing w:after="0" w:line="271" w:lineRule="auto"/>
        <w:rPr>
          <w:sz w:val="20"/>
          <w:szCs w:val="20"/>
          <w:color w:val="auto"/>
        </w:rPr>
      </w:pPr>
      <w:r>
        <w:rPr>
          <w:rFonts w:ascii="Arial" w:cs="Arial" w:eastAsia="Arial" w:hAnsi="Arial"/>
          <w:sz w:val="19"/>
          <w:szCs w:val="19"/>
          <w:b w:val="1"/>
          <w:bCs w:val="1"/>
          <w:color w:val="auto"/>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 Although we initiated expense reduction plans during the second quarter of 2024 and initiated further expense reduction plans during the first quarter of 2025, we do not expect to be profitable in 2026, and there can be no assurance that these expense reduction initiatives will be successful in helping us achieve profitability.</w:t>
      </w:r>
    </w:p>
    <w:p>
      <w:pPr>
        <w:spacing w:after="0" w:line="73"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Our net losses since inception and our expectation of incurring substantial losses and negative cash flow for the foreseeable future could:</w:t>
      </w:r>
    </w:p>
    <w:p>
      <w:pPr>
        <w:spacing w:after="0" w:line="54" w:lineRule="exact"/>
        <w:rPr>
          <w:sz w:val="20"/>
          <w:szCs w:val="20"/>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DF1995"/>
        </w:rPr>
      </w:pPr>
      <w:r>
        <w:rPr>
          <w:rFonts w:ascii="Arial" w:cs="Arial" w:eastAsia="Arial" w:hAnsi="Arial"/>
          <w:sz w:val="20"/>
          <w:szCs w:val="20"/>
          <w:b w:val="1"/>
          <w:bCs w:val="1"/>
          <w:color w:val="auto"/>
        </w:rPr>
        <w:t>make it more difficult for us to satisfy our obligations;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6"/>
        </w:numPr>
        <w:rPr>
          <w:rFonts w:ascii="Arial" w:cs="Arial" w:eastAsia="Arial" w:hAnsi="Arial"/>
          <w:sz w:val="20"/>
          <w:szCs w:val="20"/>
          <w:b w:val="1"/>
          <w:bCs w:val="1"/>
          <w:color w:val="DF1995"/>
        </w:rPr>
      </w:pPr>
      <w:r>
        <w:rPr>
          <w:rFonts w:ascii="Arial" w:cs="Arial" w:eastAsia="Arial" w:hAnsi="Arial"/>
          <w:sz w:val="20"/>
          <w:szCs w:val="20"/>
          <w:b w:val="1"/>
          <w:bCs w:val="1"/>
          <w:color w:val="auto"/>
        </w:rPr>
        <w:t>increase our vulnerability to general adverse economic and industry conditions;</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6"/>
        </w:numPr>
        <w:rPr>
          <w:rFonts w:ascii="Arial" w:cs="Arial" w:eastAsia="Arial" w:hAnsi="Arial"/>
          <w:sz w:val="20"/>
          <w:szCs w:val="20"/>
          <w:b w:val="1"/>
          <w:bCs w:val="1"/>
          <w:color w:val="DF1995"/>
        </w:rPr>
      </w:pPr>
      <w:r>
        <w:rPr>
          <w:rFonts w:ascii="Arial" w:cs="Arial" w:eastAsia="Arial" w:hAnsi="Arial"/>
          <w:sz w:val="20"/>
          <w:szCs w:val="20"/>
          <w:b w:val="1"/>
          <w:bCs w:val="1"/>
          <w:color w:val="auto"/>
        </w:rPr>
        <w:t>limit our ability to fund future working capital, capital expenditures, research and development and other business opportunities;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6"/>
        </w:numPr>
        <w:rPr>
          <w:rFonts w:ascii="Arial" w:cs="Arial" w:eastAsia="Arial" w:hAnsi="Arial"/>
          <w:sz w:val="20"/>
          <w:szCs w:val="20"/>
          <w:b w:val="1"/>
          <w:bCs w:val="1"/>
          <w:color w:val="DF1995"/>
        </w:rPr>
      </w:pPr>
      <w:r>
        <w:rPr>
          <w:rFonts w:ascii="Arial" w:cs="Arial" w:eastAsia="Arial" w:hAnsi="Arial"/>
          <w:sz w:val="20"/>
          <w:szCs w:val="20"/>
          <w:b w:val="1"/>
          <w:bCs w:val="1"/>
          <w:color w:val="auto"/>
        </w:rPr>
        <w:t>increase the volatility of the price of our common stock;</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6"/>
        </w:numPr>
        <w:rPr>
          <w:rFonts w:ascii="Arial" w:cs="Arial" w:eastAsia="Arial" w:hAnsi="Arial"/>
          <w:sz w:val="20"/>
          <w:szCs w:val="20"/>
          <w:b w:val="1"/>
          <w:bCs w:val="1"/>
          <w:color w:val="DF1995"/>
        </w:rPr>
      </w:pPr>
      <w:r>
        <w:rPr>
          <w:rFonts w:ascii="Arial" w:cs="Arial" w:eastAsia="Arial" w:hAnsi="Arial"/>
          <w:sz w:val="20"/>
          <w:szCs w:val="20"/>
          <w:b w:val="1"/>
          <w:bCs w:val="1"/>
          <w:color w:val="auto"/>
        </w:rPr>
        <w:t>limit our flexibility to react to changes in our business and the industry in which we operate;</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6"/>
        </w:numPr>
        <w:rPr>
          <w:rFonts w:ascii="Arial" w:cs="Arial" w:eastAsia="Arial" w:hAnsi="Arial"/>
          <w:sz w:val="20"/>
          <w:szCs w:val="20"/>
          <w:b w:val="1"/>
          <w:bCs w:val="1"/>
          <w:color w:val="DF1995"/>
        </w:rPr>
      </w:pPr>
      <w:r>
        <w:rPr>
          <w:rFonts w:ascii="Arial" w:cs="Arial" w:eastAsia="Arial" w:hAnsi="Arial"/>
          <w:sz w:val="20"/>
          <w:szCs w:val="20"/>
          <w:b w:val="1"/>
          <w:bCs w:val="1"/>
          <w:color w:val="auto"/>
        </w:rPr>
        <w:t>place us at a disadvantage to other companies that offer nucleic acid sequencing equipment or consumables; and</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6"/>
        </w:numPr>
        <w:rPr>
          <w:rFonts w:ascii="Arial" w:cs="Arial" w:eastAsia="Arial" w:hAnsi="Arial"/>
          <w:sz w:val="20"/>
          <w:szCs w:val="20"/>
          <w:b w:val="1"/>
          <w:bCs w:val="1"/>
          <w:color w:val="DF1995"/>
        </w:rPr>
      </w:pPr>
      <w:r>
        <w:rPr>
          <w:rFonts w:ascii="Arial" w:cs="Arial" w:eastAsia="Arial" w:hAnsi="Arial"/>
          <w:sz w:val="20"/>
          <w:szCs w:val="20"/>
          <w:b w:val="1"/>
          <w:bCs w:val="1"/>
          <w:color w:val="auto"/>
        </w:rPr>
        <w:t>limit our ability to borrow additional funds.</w:t>
      </w:r>
    </w:p>
    <w:p>
      <w:pPr>
        <w:spacing w:after="0" w:line="130"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79" w:lineRule="exact"/>
        <w:rPr>
          <w:sz w:val="20"/>
          <w:szCs w:val="20"/>
          <w:color w:val="auto"/>
        </w:rPr>
      </w:pPr>
    </w:p>
    <w:p>
      <w:pPr>
        <w:jc w:val="both"/>
        <w:ind w:right="680"/>
        <w:spacing w:after="0" w:line="270" w:lineRule="auto"/>
        <w:rPr>
          <w:sz w:val="20"/>
          <w:szCs w:val="20"/>
          <w:color w:val="auto"/>
        </w:rPr>
      </w:pPr>
      <w:r>
        <w:rPr>
          <w:rFonts w:ascii="Arial" w:cs="Arial" w:eastAsia="Arial" w:hAnsi="Arial"/>
          <w:sz w:val="19"/>
          <w:szCs w:val="19"/>
          <w:b w:val="1"/>
          <w:bCs w:val="1"/>
          <w:color w:val="auto"/>
        </w:rPr>
        <w:t>Any or all of the foregoing may have a material adverse effect on our business, operations, financial condition, and prospects. An impairment in value of our tangible or intangible assets could also be recorded as a result of weaker economic conditions. For more information on impairment considerations, see “</w:t>
      </w:r>
      <w:r>
        <w:rPr>
          <w:rFonts w:ascii="Arial" w:cs="Arial" w:eastAsia="Arial" w:hAnsi="Arial"/>
          <w:sz w:val="19"/>
          <w:szCs w:val="19"/>
          <w:b w:val="1"/>
          <w:bCs w:val="1"/>
          <w:i w:val="1"/>
          <w:iCs w:val="1"/>
          <w:color w:val="auto"/>
        </w:rPr>
        <w:t>—</w:t>
      </w:r>
      <w:r>
        <w:rPr>
          <w:rFonts w:ascii="Arial" w:cs="Arial" w:eastAsia="Arial" w:hAnsi="Arial"/>
          <w:sz w:val="19"/>
          <w:szCs w:val="19"/>
          <w:b w:val="1"/>
          <w:bCs w:val="1"/>
          <w:i w:val="1"/>
          <w:iCs w:val="1"/>
          <w:u w:val="single" w:color="auto"/>
          <w:color w:val="0000FF"/>
        </w:rPr>
        <w:t>The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u w:val="single" w:color="auto"/>
          <w:color w:val="0000FF"/>
        </w:rPr>
        <w:t>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r>
        <w:rPr>
          <w:rFonts w:ascii="Arial" w:cs="Arial" w:eastAsia="Arial" w:hAnsi="Arial"/>
          <w:sz w:val="19"/>
          <w:szCs w:val="19"/>
          <w:b w:val="1"/>
          <w:bCs w:val="1"/>
          <w:color w:val="000000"/>
        </w:rPr>
        <w:t>” above.</w:t>
      </w:r>
    </w:p>
    <w:p>
      <w:pPr>
        <w:spacing w:after="0" w:line="134"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i w:val="1"/>
          <w:iCs w:val="1"/>
          <w:color w:val="DF1995"/>
        </w:rPr>
        <w:t>Expense reduction initiatives could be disruptive to our operations and adversely affect our results of operations and financial condition, and we may not realize some or all of the anticipated benefits of these initiatives, whether in the time frame anticipated or at all.</w:t>
      </w:r>
    </w:p>
    <w:p>
      <w:pPr>
        <w:spacing w:after="0" w:line="75"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Our expense reduction initiatives comprise, among other things, workforce reductions, facilities downsizing and a refined pipeline of development activities. For example, during the second quarter of 2024 we initiated plans to reduce certain of our annualized run-rate operating expenses by the end of the year, with the intent of better aligning our organizational structure and resources with our strategic initiatives, and during the first quarter of 2025 we initiated further plans to reduce certain of our annualized run-rate operating expenses by the end of the year, given persistent uncertainty surrounding academic and NIH funding, along with the introduction and impact of new or changing tariffs. The implementation of these expense reduction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expense reduction initiatives and achieve the anticipated benefits within the expected time frame is subject to estimates and assumptions and may vary materially from our expectations, including as a result of factors that are beyond our control. Furthermore, our efforts to stabilize our business may not be successful.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306070</wp:posOffset>
                </wp:positionV>
                <wp:extent cx="73152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4.1pt" to="535pt,2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306070</wp:posOffset>
                </wp:positionV>
                <wp:extent cx="73152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4.1pt" to="535pt,24.1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We are not cash flow positive and may not have sufficient cash to make required payments under the terms of our debt or fund our long-term planned operations.</w:t>
      </w:r>
    </w:p>
    <w:p>
      <w:pPr>
        <w:spacing w:after="0" w:line="54" w:lineRule="exact"/>
        <w:rPr>
          <w:sz w:val="20"/>
          <w:szCs w:val="20"/>
          <w:color w:val="auto"/>
        </w:rPr>
      </w:pPr>
    </w:p>
    <w:p>
      <w:pPr>
        <w:jc w:val="both"/>
        <w:ind w:right="680"/>
        <w:spacing w:after="0" w:line="281" w:lineRule="auto"/>
        <w:rPr>
          <w:sz w:val="20"/>
          <w:szCs w:val="20"/>
          <w:color w:val="auto"/>
        </w:rPr>
      </w:pPr>
      <w:r>
        <w:rPr>
          <w:rFonts w:ascii="Arial" w:cs="Arial" w:eastAsia="Arial" w:hAnsi="Arial"/>
          <w:sz w:val="18"/>
          <w:szCs w:val="18"/>
          <w:b w:val="1"/>
          <w:bCs w:val="1"/>
          <w:color w:val="auto"/>
        </w:rPr>
        <w:t xml:space="preserve">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December 31, 2025, we had outstanding approximately $200.0 million aggregate principal amount of our 1.50% Convertible Senior Notes due 2029 (the “2029 Notes”) and $441.0 million aggregate principal amount of our 1.375% Convertible Senior Notes due 2030 (the “2030 Notes” and together with the 2029 Notes, the “Notes”). As discussed in </w:t>
      </w:r>
      <w:r>
        <w:rPr>
          <w:rFonts w:ascii="Arial" w:cs="Arial" w:eastAsia="Arial" w:hAnsi="Arial"/>
          <w:sz w:val="18"/>
          <w:szCs w:val="18"/>
          <w:b w:val="1"/>
          <w:bCs w:val="1"/>
          <w:i w:val="1"/>
          <w:iCs w:val="1"/>
          <w:u w:val="single" w:color="auto"/>
          <w:color w:val="0000FF"/>
        </w:rPr>
        <w:t>Note 5. Convertible Senior Notes</w:t>
      </w:r>
      <w:r>
        <w:rPr>
          <w:rFonts w:ascii="Arial" w:cs="Arial" w:eastAsia="Arial" w:hAnsi="Arial"/>
          <w:sz w:val="18"/>
          <w:szCs w:val="18"/>
          <w:b w:val="1"/>
          <w:bCs w:val="1"/>
          <w:color w:val="auto"/>
        </w:rPr>
        <w:t xml:space="preserve"> in Part II, Item 8 of this Annual Report on Form 10-K, we exchanged the remaining approximately $459.0 million in aggregate principal amount of our 1.50% Convertible Senior Notes due 2028 (the “2028 Notes”) for (i) $200.0 million aggregate principal amount of the 2029 Notes, (ii) 20,451,570 shares of common stock and (iii) $50.0 million of cash (the “2024 Exchange Transaction”). The 2024 Exchange Transaction closed on November 21, 2024. We may not have sufficient cash to make required payments under the terms of this debt, and should this occur, debt holders have rights senior to common stockholders to make claims on our assets. In addition, if we do not have sufficient cash to make the required payments at maturity, we may need to raise additional capital, which could result in dilution of our existing investors, or refinance or restructure our debt, which will depend on, among other things, the condition of the capital markets and our financial condition at such time, and which may be at higher interest rates.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would further dilute ownership for existing common stockholders.</w:t>
      </w:r>
    </w:p>
    <w:p>
      <w:pPr>
        <w:spacing w:after="0" w:line="66" w:lineRule="exact"/>
        <w:rPr>
          <w:sz w:val="20"/>
          <w:szCs w:val="20"/>
          <w:color w:val="auto"/>
        </w:rPr>
      </w:pPr>
    </w:p>
    <w:p>
      <w:pPr>
        <w:jc w:val="both"/>
        <w:ind w:right="700"/>
        <w:spacing w:after="0" w:line="270" w:lineRule="auto"/>
        <w:rPr>
          <w:sz w:val="20"/>
          <w:szCs w:val="20"/>
          <w:color w:val="auto"/>
        </w:rPr>
      </w:pPr>
      <w:r>
        <w:rPr>
          <w:rFonts w:ascii="Arial" w:cs="Arial" w:eastAsia="Arial" w:hAnsi="Arial"/>
          <w:sz w:val="19"/>
          <w:szCs w:val="19"/>
          <w:b w:val="1"/>
          <w:bCs w:val="1"/>
          <w:color w:val="auto"/>
        </w:rPr>
        <w:t>We believe that our growth will depend, in part, on our ability to fund our commercialization efforts and our efforts to develop new products and improve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spacing w:after="0" w:line="74"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b w:val="1"/>
          <w:bCs w:val="1"/>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and there can be no assurance that any of these actions would be successful.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36"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i w:val="1"/>
          <w:iCs w:val="1"/>
          <w:color w:val="DF1995"/>
        </w:rPr>
        <w:t>The disposition of our assets related to our short-read DNA sequencing technology and related clustering, sequencing reagent, and detection technologies could have a material adverse effect on our business, financial condition and results of operations.</w:t>
      </w:r>
    </w:p>
    <w:p>
      <w:pPr>
        <w:spacing w:after="0" w:line="75" w:lineRule="exact"/>
        <w:rPr>
          <w:sz w:val="20"/>
          <w:szCs w:val="20"/>
          <w:color w:val="auto"/>
        </w:rPr>
      </w:pPr>
    </w:p>
    <w:p>
      <w:pPr>
        <w:jc w:val="both"/>
        <w:ind w:right="680"/>
        <w:spacing w:after="0" w:line="261" w:lineRule="auto"/>
        <w:rPr>
          <w:sz w:val="20"/>
          <w:szCs w:val="20"/>
          <w:color w:val="auto"/>
        </w:rPr>
      </w:pPr>
      <w:r>
        <w:rPr>
          <w:rFonts w:ascii="Arial" w:cs="Arial" w:eastAsia="Arial" w:hAnsi="Arial"/>
          <w:sz w:val="20"/>
          <w:szCs w:val="20"/>
          <w:b w:val="1"/>
          <w:bCs w:val="1"/>
          <w:color w:val="auto"/>
        </w:rPr>
        <w:t>On January 30, 2026, we completed a disposition of assets to Buyer in accordance with the terms of the Asset Purchase Agreement, pursuant to which, among other matters, Buyer acquired certain intellectual property and other assets related to our short-read DNA sequencing technology and related clustering, sequencing reagent, and detection technologies.</w:t>
      </w:r>
    </w:p>
    <w:p>
      <w:pPr>
        <w:spacing w:after="0" w:line="80" w:lineRule="exact"/>
        <w:rPr>
          <w:sz w:val="20"/>
          <w:szCs w:val="20"/>
          <w:color w:val="auto"/>
        </w:rPr>
      </w:pPr>
    </w:p>
    <w:p>
      <w:pPr>
        <w:jc w:val="both"/>
        <w:ind w:right="700"/>
        <w:spacing w:after="0" w:line="273" w:lineRule="auto"/>
        <w:rPr>
          <w:sz w:val="20"/>
          <w:szCs w:val="20"/>
          <w:color w:val="auto"/>
        </w:rPr>
      </w:pPr>
      <w:r>
        <w:rPr>
          <w:rFonts w:ascii="Arial" w:cs="Arial" w:eastAsia="Arial" w:hAnsi="Arial"/>
          <w:sz w:val="19"/>
          <w:szCs w:val="19"/>
          <w:b w:val="1"/>
          <w:bCs w:val="1"/>
          <w:color w:val="auto"/>
        </w:rPr>
        <w:t>Pursuant to the Asset Purchase Agreement, we have retained certain liabilities arising from our short-read DNA sequencing technology and related clustering, sequencing reagent, and detection technologies as they existed prior to the closing of the Asset Sale. While we are not aware of any such liabilities that may be material and have adequately accrued for these liabilities, there can be no assurances that additional expenditures will not be incurred in resolving these liabilities, which may have a material adverse effect on our business, operations, financial condition, operations and prospects.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226695</wp:posOffset>
                </wp:positionV>
                <wp:extent cx="73152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85pt" to="535pt,17.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226695</wp:posOffset>
                </wp:positionV>
                <wp:extent cx="73152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85pt" to="535pt,17.8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08"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3">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8" w:lineRule="auto"/>
        <w:rPr>
          <w:sz w:val="20"/>
          <w:szCs w:val="20"/>
          <w:color w:val="auto"/>
        </w:rPr>
      </w:pPr>
      <w:r>
        <w:rPr>
          <w:rFonts w:ascii="Arial" w:cs="Arial" w:eastAsia="Arial" w:hAnsi="Arial"/>
          <w:sz w:val="19"/>
          <w:szCs w:val="19"/>
          <w:b w:val="1"/>
          <w:bCs w:val="1"/>
          <w:i w:val="1"/>
          <w:iCs w:val="1"/>
          <w:color w:val="DF1995"/>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spacing w:after="0" w:line="53"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w:t>
      </w:r>
    </w:p>
    <w:p>
      <w:pPr>
        <w:spacing w:after="0" w:line="7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Acquisitions and strategic transactions involve numerous risks, any of which could harm our business and negatively affect our financial condition and results of operations, including:</w:t>
      </w:r>
    </w:p>
    <w:p>
      <w:pPr>
        <w:spacing w:after="0" w:line="54" w:lineRule="exact"/>
        <w:rPr>
          <w:sz w:val="20"/>
          <w:szCs w:val="20"/>
          <w:color w:val="auto"/>
        </w:rPr>
      </w:pPr>
    </w:p>
    <w:p>
      <w:pPr>
        <w:ind w:left="720" w:right="700" w:hanging="370"/>
        <w:spacing w:after="0" w:line="285" w:lineRule="auto"/>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intense competition for suitable acquisition targets, which could increase prices and adversely affect our ability to consummate deals on favorable or acceptable terms;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failure or material delay in closing a transaction;</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transaction-related lawsuits or claims;</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difficulties in integrating the technologies, operations, existing contracts, and personnel of an acquired company;</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difficulties in retaining key employees or business partners of an acquired company;</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difficulties in retaining suppliers, partners, or customers of an acquired company;</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challenges with integrating the brand identity of an acquired company with our own;</w:t>
      </w:r>
    </w:p>
    <w:p>
      <w:pPr>
        <w:spacing w:after="0" w:line="130" w:lineRule="exact"/>
        <w:rPr>
          <w:rFonts w:ascii="Arial" w:cs="Arial" w:eastAsia="Arial" w:hAnsi="Arial"/>
          <w:sz w:val="20"/>
          <w:szCs w:val="20"/>
          <w:b w:val="1"/>
          <w:bCs w:val="1"/>
          <w:color w:val="DF1995"/>
        </w:rPr>
      </w:pPr>
    </w:p>
    <w:p>
      <w:pPr>
        <w:ind w:left="720" w:right="680" w:hanging="370"/>
        <w:spacing w:after="0" w:line="285" w:lineRule="auto"/>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diversion of financial and management resources from existing operations or alternative acquisition opportunities;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failure to realize the anticipated benefits or synergies of a transaction;</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difficulties in developing technology post-acquisition;</w:t>
      </w:r>
    </w:p>
    <w:p>
      <w:pPr>
        <w:spacing w:after="0" w:line="130" w:lineRule="exact"/>
        <w:rPr>
          <w:rFonts w:ascii="Arial" w:cs="Arial" w:eastAsia="Arial" w:hAnsi="Arial"/>
          <w:sz w:val="20"/>
          <w:szCs w:val="20"/>
          <w:b w:val="1"/>
          <w:bCs w:val="1"/>
          <w:color w:val="DF1995"/>
        </w:rPr>
      </w:pPr>
    </w:p>
    <w:p>
      <w:pPr>
        <w:jc w:val="both"/>
        <w:ind w:left="720" w:right="700" w:hanging="370"/>
        <w:spacing w:after="0" w:line="288" w:lineRule="auto"/>
        <w:tabs>
          <w:tab w:leader="none" w:pos="720" w:val="left"/>
        </w:tabs>
        <w:numPr>
          <w:ilvl w:val="0"/>
          <w:numId w:val="17"/>
        </w:numPr>
        <w:rPr>
          <w:rFonts w:ascii="Arial" w:cs="Arial" w:eastAsia="Arial" w:hAnsi="Arial"/>
          <w:sz w:val="19"/>
          <w:szCs w:val="19"/>
          <w:b w:val="1"/>
          <w:bCs w:val="1"/>
          <w:color w:val="DF1995"/>
        </w:rPr>
      </w:pPr>
      <w:r>
        <w:rPr>
          <w:rFonts w:ascii="Arial" w:cs="Arial" w:eastAsia="Arial" w:hAnsi="Arial"/>
          <w:sz w:val="19"/>
          <w:szCs w:val="19"/>
          <w:b w:val="1"/>
          <w:bCs w:val="1"/>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53" w:lineRule="exact"/>
        <w:rPr>
          <w:rFonts w:ascii="Arial" w:cs="Arial" w:eastAsia="Arial" w:hAnsi="Arial"/>
          <w:sz w:val="19"/>
          <w:szCs w:val="19"/>
          <w:b w:val="1"/>
          <w:bCs w:val="1"/>
          <w:color w:val="DF1995"/>
        </w:rPr>
      </w:pPr>
    </w:p>
    <w:p>
      <w:pPr>
        <w:ind w:left="720" w:right="700" w:hanging="370"/>
        <w:spacing w:after="0" w:line="285" w:lineRule="auto"/>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risks that regulatory bodies may enact new laws or promulgate new regulations that are adverse to an acquired company or business;</w:t>
      </w:r>
    </w:p>
    <w:p>
      <w:pPr>
        <w:spacing w:after="0" w:line="53"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risks that regulatory bodies do not approve our acquisitions or business combinations or delay such approvals;</w:t>
      </w:r>
    </w:p>
    <w:p>
      <w:pPr>
        <w:spacing w:after="0" w:line="53"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theft of our trade secrets or confidential information that we share with potential acquisition candidates or other potential strategic partners;</w:t>
      </w:r>
    </w:p>
    <w:p>
      <w:pPr>
        <w:spacing w:after="0" w:line="53"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risk that an acquired company or investment in new services cannibalizes a portion of our existing business; and</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7"/>
        </w:numPr>
        <w:rPr>
          <w:rFonts w:ascii="Arial" w:cs="Arial" w:eastAsia="Arial" w:hAnsi="Arial"/>
          <w:sz w:val="20"/>
          <w:szCs w:val="20"/>
          <w:b w:val="1"/>
          <w:bCs w:val="1"/>
          <w:color w:val="DF1995"/>
        </w:rPr>
      </w:pPr>
      <w:r>
        <w:rPr>
          <w:rFonts w:ascii="Arial" w:cs="Arial" w:eastAsia="Arial" w:hAnsi="Arial"/>
          <w:sz w:val="20"/>
          <w:szCs w:val="20"/>
          <w:b w:val="1"/>
          <w:bCs w:val="1"/>
          <w:color w:val="auto"/>
        </w:rPr>
        <w:t>adverse market reaction to an acquisition or other strategic transaction.</w:t>
      </w:r>
    </w:p>
    <w:p>
      <w:pPr>
        <w:spacing w:after="0" w:line="130" w:lineRule="exact"/>
        <w:rPr>
          <w:sz w:val="20"/>
          <w:szCs w:val="20"/>
          <w:color w:val="auto"/>
        </w:rPr>
      </w:pPr>
    </w:p>
    <w:p>
      <w:pPr>
        <w:jc w:val="both"/>
        <w:ind w:right="700"/>
        <w:spacing w:after="0" w:line="290" w:lineRule="auto"/>
        <w:rPr>
          <w:sz w:val="20"/>
          <w:szCs w:val="20"/>
          <w:color w:val="auto"/>
        </w:rPr>
      </w:pPr>
      <w:r>
        <w:rPr>
          <w:rFonts w:ascii="Arial" w:cs="Arial" w:eastAsia="Arial" w:hAnsi="Arial"/>
          <w:sz w:val="18"/>
          <w:szCs w:val="18"/>
          <w:b w:val="1"/>
          <w:bCs w:val="1"/>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59" w:lineRule="exact"/>
        <w:rPr>
          <w:sz w:val="20"/>
          <w:szCs w:val="20"/>
          <w:color w:val="auto"/>
        </w:rPr>
      </w:pPr>
    </w:p>
    <w:p>
      <w:pPr>
        <w:jc w:val="both"/>
        <w:ind w:right="700"/>
        <w:spacing w:after="0" w:line="279" w:lineRule="auto"/>
        <w:rPr>
          <w:sz w:val="20"/>
          <w:szCs w:val="20"/>
          <w:color w:val="auto"/>
        </w:rPr>
      </w:pPr>
      <w:r>
        <w:rPr>
          <w:rFonts w:ascii="Arial" w:cs="Arial" w:eastAsia="Arial" w:hAnsi="Arial"/>
          <w:sz w:val="19"/>
          <w:szCs w:val="19"/>
          <w:b w:val="1"/>
          <w:bCs w:val="1"/>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1023620</wp:posOffset>
                </wp:positionV>
                <wp:extent cx="73152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80.6pt" to="535pt,8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1023620</wp:posOffset>
                </wp:positionV>
                <wp:extent cx="73152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80.6pt" to="535pt,80.6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4">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30" w:name="page31"/>
    <w:bookmarkEnd w:id="3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If we are unable to successfully develop and timely manufacture our current and future products our business may be adversely affected.</w:t>
      </w:r>
    </w:p>
    <w:p>
      <w:pPr>
        <w:spacing w:after="0" w:line="54" w:lineRule="exact"/>
        <w:rPr>
          <w:sz w:val="20"/>
          <w:szCs w:val="20"/>
          <w:color w:val="auto"/>
        </w:rPr>
      </w:pPr>
    </w:p>
    <w:p>
      <w:pPr>
        <w:jc w:val="both"/>
        <w:ind w:right="680"/>
        <w:spacing w:after="0" w:line="281" w:lineRule="auto"/>
        <w:rPr>
          <w:sz w:val="20"/>
          <w:szCs w:val="20"/>
          <w:color w:val="auto"/>
        </w:rPr>
      </w:pPr>
      <w:r>
        <w:rPr>
          <w:rFonts w:ascii="Arial" w:cs="Arial" w:eastAsia="Arial" w:hAnsi="Arial"/>
          <w:sz w:val="18"/>
          <w:szCs w:val="18"/>
          <w:b w:val="1"/>
          <w:bCs w:val="1"/>
          <w:color w:val="auto"/>
        </w:rPr>
        <w:t>Considering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Revio and Vega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Revio and Vega systems, and may need to develop in the future, other customized SMRT Cells and consumables for our future products. Our production of the SMRT Cells for the Sequel and Sequel II/ IIe systems has been and may in the future, including with respect to the Revio system, be below desired levels and yields, and we have experienced and may experience in the future manufacturing delays, product or quality defects, SMRT Cell variability, and other issues.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operations and prospects.</w:t>
      </w:r>
    </w:p>
    <w:p>
      <w:pPr>
        <w:spacing w:after="0" w:line="308" w:lineRule="exact"/>
        <w:rPr>
          <w:sz w:val="20"/>
          <w:szCs w:val="20"/>
          <w:color w:val="auto"/>
        </w:rPr>
      </w:pPr>
    </w:p>
    <w:p>
      <w:pPr>
        <w:jc w:val="both"/>
        <w:ind w:right="680"/>
        <w:spacing w:after="0" w:line="283" w:lineRule="auto"/>
        <w:rPr>
          <w:sz w:val="20"/>
          <w:szCs w:val="20"/>
          <w:color w:val="auto"/>
        </w:rPr>
      </w:pPr>
      <w:r>
        <w:rPr>
          <w:rFonts w:ascii="Arial" w:cs="Arial" w:eastAsia="Arial" w:hAnsi="Arial"/>
          <w:sz w:val="18"/>
          <w:szCs w:val="18"/>
          <w:b w:val="1"/>
          <w:bCs w:val="1"/>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spacing w:after="0" w:line="67"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If the continued rollout of our current and future products, including with respect to the SMRT Cell, the Revio and Vega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and the Revio and Vega systems could materially and adversely affect our business, operations, financial condition, and prospects.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2030730</wp:posOffset>
                </wp:positionV>
                <wp:extent cx="73152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9.9pt" to="535pt,15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2030730</wp:posOffset>
                </wp:positionV>
                <wp:extent cx="73152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9.9pt" to="535pt,159.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i w:val="1"/>
          <w:iCs w:val="1"/>
          <w:color w:val="DF1995"/>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70" w:lineRule="exact"/>
        <w:rPr>
          <w:sz w:val="20"/>
          <w:szCs w:val="20"/>
          <w:color w:val="auto"/>
        </w:rPr>
      </w:pPr>
    </w:p>
    <w:p>
      <w:pPr>
        <w:jc w:val="both"/>
        <w:ind w:right="680"/>
        <w:spacing w:after="0" w:line="266" w:lineRule="auto"/>
        <w:rPr>
          <w:sz w:val="20"/>
          <w:szCs w:val="20"/>
          <w:color w:val="auto"/>
        </w:rPr>
      </w:pPr>
      <w:r>
        <w:rPr>
          <w:rFonts w:ascii="Arial" w:cs="Arial" w:eastAsia="Arial" w:hAnsi="Arial"/>
          <w:sz w:val="19"/>
          <w:szCs w:val="19"/>
          <w:b w:val="1"/>
          <w:bCs w:val="1"/>
          <w:color w:val="auto"/>
        </w:rPr>
        <w:t>We have dedicated significant resources to developing our current products. We are also engaged in substantial and complex research and development efforts, which, if successful, may result in the introduction of new products in the future, including in connection with the SMRT Cell and the Revio and Vega systems,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4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i w:val="1"/>
          <w:iCs w:val="1"/>
          <w:color w:val="DF1995"/>
        </w:rPr>
        <w:t>We must successfully manage new product introductions and transitions and the development of acquired technologies, for which we may incur significant costs during these transitions and development, and these efforts may not result in the benefits we anticipate.</w:t>
      </w:r>
    </w:p>
    <w:p>
      <w:pPr>
        <w:spacing w:after="0" w:line="70" w:lineRule="exact"/>
        <w:rPr>
          <w:sz w:val="20"/>
          <w:szCs w:val="20"/>
          <w:color w:val="auto"/>
        </w:rPr>
      </w:pPr>
    </w:p>
    <w:p>
      <w:pPr>
        <w:jc w:val="both"/>
        <w:ind w:right="680"/>
        <w:spacing w:after="0" w:line="265" w:lineRule="auto"/>
        <w:rPr>
          <w:sz w:val="20"/>
          <w:szCs w:val="20"/>
          <w:color w:val="auto"/>
        </w:rPr>
      </w:pPr>
      <w:r>
        <w:rPr>
          <w:rFonts w:ascii="Arial" w:cs="Arial" w:eastAsia="Arial" w:hAnsi="Arial"/>
          <w:sz w:val="19"/>
          <w:szCs w:val="19"/>
          <w:b w:val="1"/>
          <w:bCs w:val="1"/>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execute on the commercialization plan for our Revio HiFi long-read sequencing system and the Vega benchtop long-read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products, and related consumables, has led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commercialization of our Vega system,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and Vega systems and each of their related consumables, and any future long-read products, our business, operations, financial condition, and prospects may be materially and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Our business may be adversely affected by epidemics or other public health emergencies.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could be adversely impacted by the effects of epidemics or other public health emergencies.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impacts could include, but are not necessarily limited to:</w:t>
      </w:r>
    </w:p>
    <w:p>
      <w:pPr>
        <w:spacing w:after="0" w:line="108" w:lineRule="exact"/>
        <w:rPr>
          <w:sz w:val="20"/>
          <w:szCs w:val="20"/>
          <w:color w:val="auto"/>
        </w:rPr>
      </w:pPr>
    </w:p>
    <w:p>
      <w:pPr>
        <w:ind w:left="720" w:right="700" w:hanging="370"/>
        <w:spacing w:after="0" w:line="283" w:lineRule="auto"/>
        <w:tabs>
          <w:tab w:leader="none" w:pos="720" w:val="left"/>
        </w:tabs>
        <w:numPr>
          <w:ilvl w:val="0"/>
          <w:numId w:val="18"/>
        </w:numPr>
        <w:rPr>
          <w:rFonts w:ascii="Arial" w:cs="Arial" w:eastAsia="Arial" w:hAnsi="Arial"/>
          <w:sz w:val="20"/>
          <w:szCs w:val="20"/>
          <w:b w:val="1"/>
          <w:bCs w:val="1"/>
          <w:color w:val="DF1995"/>
        </w:rPr>
      </w:pPr>
      <w:r>
        <w:rPr>
          <w:rFonts w:ascii="Arial" w:cs="Arial" w:eastAsia="Arial" w:hAnsi="Arial"/>
          <w:sz w:val="20"/>
          <w:szCs w:val="20"/>
          <w:b w:val="1"/>
          <w:bCs w:val="1"/>
          <w:color w:val="auto"/>
        </w:rPr>
        <w:t>shutdowns or business disruptions experienced by manufacturers, suppliers and other third parties with whom we conduct business;</w:t>
      </w:r>
    </w:p>
    <w:p>
      <w:pPr>
        <w:spacing w:after="0" w:line="57" w:lineRule="exact"/>
        <w:rPr>
          <w:rFonts w:ascii="Arial" w:cs="Arial" w:eastAsia="Arial" w:hAnsi="Arial"/>
          <w:sz w:val="20"/>
          <w:szCs w:val="20"/>
          <w:b w:val="1"/>
          <w:bCs w:val="1"/>
          <w:color w:val="DF1995"/>
        </w:rPr>
      </w:pPr>
    </w:p>
    <w:p>
      <w:pPr>
        <w:ind w:left="720" w:hanging="370"/>
        <w:spacing w:after="0"/>
        <w:tabs>
          <w:tab w:leader="none" w:pos="720" w:val="left"/>
        </w:tabs>
        <w:numPr>
          <w:ilvl w:val="0"/>
          <w:numId w:val="18"/>
        </w:numPr>
        <w:rPr>
          <w:rFonts w:ascii="Arial" w:cs="Arial" w:eastAsia="Arial" w:hAnsi="Arial"/>
          <w:sz w:val="20"/>
          <w:szCs w:val="20"/>
          <w:b w:val="1"/>
          <w:bCs w:val="1"/>
          <w:color w:val="DF1995"/>
        </w:rPr>
      </w:pPr>
      <w:r>
        <w:rPr>
          <w:rFonts w:ascii="Arial" w:cs="Arial" w:eastAsia="Arial" w:hAnsi="Arial"/>
          <w:sz w:val="20"/>
          <w:szCs w:val="20"/>
          <w:b w:val="1"/>
          <w:bCs w:val="1"/>
          <w:color w:val="auto"/>
        </w:rPr>
        <w:t>disruptions or interruptions to our supply chains;</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18"/>
        </w:numPr>
        <w:rPr>
          <w:rFonts w:ascii="Arial" w:cs="Arial" w:eastAsia="Arial" w:hAnsi="Arial"/>
          <w:sz w:val="20"/>
          <w:szCs w:val="20"/>
          <w:b w:val="1"/>
          <w:bCs w:val="1"/>
          <w:color w:val="DF1995"/>
        </w:rPr>
      </w:pPr>
      <w:r>
        <w:rPr>
          <w:rFonts w:ascii="Arial" w:cs="Arial" w:eastAsia="Arial" w:hAnsi="Arial"/>
          <w:sz w:val="20"/>
          <w:szCs w:val="20"/>
          <w:b w:val="1"/>
          <w:bCs w:val="1"/>
          <w:color w:val="auto"/>
        </w:rPr>
        <w:t>changes in applicable public health regulations that require us to modify our business practices and operations;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331470</wp:posOffset>
                </wp:positionV>
                <wp:extent cx="731520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6.1pt" to="535pt,26.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331470</wp:posOffset>
                </wp:positionV>
                <wp:extent cx="73152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6.1pt" to="535pt,26.1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32" w:name="page33"/>
    <w:bookmarkEnd w:id="3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left="720" w:hanging="370"/>
        <w:spacing w:after="0"/>
        <w:tabs>
          <w:tab w:leader="none" w:pos="720" w:val="left"/>
        </w:tabs>
        <w:numPr>
          <w:ilvl w:val="0"/>
          <w:numId w:val="19"/>
        </w:numPr>
        <w:rPr>
          <w:rFonts w:ascii="Arial" w:cs="Arial" w:eastAsia="Arial" w:hAnsi="Arial"/>
          <w:sz w:val="20"/>
          <w:szCs w:val="20"/>
          <w:b w:val="1"/>
          <w:bCs w:val="1"/>
          <w:color w:val="DF1995"/>
        </w:rPr>
      </w:pPr>
      <w:r>
        <w:rPr>
          <w:rFonts w:ascii="Arial" w:cs="Arial" w:eastAsia="Arial" w:hAnsi="Arial"/>
          <w:sz w:val="20"/>
          <w:szCs w:val="20"/>
          <w:b w:val="1"/>
          <w:bCs w:val="1"/>
          <w:color w:val="auto"/>
        </w:rPr>
        <w:t>disruption to customer demand for our products.</w:t>
      </w:r>
    </w:p>
    <w:p>
      <w:pPr>
        <w:spacing w:after="0" w:line="130" w:lineRule="exact"/>
        <w:rPr>
          <w:sz w:val="20"/>
          <w:szCs w:val="20"/>
          <w:color w:val="auto"/>
        </w:rPr>
      </w:pPr>
    </w:p>
    <w:p>
      <w:pPr>
        <w:jc w:val="both"/>
        <w:ind w:right="700"/>
        <w:spacing w:after="0" w:line="273" w:lineRule="auto"/>
        <w:rPr>
          <w:sz w:val="20"/>
          <w:szCs w:val="20"/>
          <w:color w:val="auto"/>
        </w:rPr>
      </w:pPr>
      <w:r>
        <w:rPr>
          <w:rFonts w:ascii="Arial" w:cs="Arial" w:eastAsia="Arial" w:hAnsi="Arial"/>
          <w:sz w:val="19"/>
          <w:szCs w:val="19"/>
          <w:b w:val="1"/>
          <w:bCs w:val="1"/>
          <w:color w:val="auto"/>
        </w:rPr>
        <w:t>The extent to which any epidemic or other public health emergency impacts our business and financial results inherently depends on future developments, which are highly uncertain and cannot be predicted, including new information which may emerge concerning the severity of a particular public health matter and the actions to contain it or treat its impact, among others. Even after an epidemic or public health emergency has subsided, we may continue to experience an adverse impact to our business as a result of economic aftershocks, including recessionary effects and inflationary pressures.</w:t>
      </w:r>
    </w:p>
    <w:p>
      <w:pPr>
        <w:spacing w:after="0" w:line="129"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Significant changes to our leadership team and the resulting management transitions might harm our future operating results.</w:t>
      </w:r>
    </w:p>
    <w:p>
      <w:pPr>
        <w:spacing w:after="0" w:line="54" w:lineRule="exact"/>
        <w:rPr>
          <w:sz w:val="20"/>
          <w:szCs w:val="20"/>
          <w:color w:val="auto"/>
        </w:rPr>
      </w:pPr>
    </w:p>
    <w:p>
      <w:pPr>
        <w:jc w:val="both"/>
        <w:ind w:right="680"/>
        <w:spacing w:after="0" w:line="266" w:lineRule="auto"/>
        <w:rPr>
          <w:sz w:val="20"/>
          <w:szCs w:val="20"/>
          <w:color w:val="auto"/>
        </w:rPr>
      </w:pPr>
      <w:r>
        <w:rPr>
          <w:rFonts w:ascii="Arial" w:cs="Arial" w:eastAsia="Arial" w:hAnsi="Arial"/>
          <w:sz w:val="19"/>
          <w:szCs w:val="19"/>
          <w:b w:val="1"/>
          <w:bCs w:val="1"/>
          <w:color w:val="auto"/>
        </w:rPr>
        <w:t>We have in recent years experienced significant changes to our leadership team, and 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141" w:lineRule="exact"/>
        <w:rPr>
          <w:sz w:val="20"/>
          <w:szCs w:val="20"/>
          <w:color w:val="auto"/>
        </w:rPr>
      </w:pPr>
    </w:p>
    <w:p>
      <w:pPr>
        <w:jc w:val="both"/>
        <w:ind w:right="700"/>
        <w:spacing w:after="0" w:line="280" w:lineRule="auto"/>
        <w:rPr>
          <w:sz w:val="20"/>
          <w:szCs w:val="20"/>
          <w:color w:val="auto"/>
        </w:rPr>
      </w:pPr>
      <w:r>
        <w:rPr>
          <w:rFonts w:ascii="Arial" w:cs="Arial" w:eastAsia="Arial" w:hAnsi="Arial"/>
          <w:sz w:val="19"/>
          <w:szCs w:val="19"/>
          <w:b w:val="1"/>
          <w:bCs w:val="1"/>
          <w:i w:val="1"/>
          <w:iCs w:val="1"/>
          <w:color w:val="DF1995"/>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60" w:lineRule="exact"/>
        <w:rPr>
          <w:sz w:val="20"/>
          <w:szCs w:val="20"/>
          <w:color w:val="auto"/>
        </w:rPr>
      </w:pPr>
    </w:p>
    <w:p>
      <w:pPr>
        <w:jc w:val="both"/>
        <w:ind w:right="680"/>
        <w:spacing w:after="0" w:line="281" w:lineRule="auto"/>
        <w:rPr>
          <w:sz w:val="20"/>
          <w:szCs w:val="20"/>
          <w:color w:val="auto"/>
        </w:rPr>
      </w:pPr>
      <w:r>
        <w:rPr>
          <w:rFonts w:ascii="Arial" w:cs="Arial" w:eastAsia="Arial" w:hAnsi="Arial"/>
          <w:sz w:val="18"/>
          <w:szCs w:val="18"/>
          <w:b w:val="1"/>
          <w:bCs w:val="1"/>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from time to time. Our industry, is characterized by high demand and intense competition for talent, and the turnover rate has been and may continue to be high. Our employees can leave our company with little to no prior notice and would be free to work for a competitor. We compete for qualified management and scientific personnel with other life science companies, academic institutions and research institutions, particularly those focusing on genomics. We also compete for qualified sales personnel to support the commercialization of our existing and new products. Workforce reductions, such as the workforce reduction we implemented in 2024 and 2025, and other expense reduction efforts may be negatively received by potential or current employees, and accordingly result in attrition or difficulty in recruiting desirable candidates. Additionally, we may face challenges in retaining and recruiting key personnel due to sustained declines in our stock price that could reduce the retentive value of stock options, restricted stock units and other equity awards we issue as compensation. We may not be able to provide adequate cash or other incentives to adequately counterbalance any negative perceptions about the value of our equity awards. Moreover, the value of any equity awards that we do grant to our personnel may be significantly affected by movements in our stock price that are beyond our control.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w:t>
      </w:r>
    </w:p>
    <w:p>
      <w:pPr>
        <w:spacing w:after="0" w:line="75" w:lineRule="exact"/>
        <w:rPr>
          <w:sz w:val="20"/>
          <w:szCs w:val="20"/>
          <w:color w:val="auto"/>
        </w:rPr>
      </w:pPr>
    </w:p>
    <w:p>
      <w:pPr>
        <w:jc w:val="both"/>
        <w:ind w:right="700"/>
        <w:spacing w:after="0" w:line="294" w:lineRule="auto"/>
        <w:rPr>
          <w:sz w:val="20"/>
          <w:szCs w:val="20"/>
          <w:color w:val="auto"/>
        </w:rPr>
      </w:pPr>
      <w:r>
        <w:rPr>
          <w:rFonts w:ascii="Arial" w:cs="Arial" w:eastAsia="Arial" w:hAnsi="Arial"/>
          <w:sz w:val="18"/>
          <w:szCs w:val="18"/>
          <w:b w:val="1"/>
          <w:bCs w:val="1"/>
          <w:color w:val="auto"/>
        </w:rPr>
        <w:t>Further, changes to U.S. immigration policies, such as the implementation of more restrictive interpretations by the U.S. Citizenship and Immigration Services of regulatory requirements for H-1B and other visa programs, could restrain the flow of technical and professional talent into the U.S. and may inhibit our ability to hire and increase the cost of qualified personnel. If some of our employees’ temporary work permits expire and are not renewed, we may face increased turnover rates and labor shortages, which could result in higher labor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177800</wp:posOffset>
                </wp:positionV>
                <wp:extent cx="731520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4pt" to="535pt,1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177800</wp:posOffset>
                </wp:positionV>
                <wp:extent cx="731520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4pt" to="535pt,1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31"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70" w:lineRule="auto"/>
        <w:rPr>
          <w:sz w:val="20"/>
          <w:szCs w:val="20"/>
          <w:color w:val="auto"/>
        </w:rPr>
      </w:pPr>
      <w:r>
        <w:rPr>
          <w:rFonts w:ascii="Arial" w:cs="Arial" w:eastAsia="Arial" w:hAnsi="Arial"/>
          <w:sz w:val="19"/>
          <w:szCs w:val="19"/>
          <w:b w:val="1"/>
          <w:bCs w:val="1"/>
          <w:color w:val="auto"/>
        </w:rPr>
        <w:t>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34" w:lineRule="exact"/>
        <w:rPr>
          <w:sz w:val="20"/>
          <w:szCs w:val="20"/>
          <w:color w:val="auto"/>
        </w:rPr>
      </w:pPr>
    </w:p>
    <w:p>
      <w:pPr>
        <w:jc w:val="both"/>
        <w:ind w:right="700"/>
        <w:spacing w:after="0" w:line="311" w:lineRule="auto"/>
        <w:rPr>
          <w:sz w:val="20"/>
          <w:szCs w:val="20"/>
          <w:color w:val="auto"/>
        </w:rPr>
      </w:pPr>
      <w:r>
        <w:rPr>
          <w:rFonts w:ascii="Arial" w:cs="Arial" w:eastAsia="Arial" w:hAnsi="Arial"/>
          <w:sz w:val="18"/>
          <w:szCs w:val="18"/>
          <w:b w:val="1"/>
          <w:bCs w:val="1"/>
          <w:i w:val="1"/>
          <w:iCs w:val="1"/>
          <w:color w:val="DF1995"/>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35"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our products may not grow sufficiently to cover our costs.</w:t>
      </w:r>
    </w:p>
    <w:p>
      <w:pPr>
        <w:spacing w:after="0" w:line="71"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Our business currently depends on a limited number of products and there can be no assurance that we will be successful in adding new products or securing additional customers for our current and future products.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77" w:lineRule="exact"/>
        <w:rPr>
          <w:sz w:val="20"/>
          <w:szCs w:val="20"/>
          <w:color w:val="auto"/>
        </w:rPr>
      </w:pPr>
    </w:p>
    <w:p>
      <w:pPr>
        <w:jc w:val="both"/>
        <w:ind w:right="700"/>
        <w:spacing w:after="0" w:line="267" w:lineRule="auto"/>
        <w:rPr>
          <w:sz w:val="20"/>
          <w:szCs w:val="20"/>
          <w:color w:val="auto"/>
        </w:rPr>
      </w:pPr>
      <w:r>
        <w:rPr>
          <w:rFonts w:ascii="Arial" w:cs="Arial" w:eastAsia="Arial" w:hAnsi="Arial"/>
          <w:sz w:val="19"/>
          <w:szCs w:val="19"/>
          <w:b w:val="1"/>
          <w:bCs w:val="1"/>
          <w:color w:val="auto"/>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80" w:lineRule="exact"/>
        <w:rPr>
          <w:sz w:val="20"/>
          <w:szCs w:val="20"/>
          <w:color w:val="auto"/>
        </w:rPr>
      </w:pPr>
    </w:p>
    <w:p>
      <w:pPr>
        <w:jc w:val="both"/>
        <w:ind w:right="700"/>
        <w:spacing w:after="0" w:line="290" w:lineRule="auto"/>
        <w:rPr>
          <w:sz w:val="20"/>
          <w:szCs w:val="20"/>
          <w:color w:val="auto"/>
        </w:rPr>
      </w:pPr>
      <w:r>
        <w:rPr>
          <w:rFonts w:ascii="Arial" w:cs="Arial" w:eastAsia="Arial" w:hAnsi="Arial"/>
          <w:sz w:val="18"/>
          <w:szCs w:val="18"/>
          <w:b w:val="1"/>
          <w:bCs w:val="1"/>
          <w:color w:val="auto"/>
        </w:rPr>
        <w:t>If the demand for our products grows slower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our gross margins and operating results may decline, our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448945</wp:posOffset>
                </wp:positionV>
                <wp:extent cx="73152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5.35pt" to="535pt,35.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448945</wp:posOffset>
                </wp:positionV>
                <wp:extent cx="73152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5.35pt" to="535pt,35.3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cash flows and liquidity may be negatively impacted, our long-term growth strategy may not be realized, and our business may not succeed.</w:t>
      </w:r>
    </w:p>
    <w:p>
      <w:pPr>
        <w:spacing w:after="0" w:line="114"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i w:val="1"/>
          <w:iCs w:val="1"/>
          <w:color w:val="DF1995"/>
        </w:rPr>
        <w:t>We rely on other companies for the manufacture of certain of our products,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76" w:lineRule="exact"/>
        <w:rPr>
          <w:sz w:val="20"/>
          <w:szCs w:val="20"/>
          <w:color w:val="auto"/>
        </w:rPr>
      </w:pPr>
    </w:p>
    <w:p>
      <w:pPr>
        <w:jc w:val="both"/>
        <w:ind w:right="680"/>
        <w:spacing w:after="0" w:line="265" w:lineRule="auto"/>
        <w:rPr>
          <w:sz w:val="20"/>
          <w:szCs w:val="20"/>
          <w:color w:val="auto"/>
        </w:rPr>
      </w:pPr>
      <w:r>
        <w:rPr>
          <w:rFonts w:ascii="Arial" w:cs="Arial" w:eastAsia="Arial" w:hAnsi="Arial"/>
          <w:sz w:val="19"/>
          <w:szCs w:val="19"/>
          <w:b w:val="1"/>
          <w:bCs w:val="1"/>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products and critical components from a single source, including suppliers for our SMRT Cells, reagents, and instruments. We cannot assure you that products or product supplies will not be limited or interrupted, especially with respect to our sole source third-party manufacturing and supply collaborators, or that products or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manufacturers and vendors in the event they cease to provide their products or services to us or fail to provide sufficient quantities in a timely manner. If we are required to purchase these products or components from alternative sources, it could take several months or longer to qualify the alternative sources. If we are unable to source these products or product components from sole-source third-party manufacturing and supply collaborators for any reason, including acts of terrorism, hostilities, military conflict and acts of war, including between China and Taiwan, or secure a sufficient supply of these products or product components on a timely basis and at an acceptable cost, or if these products or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91" w:lineRule="exact"/>
        <w:rPr>
          <w:sz w:val="20"/>
          <w:szCs w:val="20"/>
          <w:color w:val="auto"/>
        </w:rPr>
      </w:pPr>
    </w:p>
    <w:p>
      <w:pPr>
        <w:jc w:val="both"/>
        <w:ind w:right="680"/>
        <w:spacing w:after="0" w:line="280" w:lineRule="auto"/>
        <w:rPr>
          <w:sz w:val="20"/>
          <w:szCs w:val="20"/>
          <w:color w:val="auto"/>
        </w:rPr>
      </w:pPr>
      <w:r>
        <w:rPr>
          <w:rFonts w:ascii="Arial" w:cs="Arial" w:eastAsia="Arial" w:hAnsi="Arial"/>
          <w:sz w:val="18"/>
          <w:szCs w:val="18"/>
          <w:b w:val="1"/>
          <w:bCs w:val="1"/>
          <w:color w:val="auto"/>
        </w:rPr>
        <w:t>The operations of our third-party manufacturing partners and suppliers have had and may in the future be disrupted by conditions unrelated to our business or operations or that are beyond our control, including but not limited to changing international trade policies, inflation, supply chain disruptions, and conditions related to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We have and may continue to face challenges in our supply chain, which has and may continue to adversely impact margins. During periods of shortage or delay, the price of products or components may increase or the products or components may not be available at all. Our suppliers have raised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Various government policies have had, and may continue to have in the future, a negative impact on manufacturing and/or supply chains, in addition to customer demand for our products and demand through certain distributors. As a result of global economic or political instability, such as the uncertainty in the Middle East, an escalation of the war in Ukraine, potential uncertainty related to Taiwan and its relationship with China, changing international trade policies, other disease outbreaks, or supply issues, we or our contractors could experience shortages, business disruptions or delays for materials sourced or manufactured in the affected countries, and their ability to supply us with instruments, products or components may be affected. Occasionally, system components and reagents reach the end of their life cycles or become obsolete, requiring us to source alternatives.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related to epidemics or pandemics are lifted, supply issues or business disruptions are resolved and/or other sources can be developed.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463550</wp:posOffset>
                </wp:positionV>
                <wp:extent cx="73152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6.5pt" to="535pt,3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463550</wp:posOffset>
                </wp:positionV>
                <wp:extent cx="731520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6.5pt" to="535pt,36.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Our current manufacturing process is also characterized by long lead times between the placement of orders for and delivery of our products. If we do not accurately anticipate our needs or if we receive insufficient products or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spacing w:after="0" w:line="133"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i w:val="1"/>
          <w:iCs w:val="1"/>
          <w:color w:val="DF1995"/>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70" w:lineRule="exact"/>
        <w:rPr>
          <w:sz w:val="20"/>
          <w:szCs w:val="20"/>
          <w:color w:val="auto"/>
        </w:rPr>
      </w:pPr>
    </w:p>
    <w:p>
      <w:pPr>
        <w:jc w:val="both"/>
        <w:ind w:right="700"/>
        <w:spacing w:after="0" w:line="254" w:lineRule="auto"/>
        <w:rPr>
          <w:sz w:val="20"/>
          <w:szCs w:val="20"/>
          <w:color w:val="auto"/>
        </w:rPr>
      </w:pPr>
      <w:r>
        <w:rPr>
          <w:rFonts w:ascii="Arial" w:cs="Arial" w:eastAsia="Arial" w:hAnsi="Arial"/>
          <w:sz w:val="20"/>
          <w:szCs w:val="20"/>
          <w:b w:val="1"/>
          <w:bCs w:val="1"/>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our long-read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spacing w:after="0" w:line="89" w:lineRule="exact"/>
        <w:rPr>
          <w:sz w:val="20"/>
          <w:szCs w:val="20"/>
          <w:color w:val="auto"/>
        </w:rPr>
      </w:pPr>
    </w:p>
    <w:p>
      <w:pPr>
        <w:jc w:val="both"/>
        <w:ind w:right="680"/>
        <w:spacing w:after="0" w:line="266" w:lineRule="auto"/>
        <w:rPr>
          <w:sz w:val="20"/>
          <w:szCs w:val="20"/>
          <w:color w:val="auto"/>
        </w:rPr>
      </w:pPr>
      <w:r>
        <w:rPr>
          <w:rFonts w:ascii="Arial" w:cs="Arial" w:eastAsia="Arial" w:hAnsi="Arial"/>
          <w:sz w:val="19"/>
          <w:szCs w:val="19"/>
          <w:b w:val="1"/>
          <w:bCs w:val="1"/>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pandemics, government policy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141"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i w:val="1"/>
          <w:iCs w:val="1"/>
          <w:color w:val="DF1995"/>
        </w:rPr>
        <w:t>Rapidly changing technology in life sciences and research diagnostics could make our products obsolete unless we continue to develop, manufacture and commercialize new and improved products and pursue new opportunities.</w:t>
      </w:r>
    </w:p>
    <w:p>
      <w:pPr>
        <w:spacing w:after="0" w:line="75"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and the Revio and Vega systems, could diminish future demand for our products and may materially and adversely harm our future operating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576580</wp:posOffset>
                </wp:positionV>
                <wp:extent cx="73152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5.4pt" to="535pt,45.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576580</wp:posOffset>
                </wp:positionV>
                <wp:extent cx="73152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5.4pt" to="535pt,45.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0">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i w:val="1"/>
          <w:iCs w:val="1"/>
          <w:color w:val="DF1995"/>
        </w:rPr>
        <w:t>The size of the markets for our products, including our Revio and Vega instruments, may be smaller than estimated, and new market opportunities may not develop as quickly as we expect, or at all, limiting our ability to successfully sell our products.</w:t>
      </w:r>
    </w:p>
    <w:p>
      <w:pPr>
        <w:spacing w:after="0" w:line="70" w:lineRule="exact"/>
        <w:rPr>
          <w:sz w:val="20"/>
          <w:szCs w:val="20"/>
          <w:color w:val="auto"/>
        </w:rPr>
      </w:pPr>
    </w:p>
    <w:p>
      <w:pPr>
        <w:jc w:val="both"/>
        <w:ind w:right="680"/>
        <w:spacing w:after="0" w:line="284" w:lineRule="auto"/>
        <w:rPr>
          <w:sz w:val="20"/>
          <w:szCs w:val="20"/>
          <w:color w:val="auto"/>
        </w:rPr>
      </w:pPr>
      <w:r>
        <w:rPr>
          <w:rFonts w:ascii="Arial" w:cs="Arial" w:eastAsia="Arial" w:hAnsi="Arial"/>
          <w:sz w:val="18"/>
          <w:szCs w:val="18"/>
          <w:b w:val="1"/>
          <w:bCs w:val="1"/>
          <w:color w:val="auto"/>
        </w:rPr>
        <w:t>The market for sequencing systems and consumables products is evolving, making it difficult to accurately predict the size of the markets for our current and future products, including our Revio and Vega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spacing w:after="0" w:line="61"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and Vega systems,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and Vega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spacing w:after="0" w:line="14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Increased market adoption of our products by customers may depend on the availability of sample preparation and informatics tools, some of which may be developed by third parties.</w:t>
      </w:r>
    </w:p>
    <w:p>
      <w:pPr>
        <w:spacing w:after="0" w:line="54" w:lineRule="exact"/>
        <w:rPr>
          <w:sz w:val="20"/>
          <w:szCs w:val="20"/>
          <w:color w:val="auto"/>
        </w:rPr>
      </w:pPr>
    </w:p>
    <w:p>
      <w:pPr>
        <w:jc w:val="both"/>
        <w:ind w:right="680"/>
        <w:spacing w:after="0" w:line="271" w:lineRule="auto"/>
        <w:rPr>
          <w:sz w:val="20"/>
          <w:szCs w:val="20"/>
          <w:color w:val="auto"/>
        </w:rPr>
      </w:pPr>
      <w:r>
        <w:rPr>
          <w:rFonts w:ascii="Arial" w:cs="Arial" w:eastAsia="Arial" w:hAnsi="Arial"/>
          <w:sz w:val="19"/>
          <w:szCs w:val="19"/>
          <w:b w:val="1"/>
          <w:bCs w:val="1"/>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133"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i w:val="1"/>
          <w:iCs w:val="1"/>
          <w:color w:val="DF1995"/>
        </w:rPr>
        <w:t>We operate in a highly competitive industry and if we are not able to compete effectively, our business and operating results will likely be harmed.</w:t>
      </w:r>
    </w:p>
    <w:p>
      <w:pPr>
        <w:spacing w:after="0" w:line="58" w:lineRule="exact"/>
        <w:rPr>
          <w:sz w:val="20"/>
          <w:szCs w:val="20"/>
          <w:color w:val="auto"/>
        </w:rPr>
      </w:pPr>
    </w:p>
    <w:p>
      <w:pPr>
        <w:jc w:val="both"/>
        <w:ind w:right="680"/>
        <w:spacing w:after="0" w:line="286" w:lineRule="auto"/>
        <w:rPr>
          <w:sz w:val="20"/>
          <w:szCs w:val="20"/>
          <w:color w:val="auto"/>
        </w:rPr>
      </w:pPr>
      <w:r>
        <w:rPr>
          <w:rFonts w:ascii="Arial" w:cs="Arial" w:eastAsia="Arial" w:hAnsi="Arial"/>
          <w:sz w:val="18"/>
          <w:szCs w:val="18"/>
          <w:b w:val="1"/>
          <w:bCs w:val="1"/>
          <w:color w:val="auto"/>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1249680</wp:posOffset>
                </wp:positionV>
                <wp:extent cx="73152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8.4pt" to="535pt,98.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1249680</wp:posOffset>
                </wp:positionV>
                <wp:extent cx="73152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8.4pt" to="535pt,98.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b w:val="1"/>
          <w:bCs w:val="1"/>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F1995"/>
        </w:rPr>
        <w:t>We may be unable to successfully increase sales of our current products or market and sell our future products.</w:t>
      </w:r>
    </w:p>
    <w:p>
      <w:pPr>
        <w:spacing w:after="0" w:line="153"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Our ability to achieve profitability depends, in part,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76" w:lineRule="exact"/>
        <w:rPr>
          <w:sz w:val="20"/>
          <w:szCs w:val="20"/>
          <w:color w:val="auto"/>
        </w:rPr>
      </w:pPr>
    </w:p>
    <w:p>
      <w:pPr>
        <w:ind w:left="720" w:right="700" w:hanging="370"/>
        <w:spacing w:after="0" w:line="285" w:lineRule="auto"/>
        <w:tabs>
          <w:tab w:leader="none" w:pos="720" w:val="left"/>
        </w:tabs>
        <w:numPr>
          <w:ilvl w:val="0"/>
          <w:numId w:val="20"/>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attract, retain and manage qualified sales, marketing, and service personnel necessary to expand market acceptance for our technologies;</w:t>
      </w:r>
    </w:p>
    <w:p>
      <w:pPr>
        <w:spacing w:after="0" w:line="53"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0"/>
        </w:numPr>
        <w:rPr>
          <w:rFonts w:ascii="Arial" w:cs="Arial" w:eastAsia="Arial" w:hAnsi="Arial"/>
          <w:sz w:val="20"/>
          <w:szCs w:val="20"/>
          <w:b w:val="1"/>
          <w:bCs w:val="1"/>
          <w:color w:val="DF1995"/>
        </w:rPr>
      </w:pPr>
      <w:r>
        <w:rPr>
          <w:rFonts w:ascii="Arial" w:cs="Arial" w:eastAsia="Arial" w:hAnsi="Arial"/>
          <w:sz w:val="20"/>
          <w:szCs w:val="20"/>
          <w:b w:val="1"/>
          <w:bCs w:val="1"/>
          <w:color w:val="auto"/>
        </w:rPr>
        <w:t>the performance and commercial availability expectations of our existing and potential customers with respect to new and existing products;</w:t>
      </w:r>
    </w:p>
    <w:p>
      <w:pPr>
        <w:spacing w:after="0" w:line="53"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0"/>
        </w:numPr>
        <w:rPr>
          <w:rFonts w:ascii="Arial" w:cs="Arial" w:eastAsia="Arial" w:hAnsi="Arial"/>
          <w:sz w:val="20"/>
          <w:szCs w:val="20"/>
          <w:b w:val="1"/>
          <w:bCs w:val="1"/>
          <w:color w:val="DF1995"/>
        </w:rPr>
      </w:pPr>
      <w:r>
        <w:rPr>
          <w:rFonts w:ascii="Arial" w:cs="Arial" w:eastAsia="Arial" w:hAnsi="Arial"/>
          <w:sz w:val="20"/>
          <w:szCs w:val="20"/>
          <w:b w:val="1"/>
          <w:bCs w:val="1"/>
          <w:color w:val="auto"/>
        </w:rPr>
        <w:t>availability of potential sales and distribution partners to sell our technologies, and our ability to attract and retain such sales and distribution partners;</w:t>
      </w:r>
    </w:p>
    <w:p>
      <w:pPr>
        <w:spacing w:after="0" w:line="53" w:lineRule="exact"/>
        <w:rPr>
          <w:rFonts w:ascii="Arial" w:cs="Arial" w:eastAsia="Arial" w:hAnsi="Arial"/>
          <w:sz w:val="20"/>
          <w:szCs w:val="20"/>
          <w:b w:val="1"/>
          <w:bCs w:val="1"/>
          <w:color w:val="DF1995"/>
        </w:rPr>
      </w:pPr>
    </w:p>
    <w:p>
      <w:pPr>
        <w:ind w:left="720" w:right="700" w:hanging="370"/>
        <w:spacing w:after="0" w:line="313" w:lineRule="auto"/>
        <w:tabs>
          <w:tab w:leader="none" w:pos="720" w:val="left"/>
        </w:tabs>
        <w:numPr>
          <w:ilvl w:val="0"/>
          <w:numId w:val="20"/>
        </w:numPr>
        <w:rPr>
          <w:rFonts w:ascii="Arial" w:cs="Arial" w:eastAsia="Arial" w:hAnsi="Arial"/>
          <w:sz w:val="19"/>
          <w:szCs w:val="19"/>
          <w:b w:val="1"/>
          <w:bCs w:val="1"/>
          <w:color w:val="DF1995"/>
        </w:rPr>
      </w:pPr>
      <w:r>
        <w:rPr>
          <w:rFonts w:ascii="Arial" w:cs="Arial" w:eastAsia="Arial" w:hAnsi="Arial"/>
          <w:sz w:val="19"/>
          <w:szCs w:val="19"/>
          <w:b w:val="1"/>
          <w:bCs w:val="1"/>
          <w:color w:val="auto"/>
        </w:rPr>
        <w:t>the time and cost of maintaining and growing a specialized sales, marketing and service force for a particular application, which may be difficult to justify in light of the revenue generated; and</w:t>
      </w:r>
    </w:p>
    <w:p>
      <w:pPr>
        <w:spacing w:after="0" w:line="30" w:lineRule="exact"/>
        <w:rPr>
          <w:rFonts w:ascii="Arial" w:cs="Arial" w:eastAsia="Arial" w:hAnsi="Arial"/>
          <w:sz w:val="19"/>
          <w:szCs w:val="19"/>
          <w:b w:val="1"/>
          <w:bCs w:val="1"/>
          <w:color w:val="DF1995"/>
        </w:rPr>
      </w:pPr>
    </w:p>
    <w:p>
      <w:pPr>
        <w:ind w:left="720" w:hanging="370"/>
        <w:spacing w:after="0"/>
        <w:tabs>
          <w:tab w:leader="none" w:pos="720" w:val="left"/>
        </w:tabs>
        <w:numPr>
          <w:ilvl w:val="0"/>
          <w:numId w:val="20"/>
        </w:numPr>
        <w:rPr>
          <w:rFonts w:ascii="Arial" w:cs="Arial" w:eastAsia="Arial" w:hAnsi="Arial"/>
          <w:sz w:val="19"/>
          <w:szCs w:val="19"/>
          <w:b w:val="1"/>
          <w:bCs w:val="1"/>
          <w:color w:val="DF1995"/>
        </w:rPr>
      </w:pPr>
      <w:r>
        <w:rPr>
          <w:rFonts w:ascii="Arial" w:cs="Arial" w:eastAsia="Arial" w:hAnsi="Arial"/>
          <w:sz w:val="19"/>
          <w:szCs w:val="19"/>
          <w:b w:val="1"/>
          <w:bCs w:val="1"/>
          <w:color w:val="auto"/>
        </w:rPr>
        <w:t>our sales, marketing and service force may be unable to execute successful commercial activities.</w:t>
      </w:r>
    </w:p>
    <w:p>
      <w:pPr>
        <w:spacing w:after="0" w:line="202"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We have, and may in the future, use promotional pricing and similar measures to attract purchases of our products. These measures may not be successful in attracting purchases and, even if successful, may negatively impact our gross margins.</w:t>
      </w:r>
    </w:p>
    <w:p>
      <w:pPr>
        <w:spacing w:after="0" w:line="70"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b w:val="1"/>
          <w:bCs w:val="1"/>
          <w:color w:val="auto"/>
        </w:rPr>
        <w:t>We have enlisted and may continue to enlist third parties to assist with sales, equipment leasing,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45" w:lineRule="exact"/>
        <w:rPr>
          <w:sz w:val="20"/>
          <w:szCs w:val="20"/>
          <w:color w:val="auto"/>
        </w:rPr>
      </w:pPr>
    </w:p>
    <w:p>
      <w:pPr>
        <w:jc w:val="both"/>
        <w:ind w:right="680"/>
        <w:spacing w:after="0" w:line="266" w:lineRule="auto"/>
        <w:rPr>
          <w:sz w:val="20"/>
          <w:szCs w:val="20"/>
          <w:color w:val="auto"/>
        </w:rPr>
      </w:pPr>
      <w:r>
        <w:rPr>
          <w:rFonts w:ascii="Arial" w:cs="Arial" w:eastAsia="Arial" w:hAnsi="Arial"/>
          <w:sz w:val="20"/>
          <w:szCs w:val="20"/>
          <w:b w:val="1"/>
          <w:bCs w:val="1"/>
          <w:i w:val="1"/>
          <w:iCs w:val="1"/>
          <w:color w:val="DF1995"/>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75" w:lineRule="exact"/>
        <w:rPr>
          <w:sz w:val="20"/>
          <w:szCs w:val="20"/>
          <w:color w:val="auto"/>
        </w:rPr>
      </w:pPr>
    </w:p>
    <w:p>
      <w:pPr>
        <w:jc w:val="both"/>
        <w:ind w:right="680"/>
        <w:spacing w:after="0" w:line="283" w:lineRule="auto"/>
        <w:rPr>
          <w:sz w:val="20"/>
          <w:szCs w:val="20"/>
          <w:color w:val="auto"/>
        </w:rPr>
      </w:pPr>
      <w:r>
        <w:rPr>
          <w:rFonts w:ascii="Arial" w:cs="Arial" w:eastAsia="Arial" w:hAnsi="Arial"/>
          <w:sz w:val="18"/>
          <w:szCs w:val="18"/>
          <w:b w:val="1"/>
          <w:bCs w:val="1"/>
          <w:color w:val="auto"/>
        </w:rPr>
        <w:t>We receive a significant portion of our revenue from a limited number of customers. While during the years ended December 31, 2025, 2024, and 2023, no customer accounted for 10% or more of our total revenue, many of our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377825</wp:posOffset>
                </wp:positionV>
                <wp:extent cx="73152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9.75pt" to="535pt,29.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377825</wp:posOffset>
                </wp:positionV>
                <wp:extent cx="731520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9.75pt" to="535pt,29.7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In addition, many of our customers, including some of our larger customers, have negotiated, or may in the future negotiate, volume-based discounts or other more favorable terms from us or our sales and distribution partners, which have had and may have a negative effect on our gross margins or revenue.</w:t>
      </w:r>
    </w:p>
    <w:p>
      <w:pPr>
        <w:spacing w:after="0" w:line="70"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33" w:lineRule="exact"/>
        <w:rPr>
          <w:sz w:val="20"/>
          <w:szCs w:val="20"/>
          <w:color w:val="auto"/>
        </w:rPr>
      </w:pPr>
    </w:p>
    <w:p>
      <w:pPr>
        <w:jc w:val="both"/>
        <w:ind w:right="700"/>
        <w:spacing w:after="0" w:line="313" w:lineRule="auto"/>
        <w:rPr>
          <w:sz w:val="20"/>
          <w:szCs w:val="20"/>
          <w:color w:val="auto"/>
        </w:rPr>
      </w:pPr>
      <w:r>
        <w:rPr>
          <w:rFonts w:ascii="Arial" w:cs="Arial" w:eastAsia="Arial" w:hAnsi="Arial"/>
          <w:sz w:val="19"/>
          <w:szCs w:val="19"/>
          <w:b w:val="1"/>
          <w:bCs w:val="1"/>
          <w:i w:val="1"/>
          <w:iCs w:val="1"/>
          <w:color w:val="DF1995"/>
        </w:rPr>
        <w:t>Our products are highly complex, have recurring support requirements and could have unknown defects or errors, which may give rise to claims against us or divert application of our resources from other purposes.</w:t>
      </w:r>
    </w:p>
    <w:p>
      <w:pPr>
        <w:spacing w:after="0" w:line="30" w:lineRule="exact"/>
        <w:rPr>
          <w:sz w:val="20"/>
          <w:szCs w:val="20"/>
          <w:color w:val="auto"/>
        </w:rPr>
      </w:pPr>
    </w:p>
    <w:p>
      <w:pPr>
        <w:jc w:val="both"/>
        <w:ind w:right="680"/>
        <w:spacing w:after="0" w:line="266" w:lineRule="auto"/>
        <w:rPr>
          <w:sz w:val="20"/>
          <w:szCs w:val="20"/>
          <w:color w:val="auto"/>
        </w:rPr>
      </w:pPr>
      <w:r>
        <w:rPr>
          <w:rFonts w:ascii="Arial" w:cs="Arial" w:eastAsia="Arial" w:hAnsi="Arial"/>
          <w:sz w:val="19"/>
          <w:szCs w:val="19"/>
          <w:b w:val="1"/>
          <w:bCs w:val="1"/>
          <w:color w:val="auto"/>
        </w:rPr>
        <w:t>Our products are highly complex and may develop or contain undetected defects or errors. Our customers have previously experienced reliability issues with our existing products, including the Sequel and Sequel II/IIe systems. In addition, it is possible our customers could experience reliability issues with current or future products, including the Revio and Vega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Revio and Vega systems, or enhancements to our existing products, including the SMRT Cell,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has and could in the future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79"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b w:val="1"/>
          <w:bCs w:val="1"/>
          <w:color w:val="auto"/>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45" w:lineRule="exact"/>
        <w:rPr>
          <w:sz w:val="20"/>
          <w:szCs w:val="20"/>
          <w:color w:val="auto"/>
        </w:rPr>
      </w:pPr>
    </w:p>
    <w:p>
      <w:pPr>
        <w:jc w:val="both"/>
        <w:ind w:right="700"/>
        <w:spacing w:after="0" w:line="310" w:lineRule="auto"/>
        <w:rPr>
          <w:sz w:val="20"/>
          <w:szCs w:val="20"/>
          <w:color w:val="auto"/>
        </w:rPr>
      </w:pPr>
      <w:r>
        <w:rPr>
          <w:rFonts w:ascii="Arial" w:cs="Arial" w:eastAsia="Arial" w:hAnsi="Arial"/>
          <w:sz w:val="19"/>
          <w:szCs w:val="19"/>
          <w:b w:val="1"/>
          <w:bCs w:val="1"/>
          <w:i w:val="1"/>
          <w:iCs w:val="1"/>
          <w:color w:val="DF1995"/>
        </w:rPr>
        <w:t>A significant portion of our sales depends on customers’ spending budgets that may be subject to significant and unexpected variation which could have a negative effect on the demand for our products.</w:t>
      </w:r>
    </w:p>
    <w:p>
      <w:pPr>
        <w:spacing w:after="0" w:line="36" w:lineRule="exact"/>
        <w:rPr>
          <w:sz w:val="20"/>
          <w:szCs w:val="20"/>
          <w:color w:val="auto"/>
        </w:rPr>
      </w:pPr>
    </w:p>
    <w:p>
      <w:pPr>
        <w:jc w:val="both"/>
        <w:ind w:right="680"/>
        <w:spacing w:after="0" w:line="284" w:lineRule="auto"/>
        <w:rPr>
          <w:sz w:val="20"/>
          <w:szCs w:val="20"/>
          <w:color w:val="auto"/>
        </w:rPr>
      </w:pPr>
      <w:r>
        <w:rPr>
          <w:rFonts w:ascii="Arial" w:cs="Arial" w:eastAsia="Arial" w:hAnsi="Arial"/>
          <w:sz w:val="18"/>
          <w:szCs w:val="18"/>
          <w:b w:val="1"/>
          <w:bCs w:val="1"/>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including the persistent uncertainty surrounding NIH and academic funding,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488315</wp:posOffset>
                </wp:positionV>
                <wp:extent cx="731520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8.45pt" to="535pt,38.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488315</wp:posOffset>
                </wp:positionV>
                <wp:extent cx="731520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8.45pt" to="535pt,38.4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3">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We may not be able to convert our orders in backlog into revenue.</w:t>
      </w:r>
    </w:p>
    <w:p>
      <w:pPr>
        <w:spacing w:after="0" w:line="130" w:lineRule="exact"/>
        <w:rPr>
          <w:sz w:val="20"/>
          <w:szCs w:val="20"/>
          <w:color w:val="auto"/>
        </w:rPr>
      </w:pPr>
    </w:p>
    <w:p>
      <w:pPr>
        <w:jc w:val="both"/>
        <w:ind w:right="680"/>
        <w:spacing w:after="0" w:line="288" w:lineRule="auto"/>
        <w:rPr>
          <w:sz w:val="20"/>
          <w:szCs w:val="20"/>
          <w:color w:val="auto"/>
        </w:rPr>
      </w:pPr>
      <w:r>
        <w:rPr>
          <w:rFonts w:ascii="Arial" w:cs="Arial" w:eastAsia="Arial" w:hAnsi="Arial"/>
          <w:sz w:val="19"/>
          <w:szCs w:val="19"/>
          <w:b w:val="1"/>
          <w:bCs w:val="1"/>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53" w:lineRule="exact"/>
        <w:rPr>
          <w:sz w:val="20"/>
          <w:szCs w:val="20"/>
          <w:color w:val="auto"/>
        </w:rPr>
      </w:pPr>
    </w:p>
    <w:p>
      <w:pPr>
        <w:jc w:val="both"/>
        <w:ind w:right="700"/>
        <w:spacing w:after="0" w:line="273" w:lineRule="auto"/>
        <w:rPr>
          <w:sz w:val="20"/>
          <w:szCs w:val="20"/>
          <w:color w:val="auto"/>
        </w:rPr>
      </w:pPr>
      <w:r>
        <w:rPr>
          <w:rFonts w:ascii="Arial" w:cs="Arial" w:eastAsia="Arial" w:hAnsi="Arial"/>
          <w:sz w:val="19"/>
          <w:szCs w:val="19"/>
          <w:b w:val="1"/>
          <w:bCs w:val="1"/>
          <w:color w:val="auto"/>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29"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Our sales cycles are unpredictable and lengthy, which makes it difficult to forecast revenue and may increase the magnitude of quarterly or annual fluctuations in our operating results.</w:t>
      </w:r>
    </w:p>
    <w:p>
      <w:pPr>
        <w:spacing w:after="0" w:line="54" w:lineRule="exact"/>
        <w:rPr>
          <w:sz w:val="20"/>
          <w:szCs w:val="20"/>
          <w:color w:val="auto"/>
        </w:rPr>
      </w:pPr>
    </w:p>
    <w:p>
      <w:pPr>
        <w:jc w:val="both"/>
        <w:ind w:right="680"/>
        <w:spacing w:after="0" w:line="281" w:lineRule="auto"/>
        <w:rPr>
          <w:sz w:val="20"/>
          <w:szCs w:val="20"/>
          <w:color w:val="auto"/>
        </w:rPr>
      </w:pPr>
      <w:r>
        <w:rPr>
          <w:rFonts w:ascii="Arial" w:cs="Arial" w:eastAsia="Arial" w:hAnsi="Arial"/>
          <w:sz w:val="18"/>
          <w:szCs w:val="18"/>
          <w:b w:val="1"/>
          <w:bCs w:val="1"/>
          <w:color w:val="auto"/>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Vega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r>
        <w:rPr>
          <w:rFonts w:ascii="Arial" w:cs="Arial" w:eastAsia="Arial" w:hAnsi="Arial"/>
          <w:sz w:val="18"/>
          <w:szCs w:val="18"/>
          <w:b w:val="1"/>
          <w:bCs w:val="1"/>
          <w:u w:val="single" w:color="auto"/>
          <w:color w:val="0000FF"/>
        </w:rPr>
        <w:t>Our operating results fluctuate from quarter to quarter and year over year, which makes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FF"/>
        </w:rPr>
        <w:t>our future results difficult to predict and could negatively impact the market price of our common stock</w:t>
      </w:r>
      <w:r>
        <w:rPr>
          <w:rFonts w:ascii="Arial" w:cs="Arial" w:eastAsia="Arial" w:hAnsi="Arial"/>
          <w:sz w:val="18"/>
          <w:szCs w:val="18"/>
          <w:b w:val="1"/>
          <w:bCs w:val="1"/>
          <w:color w:val="000000"/>
        </w:rPr>
        <w:t>,” below.</w:t>
      </w:r>
    </w:p>
    <w:p>
      <w:pPr>
        <w:spacing w:after="0" w:line="126"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i w:val="1"/>
          <w:iCs w:val="1"/>
          <w:color w:val="DF1995"/>
        </w:rPr>
        <w:t>Because some of our customers and suppliers are based in China, our business, financial condition and results of operations could be adversely affected by the political and economic tensions between the United States and China.</w:t>
      </w:r>
    </w:p>
    <w:p>
      <w:pPr>
        <w:spacing w:after="0" w:line="70" w:lineRule="exact"/>
        <w:rPr>
          <w:sz w:val="20"/>
          <w:szCs w:val="20"/>
          <w:color w:val="auto"/>
        </w:rPr>
      </w:pPr>
    </w:p>
    <w:p>
      <w:pPr>
        <w:jc w:val="both"/>
        <w:ind w:right="680"/>
        <w:spacing w:after="0" w:line="275" w:lineRule="auto"/>
        <w:rPr>
          <w:sz w:val="20"/>
          <w:szCs w:val="20"/>
          <w:color w:val="auto"/>
        </w:rPr>
      </w:pPr>
      <w:r>
        <w:rPr>
          <w:rFonts w:ascii="Arial" w:cs="Arial" w:eastAsia="Arial" w:hAnsi="Arial"/>
          <w:sz w:val="19"/>
          <w:szCs w:val="19"/>
          <w:b w:val="1"/>
          <w:bCs w:val="1"/>
          <w:color w:val="auto"/>
        </w:rPr>
        <w:t>We are subject to risks associated with political conflicts between the U.S. and China. While during the years ended December 31, 2025, 2024, and 2023, no customer accounted for 10% or more of our total revenue, a portion of our revenue is generated from China.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2016760</wp:posOffset>
                </wp:positionV>
                <wp:extent cx="731520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8.8pt" to="535pt,15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2016760</wp:posOffset>
                </wp:positionV>
                <wp:extent cx="731520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8.8pt" to="535pt,158.8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4">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 xml:space="preserve">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continue to retaliate against U.S. trade restrictions in ways that could impact our business, including through the imposition of additional tariffs on imports from the U.S. and/or the imposition of additional export controls affecting the export of certain items from China.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 </w:t>
      </w:r>
      <w:r>
        <w:rPr>
          <w:rFonts w:ascii="Arial" w:cs="Arial" w:eastAsia="Arial" w:hAnsi="Arial"/>
          <w:sz w:val="19"/>
          <w:szCs w:val="19"/>
          <w:b w:val="1"/>
          <w:bCs w:val="1"/>
          <w:u w:val="single" w:color="auto"/>
          <w:color w:val="0000FF"/>
        </w:rPr>
        <w:t>Enhanced trade tariffs, import restrictions, export restrictions or other trade barriers may materially harm our business</w:t>
      </w:r>
      <w:r>
        <w:rPr>
          <w:rFonts w:ascii="Arial" w:cs="Arial" w:eastAsia="Arial" w:hAnsi="Arial"/>
          <w:sz w:val="19"/>
          <w:szCs w:val="19"/>
          <w:b w:val="1"/>
          <w:bCs w:val="1"/>
          <w:color w:val="000000"/>
        </w:rPr>
        <w:t>.”</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risks could include:</w:t>
      </w:r>
    </w:p>
    <w:p>
      <w:pPr>
        <w:spacing w:after="0" w:line="130" w:lineRule="exact"/>
        <w:rPr>
          <w:sz w:val="20"/>
          <w:szCs w:val="20"/>
          <w:color w:val="auto"/>
        </w:rPr>
      </w:pPr>
    </w:p>
    <w:p>
      <w:pPr>
        <w:jc w:val="both"/>
        <w:ind w:left="720" w:right="700" w:hanging="370"/>
        <w:spacing w:after="0" w:line="262" w:lineRule="auto"/>
        <w:tabs>
          <w:tab w:leader="none" w:pos="720" w:val="left"/>
        </w:tabs>
        <w:numPr>
          <w:ilvl w:val="0"/>
          <w:numId w:val="21"/>
        </w:numPr>
        <w:rPr>
          <w:rFonts w:ascii="Arial" w:cs="Arial" w:eastAsia="Arial" w:hAnsi="Arial"/>
          <w:sz w:val="20"/>
          <w:szCs w:val="20"/>
          <w:b w:val="1"/>
          <w:bCs w:val="1"/>
          <w:color w:val="DF1995"/>
        </w:rPr>
      </w:pPr>
      <w:r>
        <w:rPr>
          <w:rFonts w:ascii="Arial" w:cs="Arial" w:eastAsia="Arial" w:hAnsi="Arial"/>
          <w:sz w:val="20"/>
          <w:szCs w:val="20"/>
          <w:b w:val="1"/>
          <w:bCs w:val="1"/>
          <w:color w:val="auto"/>
        </w:rPr>
        <w:t>interruptions to operations in China as a result of potential disease outbreaks or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75" w:lineRule="exact"/>
        <w:rPr>
          <w:rFonts w:ascii="Arial" w:cs="Arial" w:eastAsia="Arial" w:hAnsi="Arial"/>
          <w:sz w:val="20"/>
          <w:szCs w:val="20"/>
          <w:b w:val="1"/>
          <w:bCs w:val="1"/>
          <w:color w:val="DF1995"/>
        </w:rPr>
      </w:pPr>
    </w:p>
    <w:p>
      <w:pPr>
        <w:ind w:left="720" w:right="700" w:hanging="370"/>
        <w:spacing w:after="0" w:line="313" w:lineRule="auto"/>
        <w:tabs>
          <w:tab w:leader="none" w:pos="720" w:val="left"/>
        </w:tabs>
        <w:numPr>
          <w:ilvl w:val="0"/>
          <w:numId w:val="21"/>
        </w:numPr>
        <w:rPr>
          <w:rFonts w:ascii="Arial" w:cs="Arial" w:eastAsia="Arial" w:hAnsi="Arial"/>
          <w:sz w:val="19"/>
          <w:szCs w:val="19"/>
          <w:b w:val="1"/>
          <w:bCs w:val="1"/>
          <w:color w:val="DF1995"/>
        </w:rPr>
      </w:pPr>
      <w:r>
        <w:rPr>
          <w:rFonts w:ascii="Arial" w:cs="Arial" w:eastAsia="Arial" w:hAnsi="Arial"/>
          <w:sz w:val="19"/>
          <w:szCs w:val="19"/>
          <w:b w:val="1"/>
          <w:bCs w:val="1"/>
          <w:color w:val="auto"/>
        </w:rPr>
        <w:t>product supply disruptions and increased costs as a result of heightened exposure to changes in the policies of the Chinese government, political unrest or unstable economic conditions in China; and</w:t>
      </w:r>
    </w:p>
    <w:p>
      <w:pPr>
        <w:spacing w:after="0" w:line="30" w:lineRule="exact"/>
        <w:rPr>
          <w:rFonts w:ascii="Arial" w:cs="Arial" w:eastAsia="Arial" w:hAnsi="Arial"/>
          <w:sz w:val="19"/>
          <w:szCs w:val="19"/>
          <w:b w:val="1"/>
          <w:bCs w:val="1"/>
          <w:color w:val="DF1995"/>
        </w:rPr>
      </w:pPr>
    </w:p>
    <w:p>
      <w:pPr>
        <w:ind w:left="720" w:right="700" w:hanging="370"/>
        <w:spacing w:after="0" w:line="285" w:lineRule="auto"/>
        <w:tabs>
          <w:tab w:leader="none" w:pos="720" w:val="left"/>
        </w:tabs>
        <w:numPr>
          <w:ilvl w:val="0"/>
          <w:numId w:val="21"/>
        </w:numPr>
        <w:rPr>
          <w:rFonts w:ascii="Arial" w:cs="Arial" w:eastAsia="Arial" w:hAnsi="Arial"/>
          <w:sz w:val="20"/>
          <w:szCs w:val="20"/>
          <w:b w:val="1"/>
          <w:bCs w:val="1"/>
          <w:color w:val="DF1995"/>
        </w:rPr>
      </w:pPr>
      <w:r>
        <w:rPr>
          <w:rFonts w:ascii="Arial" w:cs="Arial" w:eastAsia="Arial" w:hAnsi="Arial"/>
          <w:sz w:val="20"/>
          <w:szCs w:val="20"/>
          <w:b w:val="1"/>
          <w:bCs w:val="1"/>
          <w:color w:val="auto"/>
        </w:rPr>
        <w:t>the nationalization or other expropriation of private enterprises or intellectual property by the Chinese government.</w:t>
      </w:r>
    </w:p>
    <w:p>
      <w:pPr>
        <w:spacing w:after="0" w:line="54" w:lineRule="exact"/>
        <w:rPr>
          <w:sz w:val="20"/>
          <w:szCs w:val="20"/>
          <w:color w:val="auto"/>
        </w:rPr>
      </w:pPr>
    </w:p>
    <w:p>
      <w:pPr>
        <w:jc w:val="both"/>
        <w:ind w:right="680"/>
        <w:spacing w:after="0" w:line="285" w:lineRule="auto"/>
        <w:rPr>
          <w:sz w:val="20"/>
          <w:szCs w:val="20"/>
          <w:color w:val="auto"/>
        </w:rPr>
      </w:pPr>
      <w:r>
        <w:rPr>
          <w:rFonts w:ascii="Arial" w:cs="Arial" w:eastAsia="Arial" w:hAnsi="Arial"/>
          <w:sz w:val="20"/>
          <w:szCs w:val="20"/>
          <w:b w:val="1"/>
          <w:bCs w:val="1"/>
          <w:color w:val="auto"/>
        </w:rPr>
        <w:t>Difficulties in this relationship may require us to take actions adverse to our business to comply with governmental restrictions on business and trade with China.</w:t>
      </w:r>
    </w:p>
    <w:p>
      <w:pPr>
        <w:spacing w:after="0" w:line="114"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We face significant risks associated with doing business with Taiwanese suppliers and manufacturers due to the tense relationship between Taiwan and mainland China.</w:t>
      </w:r>
    </w:p>
    <w:p>
      <w:pPr>
        <w:spacing w:after="0" w:line="54" w:lineRule="exact"/>
        <w:rPr>
          <w:sz w:val="20"/>
          <w:szCs w:val="20"/>
          <w:color w:val="auto"/>
        </w:rPr>
      </w:pPr>
    </w:p>
    <w:p>
      <w:pPr>
        <w:jc w:val="both"/>
        <w:ind w:right="680"/>
        <w:spacing w:after="0" w:line="285" w:lineRule="auto"/>
        <w:rPr>
          <w:sz w:val="20"/>
          <w:szCs w:val="20"/>
          <w:color w:val="auto"/>
        </w:rPr>
      </w:pPr>
      <w:r>
        <w:rPr>
          <w:rFonts w:ascii="Arial" w:cs="Arial" w:eastAsia="Arial" w:hAnsi="Arial"/>
          <w:sz w:val="18"/>
          <w:szCs w:val="18"/>
          <w:b w:val="1"/>
          <w:bCs w:val="1"/>
          <w:color w:val="auto"/>
        </w:rPr>
        <w:t>Substantially all of our consumable chips are partly manufactured by a company based in Taiwan. Our supply of consumable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including trade disputes,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spacing w:after="0" w:line="122"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i w:val="1"/>
          <w:iCs w:val="1"/>
          <w:color w:val="DF1995"/>
        </w:rPr>
        <w:t>Our operating results fluctuate from quarter to quarter and year over year, which makes our future results difficult to predict and could negatively impact the market price of our common stock.</w:t>
      </w:r>
    </w:p>
    <w:p>
      <w:pPr>
        <w:spacing w:after="0" w:line="58" w:lineRule="exact"/>
        <w:rPr>
          <w:sz w:val="20"/>
          <w:szCs w:val="20"/>
          <w:color w:val="auto"/>
        </w:rPr>
      </w:pPr>
    </w:p>
    <w:p>
      <w:pPr>
        <w:jc w:val="both"/>
        <w:ind w:right="700"/>
        <w:spacing w:after="0" w:line="275" w:lineRule="auto"/>
        <w:rPr>
          <w:sz w:val="20"/>
          <w:szCs w:val="20"/>
          <w:color w:val="auto"/>
        </w:rPr>
      </w:pPr>
      <w:r>
        <w:rPr>
          <w:rFonts w:ascii="Arial" w:cs="Arial" w:eastAsia="Arial" w:hAnsi="Arial"/>
          <w:sz w:val="19"/>
          <w:szCs w:val="19"/>
          <w:b w:val="1"/>
          <w:bCs w:val="1"/>
          <w:color w:val="auto"/>
        </w:rPr>
        <w:t>Sales of our products, particularly our sequencing instruments, are subject to significant seasonality due to several factors, including the procurement and budgeting cycles of many of our customers, especially government-funded customers, which often coincide with government fiscal year ends and significant holidays disrupting business and sales activities in key markets. These factors have contributed, and in the future may contribute, to substantial fluctuations in our quarterly operating results.</w:t>
      </w:r>
    </w:p>
    <w:p>
      <w:pPr>
        <w:spacing w:after="0" w:line="68"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Our operating results during any given period can also be impacted by numerous other factors, including the following:</w:t>
      </w:r>
    </w:p>
    <w:p>
      <w:pPr>
        <w:spacing w:after="0" w:line="58" w:lineRule="exact"/>
        <w:rPr>
          <w:sz w:val="20"/>
          <w:szCs w:val="20"/>
          <w:color w:val="auto"/>
        </w:rPr>
      </w:pPr>
    </w:p>
    <w:p>
      <w:pPr>
        <w:ind w:left="720" w:hanging="370"/>
        <w:spacing w:after="0"/>
        <w:tabs>
          <w:tab w:leader="none" w:pos="720" w:val="left"/>
        </w:tabs>
        <w:numPr>
          <w:ilvl w:val="0"/>
          <w:numId w:val="22"/>
        </w:numPr>
        <w:rPr>
          <w:rFonts w:ascii="Arial" w:cs="Arial" w:eastAsia="Arial" w:hAnsi="Arial"/>
          <w:sz w:val="20"/>
          <w:szCs w:val="20"/>
          <w:b w:val="1"/>
          <w:bCs w:val="1"/>
          <w:color w:val="DF1995"/>
        </w:rPr>
      </w:pPr>
      <w:r>
        <w:rPr>
          <w:rFonts w:ascii="Arial" w:cs="Arial" w:eastAsia="Arial" w:hAnsi="Arial"/>
          <w:sz w:val="20"/>
          <w:szCs w:val="20"/>
          <w:b w:val="1"/>
          <w:bCs w:val="1"/>
          <w:color w:val="auto"/>
        </w:rPr>
        <w:t>market acceptance for our products;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2"/>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attract new customers;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2"/>
        </w:numPr>
        <w:rPr>
          <w:rFonts w:ascii="Arial" w:cs="Arial" w:eastAsia="Arial" w:hAnsi="Arial"/>
          <w:sz w:val="20"/>
          <w:szCs w:val="20"/>
          <w:b w:val="1"/>
          <w:bCs w:val="1"/>
          <w:color w:val="DF1995"/>
        </w:rPr>
      </w:pPr>
      <w:r>
        <w:rPr>
          <w:rFonts w:ascii="Arial" w:cs="Arial" w:eastAsia="Arial" w:hAnsi="Arial"/>
          <w:sz w:val="20"/>
          <w:szCs w:val="20"/>
          <w:b w:val="1"/>
          <w:bCs w:val="1"/>
          <w:color w:val="auto"/>
        </w:rPr>
        <w:t>the length of our sales cycles, as discussed above;</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2"/>
        </w:numPr>
        <w:rPr>
          <w:rFonts w:ascii="Arial" w:cs="Arial" w:eastAsia="Arial" w:hAnsi="Arial"/>
          <w:sz w:val="18"/>
          <w:szCs w:val="18"/>
          <w:b w:val="1"/>
          <w:bCs w:val="1"/>
          <w:color w:val="DF1995"/>
        </w:rPr>
      </w:pPr>
      <w:r>
        <w:rPr>
          <w:rFonts w:ascii="Arial" w:cs="Arial" w:eastAsia="Arial" w:hAnsi="Arial"/>
          <w:sz w:val="18"/>
          <w:szCs w:val="18"/>
          <w:b w:val="1"/>
          <w:bCs w:val="1"/>
          <w:color w:val="auto"/>
        </w:rPr>
        <w:t>our ability to achieve economies of scale and other manufacturing efficiencies at the rate we anticipate;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241935</wp:posOffset>
                </wp:positionV>
                <wp:extent cx="731520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05pt" to="535pt,19.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241935</wp:posOffset>
                </wp:positionV>
                <wp:extent cx="731520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05pt" to="535pt,19.0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32"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left="720" w:hanging="370"/>
        <w:spacing w:after="0"/>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publications of studies by us, our competitors or third parties;</w:t>
      </w:r>
    </w:p>
    <w:p>
      <w:pPr>
        <w:spacing w:after="0" w:line="130" w:lineRule="exact"/>
        <w:rPr>
          <w:rFonts w:ascii="Arial" w:cs="Arial" w:eastAsia="Arial" w:hAnsi="Arial"/>
          <w:sz w:val="20"/>
          <w:szCs w:val="20"/>
          <w:b w:val="1"/>
          <w:bCs w:val="1"/>
          <w:color w:val="DF1995"/>
        </w:rPr>
      </w:pPr>
    </w:p>
    <w:p>
      <w:pPr>
        <w:ind w:left="720" w:right="680" w:hanging="370"/>
        <w:spacing w:after="0" w:line="285" w:lineRule="auto"/>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the timing and success of new product introductions by us or our competitors or other changes in the competitive dynamics of our industry, such as consolidation;</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the amount and timing of our costs and expenses;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changes in our pricing policies or those of our competitors;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general economic, industry and market conditions;</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the impact of catastrophic events, including health epidemics or pandemics and military or other armed conflicts;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the regulatory environment in which we operate;</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expenses associated with warranty obligations or unforeseen product quality issues;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3"/>
        </w:numPr>
        <w:rPr>
          <w:rFonts w:ascii="Arial" w:cs="Arial" w:eastAsia="Arial" w:hAnsi="Arial"/>
          <w:sz w:val="18"/>
          <w:szCs w:val="18"/>
          <w:b w:val="1"/>
          <w:bCs w:val="1"/>
          <w:color w:val="DF1995"/>
        </w:rPr>
      </w:pPr>
      <w:r>
        <w:rPr>
          <w:rFonts w:ascii="Arial" w:cs="Arial" w:eastAsia="Arial" w:hAnsi="Arial"/>
          <w:sz w:val="18"/>
          <w:szCs w:val="18"/>
          <w:b w:val="1"/>
          <w:bCs w:val="1"/>
          <w:color w:val="auto"/>
        </w:rPr>
        <w:t>the hiring, training, and retention of key employees, including our ability to grow our sales organization;</w:t>
      </w:r>
    </w:p>
    <w:p>
      <w:pPr>
        <w:spacing w:after="0" w:line="153" w:lineRule="exact"/>
        <w:rPr>
          <w:rFonts w:ascii="Arial" w:cs="Arial" w:eastAsia="Arial" w:hAnsi="Arial"/>
          <w:sz w:val="18"/>
          <w:szCs w:val="18"/>
          <w:b w:val="1"/>
          <w:bCs w:val="1"/>
          <w:color w:val="DF1995"/>
        </w:rPr>
      </w:pPr>
    </w:p>
    <w:p>
      <w:pPr>
        <w:ind w:left="720" w:hanging="370"/>
        <w:spacing w:after="0"/>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litigation or other claims against us for intellectual property infringement or otherwise;</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obtain additional financing as necessary; and</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3"/>
        </w:numPr>
        <w:rPr>
          <w:rFonts w:ascii="Arial" w:cs="Arial" w:eastAsia="Arial" w:hAnsi="Arial"/>
          <w:sz w:val="20"/>
          <w:szCs w:val="20"/>
          <w:b w:val="1"/>
          <w:bCs w:val="1"/>
          <w:color w:val="DF1995"/>
        </w:rPr>
      </w:pPr>
      <w:r>
        <w:rPr>
          <w:rFonts w:ascii="Arial" w:cs="Arial" w:eastAsia="Arial" w:hAnsi="Arial"/>
          <w:sz w:val="20"/>
          <w:szCs w:val="20"/>
          <w:b w:val="1"/>
          <w:bCs w:val="1"/>
          <w:color w:val="auto"/>
        </w:rPr>
        <w:t>changes or trends in new technologies and industry standards.</w:t>
      </w:r>
    </w:p>
    <w:p>
      <w:pPr>
        <w:spacing w:after="0" w:line="130"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b w:val="1"/>
          <w:bCs w:val="1"/>
          <w:color w:val="auto"/>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Additionally, any bankruptcy of a customer or other party with whom we do business, or the failure of any such party to make payments when due, or any breach or default by any such party, or the loss of any significant partnerships, could impact our revenue recognition or result in material losses to us, which may have a material adverse impact on our business.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131"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Our ability to use net operating losses and certain other tax attributes to offset future taxable income may be subject to substantial limitations.</w:t>
      </w:r>
    </w:p>
    <w:p>
      <w:pPr>
        <w:spacing w:after="0" w:line="54"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Under Sections 382 and 383 of the Internal Revenue Code of 1986, as amended, a corporation that undergoes an “ownership change” is subject to limitations on its ability to utilize its pre-change net operating losses (“NOLs”) and other pre-change tax attributes, such as research and development credits, to offset its post-change taxable income or tax liability. An “ownership change” is generally defined as a greater than 50% change (by value) in a corporation’s equity ownership by “5 percent shareholders” over a rolling three-year period. We believe that we have had one or more ownership changes, and as a result our existing NOLs are currently subject to limitation. Future changes in our stock ownership could result in additional ownership changes, including potentially material changes, under Sections 382 and 383. Further, California has enacted legislation that limits the use of state NOLs for tax years beginning on or after January 1, 2024, and before January 1, 2027. Other limitations may also apply under state tax law. As a result of this legislation or other unforeseen reasons, we may not be able to utilize some or all of our NOLs even if we attain profitability.</w:t>
      </w:r>
    </w:p>
    <w:p>
      <w:pPr>
        <w:spacing w:after="0" w:line="136"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i w:val="1"/>
          <w:iCs w:val="1"/>
          <w:color w:val="DF1995"/>
        </w:rPr>
        <w:t>Changes in tax law and differences in interpretation of tax laws and regulations could adversely impact our business and financial condition.</w:t>
      </w:r>
    </w:p>
    <w:p>
      <w:pPr>
        <w:spacing w:after="0" w:line="58" w:lineRule="exact"/>
        <w:rPr>
          <w:sz w:val="20"/>
          <w:szCs w:val="20"/>
          <w:color w:val="auto"/>
        </w:rPr>
      </w:pPr>
    </w:p>
    <w:p>
      <w:pPr>
        <w:jc w:val="both"/>
        <w:ind w:right="700"/>
        <w:spacing w:after="0" w:line="275" w:lineRule="auto"/>
        <w:rPr>
          <w:sz w:val="20"/>
          <w:szCs w:val="20"/>
          <w:color w:val="auto"/>
        </w:rPr>
      </w:pPr>
      <w:r>
        <w:rPr>
          <w:rFonts w:ascii="Arial" w:cs="Arial" w:eastAsia="Arial" w:hAnsi="Arial"/>
          <w:sz w:val="19"/>
          <w:szCs w:val="19"/>
          <w:b w:val="1"/>
          <w:bCs w:val="1"/>
          <w:color w:val="auto"/>
        </w:rPr>
        <w:t>We operate in multiple jurisdictions and are subject to tax laws and regulations of the U.S. federal, state and local and non-U.S. governments. Tax laws, regulations and administrative practices in these jurisdictions may be subject to significant changes, with or without advance notice. Changes in tax laws, regulations or rulings, changes in interpretations of existing laws and regulations or changes in accounting principles could negatively and materially affect our financial position, cash flows, and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1102360</wp:posOffset>
                </wp:positionV>
                <wp:extent cx="731520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86.8pt" to="535pt,86.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1102360</wp:posOffset>
                </wp:positionV>
                <wp:extent cx="731520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86.8pt" to="535pt,86.8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i w:val="1"/>
          <w:iCs w:val="1"/>
          <w:color w:val="DF1995"/>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70" w:lineRule="exact"/>
        <w:rPr>
          <w:sz w:val="20"/>
          <w:szCs w:val="20"/>
          <w:color w:val="auto"/>
        </w:rPr>
      </w:pPr>
    </w:p>
    <w:p>
      <w:pPr>
        <w:jc w:val="both"/>
        <w:ind w:right="700"/>
        <w:spacing w:after="0" w:line="270" w:lineRule="auto"/>
        <w:rPr>
          <w:sz w:val="20"/>
          <w:szCs w:val="20"/>
          <w:color w:val="auto"/>
        </w:rPr>
      </w:pPr>
      <w:r>
        <w:rPr>
          <w:rFonts w:ascii="Arial" w:cs="Arial" w:eastAsia="Arial" w:hAnsi="Arial"/>
          <w:sz w:val="19"/>
          <w:szCs w:val="19"/>
          <w:b w:val="1"/>
          <w:bCs w:val="1"/>
          <w:color w:val="auto"/>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1383C6"/>
        </w:rPr>
        <w:t>Risks Related to Our Intellectual Property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i w:val="1"/>
          <w:iCs w:val="1"/>
          <w:color w:val="DF1995"/>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7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70" w:lineRule="exact"/>
        <w:rPr>
          <w:sz w:val="20"/>
          <w:szCs w:val="20"/>
          <w:color w:val="auto"/>
        </w:rPr>
      </w:pPr>
    </w:p>
    <w:p>
      <w:pPr>
        <w:ind w:left="720" w:right="700" w:hanging="370"/>
        <w:spacing w:after="0" w:line="285" w:lineRule="auto"/>
        <w:tabs>
          <w:tab w:leader="none" w:pos="720" w:val="left"/>
        </w:tabs>
        <w:numPr>
          <w:ilvl w:val="0"/>
          <w:numId w:val="24"/>
        </w:numPr>
        <w:rPr>
          <w:rFonts w:ascii="Arial" w:cs="Arial" w:eastAsia="Arial" w:hAnsi="Arial"/>
          <w:sz w:val="20"/>
          <w:szCs w:val="20"/>
          <w:b w:val="1"/>
          <w:bCs w:val="1"/>
          <w:color w:val="DF1995"/>
        </w:rPr>
      </w:pPr>
      <w:r>
        <w:rPr>
          <w:rFonts w:ascii="Arial" w:cs="Arial" w:eastAsia="Arial" w:hAnsi="Arial"/>
          <w:sz w:val="20"/>
          <w:szCs w:val="20"/>
          <w:b w:val="1"/>
          <w:bCs w:val="1"/>
          <w:color w:val="auto"/>
        </w:rPr>
        <w:t>we or our licensors might not have been the first to make the inventions covered by each of our pending patent applications or issued patents;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4"/>
        </w:numPr>
        <w:rPr>
          <w:rFonts w:ascii="Arial" w:cs="Arial" w:eastAsia="Arial" w:hAnsi="Arial"/>
          <w:sz w:val="20"/>
          <w:szCs w:val="20"/>
          <w:b w:val="1"/>
          <w:bCs w:val="1"/>
          <w:color w:val="DF1995"/>
        </w:rPr>
      </w:pPr>
      <w:r>
        <w:rPr>
          <w:rFonts w:ascii="Arial" w:cs="Arial" w:eastAsia="Arial" w:hAnsi="Arial"/>
          <w:sz w:val="20"/>
          <w:szCs w:val="20"/>
          <w:b w:val="1"/>
          <w:bCs w:val="1"/>
          <w:color w:val="auto"/>
        </w:rPr>
        <w:t>we or our licensors might not have been the first to file patent applications for these inventions;</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4"/>
        </w:numPr>
        <w:rPr>
          <w:rFonts w:ascii="Arial" w:cs="Arial" w:eastAsia="Arial" w:hAnsi="Arial"/>
          <w:sz w:val="20"/>
          <w:szCs w:val="20"/>
          <w:b w:val="1"/>
          <w:bCs w:val="1"/>
          <w:color w:val="DF1995"/>
        </w:rPr>
      </w:pPr>
      <w:r>
        <w:rPr>
          <w:rFonts w:ascii="Arial" w:cs="Arial" w:eastAsia="Arial" w:hAnsi="Arial"/>
          <w:sz w:val="20"/>
          <w:szCs w:val="20"/>
          <w:b w:val="1"/>
          <w:bCs w:val="1"/>
          <w:color w:val="auto"/>
        </w:rPr>
        <w:t>it is possible that neither our pending patent applications nor the pending patent applications of our licensors will result in issued patents;</w:t>
      </w:r>
    </w:p>
    <w:p>
      <w:pPr>
        <w:spacing w:after="0" w:line="53" w:lineRule="exact"/>
        <w:rPr>
          <w:rFonts w:ascii="Arial" w:cs="Arial" w:eastAsia="Arial" w:hAnsi="Arial"/>
          <w:sz w:val="20"/>
          <w:szCs w:val="20"/>
          <w:b w:val="1"/>
          <w:bCs w:val="1"/>
          <w:color w:val="DF1995"/>
        </w:rPr>
      </w:pPr>
    </w:p>
    <w:p>
      <w:pPr>
        <w:jc w:val="both"/>
        <w:ind w:left="720" w:right="700" w:hanging="370"/>
        <w:spacing w:after="0" w:line="288" w:lineRule="auto"/>
        <w:tabs>
          <w:tab w:leader="none" w:pos="720" w:val="left"/>
        </w:tabs>
        <w:numPr>
          <w:ilvl w:val="0"/>
          <w:numId w:val="24"/>
        </w:numPr>
        <w:rPr>
          <w:rFonts w:ascii="Arial" w:cs="Arial" w:eastAsia="Arial" w:hAnsi="Arial"/>
          <w:sz w:val="19"/>
          <w:szCs w:val="19"/>
          <w:b w:val="1"/>
          <w:bCs w:val="1"/>
          <w:color w:val="DF1995"/>
        </w:rPr>
      </w:pPr>
      <w:r>
        <w:rPr>
          <w:rFonts w:ascii="Arial" w:cs="Arial" w:eastAsia="Arial" w:hAnsi="Arial"/>
          <w:sz w:val="19"/>
          <w:szCs w:val="19"/>
          <w:b w:val="1"/>
          <w:bCs w:val="1"/>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53" w:lineRule="exact"/>
        <w:rPr>
          <w:rFonts w:ascii="Arial" w:cs="Arial" w:eastAsia="Arial" w:hAnsi="Arial"/>
          <w:sz w:val="19"/>
          <w:szCs w:val="19"/>
          <w:b w:val="1"/>
          <w:bCs w:val="1"/>
          <w:color w:val="DF1995"/>
        </w:rPr>
      </w:pPr>
    </w:p>
    <w:p>
      <w:pPr>
        <w:jc w:val="both"/>
        <w:ind w:left="720" w:right="700" w:hanging="370"/>
        <w:spacing w:after="0" w:line="262" w:lineRule="auto"/>
        <w:tabs>
          <w:tab w:leader="none" w:pos="720" w:val="left"/>
        </w:tabs>
        <w:numPr>
          <w:ilvl w:val="0"/>
          <w:numId w:val="24"/>
        </w:numPr>
        <w:rPr>
          <w:rFonts w:ascii="Arial" w:cs="Arial" w:eastAsia="Arial" w:hAnsi="Arial"/>
          <w:sz w:val="20"/>
          <w:szCs w:val="20"/>
          <w:b w:val="1"/>
          <w:bCs w:val="1"/>
          <w:color w:val="DF1995"/>
        </w:rPr>
      </w:pPr>
      <w:r>
        <w:rPr>
          <w:rFonts w:ascii="Arial" w:cs="Arial" w:eastAsia="Arial" w:hAnsi="Arial"/>
          <w:sz w:val="20"/>
          <w:szCs w:val="20"/>
          <w:b w:val="1"/>
          <w:bCs w:val="1"/>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75"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4"/>
        </w:numPr>
        <w:rPr>
          <w:rFonts w:ascii="Arial" w:cs="Arial" w:eastAsia="Arial" w:hAnsi="Arial"/>
          <w:sz w:val="20"/>
          <w:szCs w:val="20"/>
          <w:b w:val="1"/>
          <w:bCs w:val="1"/>
          <w:color w:val="DF1995"/>
        </w:rPr>
      </w:pPr>
      <w:r>
        <w:rPr>
          <w:rFonts w:ascii="Arial" w:cs="Arial" w:eastAsia="Arial" w:hAnsi="Arial"/>
          <w:sz w:val="20"/>
          <w:szCs w:val="20"/>
          <w:b w:val="1"/>
          <w:bCs w:val="1"/>
          <w:color w:val="auto"/>
        </w:rPr>
        <w:t>our enforcement of patents and proprietary rights in other countries may be problematic or unpredictable;</w:t>
      </w:r>
    </w:p>
    <w:p>
      <w:pPr>
        <w:spacing w:after="0" w:line="53" w:lineRule="exact"/>
        <w:rPr>
          <w:rFonts w:ascii="Arial" w:cs="Arial" w:eastAsia="Arial" w:hAnsi="Arial"/>
          <w:sz w:val="20"/>
          <w:szCs w:val="20"/>
          <w:b w:val="1"/>
          <w:bCs w:val="1"/>
          <w:color w:val="DF1995"/>
        </w:rPr>
      </w:pPr>
    </w:p>
    <w:p>
      <w:pPr>
        <w:jc w:val="both"/>
        <w:ind w:left="720" w:right="680" w:hanging="370"/>
        <w:spacing w:after="0" w:line="266" w:lineRule="auto"/>
        <w:tabs>
          <w:tab w:leader="none" w:pos="720" w:val="left"/>
        </w:tabs>
        <w:numPr>
          <w:ilvl w:val="0"/>
          <w:numId w:val="24"/>
        </w:numPr>
        <w:rPr>
          <w:rFonts w:ascii="Arial" w:cs="Arial" w:eastAsia="Arial" w:hAnsi="Arial"/>
          <w:sz w:val="20"/>
          <w:szCs w:val="20"/>
          <w:b w:val="1"/>
          <w:bCs w:val="1"/>
          <w:color w:val="DF1995"/>
        </w:rPr>
      </w:pPr>
      <w:r>
        <w:rPr>
          <w:rFonts w:ascii="Arial" w:cs="Arial" w:eastAsia="Arial" w:hAnsi="Arial"/>
          <w:sz w:val="20"/>
          <w:szCs w:val="20"/>
          <w:b w:val="1"/>
          <w:bCs w:val="1"/>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75"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4"/>
        </w:numPr>
        <w:rPr>
          <w:rFonts w:ascii="Arial" w:cs="Arial" w:eastAsia="Arial" w:hAnsi="Arial"/>
          <w:sz w:val="20"/>
          <w:szCs w:val="20"/>
          <w:b w:val="1"/>
          <w:bCs w:val="1"/>
          <w:color w:val="DF1995"/>
        </w:rPr>
      </w:pPr>
      <w:r>
        <w:rPr>
          <w:rFonts w:ascii="Arial" w:cs="Arial" w:eastAsia="Arial" w:hAnsi="Arial"/>
          <w:sz w:val="20"/>
          <w:szCs w:val="20"/>
          <w:b w:val="1"/>
          <w:bCs w:val="1"/>
          <w:color w:val="auto"/>
        </w:rPr>
        <w:t>we or our partners may not adequately protect our trade secrets;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4"/>
        </w:numPr>
        <w:rPr>
          <w:rFonts w:ascii="Arial" w:cs="Arial" w:eastAsia="Arial" w:hAnsi="Arial"/>
          <w:sz w:val="20"/>
          <w:szCs w:val="20"/>
          <w:b w:val="1"/>
          <w:bCs w:val="1"/>
          <w:color w:val="DF1995"/>
        </w:rPr>
      </w:pPr>
      <w:r>
        <w:rPr>
          <w:rFonts w:ascii="Arial" w:cs="Arial" w:eastAsia="Arial" w:hAnsi="Arial"/>
          <w:sz w:val="20"/>
          <w:szCs w:val="20"/>
          <w:b w:val="1"/>
          <w:bCs w:val="1"/>
          <w:color w:val="auto"/>
        </w:rPr>
        <w:t>we may not develop additional proprietary technologies that are patentable; or</w:t>
      </w:r>
    </w:p>
    <w:p>
      <w:pPr>
        <w:spacing w:after="0" w:line="130" w:lineRule="exact"/>
        <w:rPr>
          <w:rFonts w:ascii="Arial" w:cs="Arial" w:eastAsia="Arial" w:hAnsi="Arial"/>
          <w:sz w:val="20"/>
          <w:szCs w:val="20"/>
          <w:b w:val="1"/>
          <w:bCs w:val="1"/>
          <w:color w:val="DF1995"/>
        </w:rPr>
      </w:pPr>
    </w:p>
    <w:p>
      <w:pPr>
        <w:ind w:left="720" w:right="700" w:hanging="370"/>
        <w:spacing w:after="0" w:line="283" w:lineRule="auto"/>
        <w:tabs>
          <w:tab w:leader="none" w:pos="720" w:val="left"/>
        </w:tabs>
        <w:numPr>
          <w:ilvl w:val="0"/>
          <w:numId w:val="24"/>
        </w:numPr>
        <w:rPr>
          <w:rFonts w:ascii="Arial" w:cs="Arial" w:eastAsia="Arial" w:hAnsi="Arial"/>
          <w:sz w:val="20"/>
          <w:szCs w:val="20"/>
          <w:b w:val="1"/>
          <w:bCs w:val="1"/>
          <w:color w:val="DF1995"/>
        </w:rPr>
      </w:pPr>
      <w:r>
        <w:rPr>
          <w:rFonts w:ascii="Arial" w:cs="Arial" w:eastAsia="Arial" w:hAnsi="Arial"/>
          <w:sz w:val="20"/>
          <w:szCs w:val="20"/>
          <w:b w:val="1"/>
          <w:bCs w:val="1"/>
          <w:color w:val="auto"/>
        </w:rPr>
        <w:t>the patents of others may limit our freedom to operate and prevent us from commercializing our technology in accordance with our plans.</w:t>
      </w:r>
    </w:p>
    <w:p>
      <w:pPr>
        <w:spacing w:after="0" w:line="58" w:lineRule="exact"/>
        <w:rPr>
          <w:sz w:val="20"/>
          <w:szCs w:val="20"/>
          <w:color w:val="auto"/>
        </w:rPr>
      </w:pPr>
    </w:p>
    <w:p>
      <w:pPr>
        <w:ind w:right="700"/>
        <w:spacing w:after="0" w:line="341" w:lineRule="auto"/>
        <w:rPr>
          <w:sz w:val="20"/>
          <w:szCs w:val="20"/>
          <w:color w:val="auto"/>
        </w:rPr>
      </w:pPr>
      <w:r>
        <w:rPr>
          <w:rFonts w:ascii="Arial" w:cs="Arial" w:eastAsia="Arial" w:hAnsi="Arial"/>
          <w:sz w:val="18"/>
          <w:szCs w:val="18"/>
          <w:b w:val="1"/>
          <w:bCs w:val="1"/>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1508125</wp:posOffset>
                </wp:positionV>
                <wp:extent cx="731520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18.75pt" to="535pt,118.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1508125</wp:posOffset>
                </wp:positionV>
                <wp:extent cx="731520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18.75pt" to="535pt,118.7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Variability in intellectual property laws may adversely affect our intellectual property position.</w:t>
      </w:r>
    </w:p>
    <w:p>
      <w:pPr>
        <w:spacing w:after="0" w:line="130" w:lineRule="exact"/>
        <w:rPr>
          <w:sz w:val="20"/>
          <w:szCs w:val="20"/>
          <w:color w:val="auto"/>
        </w:rPr>
      </w:pPr>
    </w:p>
    <w:p>
      <w:pPr>
        <w:jc w:val="both"/>
        <w:ind w:right="700"/>
        <w:spacing w:after="0" w:line="254" w:lineRule="auto"/>
        <w:rPr>
          <w:sz w:val="20"/>
          <w:szCs w:val="20"/>
          <w:color w:val="auto"/>
        </w:rPr>
      </w:pPr>
      <w:r>
        <w:rPr>
          <w:rFonts w:ascii="Arial" w:cs="Arial" w:eastAsia="Arial" w:hAnsi="Arial"/>
          <w:sz w:val="20"/>
          <w:szCs w:val="20"/>
          <w:b w:val="1"/>
          <w:bCs w:val="1"/>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49"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i w:val="1"/>
          <w:iCs w:val="1"/>
          <w:color w:val="DF1995"/>
        </w:rPr>
        <w:t>Some of the intellectual property that is important to our business is owned by other companies or institutions and licensed to us, and changes to the rights we have licensed may adversely impact our business.</w:t>
      </w:r>
    </w:p>
    <w:p>
      <w:pPr>
        <w:spacing w:after="0" w:line="8" w:lineRule="exact"/>
        <w:rPr>
          <w:sz w:val="20"/>
          <w:szCs w:val="20"/>
          <w:color w:val="auto"/>
        </w:rPr>
      </w:pPr>
    </w:p>
    <w:p>
      <w:pPr>
        <w:jc w:val="both"/>
        <w:ind w:right="680"/>
        <w:spacing w:after="0" w:line="265" w:lineRule="auto"/>
        <w:rPr>
          <w:sz w:val="20"/>
          <w:szCs w:val="20"/>
          <w:color w:val="auto"/>
        </w:rPr>
      </w:pPr>
      <w:r>
        <w:rPr>
          <w:rFonts w:ascii="Arial" w:cs="Arial" w:eastAsia="Arial" w:hAnsi="Arial"/>
          <w:sz w:val="19"/>
          <w:szCs w:val="19"/>
          <w:b w:val="1"/>
          <w:bCs w:val="1"/>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3517265</wp:posOffset>
                </wp:positionV>
                <wp:extent cx="731520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76.95pt" to="535pt,27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3517265</wp:posOffset>
                </wp:positionV>
                <wp:extent cx="731520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76.95pt" to="535pt,276.9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i w:val="1"/>
          <w:iCs w:val="1"/>
          <w:color w:val="DF1995"/>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70" w:lineRule="exact"/>
        <w:rPr>
          <w:sz w:val="20"/>
          <w:szCs w:val="20"/>
          <w:color w:val="auto"/>
        </w:rPr>
      </w:pPr>
    </w:p>
    <w:p>
      <w:pPr>
        <w:jc w:val="both"/>
        <w:ind w:right="680"/>
        <w:spacing w:after="0" w:line="281" w:lineRule="auto"/>
        <w:rPr>
          <w:sz w:val="20"/>
          <w:szCs w:val="20"/>
          <w:color w:val="auto"/>
        </w:rPr>
      </w:pPr>
      <w:r>
        <w:rPr>
          <w:rFonts w:ascii="Arial" w:cs="Arial" w:eastAsia="Arial" w:hAnsi="Arial"/>
          <w:sz w:val="18"/>
          <w:szCs w:val="18"/>
          <w:b w:val="1"/>
          <w:bCs w:val="1"/>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135"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Our intellectual property may be subject to challenges in the United States or foreign jurisdictions that could adversely affect our intellectual property position.</w:t>
      </w:r>
    </w:p>
    <w:p>
      <w:pPr>
        <w:spacing w:after="0" w:line="54" w:lineRule="exact"/>
        <w:rPr>
          <w:sz w:val="20"/>
          <w:szCs w:val="20"/>
          <w:color w:val="auto"/>
        </w:rPr>
      </w:pPr>
    </w:p>
    <w:p>
      <w:pPr>
        <w:jc w:val="both"/>
        <w:ind w:right="680"/>
        <w:spacing w:after="0" w:line="281" w:lineRule="auto"/>
        <w:rPr>
          <w:sz w:val="20"/>
          <w:szCs w:val="20"/>
          <w:color w:val="auto"/>
        </w:rPr>
      </w:pPr>
      <w:r>
        <w:rPr>
          <w:rFonts w:ascii="Arial" w:cs="Arial" w:eastAsia="Arial" w:hAnsi="Arial"/>
          <w:sz w:val="18"/>
          <w:szCs w:val="18"/>
          <w:b w:val="1"/>
          <w:bCs w:val="1"/>
          <w:color w:val="auto"/>
        </w:rPr>
        <w:t xml:space="preserve">Our pending, issued and granted U.S. and foreign patents and patent applications have been, are and may in the future be, subject to challenges by ONT Ltd., Oxford Nanopore Technologies, Inc.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8"/>
          <w:szCs w:val="18"/>
          <w:b w:val="1"/>
          <w:bCs w:val="1"/>
          <w:i w:val="1"/>
          <w:iCs w:val="1"/>
          <w:color w:val="auto"/>
        </w:rPr>
        <w:t>inter partes</w:t>
      </w:r>
      <w:r>
        <w:rPr>
          <w:rFonts w:ascii="Arial" w:cs="Arial" w:eastAsia="Arial" w:hAnsi="Arial"/>
          <w:sz w:val="18"/>
          <w:szCs w:val="18"/>
          <w:b w:val="1"/>
          <w:bCs w:val="1"/>
          <w:color w:val="auto"/>
        </w:rPr>
        <w:t xml:space="preserve"> reviews of certain patents that we have asserted against ONT Inc. and ONT Ltd. in litigation proceedings for patent infringement. While none of the </w:t>
      </w:r>
      <w:r>
        <w:rPr>
          <w:rFonts w:ascii="Arial" w:cs="Arial" w:eastAsia="Arial" w:hAnsi="Arial"/>
          <w:sz w:val="18"/>
          <w:szCs w:val="18"/>
          <w:b w:val="1"/>
          <w:bCs w:val="1"/>
          <w:i w:val="1"/>
          <w:iCs w:val="1"/>
          <w:color w:val="auto"/>
        </w:rPr>
        <w:t>inter partes</w:t>
      </w:r>
      <w:r>
        <w:rPr>
          <w:rFonts w:ascii="Arial" w:cs="Arial" w:eastAsia="Arial" w:hAnsi="Arial"/>
          <w:sz w:val="18"/>
          <w:szCs w:val="18"/>
          <w:b w:val="1"/>
          <w:bCs w:val="1"/>
          <w:color w:val="auto"/>
        </w:rPr>
        <w:t xml:space="preserve"> 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1826895</wp:posOffset>
                </wp:positionV>
                <wp:extent cx="731520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43.85pt" to="535pt,143.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1826895</wp:posOffset>
                </wp:positionV>
                <wp:extent cx="731520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43.85pt" to="535pt,143.8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70">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Some of our technology is subject to “march-in” rights by the U.S. government.</w:t>
      </w:r>
    </w:p>
    <w:p>
      <w:pPr>
        <w:spacing w:after="0" w:line="130" w:lineRule="exact"/>
        <w:rPr>
          <w:sz w:val="20"/>
          <w:szCs w:val="20"/>
          <w:color w:val="auto"/>
        </w:rPr>
      </w:pPr>
    </w:p>
    <w:p>
      <w:pPr>
        <w:jc w:val="both"/>
        <w:ind w:right="680"/>
        <w:spacing w:after="0" w:line="283" w:lineRule="auto"/>
        <w:rPr>
          <w:sz w:val="20"/>
          <w:szCs w:val="20"/>
          <w:color w:val="auto"/>
        </w:rPr>
      </w:pPr>
      <w:r>
        <w:rPr>
          <w:rFonts w:ascii="Arial" w:cs="Arial" w:eastAsia="Arial" w:hAnsi="Arial"/>
          <w:sz w:val="18"/>
          <w:szCs w:val="18"/>
          <w:b w:val="1"/>
          <w:bCs w:val="1"/>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We are involved in legal proceedings to enforce our intellectual property rights.</w:t>
      </w:r>
    </w:p>
    <w:p>
      <w:pPr>
        <w:spacing w:after="0" w:line="130" w:lineRule="exact"/>
        <w:rPr>
          <w:sz w:val="20"/>
          <w:szCs w:val="20"/>
          <w:color w:val="auto"/>
        </w:rPr>
      </w:pPr>
    </w:p>
    <w:p>
      <w:pPr>
        <w:jc w:val="both"/>
        <w:ind w:right="700"/>
        <w:spacing w:after="0" w:line="266" w:lineRule="auto"/>
        <w:rPr>
          <w:sz w:val="20"/>
          <w:szCs w:val="20"/>
          <w:color w:val="auto"/>
        </w:rPr>
      </w:pPr>
      <w:r>
        <w:rPr>
          <w:rFonts w:ascii="Arial" w:cs="Arial" w:eastAsia="Arial" w:hAnsi="Arial"/>
          <w:sz w:val="19"/>
          <w:szCs w:val="19"/>
          <w:b w:val="1"/>
          <w:bCs w:val="1"/>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3971290</wp:posOffset>
                </wp:positionV>
                <wp:extent cx="731520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12.7pt" to="535pt,31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3971290</wp:posOffset>
                </wp:positionV>
                <wp:extent cx="731520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12.7pt" to="535pt,312.7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We have been, are currently, and could in the future be, subject to legal proceedings with third parties who may claim that our products infringe or misappropriate their intellectual property rights.</w:t>
      </w:r>
    </w:p>
    <w:p>
      <w:pPr>
        <w:spacing w:after="0" w:line="54" w:lineRule="exact"/>
        <w:rPr>
          <w:sz w:val="20"/>
          <w:szCs w:val="20"/>
          <w:color w:val="auto"/>
        </w:rPr>
      </w:pPr>
    </w:p>
    <w:p>
      <w:pPr>
        <w:jc w:val="both"/>
        <w:ind w:right="680"/>
        <w:spacing w:after="0" w:line="280" w:lineRule="auto"/>
        <w:rPr>
          <w:sz w:val="20"/>
          <w:szCs w:val="20"/>
          <w:color w:val="auto"/>
        </w:rPr>
      </w:pPr>
      <w:r>
        <w:rPr>
          <w:rFonts w:ascii="Arial" w:cs="Arial" w:eastAsia="Arial" w:hAnsi="Arial"/>
          <w:sz w:val="18"/>
          <w:szCs w:val="18"/>
          <w:b w:val="1"/>
          <w:bCs w:val="1"/>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311"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45"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i w:val="1"/>
          <w:iCs w:val="1"/>
          <w:color w:val="DF1995"/>
        </w:rPr>
        <w:t>We have not yet registered some of our trademarks in all of our potential markets, and failure to secure those registrations could adversely affect our business.</w:t>
      </w:r>
    </w:p>
    <w:p>
      <w:pPr>
        <w:spacing w:after="0" w:line="58" w:lineRule="exact"/>
        <w:rPr>
          <w:sz w:val="20"/>
          <w:szCs w:val="20"/>
          <w:color w:val="auto"/>
        </w:rPr>
      </w:pPr>
    </w:p>
    <w:p>
      <w:pPr>
        <w:jc w:val="both"/>
        <w:ind w:right="700"/>
        <w:spacing w:after="0" w:line="275" w:lineRule="auto"/>
        <w:rPr>
          <w:sz w:val="20"/>
          <w:szCs w:val="20"/>
          <w:color w:val="auto"/>
        </w:rPr>
      </w:pPr>
      <w:r>
        <w:rPr>
          <w:rFonts w:ascii="Arial" w:cs="Arial" w:eastAsia="Arial" w:hAnsi="Arial"/>
          <w:sz w:val="19"/>
          <w:szCs w:val="19"/>
          <w:b w:val="1"/>
          <w:bCs w:val="1"/>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28"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i w:val="1"/>
          <w:iCs w:val="1"/>
          <w:color w:val="DF1995"/>
        </w:rPr>
        <w:t>Our use of “open source” software could adversely affect our ability to sell our products and subject us to possible litigation.</w:t>
      </w:r>
    </w:p>
    <w:p>
      <w:pPr>
        <w:spacing w:after="0" w:line="58" w:lineRule="exact"/>
        <w:rPr>
          <w:sz w:val="20"/>
          <w:szCs w:val="20"/>
          <w:color w:val="auto"/>
        </w:rPr>
      </w:pPr>
    </w:p>
    <w:p>
      <w:pPr>
        <w:jc w:val="both"/>
        <w:ind w:right="680"/>
        <w:spacing w:after="0" w:line="343" w:lineRule="auto"/>
        <w:rPr>
          <w:sz w:val="20"/>
          <w:szCs w:val="20"/>
          <w:color w:val="auto"/>
        </w:rPr>
      </w:pPr>
      <w:r>
        <w:rPr>
          <w:rFonts w:ascii="Arial" w:cs="Arial" w:eastAsia="Arial" w:hAnsi="Arial"/>
          <w:sz w:val="18"/>
          <w:szCs w:val="18"/>
          <w:b w:val="1"/>
          <w:bCs w:val="1"/>
          <w:color w:val="auto"/>
        </w:rPr>
        <w:t>A portion of the products or technologies developed and/or distributed by us incorporate “open source” software, and we may incorporate open source software into other products or technologies in the future. Some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149860</wp:posOffset>
                </wp:positionV>
                <wp:extent cx="731520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1.8pt" to="535pt,11.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149860</wp:posOffset>
                </wp:positionV>
                <wp:extent cx="731520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1.8pt" to="535pt,11.8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387"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7" w:lineRule="auto"/>
        <w:rPr>
          <w:sz w:val="20"/>
          <w:szCs w:val="20"/>
          <w:color w:val="auto"/>
        </w:rPr>
      </w:pPr>
      <w:r>
        <w:rPr>
          <w:rFonts w:ascii="Arial" w:cs="Arial" w:eastAsia="Arial" w:hAnsi="Arial"/>
          <w:sz w:val="19"/>
          <w:szCs w:val="19"/>
          <w:b w:val="1"/>
          <w:bCs w:val="1"/>
          <w:color w:val="auto"/>
        </w:rPr>
        <w:t>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1383C6"/>
        </w:rPr>
        <w:t>Risks Related to Regulation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7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We are, and may become, subject to governmental regulations that may impose burdens on our operations, and the markets for our products may be narrowed.</w:t>
      </w:r>
    </w:p>
    <w:p>
      <w:pPr>
        <w:spacing w:after="0" w:line="54" w:lineRule="exact"/>
        <w:rPr>
          <w:sz w:val="20"/>
          <w:szCs w:val="20"/>
          <w:color w:val="auto"/>
        </w:rPr>
      </w:pPr>
    </w:p>
    <w:p>
      <w:pPr>
        <w:jc w:val="both"/>
        <w:ind w:right="680"/>
        <w:spacing w:after="0" w:line="265" w:lineRule="auto"/>
        <w:rPr>
          <w:sz w:val="20"/>
          <w:szCs w:val="20"/>
          <w:color w:val="auto"/>
        </w:rPr>
      </w:pPr>
      <w:r>
        <w:rPr>
          <w:rFonts w:ascii="Arial" w:cs="Arial" w:eastAsia="Arial" w:hAnsi="Arial"/>
          <w:sz w:val="19"/>
          <w:szCs w:val="19"/>
          <w:b w:val="1"/>
          <w:bCs w:val="1"/>
          <w:color w:val="auto"/>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On January 15, 2025, the United States Department of Commerce’s Bureau of Industry and Security (“BIS”) issued an Interim Final Rule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 Additionally, restrictions on the ability to send certain products and technology related to semiconductors, semiconductor manufacturing, and supercomputing to China continue to increase in both product and country scope and may impact our ability to provide products to customers or distributors worldwide.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91" w:lineRule="exact"/>
        <w:rPr>
          <w:sz w:val="20"/>
          <w:szCs w:val="20"/>
          <w:color w:val="auto"/>
        </w:rPr>
      </w:pPr>
    </w:p>
    <w:p>
      <w:pPr>
        <w:jc w:val="both"/>
        <w:ind w:right="680"/>
        <w:spacing w:after="0" w:line="285" w:lineRule="auto"/>
        <w:rPr>
          <w:sz w:val="20"/>
          <w:szCs w:val="20"/>
          <w:color w:val="auto"/>
        </w:rPr>
      </w:pPr>
      <w:r>
        <w:rPr>
          <w:rFonts w:ascii="Arial" w:cs="Arial" w:eastAsia="Arial" w:hAnsi="Arial"/>
          <w:sz w:val="18"/>
          <w:szCs w:val="18"/>
          <w:b w:val="1"/>
          <w:bCs w:val="1"/>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854075</wp:posOffset>
                </wp:positionV>
                <wp:extent cx="731520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67.25pt" to="535pt,6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854075</wp:posOffset>
                </wp:positionV>
                <wp:extent cx="731520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67.25pt" to="535pt,67.2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4">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i w:val="1"/>
          <w:iCs w:val="1"/>
          <w:color w:val="DF1995"/>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79" w:lineRule="exact"/>
        <w:rPr>
          <w:sz w:val="20"/>
          <w:szCs w:val="20"/>
          <w:color w:val="auto"/>
        </w:rPr>
      </w:pPr>
    </w:p>
    <w:p>
      <w:pPr>
        <w:jc w:val="both"/>
        <w:ind w:right="700"/>
        <w:spacing w:after="0" w:line="285" w:lineRule="auto"/>
        <w:rPr>
          <w:sz w:val="20"/>
          <w:szCs w:val="20"/>
          <w:color w:val="auto"/>
        </w:rPr>
      </w:pPr>
      <w:r>
        <w:rPr>
          <w:rFonts w:ascii="Arial" w:cs="Arial" w:eastAsia="Arial" w:hAnsi="Arial"/>
          <w:sz w:val="18"/>
          <w:szCs w:val="18"/>
          <w:b w:val="1"/>
          <w:bCs w:val="1"/>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LDTs for clinical diagnostic use, which could subject our products to government regulation, and the regulatory clearance or approval and maintenance process for such products may be uncertain, expensive, and time-consuming.</w:t>
      </w:r>
    </w:p>
    <w:p>
      <w:pPr>
        <w:spacing w:after="0" w:line="62" w:lineRule="exact"/>
        <w:rPr>
          <w:sz w:val="20"/>
          <w:szCs w:val="20"/>
          <w:color w:val="auto"/>
        </w:rPr>
      </w:pPr>
    </w:p>
    <w:p>
      <w:pPr>
        <w:jc w:val="both"/>
        <w:ind w:right="700"/>
        <w:spacing w:after="0" w:line="254" w:lineRule="auto"/>
        <w:rPr>
          <w:sz w:val="20"/>
          <w:szCs w:val="20"/>
          <w:color w:val="auto"/>
        </w:rPr>
      </w:pPr>
      <w:r>
        <w:rPr>
          <w:rFonts w:ascii="Arial" w:cs="Arial" w:eastAsia="Arial" w:hAnsi="Arial"/>
          <w:sz w:val="20"/>
          <w:szCs w:val="20"/>
          <w:b w:val="1"/>
          <w:bCs w:val="1"/>
          <w:color w:val="auto"/>
        </w:rPr>
        <w:t>In particular,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86"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The FDA has historically exercised enforcement discretion in not enforcing the medical device regulations against laboratories developing and offering LDTs. In May 2024, the FDA issued a final rule that phases out its enforcement discretion for LDTs, unless exempt, and amends the FDA’s regulations to make explicit that in vitro diagnostics are medical devices under the Federal Food, Drug, and Cosmetic Act (“FDCA”), including when the manufacturer of the diagnostic product is a laboratory. On March 31, 2025, a U.S. District Court in Texas ruled that the FDA exceeded its authority and vacated and set aside this LDT final rule in its entirety. We cannot predict the potential impact of any future lawsuits brought against the FDA, and future legislative and administration actions on our business. Additionally, in June 2024, the U.S. Supreme Court overruled the Chevron doctrine, which gave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of the FDA, which could undermine the FDA’s authority and lead to uncertainties in the industry. We cannot predict the full impact of this decision on our business or that of our customers.</w:t>
      </w:r>
    </w:p>
    <w:p>
      <w:pPr>
        <w:spacing w:after="0" w:line="80" w:lineRule="exact"/>
        <w:rPr>
          <w:sz w:val="20"/>
          <w:szCs w:val="20"/>
          <w:color w:val="auto"/>
        </w:rPr>
      </w:pPr>
    </w:p>
    <w:p>
      <w:pPr>
        <w:jc w:val="both"/>
        <w:ind w:right="680"/>
        <w:spacing w:after="0" w:line="257" w:lineRule="auto"/>
        <w:rPr>
          <w:sz w:val="20"/>
          <w:szCs w:val="20"/>
          <w:color w:val="auto"/>
        </w:rPr>
      </w:pPr>
      <w:r>
        <w:rPr>
          <w:rFonts w:ascii="Arial" w:cs="Arial" w:eastAsia="Arial" w:hAnsi="Arial"/>
          <w:sz w:val="20"/>
          <w:szCs w:val="20"/>
          <w:b w:val="1"/>
          <w:bCs w:val="1"/>
          <w:color w:val="auto"/>
        </w:rPr>
        <w:t>Further, under the current administration, agency reorganization, departure of high-profile regulators at the FDA, and layoffs due to the reduction in force initiative may impact the normal operations of federal agencies, including the FDA. NIH funding cuts can impact the business operations of our customers and decrease the demand for our products. It is unclear how our industry and the businesses of our customers will be impacted by executive orders, policies and regulations implemented under the current administration. There is significant uncertainty in the industry.</w:t>
      </w:r>
    </w:p>
    <w:p>
      <w:pPr>
        <w:spacing w:after="0" w:line="82" w:lineRule="exact"/>
        <w:rPr>
          <w:sz w:val="20"/>
          <w:szCs w:val="20"/>
          <w:color w:val="auto"/>
        </w:rPr>
      </w:pPr>
    </w:p>
    <w:p>
      <w:pPr>
        <w:jc w:val="both"/>
        <w:ind w:right="700"/>
        <w:spacing w:after="0" w:line="286" w:lineRule="auto"/>
        <w:rPr>
          <w:sz w:val="20"/>
          <w:szCs w:val="20"/>
          <w:color w:val="auto"/>
        </w:rPr>
      </w:pPr>
      <w:r>
        <w:rPr>
          <w:rFonts w:ascii="Arial" w:cs="Arial" w:eastAsia="Arial" w:hAnsi="Arial"/>
          <w:sz w:val="18"/>
          <w:szCs w:val="18"/>
          <w:b w:val="1"/>
          <w:bCs w:val="1"/>
          <w:color w:val="auto"/>
        </w:rPr>
        <w:t>Future legislative or administrative actions can impact the sales of our products and how customers use our products, and may require us to change our business model in order to maintain compliance with applicable laws. Changes to the current regulatory framework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60"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color w:val="auto"/>
        </w:rPr>
        <w:t>If the FDA determines our products or related applications should be subject to additional regulation as in vitro diagnostic devices based upon customers’ use of our products for clinical diagnostic or therapeutic decision-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226060</wp:posOffset>
                </wp:positionV>
                <wp:extent cx="731520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8pt" to="535pt,17.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226060</wp:posOffset>
                </wp:positionV>
                <wp:extent cx="731520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8pt" to="535pt,17.8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07"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7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49" w:name="page50"/>
    <w:bookmarkEnd w:id="4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making purposes, our ability to market and sell our products could be impeded and our business, prospects, results of operations and financial condition may be adversely affected. In addition, the FDA could consider our products to be misbranded or adulterated under the FDCA and subject to recall and/or other enforcement action.</w:t>
      </w:r>
    </w:p>
    <w:p>
      <w:pPr>
        <w:spacing w:after="0" w:line="136" w:lineRule="exact"/>
        <w:rPr>
          <w:sz w:val="20"/>
          <w:szCs w:val="20"/>
          <w:color w:val="auto"/>
        </w:rPr>
      </w:pPr>
    </w:p>
    <w:p>
      <w:pPr>
        <w:jc w:val="both"/>
        <w:ind w:right="680"/>
        <w:spacing w:after="0" w:line="276" w:lineRule="auto"/>
        <w:rPr>
          <w:sz w:val="20"/>
          <w:szCs w:val="20"/>
          <w:color w:val="auto"/>
        </w:rPr>
      </w:pPr>
      <w:r>
        <w:rPr>
          <w:rFonts w:ascii="Arial" w:cs="Arial" w:eastAsia="Arial" w:hAnsi="Arial"/>
          <w:sz w:val="19"/>
          <w:szCs w:val="19"/>
          <w:b w:val="1"/>
          <w:bCs w:val="1"/>
          <w:i w:val="1"/>
          <w:iCs w:val="1"/>
          <w:color w:val="DF1995"/>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64" w:lineRule="exact"/>
        <w:rPr>
          <w:sz w:val="20"/>
          <w:szCs w:val="20"/>
          <w:color w:val="auto"/>
        </w:rPr>
      </w:pPr>
    </w:p>
    <w:p>
      <w:pPr>
        <w:jc w:val="both"/>
        <w:ind w:right="680"/>
        <w:spacing w:after="0" w:line="265" w:lineRule="auto"/>
        <w:rPr>
          <w:sz w:val="20"/>
          <w:szCs w:val="20"/>
          <w:color w:val="auto"/>
        </w:rPr>
      </w:pPr>
      <w:r>
        <w:rPr>
          <w:rFonts w:ascii="Arial" w:cs="Arial" w:eastAsia="Arial" w:hAnsi="Arial"/>
          <w:sz w:val="19"/>
          <w:szCs w:val="19"/>
          <w:b w:val="1"/>
          <w:bCs w:val="1"/>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Arial" w:cs="Arial" w:eastAsia="Arial" w:hAnsi="Arial"/>
          <w:sz w:val="19"/>
          <w:szCs w:val="19"/>
          <w:b w:val="1"/>
          <w:bCs w:val="1"/>
          <w:i w:val="1"/>
          <w:iCs w:val="1"/>
          <w:color w:val="auto"/>
        </w:rPr>
        <w:t>de novo</w:t>
      </w:r>
      <w:r>
        <w:rPr>
          <w:rFonts w:ascii="Arial" w:cs="Arial" w:eastAsia="Arial" w:hAnsi="Arial"/>
          <w:sz w:val="19"/>
          <w:szCs w:val="19"/>
          <w:b w:val="1"/>
          <w:bCs w:val="1"/>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93"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If we sought and received regulatory clearance or approval for certain of our products, we would be subject to ongoing FDA obligations and continued regulatory oversight and review, including the general controls listed above and the FDA’s Quality System Regulations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76" w:lineRule="exact"/>
        <w:rPr>
          <w:sz w:val="20"/>
          <w:szCs w:val="20"/>
          <w:color w:val="auto"/>
        </w:rPr>
      </w:pPr>
    </w:p>
    <w:p>
      <w:pPr>
        <w:jc w:val="both"/>
        <w:ind w:right="680"/>
        <w:spacing w:after="0" w:line="283" w:lineRule="auto"/>
        <w:rPr>
          <w:sz w:val="20"/>
          <w:szCs w:val="20"/>
          <w:color w:val="auto"/>
        </w:rPr>
      </w:pPr>
      <w:r>
        <w:rPr>
          <w:rFonts w:ascii="Arial" w:cs="Arial" w:eastAsia="Arial" w:hAnsi="Arial"/>
          <w:sz w:val="18"/>
          <w:szCs w:val="18"/>
          <w:b w:val="1"/>
          <w:bCs w:val="1"/>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could make obtaining regulatory approvals in Europe more challenging.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222885</wp:posOffset>
                </wp:positionV>
                <wp:extent cx="731520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55pt" to="535pt,17.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222885</wp:posOffset>
                </wp:positionV>
                <wp:extent cx="731520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55pt" to="535pt,17.5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02"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7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139"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Enhanced trade tariffs, import restrictions, export restrictions, or other trade barriers may materially harm our business.</w:t>
      </w:r>
    </w:p>
    <w:p>
      <w:pPr>
        <w:spacing w:after="0" w:line="54" w:lineRule="exact"/>
        <w:rPr>
          <w:sz w:val="20"/>
          <w:szCs w:val="20"/>
          <w:color w:val="auto"/>
        </w:rPr>
      </w:pPr>
    </w:p>
    <w:p>
      <w:pPr>
        <w:jc w:val="both"/>
        <w:ind w:right="680"/>
        <w:spacing w:after="0" w:line="281" w:lineRule="auto"/>
        <w:rPr>
          <w:sz w:val="20"/>
          <w:szCs w:val="20"/>
          <w:color w:val="auto"/>
        </w:rPr>
      </w:pPr>
      <w:r>
        <w:rPr>
          <w:rFonts w:ascii="Arial" w:cs="Arial" w:eastAsia="Arial" w:hAnsi="Arial"/>
          <w:sz w:val="18"/>
          <w:szCs w:val="18"/>
          <w:b w:val="1"/>
          <w:bCs w:val="1"/>
          <w:color w:val="auto"/>
        </w:rPr>
        <w:t>We are continuing to expand our international operations as part of our growth strategy and have experienced an increasing concentration of sales in certain regions outside the United States, especially the Asia-Pacific region and in Europe. There is currently significant uncertainty about the future relationship between the United States and various other trading partners with respect to trade policies, treaties, government regulations, tariffs, and other similar policies affecting cross-border operations. The U.S. government has made and continues to make significant changes in U.S. trade policy, specifically tariffs, and may continue to take actions that could negatively impact our business. For example, since September 2018, the U.S. Trade Representative (the “USTR”) enacted various Section 301 tariffs on certain commodities from certain U.S. trading partners, most prominently China and Brazil, ranging from 7.5% to 100%. In addition, since February 2025, under authority of the International Emergency Economic Powers Act (“IEEPA”), the U.S. government enacted an additional 10% to 35% “fentanyl-related” ad valorem tariffs on virtually all goods from China, Canada, and Mexico, with an exception for items qualifying for duty-free treatment under the U.S.-Mexico-Canada Agreement (“USMCA”). Since March 2025, the U.S. government has also implemented new Section 232 tariffs of 10% to 50% on various commodities based on findings by the U.S. government that imports of these items threaten to impair U.S. national security, including but not limited to certain advanced semiconductors, articles of steel and aluminum; passenger vehicles, trucks, and automotive components; articles of copper; and timber, lumber, and articles of wood. The U.S. Department of Commerce has initiated Section 232 investigations into the import of additional products, including but not limited to semiconductors, semiconductor manufacturing equipment, processed critical minerals, derivative electronic products, pharmaceuticals and pharmaceutical products; when these investigations are complete, the U.S. government may decide to levy additional tariffs on such products. Additional IEEPA “reciprocal” tariffs of 10% to 125% ad valorem have been imposed since April 2025 on most imports from most U.S. trading partners, initially at a baseline 10% reciprocal tariff rate and now at various country-specific reciprocal tariff rates since August 2025—with limited exceptions for certain pharmaceuticals, semiconductors, computers, and certain other imports, and certain other exceptions as negotiated in trade deals reached between the U.S. and various key trading partners.</w:t>
      </w:r>
    </w:p>
    <w:p>
      <w:pPr>
        <w:spacing w:after="0" w:line="304" w:lineRule="exact"/>
        <w:rPr>
          <w:sz w:val="20"/>
          <w:szCs w:val="20"/>
          <w:color w:val="auto"/>
        </w:rPr>
      </w:pPr>
    </w:p>
    <w:p>
      <w:pPr>
        <w:jc w:val="both"/>
        <w:ind w:right="700"/>
        <w:spacing w:after="0" w:line="276" w:lineRule="auto"/>
        <w:rPr>
          <w:sz w:val="20"/>
          <w:szCs w:val="20"/>
          <w:color w:val="auto"/>
        </w:rPr>
      </w:pPr>
      <w:r>
        <w:rPr>
          <w:rFonts w:ascii="Arial" w:cs="Arial" w:eastAsia="Arial" w:hAnsi="Arial"/>
          <w:sz w:val="19"/>
          <w:szCs w:val="19"/>
          <w:b w:val="1"/>
          <w:bCs w:val="1"/>
          <w:color w:val="auto"/>
        </w:rPr>
        <w:t>On February 20, 2026, the Supreme Court ruled against President Trump’s use of IEEPA to impose tariffs on global trade partners. The case has been returned to the Court of International Trade for reconsideration in accordance with the Supreme Court ruling, and thus, the impact of this decision on previous tariffs that we have paid is not yet clear. In addition, President Trump has already stated that he will impose new tariffs under different authorities including Section 122 which has set a worldwide baseline tariff of 10%.</w:t>
      </w:r>
    </w:p>
    <w:p>
      <w:pPr>
        <w:spacing w:after="0" w:line="64" w:lineRule="exact"/>
        <w:rPr>
          <w:sz w:val="20"/>
          <w:szCs w:val="20"/>
          <w:color w:val="auto"/>
        </w:rPr>
      </w:pPr>
    </w:p>
    <w:p>
      <w:pPr>
        <w:jc w:val="both"/>
        <w:ind w:right="680"/>
        <w:spacing w:after="0" w:line="282" w:lineRule="auto"/>
        <w:rPr>
          <w:sz w:val="20"/>
          <w:szCs w:val="20"/>
          <w:color w:val="auto"/>
        </w:rPr>
      </w:pPr>
      <w:r>
        <w:rPr>
          <w:rFonts w:ascii="Arial" w:cs="Arial" w:eastAsia="Arial" w:hAnsi="Arial"/>
          <w:sz w:val="18"/>
          <w:szCs w:val="18"/>
          <w:b w:val="1"/>
          <w:bCs w:val="1"/>
          <w:color w:val="auto"/>
        </w:rPr>
        <w:t>In response to these and other U.S. trade measures, certain affected countries have taken retaliatory trade actions. For example, China has increased tariffs on U.S. exports to China and subjected additional items to export control requirements, including certain rare earth materials. These trade controls have and could continue to raise our costs. Furthermore, tariffs, trade restrictions, or trade barriers that have been, or may in the future be, placed on products such as ours by foreign governments, which have raised and could further raise amounts paid for some or all of our products, which may result in the loss of customers and our business, and our financial condition and results of operations may be harmed, although some of these risks have been contained by trade deals reached between the U.S. and affected governments, including China, the EU, Japan, Taiwan, and South Korea. For example, the trade deal reached between the U.S. and the EU in July 2025 resulted in the implementation of a 15% all-in reciprocal tariff on imports of EU goods into the U.S as of August 2025, and short-term trade deals reached between the U.S. and China have resulted in implementation of a reduced 10% reciprocal tariff on imports of certain Chinese goods into the U.S. through November 2026. However, these policies are subject to continued negotiation and effective policies may change over time. We may be unable to make changes in our supply chain quickly enough to avoid the impact of new or potential tariffs, or to do so on commercially reasonable terms. Uncertainty regarding the scope and amount of potential additional tariffs may also result in disruptions in our supply chain, particularly if such changes in applicable or potential tariffs makes current or planned production unprofitable. In addition, these tariff actions may also indirectly affect our business through impacts on our customers, who may be directly affected by some or all of these tariff 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374650</wp:posOffset>
                </wp:positionV>
                <wp:extent cx="731520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9.5pt" to="535pt,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374650</wp:posOffset>
                </wp:positionV>
                <wp:extent cx="731520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9.5pt" to="535pt,29.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7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or indirectly affected by macroeconomic effects resulting from these or other tariff related actions, including potential risks associated with inflation or economic recession.</w:t>
      </w:r>
    </w:p>
    <w:p>
      <w:pPr>
        <w:spacing w:after="0" w:line="54" w:lineRule="exact"/>
        <w:rPr>
          <w:sz w:val="20"/>
          <w:szCs w:val="20"/>
          <w:color w:val="auto"/>
        </w:rPr>
      </w:pPr>
    </w:p>
    <w:p>
      <w:pPr>
        <w:jc w:val="both"/>
        <w:ind w:right="680"/>
        <w:spacing w:after="0" w:line="265" w:lineRule="auto"/>
        <w:rPr>
          <w:sz w:val="20"/>
          <w:szCs w:val="20"/>
          <w:color w:val="auto"/>
        </w:rPr>
      </w:pPr>
      <w:r>
        <w:rPr>
          <w:rFonts w:ascii="Arial" w:cs="Arial" w:eastAsia="Arial" w:hAnsi="Arial"/>
          <w:sz w:val="19"/>
          <w:szCs w:val="19"/>
          <w:b w:val="1"/>
          <w:bCs w:val="1"/>
          <w:color w:val="auto"/>
        </w:rPr>
        <w:t>Our products are subject to U.S. export control laws and regulations, including the Export Administration Regulations administered by BIS. Under these laws and regulations, exports of our products as well as the underlying technology may require export authorization, including by license, a license exception, or other appropriate government authorizations. Furthermore, our products and services are subject to U.S. economic and trade sanctions laws and regulations administered by the U.S. Department of Treasury’s Office of Foreign Assets Control that prohibit the provision of services and the export of hardware, software, and technology to embargoed jurisdictions or sanctioned parties without the required export authorizations. The U.S. government has continued to increase controls initially imposed in 2022 restricting the ability to send certain products and technology related to semiconductors, semiconductor manufacturing, and supercomputing including expanding the list of advanced integrated circuits subject to heightened export controls, expanding the list of destinations requiring export authorization for such items, and adding new restrictions based on the headquarters location of the parties involved. In many cases, these licenses are subject to a policy of denial and will not be issued. The U.S. government also continues to add additional entities in China and other countries to restricted party lists impacting the ability of U.S. companies to provide items to these entities. These existing and future laws and regulations may impact our ability to export certain products to customers or distributors in China or other locations and may restrict our ability to use certain integrated circuits in our products. If we need to obtain any necessary export licenses or other authorizations for a particular sale, the process may be time-consuming and may result in the delay or loss of opportunities to sell our products. In addition, these licenses may not be issued. In April 2025, the Company received inquiries from BIS regarding a distributor based in Hong Kong and that distributor's customer located in China. In May 2025, following a review of sales to China, the Company responded to BIS's inquiries and submitted a voluntary self-disclosure to BIS related to a limited number of transactions. This self-disclosure was closed out by BIS in September 2025 without penalties with a warning letter.</w:t>
      </w:r>
    </w:p>
    <w:p>
      <w:pPr>
        <w:spacing w:after="0" w:line="91"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that could introduce additional restrictions and negatively impact our business. For example, legislation in</w:t>
      </w:r>
    </w:p>
    <w:p>
      <w:pPr>
        <w:spacing w:after="0" w:line="45" w:lineRule="exact"/>
        <w:rPr>
          <w:sz w:val="20"/>
          <w:szCs w:val="20"/>
          <w:color w:val="auto"/>
        </w:rPr>
      </w:pPr>
    </w:p>
    <w:p>
      <w:pPr>
        <w:jc w:val="both"/>
        <w:ind w:right="700"/>
        <w:spacing w:after="0" w:line="267" w:lineRule="auto"/>
        <w:rPr>
          <w:sz w:val="20"/>
          <w:szCs w:val="20"/>
          <w:color w:val="auto"/>
        </w:rPr>
      </w:pPr>
      <w:r>
        <w:rPr>
          <w:rFonts w:ascii="Arial" w:cs="Arial" w:eastAsia="Arial" w:hAnsi="Arial"/>
          <w:sz w:val="19"/>
          <w:szCs w:val="19"/>
          <w:b w:val="1"/>
          <w:bCs w:val="1"/>
          <w:color w:val="auto"/>
        </w:rPr>
        <w:t>Congress known as the BIOSECURE Act was passed as part of the 2026 National Defense Authorization Act, which limits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This legislation, or similar laws and regulations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75" w:lineRule="exact"/>
        <w:rPr>
          <w:sz w:val="20"/>
          <w:szCs w:val="20"/>
          <w:color w:val="auto"/>
        </w:rPr>
      </w:pPr>
    </w:p>
    <w:p>
      <w:pPr>
        <w:jc w:val="both"/>
        <w:ind w:right="680"/>
        <w:spacing w:after="0" w:line="289" w:lineRule="auto"/>
        <w:rPr>
          <w:sz w:val="20"/>
          <w:szCs w:val="20"/>
          <w:color w:val="auto"/>
        </w:rPr>
      </w:pPr>
      <w:r>
        <w:rPr>
          <w:rFonts w:ascii="Arial" w:cs="Arial" w:eastAsia="Arial" w:hAnsi="Arial"/>
          <w:sz w:val="18"/>
          <w:szCs w:val="18"/>
          <w:b w:val="1"/>
          <w:bCs w:val="1"/>
          <w:color w:val="auto"/>
        </w:rPr>
        <w:t>Compliance with these laws and regulations may be costly. In addition, if we are found to be in violation of U.S. economic sanctions or trade control laws, it could result in fines and penalties. We may also be adversely affected through other penalties, business disruption, loss of export privileges, reputational harm, loss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access to certain markets, or otherwise.</w:t>
      </w:r>
    </w:p>
    <w:p>
      <w:pPr>
        <w:spacing w:after="0" w:line="148" w:lineRule="exact"/>
        <w:rPr>
          <w:sz w:val="20"/>
          <w:szCs w:val="20"/>
          <w:color w:val="auto"/>
        </w:rPr>
      </w:pPr>
    </w:p>
    <w:p>
      <w:pPr>
        <w:jc w:val="both"/>
        <w:ind w:right="680"/>
        <w:spacing w:after="0" w:line="291" w:lineRule="auto"/>
        <w:rPr>
          <w:sz w:val="20"/>
          <w:szCs w:val="20"/>
          <w:color w:val="auto"/>
        </w:rPr>
      </w:pPr>
      <w:r>
        <w:rPr>
          <w:rFonts w:ascii="Arial" w:cs="Arial" w:eastAsia="Arial" w:hAnsi="Arial"/>
          <w:sz w:val="18"/>
          <w:szCs w:val="18"/>
          <w:b w:val="1"/>
          <w:bCs w:val="1"/>
          <w:color w:val="auto"/>
        </w:rPr>
        <w:t>It is possible that our ability to export our products to customers or distributors may be further restricted in the future. For example, on January 15, 2025, BIS issued an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w:t>
      </w:r>
    </w:p>
    <w:p>
      <w:pPr>
        <w:spacing w:after="0" w:line="54" w:lineRule="exact"/>
        <w:rPr>
          <w:sz w:val="20"/>
          <w:szCs w:val="20"/>
          <w:color w:val="auto"/>
        </w:rPr>
      </w:pPr>
    </w:p>
    <w:p>
      <w:pPr>
        <w:jc w:val="both"/>
        <w:ind w:right="700"/>
        <w:spacing w:after="0" w:line="341" w:lineRule="auto"/>
        <w:rPr>
          <w:sz w:val="20"/>
          <w:szCs w:val="20"/>
          <w:color w:val="auto"/>
        </w:rPr>
      </w:pPr>
      <w:r>
        <w:rPr>
          <w:rFonts w:ascii="Arial" w:cs="Arial" w:eastAsia="Arial" w:hAnsi="Arial"/>
          <w:sz w:val="18"/>
          <w:szCs w:val="18"/>
          <w:b w:val="1"/>
          <w:bCs w:val="1"/>
          <w:color w:val="auto"/>
        </w:rPr>
        <w:t>The Chinese government has introduced and may in the future introduce retaliatory measures in response to existing or future U.S. export controls, tariffs and other trade restrictions and it is possible that the Chinese,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243840</wp:posOffset>
                </wp:positionV>
                <wp:extent cx="731520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2pt" to="535pt,19.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243840</wp:posOffset>
                </wp:positionV>
                <wp:extent cx="731520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2pt" to="535pt,19.2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35"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7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7" w:lineRule="auto"/>
        <w:rPr>
          <w:sz w:val="20"/>
          <w:szCs w:val="20"/>
          <w:color w:val="auto"/>
        </w:rPr>
      </w:pPr>
      <w:r>
        <w:rPr>
          <w:rFonts w:ascii="Arial" w:cs="Arial" w:eastAsia="Arial" w:hAnsi="Arial"/>
          <w:sz w:val="18"/>
          <w:szCs w:val="18"/>
          <w:b w:val="1"/>
          <w:bCs w:val="1"/>
          <w:color w:val="auto"/>
        </w:rPr>
        <w:t>or other foreign governments will implement additional retaliatory measures which could impact our business. It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and foreign governments will act with respect to export controls, tariffs, international trade agreements and similar policies, there could be additional tax or other regulatory changes in the future. Any such changes could, directly or indirectly, adversely impact our financial results and results of operations.</w:t>
      </w:r>
    </w:p>
    <w:p>
      <w:pPr>
        <w:spacing w:after="0" w:line="12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Our international business could expose us to business, regulatory, political, operational, financial, and economic risks associated with doing business outside of the United States.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Engaging in international business inherently involves a number of difficulties and risks, including:</w:t>
      </w:r>
    </w:p>
    <w:p>
      <w:pPr>
        <w:spacing w:after="0" w:line="130" w:lineRule="exact"/>
        <w:rPr>
          <w:sz w:val="20"/>
          <w:szCs w:val="20"/>
          <w:color w:val="auto"/>
        </w:rPr>
      </w:pPr>
    </w:p>
    <w:p>
      <w:pPr>
        <w:jc w:val="both"/>
        <w:ind w:left="720" w:right="680" w:hanging="370"/>
        <w:spacing w:after="0" w:line="256" w:lineRule="auto"/>
        <w:tabs>
          <w:tab w:leader="none" w:pos="720" w:val="left"/>
        </w:tabs>
        <w:numPr>
          <w:ilvl w:val="0"/>
          <w:numId w:val="25"/>
        </w:numPr>
        <w:rPr>
          <w:rFonts w:ascii="Arial" w:cs="Arial" w:eastAsia="Arial" w:hAnsi="Arial"/>
          <w:sz w:val="20"/>
          <w:szCs w:val="20"/>
          <w:b w:val="1"/>
          <w:bCs w:val="1"/>
          <w:color w:val="DF1995"/>
        </w:rPr>
      </w:pPr>
      <w:r>
        <w:rPr>
          <w:rFonts w:ascii="Arial" w:cs="Arial" w:eastAsia="Arial" w:hAnsi="Arial"/>
          <w:sz w:val="20"/>
          <w:szCs w:val="20"/>
          <w:b w:val="1"/>
          <w:bCs w:val="1"/>
          <w:color w:val="auto"/>
        </w:rPr>
        <w:t>required compliance with existing and changing foreign regulatory requirements and laws that are or may be applicable to our business in the future, such as the European Union’s General Data Protection Regulation (“GDPR”), the UK General Data Protection Regulation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82" w:lineRule="exact"/>
        <w:rPr>
          <w:rFonts w:ascii="Arial" w:cs="Arial" w:eastAsia="Arial" w:hAnsi="Arial"/>
          <w:sz w:val="20"/>
          <w:szCs w:val="20"/>
          <w:b w:val="1"/>
          <w:bCs w:val="1"/>
          <w:color w:val="DF1995"/>
        </w:rPr>
      </w:pPr>
    </w:p>
    <w:p>
      <w:pPr>
        <w:jc w:val="both"/>
        <w:ind w:left="720" w:right="700" w:hanging="370"/>
        <w:spacing w:after="0" w:line="268" w:lineRule="auto"/>
        <w:tabs>
          <w:tab w:leader="none" w:pos="720" w:val="left"/>
        </w:tabs>
        <w:numPr>
          <w:ilvl w:val="0"/>
          <w:numId w:val="25"/>
        </w:numPr>
        <w:rPr>
          <w:rFonts w:ascii="Arial" w:cs="Arial" w:eastAsia="Arial" w:hAnsi="Arial"/>
          <w:sz w:val="20"/>
          <w:szCs w:val="20"/>
          <w:b w:val="1"/>
          <w:bCs w:val="1"/>
          <w:color w:val="DF1995"/>
        </w:rPr>
      </w:pPr>
      <w:r>
        <w:rPr>
          <w:rFonts w:ascii="Arial" w:cs="Arial" w:eastAsia="Arial" w:hAnsi="Arial"/>
          <w:sz w:val="20"/>
          <w:szCs w:val="20"/>
          <w:b w:val="1"/>
          <w:bCs w:val="1"/>
          <w:color w:val="auto"/>
        </w:rPr>
        <w:t>required compliance with U.S. laws such as the Foreign Corrupt Practices Act, and other U.S. federal laws and trade and economic sanctions and other regulations established by the Office of Foreign Asset Control;</w:t>
      </w:r>
    </w:p>
    <w:p>
      <w:pPr>
        <w:spacing w:after="0" w:line="69"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5"/>
        </w:numPr>
        <w:rPr>
          <w:rFonts w:ascii="Arial" w:cs="Arial" w:eastAsia="Arial" w:hAnsi="Arial"/>
          <w:sz w:val="20"/>
          <w:szCs w:val="20"/>
          <w:b w:val="1"/>
          <w:bCs w:val="1"/>
          <w:color w:val="DF1995"/>
        </w:rPr>
      </w:pPr>
      <w:r>
        <w:rPr>
          <w:rFonts w:ascii="Arial" w:cs="Arial" w:eastAsia="Arial" w:hAnsi="Arial"/>
          <w:sz w:val="20"/>
          <w:szCs w:val="20"/>
          <w:b w:val="1"/>
          <w:bCs w:val="1"/>
          <w:color w:val="auto"/>
        </w:rPr>
        <w:t>export requirements and import or trade restrictions;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5"/>
        </w:numPr>
        <w:rPr>
          <w:rFonts w:ascii="Arial" w:cs="Arial" w:eastAsia="Arial" w:hAnsi="Arial"/>
          <w:sz w:val="20"/>
          <w:szCs w:val="20"/>
          <w:b w:val="1"/>
          <w:bCs w:val="1"/>
          <w:color w:val="DF1995"/>
        </w:rPr>
      </w:pPr>
      <w:r>
        <w:rPr>
          <w:rFonts w:ascii="Arial" w:cs="Arial" w:eastAsia="Arial" w:hAnsi="Arial"/>
          <w:sz w:val="20"/>
          <w:szCs w:val="20"/>
          <w:b w:val="1"/>
          <w:bCs w:val="1"/>
          <w:color w:val="auto"/>
        </w:rPr>
        <w:t>laws and business practices favoring local companies;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5"/>
        </w:numPr>
        <w:rPr>
          <w:rFonts w:ascii="Arial" w:cs="Arial" w:eastAsia="Arial" w:hAnsi="Arial"/>
          <w:sz w:val="20"/>
          <w:szCs w:val="20"/>
          <w:b w:val="1"/>
          <w:bCs w:val="1"/>
          <w:color w:val="DF1995"/>
        </w:rPr>
      </w:pPr>
      <w:r>
        <w:rPr>
          <w:rFonts w:ascii="Arial" w:cs="Arial" w:eastAsia="Arial" w:hAnsi="Arial"/>
          <w:sz w:val="20"/>
          <w:szCs w:val="20"/>
          <w:b w:val="1"/>
          <w:bCs w:val="1"/>
          <w:color w:val="auto"/>
        </w:rPr>
        <w:t>restrictions on both inbound and outbound cross-border investment;</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5"/>
        </w:numPr>
        <w:rPr>
          <w:rFonts w:ascii="Arial" w:cs="Arial" w:eastAsia="Arial" w:hAnsi="Arial"/>
          <w:sz w:val="20"/>
          <w:szCs w:val="20"/>
          <w:b w:val="1"/>
          <w:bCs w:val="1"/>
          <w:color w:val="DF1995"/>
        </w:rPr>
      </w:pPr>
      <w:r>
        <w:rPr>
          <w:rFonts w:ascii="Arial" w:cs="Arial" w:eastAsia="Arial" w:hAnsi="Arial"/>
          <w:sz w:val="20"/>
          <w:szCs w:val="20"/>
          <w:b w:val="1"/>
          <w:bCs w:val="1"/>
          <w:color w:val="auto"/>
        </w:rPr>
        <w:t>foreign currency exchange, longer payment cycles and difficulties in enforcing agreements and collecting receivables through certain foreign legal systems;</w:t>
      </w:r>
    </w:p>
    <w:p>
      <w:pPr>
        <w:spacing w:after="0" w:line="53" w:lineRule="exact"/>
        <w:rPr>
          <w:rFonts w:ascii="Arial" w:cs="Arial" w:eastAsia="Arial" w:hAnsi="Arial"/>
          <w:sz w:val="20"/>
          <w:szCs w:val="20"/>
          <w:b w:val="1"/>
          <w:bCs w:val="1"/>
          <w:color w:val="DF1995"/>
        </w:rPr>
      </w:pPr>
    </w:p>
    <w:p>
      <w:pPr>
        <w:jc w:val="both"/>
        <w:ind w:left="720" w:right="680" w:hanging="370"/>
        <w:spacing w:after="0" w:line="273" w:lineRule="auto"/>
        <w:tabs>
          <w:tab w:leader="none" w:pos="720" w:val="left"/>
        </w:tabs>
        <w:numPr>
          <w:ilvl w:val="0"/>
          <w:numId w:val="25"/>
        </w:numPr>
        <w:rPr>
          <w:rFonts w:ascii="Arial" w:cs="Arial" w:eastAsia="Arial" w:hAnsi="Arial"/>
          <w:sz w:val="19"/>
          <w:szCs w:val="19"/>
          <w:b w:val="1"/>
          <w:bCs w:val="1"/>
          <w:color w:val="DF1995"/>
        </w:rPr>
      </w:pPr>
      <w:r>
        <w:rPr>
          <w:rFonts w:ascii="Arial" w:cs="Arial" w:eastAsia="Arial" w:hAnsi="Arial"/>
          <w:sz w:val="19"/>
          <w:szCs w:val="19"/>
          <w:b w:val="1"/>
          <w:bCs w:val="1"/>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ongoing geopolitical tensions related to the political uncertainty and military actions associated with the war in Ukraine, resulting sanctions imposed by the U.S. and other countries, and retaliatory actions taken by Russia in response to such sanctions;</w:t>
      </w:r>
    </w:p>
    <w:p>
      <w:pPr>
        <w:spacing w:after="0" w:line="68" w:lineRule="exact"/>
        <w:rPr>
          <w:rFonts w:ascii="Arial" w:cs="Arial" w:eastAsia="Arial" w:hAnsi="Arial"/>
          <w:sz w:val="19"/>
          <w:szCs w:val="19"/>
          <w:b w:val="1"/>
          <w:bCs w:val="1"/>
          <w:color w:val="DF1995"/>
        </w:rPr>
      </w:pPr>
    </w:p>
    <w:p>
      <w:pPr>
        <w:ind w:left="720" w:right="700" w:hanging="370"/>
        <w:spacing w:after="0" w:line="285" w:lineRule="auto"/>
        <w:tabs>
          <w:tab w:leader="none" w:pos="720" w:val="left"/>
        </w:tabs>
        <w:numPr>
          <w:ilvl w:val="0"/>
          <w:numId w:val="25"/>
        </w:numPr>
        <w:rPr>
          <w:rFonts w:ascii="Arial" w:cs="Arial" w:eastAsia="Arial" w:hAnsi="Arial"/>
          <w:sz w:val="20"/>
          <w:szCs w:val="20"/>
          <w:b w:val="1"/>
          <w:bCs w:val="1"/>
          <w:color w:val="DF1995"/>
        </w:rPr>
      </w:pPr>
      <w:r>
        <w:rPr>
          <w:rFonts w:ascii="Arial" w:cs="Arial" w:eastAsia="Arial" w:hAnsi="Arial"/>
          <w:sz w:val="20"/>
          <w:szCs w:val="20"/>
          <w:b w:val="1"/>
          <w:bCs w:val="1"/>
          <w:color w:val="auto"/>
        </w:rPr>
        <w:t>potentially adverse tax consequences, tariffs, customs charges, bureaucratic requirements, and other trade barriers;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5"/>
        </w:numPr>
        <w:rPr>
          <w:rFonts w:ascii="Arial" w:cs="Arial" w:eastAsia="Arial" w:hAnsi="Arial"/>
          <w:sz w:val="20"/>
          <w:szCs w:val="20"/>
          <w:b w:val="1"/>
          <w:bCs w:val="1"/>
          <w:color w:val="DF1995"/>
        </w:rPr>
      </w:pPr>
      <w:r>
        <w:rPr>
          <w:rFonts w:ascii="Arial" w:cs="Arial" w:eastAsia="Arial" w:hAnsi="Arial"/>
          <w:sz w:val="20"/>
          <w:szCs w:val="20"/>
          <w:b w:val="1"/>
          <w:bCs w:val="1"/>
          <w:color w:val="auto"/>
        </w:rPr>
        <w:t>difficulties and costs of staffing and managing foreign operations; and</w:t>
      </w:r>
    </w:p>
    <w:p>
      <w:pPr>
        <w:spacing w:after="0" w:line="130" w:lineRule="exact"/>
        <w:rPr>
          <w:rFonts w:ascii="Arial" w:cs="Arial" w:eastAsia="Arial" w:hAnsi="Arial"/>
          <w:sz w:val="20"/>
          <w:szCs w:val="20"/>
          <w:b w:val="1"/>
          <w:bCs w:val="1"/>
          <w:color w:val="DF1995"/>
        </w:rPr>
      </w:pPr>
    </w:p>
    <w:p>
      <w:pPr>
        <w:ind w:left="720" w:right="700" w:hanging="370"/>
        <w:spacing w:after="0" w:line="310" w:lineRule="auto"/>
        <w:tabs>
          <w:tab w:leader="none" w:pos="720" w:val="left"/>
        </w:tabs>
        <w:numPr>
          <w:ilvl w:val="0"/>
          <w:numId w:val="25"/>
        </w:numPr>
        <w:rPr>
          <w:rFonts w:ascii="Arial" w:cs="Arial" w:eastAsia="Arial" w:hAnsi="Arial"/>
          <w:sz w:val="19"/>
          <w:szCs w:val="19"/>
          <w:b w:val="1"/>
          <w:bCs w:val="1"/>
          <w:color w:val="DF1995"/>
        </w:rPr>
      </w:pPr>
      <w:r>
        <w:rPr>
          <w:rFonts w:ascii="Arial" w:cs="Arial" w:eastAsia="Arial" w:hAnsi="Arial"/>
          <w:sz w:val="19"/>
          <w:szCs w:val="19"/>
          <w:b w:val="1"/>
          <w:bCs w:val="1"/>
          <w:color w:val="auto"/>
        </w:rPr>
        <w:t>difficulties protecting, maintaining, enforcing, or procuring intellectual property rights and defending against intellectual property claims under the law and judicial systems of other countries.</w:t>
      </w:r>
    </w:p>
    <w:p>
      <w:pPr>
        <w:spacing w:after="0" w:line="36"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If one or more of these risks occurs, it could require us to dedicate significant resources to remedy such occurrence, and if we are unsuccessful in finding a solution, our financial results will suffer.</w:t>
      </w:r>
    </w:p>
    <w:p>
      <w:pPr>
        <w:spacing w:after="0" w:line="118"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i w:val="1"/>
          <w:iCs w:val="1"/>
          <w:color w:val="DF1995"/>
        </w:rPr>
        <w:t>Our operations involve the use of hazardous materials, and we must comply with environmental, health and safety laws, which can be expensive and may adversely affect our business, operating results and financial condition.</w:t>
      </w:r>
    </w:p>
    <w:p>
      <w:pPr>
        <w:spacing w:after="0" w:line="75" w:lineRule="exact"/>
        <w:rPr>
          <w:sz w:val="20"/>
          <w:szCs w:val="20"/>
          <w:color w:val="auto"/>
        </w:rPr>
      </w:pPr>
    </w:p>
    <w:p>
      <w:pPr>
        <w:jc w:val="both"/>
        <w:ind w:right="680"/>
        <w:spacing w:after="0" w:line="287" w:lineRule="auto"/>
        <w:rPr>
          <w:sz w:val="20"/>
          <w:szCs w:val="20"/>
          <w:color w:val="auto"/>
        </w:rPr>
      </w:pPr>
      <w:r>
        <w:rPr>
          <w:rFonts w:ascii="Arial" w:cs="Arial" w:eastAsia="Arial" w:hAnsi="Arial"/>
          <w:sz w:val="18"/>
          <w:szCs w:val="18"/>
          <w:b w:val="1"/>
          <w:bCs w:val="1"/>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259080</wp:posOffset>
                </wp:positionV>
                <wp:extent cx="731520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0.4pt" to="535pt,20.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259080</wp:posOffset>
                </wp:positionV>
                <wp:extent cx="731520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0.4pt" to="535pt,20.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5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7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32"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Ethical, legal, privacy, data protection and social concerns or governmental restrictions surrounding the use of genetic information could reduce demand for our technology.</w:t>
      </w:r>
    </w:p>
    <w:p>
      <w:pPr>
        <w:spacing w:after="0" w:line="54" w:lineRule="exact"/>
        <w:rPr>
          <w:sz w:val="20"/>
          <w:szCs w:val="20"/>
          <w:color w:val="auto"/>
        </w:rPr>
      </w:pPr>
    </w:p>
    <w:p>
      <w:pPr>
        <w:jc w:val="both"/>
        <w:ind w:right="680"/>
        <w:spacing w:after="0" w:line="253" w:lineRule="auto"/>
        <w:rPr>
          <w:sz w:val="20"/>
          <w:szCs w:val="20"/>
          <w:color w:val="auto"/>
        </w:rPr>
      </w:pPr>
      <w:r>
        <w:rPr>
          <w:rFonts w:ascii="Arial" w:cs="Arial" w:eastAsia="Arial" w:hAnsi="Arial"/>
          <w:sz w:val="20"/>
          <w:szCs w:val="20"/>
          <w:b w:val="1"/>
          <w:bCs w:val="1"/>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spacing w:after="0" w:line="153"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i w:val="1"/>
          <w:iCs w:val="1"/>
          <w:color w:val="DF1995"/>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70"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We are subject to requirements under the Dodd-Frank Wall Street Reform and Consumer Protection Act of 2010 that require us to conduct diligence and report on whether or not our products contain conflict minerals.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1383C6"/>
        </w:rPr>
        <w:t>Risks Related to Owning Our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8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i w:val="1"/>
          <w:iCs w:val="1"/>
          <w:color w:val="DF1995"/>
        </w:rPr>
        <w:t>The price of our common stock has been, is, and may continue to be, highly volatile, and you may be unable to sell your shares at or above the price you paid to acquire them.</w:t>
      </w:r>
    </w:p>
    <w:p>
      <w:pPr>
        <w:spacing w:after="0" w:line="58"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75" w:lineRule="exact"/>
        <w:rPr>
          <w:sz w:val="20"/>
          <w:szCs w:val="20"/>
          <w:color w:val="auto"/>
        </w:rPr>
      </w:pPr>
    </w:p>
    <w:p>
      <w:pPr>
        <w:ind w:left="720" w:hanging="370"/>
        <w:spacing w:after="0"/>
        <w:tabs>
          <w:tab w:leader="none" w:pos="720" w:val="left"/>
        </w:tabs>
        <w:numPr>
          <w:ilvl w:val="0"/>
          <w:numId w:val="26"/>
        </w:numPr>
        <w:rPr>
          <w:rFonts w:ascii="Arial" w:cs="Arial" w:eastAsia="Arial" w:hAnsi="Arial"/>
          <w:sz w:val="20"/>
          <w:szCs w:val="20"/>
          <w:b w:val="1"/>
          <w:bCs w:val="1"/>
          <w:color w:val="DF1995"/>
        </w:rPr>
      </w:pPr>
      <w:r>
        <w:rPr>
          <w:rFonts w:ascii="Arial" w:cs="Arial" w:eastAsia="Arial" w:hAnsi="Arial"/>
          <w:sz w:val="20"/>
          <w:szCs w:val="20"/>
          <w:b w:val="1"/>
          <w:bCs w:val="1"/>
          <w:color w:val="auto"/>
        </w:rPr>
        <w:t>actual or anticipated fluctuations in our financial condition and operating results;</w:t>
      </w:r>
    </w:p>
    <w:p>
      <w:pPr>
        <w:spacing w:after="0" w:line="130" w:lineRule="exact"/>
        <w:rPr>
          <w:rFonts w:ascii="Arial" w:cs="Arial" w:eastAsia="Arial" w:hAnsi="Arial"/>
          <w:sz w:val="20"/>
          <w:szCs w:val="20"/>
          <w:b w:val="1"/>
          <w:bCs w:val="1"/>
          <w:color w:val="DF1995"/>
        </w:rPr>
      </w:pPr>
    </w:p>
    <w:p>
      <w:pPr>
        <w:ind w:left="720" w:right="700" w:hanging="370"/>
        <w:spacing w:after="0" w:line="283" w:lineRule="auto"/>
        <w:tabs>
          <w:tab w:leader="none" w:pos="720" w:val="left"/>
        </w:tabs>
        <w:numPr>
          <w:ilvl w:val="0"/>
          <w:numId w:val="26"/>
        </w:numPr>
        <w:rPr>
          <w:rFonts w:ascii="Arial" w:cs="Arial" w:eastAsia="Arial" w:hAnsi="Arial"/>
          <w:sz w:val="20"/>
          <w:szCs w:val="20"/>
          <w:b w:val="1"/>
          <w:bCs w:val="1"/>
          <w:color w:val="DF1995"/>
        </w:rPr>
      </w:pPr>
      <w:r>
        <w:rPr>
          <w:rFonts w:ascii="Arial" w:cs="Arial" w:eastAsia="Arial" w:hAnsi="Arial"/>
          <w:sz w:val="20"/>
          <w:szCs w:val="20"/>
          <w:b w:val="1"/>
          <w:bCs w:val="1"/>
          <w:color w:val="auto"/>
        </w:rPr>
        <w:t>announcements of new products, technological innovations or strategic partnerships by us or our competitors;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508635</wp:posOffset>
                </wp:positionV>
                <wp:extent cx="731520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0.05pt" to="535pt,40.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508635</wp:posOffset>
                </wp:positionV>
                <wp:extent cx="731520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0.05pt" to="535pt,40.0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8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left="720" w:right="700" w:hanging="370"/>
        <w:spacing w:after="0" w:line="285" w:lineRule="auto"/>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announcements by us, our customers, partners, or suppliers relating directly or indirectly to our products, services or technologies;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overall conditions in our industry and market;</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addition or loss of significant customers;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changes in laws or regulations applicable to our products;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actual or anticipated changes in our growth rate relative to our competitors;</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announcements by us or our competitors of significant acquisitions, strategic partnerships, joint ventures, capital commitments or achievement of significant milestones;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additions or departures of key personnel;</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competition from existing products or new products that may emerge;</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issuance of new or updated research or reports by securities analysts;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fluctuations in the valuation of companies perceived by investors to be comparable to us;</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disputes or other developments related to proprietary rights, including patents, litigation matters or our ability to obtain intellectual property protection for our technologies;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announcement or expectation of additional financing efforts;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sales of our common stock by us or our stockholders;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19"/>
          <w:szCs w:val="19"/>
          <w:b w:val="1"/>
          <w:bCs w:val="1"/>
          <w:color w:val="DF1995"/>
        </w:rPr>
      </w:pPr>
      <w:r>
        <w:rPr>
          <w:rFonts w:ascii="Arial" w:cs="Arial" w:eastAsia="Arial" w:hAnsi="Arial"/>
          <w:sz w:val="19"/>
          <w:szCs w:val="19"/>
          <w:b w:val="1"/>
          <w:bCs w:val="1"/>
          <w:color w:val="auto"/>
        </w:rPr>
        <w:t>stock price and volume fluctuations attributable to inconsistent trading volume levels of our shares;</w:t>
      </w:r>
    </w:p>
    <w:p>
      <w:pPr>
        <w:spacing w:after="0" w:line="141" w:lineRule="exact"/>
        <w:rPr>
          <w:rFonts w:ascii="Arial" w:cs="Arial" w:eastAsia="Arial" w:hAnsi="Arial"/>
          <w:sz w:val="19"/>
          <w:szCs w:val="19"/>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reports, guidance and ratings issued by securities or industry analysts;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operating results below the expectations of securities analysts or investors; and</w:t>
      </w:r>
    </w:p>
    <w:p>
      <w:pPr>
        <w:spacing w:after="0" w:line="130" w:lineRule="exact"/>
        <w:rPr>
          <w:rFonts w:ascii="Arial" w:cs="Arial" w:eastAsia="Arial" w:hAnsi="Arial"/>
          <w:sz w:val="20"/>
          <w:szCs w:val="20"/>
          <w:b w:val="1"/>
          <w:bCs w:val="1"/>
          <w:color w:val="DF1995"/>
        </w:rPr>
      </w:pPr>
    </w:p>
    <w:p>
      <w:pPr>
        <w:jc w:val="both"/>
        <w:ind w:left="720" w:right="680" w:hanging="370"/>
        <w:spacing w:after="0" w:line="262" w:lineRule="auto"/>
        <w:tabs>
          <w:tab w:leader="none" w:pos="720" w:val="left"/>
        </w:tabs>
        <w:numPr>
          <w:ilvl w:val="0"/>
          <w:numId w:val="27"/>
        </w:numPr>
        <w:rPr>
          <w:rFonts w:ascii="Arial" w:cs="Arial" w:eastAsia="Arial" w:hAnsi="Arial"/>
          <w:sz w:val="20"/>
          <w:szCs w:val="20"/>
          <w:b w:val="1"/>
          <w:bCs w:val="1"/>
          <w:color w:val="DF1995"/>
        </w:rPr>
      </w:pPr>
      <w:r>
        <w:rPr>
          <w:rFonts w:ascii="Arial" w:cs="Arial" w:eastAsia="Arial" w:hAnsi="Arial"/>
          <w:sz w:val="20"/>
          <w:szCs w:val="20"/>
          <w:b w:val="1"/>
          <w:bCs w:val="1"/>
          <w:color w:val="auto"/>
        </w:rPr>
        <w:t>general economic and market conditions, which could be impacted by various events including health epidemics or pandemics, interest rate fluctuations, increases in fuel prices, foreign currency fluctuations, changing international trade policies, acts of terrorism, hostilities or the perception that hostilities may be imminent, and military conflict and acts of war.</w:t>
      </w:r>
    </w:p>
    <w:p>
      <w:pPr>
        <w:spacing w:after="0" w:line="76"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If any of the forgoing occurs, it would cause our stock price or trading volume to decline. Stock markets in general and the market for companies in our industry in particular have experienced price and volume fluctuations; these fluctuations have been, and may continue to be, exacerbated by current macroeconomic trends and geopolitical events.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43"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i w:val="1"/>
          <w:iCs w:val="1"/>
          <w:color w:val="DF1995"/>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75" w:lineRule="exact"/>
        <w:rPr>
          <w:sz w:val="20"/>
          <w:szCs w:val="20"/>
          <w:color w:val="auto"/>
        </w:rPr>
      </w:pPr>
    </w:p>
    <w:p>
      <w:pPr>
        <w:jc w:val="both"/>
        <w:ind w:right="700"/>
        <w:spacing w:after="0" w:line="261" w:lineRule="auto"/>
        <w:rPr>
          <w:sz w:val="20"/>
          <w:szCs w:val="20"/>
          <w:color w:val="auto"/>
        </w:rPr>
      </w:pPr>
      <w:r>
        <w:rPr>
          <w:rFonts w:ascii="Arial" w:cs="Arial" w:eastAsia="Arial" w:hAnsi="Arial"/>
          <w:sz w:val="20"/>
          <w:szCs w:val="20"/>
          <w:b w:val="1"/>
          <w:bCs w:val="1"/>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80" w:lineRule="exact"/>
        <w:rPr>
          <w:sz w:val="20"/>
          <w:szCs w:val="20"/>
          <w:color w:val="auto"/>
        </w:rPr>
      </w:pPr>
    </w:p>
    <w:p>
      <w:pPr>
        <w:jc w:val="both"/>
        <w:ind w:right="680"/>
        <w:spacing w:after="0" w:line="291" w:lineRule="auto"/>
        <w:rPr>
          <w:sz w:val="20"/>
          <w:szCs w:val="20"/>
          <w:color w:val="auto"/>
        </w:rPr>
      </w:pPr>
      <w:r>
        <w:rPr>
          <w:rFonts w:ascii="Arial" w:cs="Arial" w:eastAsia="Arial" w:hAnsi="Arial"/>
          <w:sz w:val="18"/>
          <w:szCs w:val="18"/>
          <w:b w:val="1"/>
          <w:bCs w:val="1"/>
          <w:color w:val="auto"/>
        </w:rPr>
        <w:t>In addition, if our stockholders sell, or indicate an intent to sell, a large number of shares of our common stock in the public market, it could cause our stock price to fall, particularly if such sales occur over a short period of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217170</wp:posOffset>
                </wp:positionV>
                <wp:extent cx="731520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1pt" to="535pt,17.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217170</wp:posOffset>
                </wp:positionV>
                <wp:extent cx="731520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1pt" to="535pt,17.1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8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Concentration of ownership by our principal stockholders may result in control by such stockholders of the composition of our board of directors.</w:t>
      </w:r>
    </w:p>
    <w:p>
      <w:pPr>
        <w:spacing w:after="0" w:line="54"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b w:val="1"/>
          <w:bCs w:val="1"/>
          <w:color w:val="auto"/>
        </w:rPr>
        <w:t>Our existing principal stockholders, holders of Notes, executive officers, directors, and their affiliates beneficially own, or following conversion of the Notes could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45" w:lineRule="exact"/>
        <w:rPr>
          <w:sz w:val="20"/>
          <w:szCs w:val="20"/>
          <w:color w:val="auto"/>
        </w:rPr>
      </w:pPr>
    </w:p>
    <w:p>
      <w:pPr>
        <w:jc w:val="both"/>
        <w:ind w:right="700"/>
        <w:spacing w:after="0" w:line="288" w:lineRule="auto"/>
        <w:rPr>
          <w:sz w:val="20"/>
          <w:szCs w:val="20"/>
          <w:color w:val="auto"/>
        </w:rPr>
      </w:pPr>
      <w:r>
        <w:rPr>
          <w:rFonts w:ascii="Arial" w:cs="Arial" w:eastAsia="Arial" w:hAnsi="Arial"/>
          <w:sz w:val="19"/>
          <w:szCs w:val="19"/>
          <w:b w:val="1"/>
          <w:bCs w:val="1"/>
          <w:i w:val="1"/>
          <w:iCs w:val="1"/>
          <w:color w:val="DF1995"/>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3" w:lineRule="exact"/>
        <w:rPr>
          <w:sz w:val="20"/>
          <w:szCs w:val="20"/>
          <w:color w:val="auto"/>
        </w:rPr>
      </w:pPr>
    </w:p>
    <w:p>
      <w:pPr>
        <w:jc w:val="both"/>
        <w:ind w:right="700"/>
        <w:spacing w:after="0" w:line="288" w:lineRule="auto"/>
        <w:rPr>
          <w:sz w:val="20"/>
          <w:szCs w:val="20"/>
          <w:color w:val="auto"/>
        </w:rPr>
      </w:pPr>
      <w:r>
        <w:rPr>
          <w:rFonts w:ascii="Arial" w:cs="Arial" w:eastAsia="Arial" w:hAnsi="Arial"/>
          <w:sz w:val="19"/>
          <w:szCs w:val="19"/>
          <w:b w:val="1"/>
          <w:bCs w:val="1"/>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53" w:lineRule="exact"/>
        <w:rPr>
          <w:sz w:val="20"/>
          <w:szCs w:val="20"/>
          <w:color w:val="auto"/>
        </w:rPr>
      </w:pPr>
    </w:p>
    <w:p>
      <w:pPr>
        <w:jc w:val="both"/>
        <w:ind w:left="720" w:right="700" w:hanging="370"/>
        <w:spacing w:after="0" w:line="268" w:lineRule="auto"/>
        <w:tabs>
          <w:tab w:leader="none" w:pos="720" w:val="left"/>
        </w:tabs>
        <w:numPr>
          <w:ilvl w:val="0"/>
          <w:numId w:val="28"/>
        </w:numPr>
        <w:rPr>
          <w:rFonts w:ascii="Arial" w:cs="Arial" w:eastAsia="Arial" w:hAnsi="Arial"/>
          <w:sz w:val="20"/>
          <w:szCs w:val="20"/>
          <w:b w:val="1"/>
          <w:bCs w:val="1"/>
          <w:color w:val="DF1995"/>
        </w:rPr>
      </w:pPr>
      <w:r>
        <w:rPr>
          <w:rFonts w:ascii="Arial" w:cs="Arial" w:eastAsia="Arial" w:hAnsi="Arial"/>
          <w:sz w:val="20"/>
          <w:szCs w:val="20"/>
          <w:b w:val="1"/>
          <w:bCs w:val="1"/>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69"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8"/>
        </w:numPr>
        <w:rPr>
          <w:rFonts w:ascii="Arial" w:cs="Arial" w:eastAsia="Arial" w:hAnsi="Arial"/>
          <w:sz w:val="20"/>
          <w:szCs w:val="20"/>
          <w:b w:val="1"/>
          <w:bCs w:val="1"/>
          <w:color w:val="DF1995"/>
        </w:rPr>
      </w:pPr>
      <w:r>
        <w:rPr>
          <w:rFonts w:ascii="Arial" w:cs="Arial" w:eastAsia="Arial" w:hAnsi="Arial"/>
          <w:sz w:val="20"/>
          <w:szCs w:val="20"/>
          <w:b w:val="1"/>
          <w:bCs w:val="1"/>
          <w:color w:val="auto"/>
        </w:rPr>
        <w:t>require that any action to be taken by our stockholders be effected at a duly called annual or special meeting and not by written consent;</w:t>
      </w:r>
    </w:p>
    <w:p>
      <w:pPr>
        <w:spacing w:after="0" w:line="53"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8"/>
        </w:numPr>
        <w:rPr>
          <w:rFonts w:ascii="Arial" w:cs="Arial" w:eastAsia="Arial" w:hAnsi="Arial"/>
          <w:sz w:val="20"/>
          <w:szCs w:val="20"/>
          <w:b w:val="1"/>
          <w:bCs w:val="1"/>
          <w:color w:val="DF1995"/>
        </w:rPr>
      </w:pPr>
      <w:r>
        <w:rPr>
          <w:rFonts w:ascii="Arial" w:cs="Arial" w:eastAsia="Arial" w:hAnsi="Arial"/>
          <w:sz w:val="20"/>
          <w:szCs w:val="20"/>
          <w:b w:val="1"/>
          <w:bCs w:val="1"/>
          <w:color w:val="auto"/>
        </w:rPr>
        <w:t>specify that special meetings of our stockholders can be called only by our board of directors, the Chair of the Board, the Chief Executive Officer or the President;</w:t>
      </w:r>
    </w:p>
    <w:p>
      <w:pPr>
        <w:spacing w:after="0" w:line="53" w:lineRule="exact"/>
        <w:rPr>
          <w:rFonts w:ascii="Arial" w:cs="Arial" w:eastAsia="Arial" w:hAnsi="Arial"/>
          <w:sz w:val="20"/>
          <w:szCs w:val="20"/>
          <w:b w:val="1"/>
          <w:bCs w:val="1"/>
          <w:color w:val="DF1995"/>
        </w:rPr>
      </w:pPr>
    </w:p>
    <w:p>
      <w:pPr>
        <w:ind w:left="720" w:right="700" w:hanging="370"/>
        <w:spacing w:after="0" w:line="343" w:lineRule="auto"/>
        <w:tabs>
          <w:tab w:leader="none" w:pos="720" w:val="left"/>
        </w:tabs>
        <w:numPr>
          <w:ilvl w:val="0"/>
          <w:numId w:val="28"/>
        </w:numPr>
        <w:rPr>
          <w:rFonts w:ascii="Arial" w:cs="Arial" w:eastAsia="Arial" w:hAnsi="Arial"/>
          <w:sz w:val="18"/>
          <w:szCs w:val="18"/>
          <w:b w:val="1"/>
          <w:bCs w:val="1"/>
          <w:color w:val="DF1995"/>
        </w:rPr>
      </w:pPr>
      <w:r>
        <w:rPr>
          <w:rFonts w:ascii="Arial" w:cs="Arial" w:eastAsia="Arial" w:hAnsi="Arial"/>
          <w:sz w:val="18"/>
          <w:szCs w:val="18"/>
          <w:b w:val="1"/>
          <w:bCs w:val="1"/>
          <w:color w:val="auto"/>
        </w:rPr>
        <w:t>establish advance notice procedures for stockholder approvals to be brought before an annual meeting of our stockholders, including proposed nominations of persons for election to our board of directors;</w:t>
      </w:r>
    </w:p>
    <w:p>
      <w:pPr>
        <w:spacing w:after="0" w:line="8" w:lineRule="exact"/>
        <w:rPr>
          <w:rFonts w:ascii="Arial" w:cs="Arial" w:eastAsia="Arial" w:hAnsi="Arial"/>
          <w:sz w:val="18"/>
          <w:szCs w:val="18"/>
          <w:b w:val="1"/>
          <w:bCs w:val="1"/>
          <w:color w:val="DF1995"/>
        </w:rPr>
      </w:pPr>
    </w:p>
    <w:p>
      <w:pPr>
        <w:jc w:val="both"/>
        <w:ind w:left="720" w:right="700" w:hanging="370"/>
        <w:spacing w:after="0" w:line="268" w:lineRule="auto"/>
        <w:tabs>
          <w:tab w:leader="none" w:pos="720" w:val="left"/>
        </w:tabs>
        <w:numPr>
          <w:ilvl w:val="0"/>
          <w:numId w:val="28"/>
        </w:numPr>
        <w:rPr>
          <w:rFonts w:ascii="Arial" w:cs="Arial" w:eastAsia="Arial" w:hAnsi="Arial"/>
          <w:sz w:val="20"/>
          <w:szCs w:val="20"/>
          <w:b w:val="1"/>
          <w:bCs w:val="1"/>
          <w:color w:val="DF1995"/>
        </w:rPr>
      </w:pPr>
      <w:r>
        <w:rPr>
          <w:rFonts w:ascii="Arial" w:cs="Arial" w:eastAsia="Arial" w:hAnsi="Arial"/>
          <w:sz w:val="20"/>
          <w:szCs w:val="20"/>
          <w:b w:val="1"/>
          <w:bCs w:val="1"/>
          <w:color w:val="auto"/>
        </w:rPr>
        <w:t>establish that our board of directors is divided into three classes, Class I, Class II and Class III, with each class serving staggered terms (until our board of directors is fully declassified beginning with the 2027 annual meeting of stockholders);</w:t>
      </w:r>
    </w:p>
    <w:p>
      <w:pPr>
        <w:spacing w:after="0" w:line="69"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8"/>
        </w:numPr>
        <w:rPr>
          <w:rFonts w:ascii="Arial" w:cs="Arial" w:eastAsia="Arial" w:hAnsi="Arial"/>
          <w:sz w:val="20"/>
          <w:szCs w:val="20"/>
          <w:b w:val="1"/>
          <w:bCs w:val="1"/>
          <w:color w:val="DF1995"/>
        </w:rPr>
      </w:pPr>
      <w:r>
        <w:rPr>
          <w:rFonts w:ascii="Arial" w:cs="Arial" w:eastAsia="Arial" w:hAnsi="Arial"/>
          <w:sz w:val="20"/>
          <w:szCs w:val="20"/>
          <w:b w:val="1"/>
          <w:bCs w:val="1"/>
          <w:color w:val="auto"/>
        </w:rPr>
        <w:t>provide that our directors may be removed only for cause; and</w:t>
      </w:r>
    </w:p>
    <w:p>
      <w:pPr>
        <w:spacing w:after="0" w:line="13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28"/>
        </w:numPr>
        <w:rPr>
          <w:rFonts w:ascii="Arial" w:cs="Arial" w:eastAsia="Arial" w:hAnsi="Arial"/>
          <w:sz w:val="20"/>
          <w:szCs w:val="20"/>
          <w:b w:val="1"/>
          <w:bCs w:val="1"/>
          <w:color w:val="DF1995"/>
        </w:rPr>
      </w:pPr>
      <w:r>
        <w:rPr>
          <w:rFonts w:ascii="Arial" w:cs="Arial" w:eastAsia="Arial" w:hAnsi="Arial"/>
          <w:sz w:val="20"/>
          <w:szCs w:val="20"/>
          <w:b w:val="1"/>
          <w:bCs w:val="1"/>
          <w:color w:val="auto"/>
        </w:rPr>
        <w:t>provide that vacancies on our board of directors may be filled only by a majority of directors then in office, even though less than a quorum.</w:t>
      </w:r>
    </w:p>
    <w:p>
      <w:pPr>
        <w:spacing w:after="0" w:line="54" w:lineRule="exact"/>
        <w:rPr>
          <w:sz w:val="20"/>
          <w:szCs w:val="20"/>
          <w:color w:val="auto"/>
        </w:rPr>
      </w:pPr>
    </w:p>
    <w:p>
      <w:pPr>
        <w:jc w:val="both"/>
        <w:ind w:right="700"/>
        <w:spacing w:after="0" w:line="257" w:lineRule="auto"/>
        <w:rPr>
          <w:sz w:val="20"/>
          <w:szCs w:val="20"/>
          <w:color w:val="auto"/>
        </w:rPr>
      </w:pPr>
      <w:r>
        <w:rPr>
          <w:rFonts w:ascii="Arial" w:cs="Arial" w:eastAsia="Arial" w:hAnsi="Arial"/>
          <w:sz w:val="20"/>
          <w:szCs w:val="20"/>
          <w:b w:val="1"/>
          <w:bCs w:val="1"/>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2" w:lineRule="exact"/>
        <w:rPr>
          <w:sz w:val="20"/>
          <w:szCs w:val="20"/>
          <w:color w:val="auto"/>
        </w:rPr>
      </w:pPr>
    </w:p>
    <w:p>
      <w:pPr>
        <w:jc w:val="both"/>
        <w:ind w:right="700"/>
        <w:spacing w:after="0" w:line="258" w:lineRule="auto"/>
        <w:rPr>
          <w:sz w:val="20"/>
          <w:szCs w:val="20"/>
          <w:color w:val="auto"/>
        </w:rPr>
      </w:pPr>
      <w:r>
        <w:rPr>
          <w:rFonts w:ascii="Arial" w:cs="Arial" w:eastAsia="Arial" w:hAnsi="Arial"/>
          <w:sz w:val="20"/>
          <w:szCs w:val="20"/>
          <w:b w:val="1"/>
          <w:bCs w:val="1"/>
          <w:i w:val="1"/>
          <w:iCs w:val="1"/>
          <w:color w:val="DF1995"/>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84" w:lineRule="exact"/>
        <w:rPr>
          <w:sz w:val="20"/>
          <w:szCs w:val="20"/>
          <w:color w:val="auto"/>
        </w:rPr>
      </w:pPr>
    </w:p>
    <w:p>
      <w:pPr>
        <w:jc w:val="both"/>
        <w:ind w:right="680"/>
        <w:spacing w:after="0" w:line="289" w:lineRule="auto"/>
        <w:rPr>
          <w:sz w:val="20"/>
          <w:szCs w:val="20"/>
          <w:color w:val="auto"/>
        </w:rPr>
      </w:pPr>
      <w:r>
        <w:rPr>
          <w:rFonts w:ascii="Arial" w:cs="Arial" w:eastAsia="Arial" w:hAnsi="Arial"/>
          <w:sz w:val="18"/>
          <w:szCs w:val="18"/>
          <w:b w:val="1"/>
          <w:bCs w:val="1"/>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244475</wp:posOffset>
                </wp:positionV>
                <wp:extent cx="731520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25pt" to="535pt,19.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244475</wp:posOffset>
                </wp:positionV>
                <wp:extent cx="731520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25pt" to="535pt,19.2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36"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83">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through (v) above, for any claim as to which such court determines that there is an indispensable party not subject to the jurisdiction of such court.</w:t>
      </w:r>
    </w:p>
    <w:p>
      <w:pPr>
        <w:spacing w:after="0" w:line="54"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spacing w:after="0" w:line="85"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37"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Our large number of authorized but unissued shares of common stock may potentially dilute existing stockholders’ stockholdings.</w:t>
      </w:r>
    </w:p>
    <w:p>
      <w:pPr>
        <w:spacing w:after="0" w:line="54"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We do not intend to pay dividends for the foreseeable future.</w:t>
      </w:r>
    </w:p>
    <w:p>
      <w:pPr>
        <w:spacing w:after="0" w:line="130" w:lineRule="exact"/>
        <w:rPr>
          <w:sz w:val="20"/>
          <w:szCs w:val="20"/>
          <w:color w:val="auto"/>
        </w:rPr>
      </w:pPr>
    </w:p>
    <w:p>
      <w:pPr>
        <w:jc w:val="both"/>
        <w:ind w:right="700"/>
        <w:spacing w:after="0" w:line="294" w:lineRule="auto"/>
        <w:rPr>
          <w:sz w:val="20"/>
          <w:szCs w:val="20"/>
          <w:color w:val="auto"/>
        </w:rPr>
      </w:pPr>
      <w:r>
        <w:rPr>
          <w:rFonts w:ascii="Arial" w:cs="Arial" w:eastAsia="Arial" w:hAnsi="Arial"/>
          <w:sz w:val="18"/>
          <w:szCs w:val="18"/>
          <w:b w:val="1"/>
          <w:bCs w:val="1"/>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1383C6"/>
        </w:rPr>
        <w:t>Risks Related to Our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8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i w:val="1"/>
          <w:iCs w:val="1"/>
          <w:color w:val="DF1995"/>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75" w:lineRule="exact"/>
        <w:rPr>
          <w:sz w:val="20"/>
          <w:szCs w:val="20"/>
          <w:color w:val="auto"/>
        </w:rPr>
      </w:pPr>
    </w:p>
    <w:p>
      <w:pPr>
        <w:jc w:val="both"/>
        <w:ind w:right="700"/>
        <w:spacing w:after="0" w:line="257" w:lineRule="auto"/>
        <w:rPr>
          <w:sz w:val="20"/>
          <w:szCs w:val="20"/>
          <w:color w:val="auto"/>
        </w:rPr>
      </w:pPr>
      <w:r>
        <w:rPr>
          <w:rFonts w:ascii="Arial" w:cs="Arial" w:eastAsia="Arial" w:hAnsi="Arial"/>
          <w:sz w:val="20"/>
          <w:szCs w:val="20"/>
          <w:b w:val="1"/>
          <w:bCs w:val="1"/>
          <w:color w:val="auto"/>
        </w:rPr>
        <w:t>As of December 31, 2025, we had outstanding approximately $200.0 million aggregate principal amount of our 2029 Notes and $441.0 million aggregate principal amount of our 2030 Notes. The 2029 Notes will mature on August 15, 2029, subject to earlier conversion, redemption or repurchase, including upon a fundamental change. The 2030 Notes will mature on December 15, 2030, subject to earlier conversion, redemption or repurchase, including upon a fundamental change. The 2029 Notes and the 2030 Notes are collectively referred to as the Notes.</w:t>
      </w:r>
    </w:p>
    <w:p>
      <w:pPr>
        <w:spacing w:after="0" w:line="82" w:lineRule="exact"/>
        <w:rPr>
          <w:sz w:val="20"/>
          <w:szCs w:val="20"/>
          <w:color w:val="auto"/>
        </w:rPr>
      </w:pPr>
    </w:p>
    <w:p>
      <w:pPr>
        <w:jc w:val="both"/>
        <w:ind w:right="700"/>
        <w:spacing w:after="0" w:line="291" w:lineRule="auto"/>
        <w:rPr>
          <w:sz w:val="20"/>
          <w:szCs w:val="20"/>
          <w:color w:val="auto"/>
        </w:rPr>
      </w:pPr>
      <w:r>
        <w:rPr>
          <w:rFonts w:ascii="Arial" w:cs="Arial" w:eastAsia="Arial" w:hAnsi="Arial"/>
          <w:sz w:val="18"/>
          <w:szCs w:val="18"/>
          <w:b w:val="1"/>
          <w:bCs w:val="1"/>
          <w:color w:val="auto"/>
        </w:rPr>
        <w:t>Holders of each series of Notes will have the right to require us to repurchase all or a portion of their Notes upon the occurrence of a fundamental change before the maturity date at a repurchase price equal to 100% of the principal amount of the Notes of the applicable series to be repurchased, plus unpaid interest to, but excluding, the applicable maturity date. In addition, upon conversion of the Notes of a series, unless we elect to deliver solely shares of our common stock to settle such conversion (other than paying cash in lieu of delivering any fractional share), we will be required to settle a portion or all of our conversion obligation in cash in respect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277495</wp:posOffset>
                </wp:positionV>
                <wp:extent cx="731520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85pt" to="535pt,21.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277495</wp:posOffset>
                </wp:positionV>
                <wp:extent cx="731520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85pt" to="535pt,21.8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88"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8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0" w:lineRule="auto"/>
        <w:rPr>
          <w:sz w:val="20"/>
          <w:szCs w:val="20"/>
          <w:color w:val="auto"/>
        </w:rPr>
      </w:pPr>
      <w:r>
        <w:rPr>
          <w:rFonts w:ascii="Arial" w:cs="Arial" w:eastAsia="Arial" w:hAnsi="Arial"/>
          <w:sz w:val="19"/>
          <w:szCs w:val="19"/>
          <w:b w:val="1"/>
          <w:bCs w:val="1"/>
          <w:color w:val="auto"/>
        </w:rPr>
        <w:t>of the Notes being converted. Moreover, we will be required to repay the Notes of the applicable series in cash at the applicable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60"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In addition, our ability to repurchase the Notes or to pay cash upon conversions of Notes or at the applicable maturity may be limited by law, regulatory authority or agreements governing our future indebtedness. Our failure to repurchase Notes of a series at a time when the repurchase is required by the applicable indenture or to pay cash upon conversions of such Notes or at the applicable maturity as required by the applicable indenture would constitute a default under such indenture. A default under either indenture or the occurrence of a fundamental change under either indenture itself could also lead to a default under agreements governing our future indebtedness. Moreover, the occurrence of a fundamental change under either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applicable series of Notes.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The Side Letter to our 2029 Notes imposes operating restrictions on us.</w:t>
      </w:r>
    </w:p>
    <w:p>
      <w:pPr>
        <w:spacing w:after="0" w:line="130"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On November 21, 2024, in connection with the issuance of the 2029 Notes, the Company and SB Northstar LP (“SBN”) entered into a letter agreement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 in the Letter Agreement).</w:t>
      </w:r>
    </w:p>
    <w:p>
      <w:pPr>
        <w:spacing w:after="0" w:line="85"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Additionally,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spacing w:after="0" w:line="76"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These covenants may adversely affect our ability to finance our operations, meet or otherwise address our capital needs, pursue business opportunities or react to market conditions, or otherwise restrict our activities or business plans.</w:t>
      </w:r>
    </w:p>
    <w:p>
      <w:pPr>
        <w:spacing w:after="0" w:line="70" w:lineRule="exact"/>
        <w:rPr>
          <w:sz w:val="20"/>
          <w:szCs w:val="20"/>
          <w:color w:val="auto"/>
        </w:rPr>
      </w:pPr>
    </w:p>
    <w:p>
      <w:pPr>
        <w:jc w:val="both"/>
        <w:ind w:right="700"/>
        <w:spacing w:after="0" w:line="280" w:lineRule="auto"/>
        <w:rPr>
          <w:sz w:val="20"/>
          <w:szCs w:val="20"/>
          <w:color w:val="auto"/>
        </w:rPr>
      </w:pPr>
      <w:r>
        <w:rPr>
          <w:rFonts w:ascii="Arial" w:cs="Arial" w:eastAsia="Arial" w:hAnsi="Arial"/>
          <w:sz w:val="19"/>
          <w:szCs w:val="19"/>
          <w:b w:val="1"/>
          <w:bCs w:val="1"/>
          <w:color w:val="auto"/>
        </w:rPr>
        <w:t>A breach of any of the covenants under the Letter Agreement could result in an event of default under the 2029 Notes. As of December 31, 2025, we were in compliance with all covenants under the Letter Agreement. However, if an event of default occurs, SBN could accelerate our obligations under the 2029 Notes. Any such acceleration could result in an event of default under our other indebtedness, including the 2030 Notes.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If the Notes are converted, it may adversely affect our financial condition and operating results.</w:t>
      </w:r>
    </w:p>
    <w:p>
      <w:pPr>
        <w:spacing w:after="0" w:line="130" w:lineRule="exact"/>
        <w:rPr>
          <w:sz w:val="20"/>
          <w:szCs w:val="20"/>
          <w:color w:val="auto"/>
        </w:rPr>
      </w:pPr>
    </w:p>
    <w:p>
      <w:pPr>
        <w:jc w:val="both"/>
        <w:ind w:right="700"/>
        <w:spacing w:after="0" w:line="287" w:lineRule="auto"/>
        <w:rPr>
          <w:sz w:val="20"/>
          <w:szCs w:val="20"/>
          <w:color w:val="auto"/>
        </w:rPr>
      </w:pPr>
      <w:r>
        <w:rPr>
          <w:rFonts w:ascii="Arial" w:cs="Arial" w:eastAsia="Arial" w:hAnsi="Arial"/>
          <w:sz w:val="18"/>
          <w:szCs w:val="18"/>
          <w:b w:val="1"/>
          <w:bCs w:val="1"/>
          <w:color w:val="auto"/>
        </w:rPr>
        <w:t>Holders of either series of Notes are entitled to convert their respective series of Notes at any time at their option. If one or more holders elect to convert the Notes of the applicable series,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1706880</wp:posOffset>
                </wp:positionV>
                <wp:extent cx="731520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34.4pt" to="535pt,134.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1706880</wp:posOffset>
                </wp:positionV>
                <wp:extent cx="731520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34.4pt" to="535pt,134.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8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1383C6"/>
        </w:rPr>
        <w:t>General Risk Factors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8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Unfavorable global economic or political conditions could adversely affect our business, financial condition or results of operations.</w:t>
      </w:r>
    </w:p>
    <w:p>
      <w:pPr>
        <w:spacing w:after="0" w:line="54" w:lineRule="exact"/>
        <w:rPr>
          <w:sz w:val="20"/>
          <w:szCs w:val="20"/>
          <w:color w:val="auto"/>
        </w:rPr>
      </w:pPr>
    </w:p>
    <w:p>
      <w:pPr>
        <w:jc w:val="both"/>
        <w:ind w:right="680"/>
        <w:spacing w:after="0" w:line="282" w:lineRule="auto"/>
        <w:rPr>
          <w:sz w:val="20"/>
          <w:szCs w:val="20"/>
          <w:color w:val="auto"/>
        </w:rPr>
      </w:pPr>
      <w:r>
        <w:rPr>
          <w:rFonts w:ascii="Arial" w:cs="Arial" w:eastAsia="Arial" w:hAnsi="Arial"/>
          <w:sz w:val="18"/>
          <w:szCs w:val="18"/>
          <w:b w:val="1"/>
          <w:bCs w:val="1"/>
          <w:color w:val="auto"/>
        </w:rPr>
        <w:t>General conditions in the global economy and in the global financial markets could adversely affect our results of operations, and the overall demand for nucleic acid sequencing products may be particularly vulnerable to unfavorable economic conditions. A global financial crisis, inflation or a global or regional political disruption, acts of terrorism, hostilities, military conflict and acts of war, including any further escalation of the conflict in the Middle East and the war in Ukraine, as well as the related responses,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 For more information on impairment considerations, see “</w:t>
      </w: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0000FF"/>
        </w:rPr>
        <w:t>The commercialization and sales of our current or future products may be unsuccessful or less successful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0000FF"/>
        </w:rPr>
        <w:t>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r>
        <w:rPr>
          <w:rFonts w:ascii="Arial" w:cs="Arial" w:eastAsia="Arial" w:hAnsi="Arial"/>
          <w:sz w:val="18"/>
          <w:szCs w:val="18"/>
          <w:b w:val="1"/>
          <w:bCs w:val="1"/>
          <w:i w:val="1"/>
          <w:iCs w:val="1"/>
          <w:color w:val="000000"/>
        </w:rPr>
        <w:t>.</w:t>
      </w:r>
      <w:r>
        <w:rPr>
          <w:rFonts w:ascii="Arial" w:cs="Arial" w:eastAsia="Arial" w:hAnsi="Arial"/>
          <w:sz w:val="18"/>
          <w:szCs w:val="18"/>
          <w:b w:val="1"/>
          <w:bCs w:val="1"/>
          <w:color w:val="000000"/>
        </w:rPr>
        <w:t>” above.</w:t>
      </w:r>
    </w:p>
    <w:p>
      <w:pPr>
        <w:spacing w:after="0" w:line="122"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Delivery of our products could be delayed or disrupted by factors beyond our control, and we could lose customers as a result.</w:t>
      </w:r>
    </w:p>
    <w:p>
      <w:pPr>
        <w:spacing w:after="0" w:line="54" w:lineRule="exact"/>
        <w:rPr>
          <w:sz w:val="20"/>
          <w:szCs w:val="20"/>
          <w:color w:val="auto"/>
        </w:rPr>
      </w:pPr>
    </w:p>
    <w:p>
      <w:pPr>
        <w:jc w:val="both"/>
        <w:ind w:right="680"/>
        <w:spacing w:after="0" w:line="271" w:lineRule="auto"/>
        <w:rPr>
          <w:sz w:val="20"/>
          <w:szCs w:val="20"/>
          <w:color w:val="auto"/>
        </w:rPr>
      </w:pPr>
      <w:r>
        <w:rPr>
          <w:rFonts w:ascii="Arial" w:cs="Arial" w:eastAsia="Arial" w:hAnsi="Arial"/>
          <w:sz w:val="19"/>
          <w:szCs w:val="19"/>
          <w:b w:val="1"/>
          <w:bCs w:val="1"/>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Doing business internationally creates operational and financial risks for our business.</w:t>
      </w:r>
    </w:p>
    <w:p>
      <w:pPr>
        <w:spacing w:after="0" w:line="130"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83" w:lineRule="exact"/>
        <w:rPr>
          <w:sz w:val="20"/>
          <w:szCs w:val="20"/>
          <w:color w:val="auto"/>
        </w:rPr>
      </w:pPr>
    </w:p>
    <w:p>
      <w:pPr>
        <w:ind w:left="720" w:hanging="370"/>
        <w:spacing w:after="0"/>
        <w:tabs>
          <w:tab w:leader="none" w:pos="720" w:val="left"/>
        </w:tabs>
        <w:numPr>
          <w:ilvl w:val="0"/>
          <w:numId w:val="29"/>
        </w:numPr>
        <w:rPr>
          <w:rFonts w:ascii="Arial" w:cs="Arial" w:eastAsia="Arial" w:hAnsi="Arial"/>
          <w:sz w:val="20"/>
          <w:szCs w:val="20"/>
          <w:b w:val="1"/>
          <w:bCs w:val="1"/>
          <w:color w:val="DF1995"/>
        </w:rPr>
      </w:pPr>
      <w:r>
        <w:rPr>
          <w:rFonts w:ascii="Arial" w:cs="Arial" w:eastAsia="Arial" w:hAnsi="Arial"/>
          <w:sz w:val="20"/>
          <w:szCs w:val="20"/>
          <w:b w:val="1"/>
          <w:bCs w:val="1"/>
          <w:color w:val="auto"/>
        </w:rPr>
        <w:t>challenges in staffing and managing foreign operations;</w:t>
      </w:r>
    </w:p>
    <w:p>
      <w:pPr>
        <w:spacing w:after="0" w:line="130" w:lineRule="exact"/>
        <w:rPr>
          <w:rFonts w:ascii="Arial" w:cs="Arial" w:eastAsia="Arial" w:hAnsi="Arial"/>
          <w:sz w:val="20"/>
          <w:szCs w:val="20"/>
          <w:b w:val="1"/>
          <w:bCs w:val="1"/>
          <w:color w:val="DF1995"/>
        </w:rPr>
      </w:pPr>
    </w:p>
    <w:p>
      <w:pPr>
        <w:ind w:left="720" w:right="700" w:hanging="370"/>
        <w:spacing w:after="0" w:line="283" w:lineRule="auto"/>
        <w:tabs>
          <w:tab w:leader="none" w:pos="720" w:val="left"/>
        </w:tabs>
        <w:numPr>
          <w:ilvl w:val="0"/>
          <w:numId w:val="29"/>
        </w:numPr>
        <w:rPr>
          <w:rFonts w:ascii="Arial" w:cs="Arial" w:eastAsia="Arial" w:hAnsi="Arial"/>
          <w:sz w:val="20"/>
          <w:szCs w:val="20"/>
          <w:b w:val="1"/>
          <w:bCs w:val="1"/>
          <w:color w:val="DF1995"/>
        </w:rPr>
      </w:pPr>
      <w:r>
        <w:rPr>
          <w:rFonts w:ascii="Arial" w:cs="Arial" w:eastAsia="Arial" w:hAnsi="Arial"/>
          <w:sz w:val="20"/>
          <w:szCs w:val="20"/>
          <w:b w:val="1"/>
          <w:bCs w:val="1"/>
          <w:color w:val="auto"/>
        </w:rPr>
        <w:t>potentially longer sales cycles and more time required to engage and educate customers on the benefits of our platform outside of the United States;</w:t>
      </w:r>
    </w:p>
    <w:p>
      <w:pPr>
        <w:spacing w:after="0" w:line="57"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9"/>
        </w:numPr>
        <w:rPr>
          <w:rFonts w:ascii="Arial" w:cs="Arial" w:eastAsia="Arial" w:hAnsi="Arial"/>
          <w:sz w:val="20"/>
          <w:szCs w:val="20"/>
          <w:b w:val="1"/>
          <w:bCs w:val="1"/>
          <w:color w:val="DF1995"/>
        </w:rPr>
      </w:pPr>
      <w:r>
        <w:rPr>
          <w:rFonts w:ascii="Arial" w:cs="Arial" w:eastAsia="Arial" w:hAnsi="Arial"/>
          <w:sz w:val="20"/>
          <w:szCs w:val="20"/>
          <w:b w:val="1"/>
          <w:bCs w:val="1"/>
          <w:color w:val="auto"/>
        </w:rPr>
        <w:t>the potential need for localized software and documentation;</w:t>
      </w:r>
    </w:p>
    <w:p>
      <w:pPr>
        <w:spacing w:after="0" w:line="130" w:lineRule="exact"/>
        <w:rPr>
          <w:rFonts w:ascii="Arial" w:cs="Arial" w:eastAsia="Arial" w:hAnsi="Arial"/>
          <w:sz w:val="20"/>
          <w:szCs w:val="20"/>
          <w:b w:val="1"/>
          <w:bCs w:val="1"/>
          <w:color w:val="DF1995"/>
        </w:rPr>
      </w:pPr>
    </w:p>
    <w:p>
      <w:pPr>
        <w:ind w:left="720" w:right="700" w:hanging="370"/>
        <w:spacing w:after="0" w:line="283" w:lineRule="auto"/>
        <w:tabs>
          <w:tab w:leader="none" w:pos="720" w:val="left"/>
        </w:tabs>
        <w:numPr>
          <w:ilvl w:val="0"/>
          <w:numId w:val="29"/>
        </w:numPr>
        <w:rPr>
          <w:rFonts w:ascii="Arial" w:cs="Arial" w:eastAsia="Arial" w:hAnsi="Arial"/>
          <w:sz w:val="20"/>
          <w:szCs w:val="20"/>
          <w:b w:val="1"/>
          <w:bCs w:val="1"/>
          <w:color w:val="DF1995"/>
        </w:rPr>
      </w:pPr>
      <w:r>
        <w:rPr>
          <w:rFonts w:ascii="Arial" w:cs="Arial" w:eastAsia="Arial" w:hAnsi="Arial"/>
          <w:sz w:val="20"/>
          <w:szCs w:val="20"/>
          <w:b w:val="1"/>
          <w:bCs w:val="1"/>
          <w:color w:val="auto"/>
        </w:rPr>
        <w:t>reduced protection for intellectual property rights in some countries and practical difficulties of enforcing intellectual property and contract rights abroad;</w:t>
      </w:r>
    </w:p>
    <w:p>
      <w:pPr>
        <w:spacing w:after="0" w:line="57" w:lineRule="exact"/>
        <w:rPr>
          <w:rFonts w:ascii="Arial" w:cs="Arial" w:eastAsia="Arial" w:hAnsi="Arial"/>
          <w:sz w:val="20"/>
          <w:szCs w:val="20"/>
          <w:b w:val="1"/>
          <w:bCs w:val="1"/>
          <w:color w:val="DF1995"/>
        </w:rPr>
      </w:pPr>
    </w:p>
    <w:p>
      <w:pPr>
        <w:ind w:left="720" w:hanging="370"/>
        <w:spacing w:after="0"/>
        <w:tabs>
          <w:tab w:leader="none" w:pos="720" w:val="left"/>
        </w:tabs>
        <w:numPr>
          <w:ilvl w:val="0"/>
          <w:numId w:val="29"/>
        </w:numPr>
        <w:rPr>
          <w:rFonts w:ascii="Arial" w:cs="Arial" w:eastAsia="Arial" w:hAnsi="Arial"/>
          <w:sz w:val="20"/>
          <w:szCs w:val="20"/>
          <w:b w:val="1"/>
          <w:bCs w:val="1"/>
          <w:color w:val="DF1995"/>
        </w:rPr>
      </w:pPr>
      <w:r>
        <w:rPr>
          <w:rFonts w:ascii="Arial" w:cs="Arial" w:eastAsia="Arial" w:hAnsi="Arial"/>
          <w:sz w:val="20"/>
          <w:szCs w:val="20"/>
          <w:b w:val="1"/>
          <w:bCs w:val="1"/>
          <w:color w:val="auto"/>
        </w:rPr>
        <w:t>challenges with defending against intellectual property claims in other countries;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478155</wp:posOffset>
                </wp:positionV>
                <wp:extent cx="731520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7.65pt" to="535pt,37.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478155</wp:posOffset>
                </wp:positionV>
                <wp:extent cx="731520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7.65pt" to="535pt,37.6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8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left="720" w:right="700" w:hanging="370"/>
        <w:spacing w:after="0" w:line="268" w:lineRule="auto"/>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restrictions on both inbound and outbound cross-border investment, including enhanced oversight by the Committee on Foreign Investment in the United States (“CFIUS”) and substantial restrictions on investment from China;</w:t>
      </w:r>
    </w:p>
    <w:p>
      <w:pPr>
        <w:spacing w:after="0" w:line="69" w:lineRule="exact"/>
        <w:rPr>
          <w:rFonts w:ascii="Arial" w:cs="Arial" w:eastAsia="Arial" w:hAnsi="Arial"/>
          <w:sz w:val="20"/>
          <w:szCs w:val="20"/>
          <w:b w:val="1"/>
          <w:bCs w:val="1"/>
          <w:color w:val="DF1995"/>
        </w:rPr>
      </w:pPr>
    </w:p>
    <w:p>
      <w:pPr>
        <w:jc w:val="both"/>
        <w:ind w:left="720" w:right="680" w:hanging="370"/>
        <w:spacing w:after="0" w:line="268" w:lineRule="auto"/>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69" w:lineRule="exact"/>
        <w:rPr>
          <w:rFonts w:ascii="Arial" w:cs="Arial" w:eastAsia="Arial" w:hAnsi="Arial"/>
          <w:sz w:val="20"/>
          <w:szCs w:val="20"/>
          <w:b w:val="1"/>
          <w:bCs w:val="1"/>
          <w:color w:val="DF1995"/>
        </w:rPr>
      </w:pPr>
    </w:p>
    <w:p>
      <w:pPr>
        <w:jc w:val="both"/>
        <w:ind w:left="720" w:right="700" w:hanging="370"/>
        <w:spacing w:after="0" w:line="268" w:lineRule="auto"/>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changes in diplomatic and trade relationships, including new, increased, or enhanced tariffs, trade protection measures, import or export licensing requirements, trade embargoes, sanctions, and other trade barriers;</w:t>
      </w:r>
    </w:p>
    <w:p>
      <w:pPr>
        <w:spacing w:after="0" w:line="69" w:lineRule="exact"/>
        <w:rPr>
          <w:rFonts w:ascii="Arial" w:cs="Arial" w:eastAsia="Arial" w:hAnsi="Arial"/>
          <w:sz w:val="20"/>
          <w:szCs w:val="20"/>
          <w:b w:val="1"/>
          <w:bCs w:val="1"/>
          <w:color w:val="DF1995"/>
        </w:rPr>
      </w:pPr>
    </w:p>
    <w:p>
      <w:pPr>
        <w:jc w:val="both"/>
        <w:ind w:left="720" w:right="700" w:hanging="370"/>
        <w:spacing w:after="0" w:line="268" w:lineRule="auto"/>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tariffs imposed by the U.S. on goods from other countries and tariffs imposed by other countries on U.S. goods, which may be imposed on products such as ours, the scope and duration of which, if implemented, remains uncertain;</w:t>
      </w:r>
    </w:p>
    <w:p>
      <w:pPr>
        <w:spacing w:after="0" w:line="69" w:lineRule="exact"/>
        <w:rPr>
          <w:rFonts w:ascii="Arial" w:cs="Arial" w:eastAsia="Arial" w:hAnsi="Arial"/>
          <w:sz w:val="20"/>
          <w:szCs w:val="20"/>
          <w:b w:val="1"/>
          <w:bCs w:val="1"/>
          <w:color w:val="DF1995"/>
        </w:rPr>
      </w:pPr>
    </w:p>
    <w:p>
      <w:pPr>
        <w:jc w:val="both"/>
        <w:ind w:left="720" w:right="700" w:hanging="370"/>
        <w:spacing w:after="0" w:line="268" w:lineRule="auto"/>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deterioration of political relations among, between, and within the U.S., Russia, China, Japan, Korea, Mexico, Canada, the United Kingdom (“U.K.”), and the European Union ("E.U."), which could have a material adverse effect on our sales and operations in these countries;</w:t>
      </w:r>
    </w:p>
    <w:p>
      <w:pPr>
        <w:spacing w:after="0" w:line="69" w:lineRule="exact"/>
        <w:rPr>
          <w:rFonts w:ascii="Arial" w:cs="Arial" w:eastAsia="Arial" w:hAnsi="Arial"/>
          <w:sz w:val="20"/>
          <w:szCs w:val="20"/>
          <w:b w:val="1"/>
          <w:bCs w:val="1"/>
          <w:color w:val="DF1995"/>
        </w:rPr>
      </w:pPr>
    </w:p>
    <w:p>
      <w:pPr>
        <w:jc w:val="both"/>
        <w:ind w:left="720" w:right="700" w:hanging="370"/>
        <w:spacing w:after="0" w:line="268" w:lineRule="auto"/>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changes in social, political, and economic conditions or in laws, regulations and policies governing foreign trade, manufacturing, development, and investment both domestically as well as in the other countries and jurisdictions into which we sell our products;</w:t>
      </w:r>
    </w:p>
    <w:p>
      <w:pPr>
        <w:spacing w:after="0" w:line="69"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difficulties in obtaining export licenses or in overcoming other trade barriers and restrictions resulting in delivery delays;</w:t>
      </w:r>
    </w:p>
    <w:p>
      <w:pPr>
        <w:spacing w:after="0" w:line="53" w:lineRule="exact"/>
        <w:rPr>
          <w:rFonts w:ascii="Arial" w:cs="Arial" w:eastAsia="Arial" w:hAnsi="Arial"/>
          <w:sz w:val="20"/>
          <w:szCs w:val="20"/>
          <w:b w:val="1"/>
          <w:bCs w:val="1"/>
          <w:color w:val="DF1995"/>
        </w:rPr>
      </w:pPr>
    </w:p>
    <w:p>
      <w:pPr>
        <w:ind w:left="720" w:hanging="370"/>
        <w:spacing w:after="0"/>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fluctuations in currency exchange rates and the related effect on our results of operations;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increased financial accounting and reporting burdens and complexities;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potential limits to travel as a result of epidemics or pandemics;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disruptions to global trade due to disease outbreaks or conflicts;</w:t>
      </w:r>
    </w:p>
    <w:p>
      <w:pPr>
        <w:spacing w:after="0" w:line="130" w:lineRule="exact"/>
        <w:rPr>
          <w:rFonts w:ascii="Arial" w:cs="Arial" w:eastAsia="Arial" w:hAnsi="Arial"/>
          <w:sz w:val="20"/>
          <w:szCs w:val="20"/>
          <w:b w:val="1"/>
          <w:bCs w:val="1"/>
          <w:color w:val="DF1995"/>
        </w:rPr>
      </w:pPr>
    </w:p>
    <w:p>
      <w:pPr>
        <w:ind w:left="720" w:hanging="370"/>
        <w:spacing w:after="0"/>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potential increases on tariffs or restrictions on trade generally; and</w:t>
      </w:r>
    </w:p>
    <w:p>
      <w:pPr>
        <w:spacing w:after="0" w:line="130" w:lineRule="exact"/>
        <w:rPr>
          <w:rFonts w:ascii="Arial" w:cs="Arial" w:eastAsia="Arial" w:hAnsi="Arial"/>
          <w:sz w:val="20"/>
          <w:szCs w:val="20"/>
          <w:b w:val="1"/>
          <w:bCs w:val="1"/>
          <w:color w:val="DF1995"/>
        </w:rPr>
      </w:pPr>
    </w:p>
    <w:p>
      <w:pPr>
        <w:jc w:val="both"/>
        <w:ind w:left="720" w:right="680" w:hanging="370"/>
        <w:spacing w:after="0" w:line="268" w:lineRule="auto"/>
        <w:tabs>
          <w:tab w:leader="none" w:pos="720" w:val="left"/>
        </w:tabs>
        <w:numPr>
          <w:ilvl w:val="0"/>
          <w:numId w:val="30"/>
        </w:numPr>
        <w:rPr>
          <w:rFonts w:ascii="Arial" w:cs="Arial" w:eastAsia="Arial" w:hAnsi="Arial"/>
          <w:sz w:val="20"/>
          <w:szCs w:val="20"/>
          <w:b w:val="1"/>
          <w:bCs w:val="1"/>
          <w:color w:val="DF1995"/>
        </w:rPr>
      </w:pPr>
      <w:r>
        <w:rPr>
          <w:rFonts w:ascii="Arial" w:cs="Arial" w:eastAsia="Arial" w:hAnsi="Arial"/>
          <w:sz w:val="20"/>
          <w:szCs w:val="20"/>
          <w:b w:val="1"/>
          <w:bCs w:val="1"/>
          <w:color w:val="auto"/>
        </w:rPr>
        <w:t>significant taxes or other burdens of complying with a variety of foreign laws and regulations, including laws and regulations relating to privacy and data protection such as the E.U. General Data Protection Regulation.</w:t>
      </w:r>
    </w:p>
    <w:p>
      <w:pPr>
        <w:spacing w:after="0" w:line="70" w:lineRule="exact"/>
        <w:rPr>
          <w:sz w:val="20"/>
          <w:szCs w:val="20"/>
          <w:color w:val="auto"/>
        </w:rPr>
      </w:pPr>
    </w:p>
    <w:p>
      <w:pPr>
        <w:jc w:val="both"/>
        <w:ind w:right="700"/>
        <w:spacing w:after="0" w:line="254" w:lineRule="auto"/>
        <w:rPr>
          <w:sz w:val="20"/>
          <w:szCs w:val="20"/>
          <w:color w:val="auto"/>
        </w:rPr>
      </w:pPr>
      <w:r>
        <w:rPr>
          <w:rFonts w:ascii="Arial" w:cs="Arial" w:eastAsia="Arial" w:hAnsi="Arial"/>
          <w:sz w:val="20"/>
          <w:szCs w:val="20"/>
          <w:b w:val="1"/>
          <w:bCs w:val="1"/>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applicable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86"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1181735</wp:posOffset>
                </wp:positionV>
                <wp:extent cx="731520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3.05pt" to="535pt,9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1181735</wp:posOffset>
                </wp:positionV>
                <wp:extent cx="731520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3.05pt" to="535pt,93.0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8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b w:val="1"/>
          <w:bCs w:val="1"/>
          <w:color w:val="auto"/>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71" w:lineRule="exact"/>
        <w:rPr>
          <w:sz w:val="20"/>
          <w:szCs w:val="20"/>
          <w:color w:val="auto"/>
        </w:rPr>
      </w:pPr>
    </w:p>
    <w:p>
      <w:pPr>
        <w:jc w:val="both"/>
        <w:ind w:right="680"/>
        <w:spacing w:after="0" w:line="271" w:lineRule="auto"/>
        <w:rPr>
          <w:sz w:val="20"/>
          <w:szCs w:val="20"/>
          <w:color w:val="auto"/>
        </w:rPr>
      </w:pPr>
      <w:r>
        <w:rPr>
          <w:rFonts w:ascii="Arial" w:cs="Arial" w:eastAsia="Arial" w:hAnsi="Arial"/>
          <w:sz w:val="19"/>
          <w:szCs w:val="19"/>
          <w:b w:val="1"/>
          <w:bCs w:val="1"/>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33"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i w:val="1"/>
          <w:iCs w:val="1"/>
          <w:color w:val="DF1995"/>
        </w:rPr>
        <w:t>If we fail to maintain proper and effective internal controls, our ability to produce accurate financial statements on a timely basis could be impaired, which would adversely affect our business and our stock price.</w:t>
      </w:r>
    </w:p>
    <w:p>
      <w:pPr>
        <w:spacing w:after="0" w:line="8" w:lineRule="exact"/>
        <w:rPr>
          <w:sz w:val="20"/>
          <w:szCs w:val="20"/>
          <w:color w:val="auto"/>
        </w:rPr>
      </w:pPr>
    </w:p>
    <w:p>
      <w:pPr>
        <w:jc w:val="both"/>
        <w:ind w:right="680"/>
        <w:spacing w:after="0" w:line="256" w:lineRule="auto"/>
        <w:rPr>
          <w:sz w:val="20"/>
          <w:szCs w:val="20"/>
          <w:color w:val="auto"/>
        </w:rPr>
      </w:pPr>
      <w:r>
        <w:rPr>
          <w:rFonts w:ascii="Arial" w:cs="Arial" w:eastAsia="Arial" w:hAnsi="Arial"/>
          <w:sz w:val="20"/>
          <w:szCs w:val="20"/>
          <w:b w:val="1"/>
          <w:bCs w:val="1"/>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83" w:lineRule="exact"/>
        <w:rPr>
          <w:sz w:val="20"/>
          <w:szCs w:val="20"/>
          <w:color w:val="auto"/>
        </w:rPr>
      </w:pPr>
    </w:p>
    <w:p>
      <w:pPr>
        <w:jc w:val="both"/>
        <w:ind w:right="680"/>
        <w:spacing w:after="0" w:line="287" w:lineRule="auto"/>
        <w:rPr>
          <w:sz w:val="20"/>
          <w:szCs w:val="20"/>
          <w:color w:val="auto"/>
        </w:rPr>
      </w:pPr>
      <w:r>
        <w:rPr>
          <w:rFonts w:ascii="Arial" w:cs="Arial" w:eastAsia="Arial" w:hAnsi="Arial"/>
          <w:sz w:val="18"/>
          <w:szCs w:val="18"/>
          <w:b w:val="1"/>
          <w:bCs w:val="1"/>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60"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Our business could be negatively impacted by changes in the United States political environment.</w:t>
      </w:r>
    </w:p>
    <w:p>
      <w:pPr>
        <w:spacing w:after="0" w:line="130" w:lineRule="exact"/>
        <w:rPr>
          <w:sz w:val="20"/>
          <w:szCs w:val="20"/>
          <w:color w:val="auto"/>
        </w:rPr>
      </w:pPr>
    </w:p>
    <w:p>
      <w:pPr>
        <w:jc w:val="both"/>
        <w:ind w:right="680"/>
        <w:spacing w:after="0" w:line="270" w:lineRule="auto"/>
        <w:rPr>
          <w:sz w:val="20"/>
          <w:szCs w:val="20"/>
          <w:color w:val="auto"/>
        </w:rPr>
      </w:pPr>
      <w:r>
        <w:rPr>
          <w:rFonts w:ascii="Arial" w:cs="Arial" w:eastAsia="Arial" w:hAnsi="Arial"/>
          <w:sz w:val="19"/>
          <w:szCs w:val="19"/>
          <w:b w:val="1"/>
          <w:bCs w:val="1"/>
          <w:color w:val="auto"/>
        </w:rPr>
        <w:t>Our products depend on the availability of genetic data and its utilization in clinical research by academic and governmental research institutions, commercial testing and service laboratories, genome centers, public health labs, hospitals and clinical research institutes, CROs, pharmaceutical companies, and agricultural companies. As a result, changes in the regulatory environment affecting such institutions could adversely affect our business or results of operations. For example, reduced allocations to government agencies that fund research and development activities, such as the recent announcements regarding NIH funding involving a cap on the institute’s indirect funding rates, or targeted cancellations by the U.S. federal government of certain grants or contracts may significantly impact the markets in which we compete.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877570</wp:posOffset>
                </wp:positionV>
                <wp:extent cx="731520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69.1pt" to="535pt,69.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877570</wp:posOffset>
                </wp:positionV>
                <wp:extent cx="731520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69.1pt" to="535pt,69.1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0">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70" w:lineRule="auto"/>
        <w:rPr>
          <w:sz w:val="20"/>
          <w:szCs w:val="20"/>
          <w:color w:val="auto"/>
        </w:rPr>
      </w:pPr>
      <w:r>
        <w:rPr>
          <w:rFonts w:ascii="Arial" w:cs="Arial" w:eastAsia="Arial" w:hAnsi="Arial"/>
          <w:sz w:val="19"/>
          <w:szCs w:val="19"/>
          <w:b w:val="1"/>
          <w:bCs w:val="1"/>
          <w:color w:val="auto"/>
        </w:rPr>
        <w:t>There is significant ongoing uncertainty with respect to potential legislation, regulation and government policy at the federal level, as well as the state and local levels. Specific legislative and regulatory proposals discussed or implemented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34"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Disruption of critical information technology systems or material breaches in the security of our systems could harm our business, customer relations and financial condition.</w:t>
      </w:r>
    </w:p>
    <w:p>
      <w:pPr>
        <w:spacing w:after="0" w:line="54" w:lineRule="exact"/>
        <w:rPr>
          <w:sz w:val="20"/>
          <w:szCs w:val="20"/>
          <w:color w:val="auto"/>
        </w:rPr>
      </w:pPr>
    </w:p>
    <w:p>
      <w:pPr>
        <w:jc w:val="both"/>
        <w:ind w:right="680"/>
        <w:spacing w:after="0" w:line="266" w:lineRule="auto"/>
        <w:rPr>
          <w:sz w:val="20"/>
          <w:szCs w:val="20"/>
          <w:color w:val="auto"/>
        </w:rPr>
      </w:pPr>
      <w:r>
        <w:rPr>
          <w:rFonts w:ascii="Arial" w:cs="Arial" w:eastAsia="Arial" w:hAnsi="Arial"/>
          <w:sz w:val="19"/>
          <w:szCs w:val="19"/>
          <w:b w:val="1"/>
          <w:bCs w:val="1"/>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political uncertainty and conflict in the Middle East and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 Some of our IT infrastructure still utilizes outdated legacy systems, software and hardware, some of which may be approaching end-of-life or end of support, and that may be particularly susceptible to cybersecurity breaches, errors and operational failures. Upgrading, replacing and enhancing such infrastructure may be expensive and put the continuity of our operations at risk while a failure to do so may make us more susceptible to the risks discussed above.</w:t>
      </w:r>
    </w:p>
    <w:p>
      <w:pPr>
        <w:spacing w:after="0" w:line="79" w:lineRule="exact"/>
        <w:rPr>
          <w:sz w:val="20"/>
          <w:szCs w:val="20"/>
          <w:color w:val="auto"/>
        </w:rPr>
      </w:pPr>
    </w:p>
    <w:p>
      <w:pPr>
        <w:jc w:val="both"/>
        <w:ind w:right="700"/>
        <w:spacing w:after="0" w:line="254" w:lineRule="auto"/>
        <w:rPr>
          <w:sz w:val="20"/>
          <w:szCs w:val="20"/>
          <w:color w:val="auto"/>
        </w:rPr>
      </w:pPr>
      <w:r>
        <w:rPr>
          <w:rFonts w:ascii="Arial" w:cs="Arial" w:eastAsia="Arial" w:hAnsi="Arial"/>
          <w:sz w:val="20"/>
          <w:szCs w:val="20"/>
          <w:b w:val="1"/>
          <w:bCs w:val="1"/>
          <w:color w:val="auto"/>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3059430</wp:posOffset>
                </wp:positionV>
                <wp:extent cx="731520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40.9pt" to="535pt,24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3059430</wp:posOffset>
                </wp:positionV>
                <wp:extent cx="7315200"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40.9pt" to="535pt,240.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9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i w:val="1"/>
          <w:iCs w:val="1"/>
          <w:color w:val="DF1995"/>
        </w:rPr>
        <w:t>Security breaches and other disruptions could compromise our information and expose us to liability, which would cause our business and reputation to suffer.</w:t>
      </w:r>
    </w:p>
    <w:p>
      <w:pPr>
        <w:spacing w:after="0" w:line="54" w:lineRule="exact"/>
        <w:rPr>
          <w:sz w:val="20"/>
          <w:szCs w:val="20"/>
          <w:color w:val="auto"/>
        </w:rPr>
      </w:pPr>
    </w:p>
    <w:p>
      <w:pPr>
        <w:jc w:val="both"/>
        <w:ind w:right="700"/>
        <w:spacing w:after="0" w:line="280" w:lineRule="auto"/>
        <w:rPr>
          <w:sz w:val="20"/>
          <w:szCs w:val="20"/>
          <w:color w:val="auto"/>
        </w:rPr>
      </w:pPr>
      <w:r>
        <w:rPr>
          <w:rFonts w:ascii="Arial" w:cs="Arial" w:eastAsia="Arial" w:hAnsi="Arial"/>
          <w:sz w:val="18"/>
          <w:szCs w:val="18"/>
          <w:b w:val="1"/>
          <w:bCs w:val="1"/>
          <w:color w:val="auto"/>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our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spacing w:after="0" w:line="71" w:lineRule="exact"/>
        <w:rPr>
          <w:sz w:val="20"/>
          <w:szCs w:val="20"/>
          <w:color w:val="auto"/>
        </w:rPr>
      </w:pPr>
    </w:p>
    <w:p>
      <w:pPr>
        <w:jc w:val="both"/>
        <w:ind w:right="680"/>
        <w:spacing w:after="0" w:line="273" w:lineRule="auto"/>
        <w:rPr>
          <w:sz w:val="20"/>
          <w:szCs w:val="20"/>
          <w:color w:val="auto"/>
        </w:rPr>
      </w:pPr>
      <w:r>
        <w:rPr>
          <w:rFonts w:ascii="Arial" w:cs="Arial" w:eastAsia="Arial" w:hAnsi="Arial"/>
          <w:sz w:val="19"/>
          <w:szCs w:val="19"/>
          <w:b w:val="1"/>
          <w:bCs w:val="1"/>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2703195</wp:posOffset>
                </wp:positionV>
                <wp:extent cx="731520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2.85pt" to="535pt,212.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2703195</wp:posOffset>
                </wp:positionV>
                <wp:extent cx="731520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2.85pt" to="535pt,212.8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F1995"/>
        </w:rPr>
        <w:t>Our use of artificial intelligence and machine learning technologies may result in reputational harm or liability.</w:t>
      </w:r>
    </w:p>
    <w:p>
      <w:pPr>
        <w:spacing w:after="0" w:line="153" w:lineRule="exact"/>
        <w:rPr>
          <w:sz w:val="20"/>
          <w:szCs w:val="20"/>
          <w:color w:val="auto"/>
        </w:rPr>
      </w:pPr>
    </w:p>
    <w:p>
      <w:pPr>
        <w:jc w:val="both"/>
        <w:ind w:right="680"/>
        <w:spacing w:after="0" w:line="281" w:lineRule="auto"/>
        <w:rPr>
          <w:sz w:val="20"/>
          <w:szCs w:val="20"/>
          <w:color w:val="auto"/>
        </w:rPr>
      </w:pPr>
      <w:r>
        <w:rPr>
          <w:rFonts w:ascii="Arial" w:cs="Arial" w:eastAsia="Arial" w:hAnsi="Arial"/>
          <w:sz w:val="18"/>
          <w:szCs w:val="18"/>
          <w:b w:val="1"/>
          <w:bCs w:val="1"/>
          <w:color w:val="auto"/>
        </w:rPr>
        <w:t>We have incorporated and may continue to incorporate additional artificial intelligence and machine learning, or AIML, technologies into our sequencing platforms, marketing programs, and analysis software,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are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368"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i w:val="1"/>
          <w:iCs w:val="1"/>
          <w:color w:val="DF1995"/>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79" w:lineRule="exact"/>
        <w:rPr>
          <w:sz w:val="20"/>
          <w:szCs w:val="20"/>
          <w:color w:val="auto"/>
        </w:rPr>
      </w:pPr>
    </w:p>
    <w:p>
      <w:pPr>
        <w:jc w:val="both"/>
        <w:ind w:right="700"/>
        <w:spacing w:after="0" w:line="284" w:lineRule="auto"/>
        <w:rPr>
          <w:sz w:val="20"/>
          <w:szCs w:val="20"/>
          <w:color w:val="auto"/>
        </w:rPr>
      </w:pPr>
      <w:r>
        <w:rPr>
          <w:rFonts w:ascii="Arial" w:cs="Arial" w:eastAsia="Arial" w:hAnsi="Arial"/>
          <w:sz w:val="18"/>
          <w:szCs w:val="18"/>
          <w:b w:val="1"/>
          <w:bCs w:val="1"/>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2739390</wp:posOffset>
                </wp:positionV>
                <wp:extent cx="731520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5.7pt" to="535pt,21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2739390</wp:posOffset>
                </wp:positionV>
                <wp:extent cx="731520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5.7pt" to="535pt,215.7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93">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80" w:lineRule="auto"/>
        <w:rPr>
          <w:sz w:val="20"/>
          <w:szCs w:val="20"/>
          <w:color w:val="auto"/>
        </w:rPr>
      </w:pPr>
      <w:r>
        <w:rPr>
          <w:rFonts w:ascii="Arial" w:cs="Arial" w:eastAsia="Arial" w:hAnsi="Arial"/>
          <w:sz w:val="18"/>
          <w:szCs w:val="18"/>
          <w:b w:val="1"/>
          <w:bCs w:val="1"/>
          <w:color w:val="auto"/>
        </w:rPr>
        <w:t>In the United States, various federal and state regulators, including governmental agencies like the Consumer Financial Protection Bureau, the Department of Justice, and the Federal Trade Commission, have adopted, or are considering adopting, laws and regulations concerning personal information and data security.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has been discussion in the U.S. Congress of a new comprehensive federal data privacy law. These and future laws and regulations may increase our compliance costs and potential liability.</w:t>
      </w:r>
    </w:p>
    <w:p>
      <w:pPr>
        <w:spacing w:after="0" w:line="321" w:lineRule="exact"/>
        <w:rPr>
          <w:sz w:val="20"/>
          <w:szCs w:val="20"/>
          <w:color w:val="auto"/>
        </w:rPr>
      </w:pPr>
    </w:p>
    <w:p>
      <w:pPr>
        <w:jc w:val="both"/>
        <w:ind w:right="680"/>
        <w:spacing w:after="0" w:line="281" w:lineRule="auto"/>
        <w:rPr>
          <w:sz w:val="20"/>
          <w:szCs w:val="20"/>
          <w:color w:val="auto"/>
        </w:rPr>
      </w:pPr>
      <w:r>
        <w:rPr>
          <w:rFonts w:ascii="Arial" w:cs="Arial" w:eastAsia="Arial" w:hAnsi="Arial"/>
          <w:sz w:val="18"/>
          <w:szCs w:val="18"/>
          <w:b w:val="1"/>
          <w:bCs w:val="1"/>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2021840</wp:posOffset>
                </wp:positionV>
                <wp:extent cx="731520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9.2pt" to="535pt,159.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2021840</wp:posOffset>
                </wp:positionV>
                <wp:extent cx="731520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9.2pt" to="535pt,159.2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94">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66" w:lineRule="auto"/>
        <w:rPr>
          <w:sz w:val="20"/>
          <w:szCs w:val="20"/>
          <w:color w:val="auto"/>
        </w:rPr>
      </w:pPr>
      <w:r>
        <w:rPr>
          <w:rFonts w:ascii="Arial" w:cs="Arial" w:eastAsia="Arial" w:hAnsi="Arial"/>
          <w:sz w:val="19"/>
          <w:szCs w:val="19"/>
          <w:b w:val="1"/>
          <w:bCs w:val="1"/>
          <w:color w:val="auto"/>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43"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i w:val="1"/>
          <w:iCs w:val="1"/>
          <w:color w:val="DF1995"/>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70"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Certain investor advocacy groups, institutional investors, investment funds, proxy advisory services, stockholders, and customers are focused on environmental, social, and governance (“ESG”) practices of companies. We have also seen public interest and governmental regulation related to public companies’ ESG practices.</w:t>
      </w:r>
    </w:p>
    <w:p>
      <w:pPr>
        <w:spacing w:after="0" w:line="76"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and potential or current investors may elect to invest in other companies with ESG practices that are perceived to be better than ours. In addition, ESG reporting and disclosure may result in additional costs and require additional resources to monitor, report, and comply with our various ESG practices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164465</wp:posOffset>
                </wp:positionV>
                <wp:extent cx="628650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95pt" to="494.5pt,1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164465</wp:posOffset>
                </wp:positionV>
                <wp:extent cx="628650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95pt" to="494.5pt,12.95pt" o:allowincell="f" strokecolor="#DF1995" strokeweight="1pt"/>
            </w:pict>
          </mc:Fallback>
        </mc:AlternateConten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1B. UNRESOLVED STAFF COMMENTS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196215</wp:posOffset>
                </wp:positionV>
                <wp:extent cx="628650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45pt" to="494.5pt,15.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196215</wp:posOffset>
                </wp:positionV>
                <wp:extent cx="62865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45pt" to="494.5pt,15.45pt" o:allowincell="f" strokecolor="#DF1995" strokeweight="1pt"/>
            </w:pict>
          </mc:Fallback>
        </mc:AlternateConten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1C. CYBERSECURITY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Risk Management and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9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94" w:lineRule="auto"/>
        <w:rPr>
          <w:sz w:val="20"/>
          <w:szCs w:val="20"/>
          <w:color w:val="auto"/>
        </w:rPr>
      </w:pPr>
      <w:r>
        <w:rPr>
          <w:rFonts w:ascii="Arial" w:cs="Arial" w:eastAsia="Arial" w:hAnsi="Arial"/>
          <w:sz w:val="18"/>
          <w:szCs w:val="18"/>
          <w:b w:val="1"/>
          <w:bCs w:val="1"/>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52" w:lineRule="exact"/>
        <w:rPr>
          <w:sz w:val="20"/>
          <w:szCs w:val="20"/>
          <w:color w:val="auto"/>
        </w:rPr>
      </w:pPr>
    </w:p>
    <w:p>
      <w:pPr>
        <w:jc w:val="both"/>
        <w:ind w:right="700"/>
        <w:spacing w:after="0" w:line="311" w:lineRule="auto"/>
        <w:rPr>
          <w:sz w:val="20"/>
          <w:szCs w:val="20"/>
          <w:color w:val="auto"/>
        </w:rPr>
      </w:pPr>
      <w:r>
        <w:rPr>
          <w:rFonts w:ascii="Arial" w:cs="Arial" w:eastAsia="Arial" w:hAnsi="Arial"/>
          <w:sz w:val="18"/>
          <w:szCs w:val="18"/>
          <w:b w:val="1"/>
          <w:bCs w:val="1"/>
          <w:color w:val="auto"/>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290830</wp:posOffset>
                </wp:positionV>
                <wp:extent cx="73152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2.9pt" to="535pt,2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290830</wp:posOffset>
                </wp:positionV>
                <wp:extent cx="731520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2.9pt" to="535pt,22.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9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external risks, the likelihood and potential damage that could result from such risks, and the sufficiency of existing policies, procedures, systems, and safeguards in place to manage such risks.</w:t>
      </w:r>
    </w:p>
    <w:p>
      <w:pPr>
        <w:spacing w:after="0" w:line="54"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resources and designate high-level personnel, including our Head of Information Technology who reports to our Chief Operating Officer, to manage the risk assessment and mitigation process.</w:t>
      </w:r>
    </w:p>
    <w:p>
      <w:pPr>
        <w:spacing w:after="0" w:line="79"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As part of our overall risk management system, we monitor and test our safeguards, including through annual third-party vulnerability assessments. We train our employees on these safeguards, in collaboration with human resources, IT, and departmental management. Personnel at all levels and departments are made aware of our cybersecurity policies through training.</w:t>
      </w:r>
    </w:p>
    <w:p>
      <w:pPr>
        <w:spacing w:after="0" w:line="76"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We engage assessors, consultants, auditors, or other third parties in connection with our risk assessment processes. These service providers assist us with the design and implementation of our cybersecurity policies and procedures, as well as in monitoring and testing our safeguards.</w:t>
      </w:r>
    </w:p>
    <w:p>
      <w:pPr>
        <w:spacing w:after="0" w:line="70" w:lineRule="exact"/>
        <w:rPr>
          <w:sz w:val="20"/>
          <w:szCs w:val="20"/>
          <w:color w:val="auto"/>
        </w:rPr>
      </w:pPr>
    </w:p>
    <w:p>
      <w:pPr>
        <w:jc w:val="both"/>
        <w:ind w:right="700"/>
        <w:spacing w:after="0" w:line="311" w:lineRule="auto"/>
        <w:rPr>
          <w:sz w:val="20"/>
          <w:szCs w:val="20"/>
          <w:color w:val="auto"/>
        </w:rPr>
      </w:pPr>
      <w:r>
        <w:rPr>
          <w:rFonts w:ascii="Arial" w:cs="Arial" w:eastAsia="Arial" w:hAnsi="Arial"/>
          <w:sz w:val="18"/>
          <w:szCs w:val="18"/>
          <w:b w:val="1"/>
          <w:bCs w:val="1"/>
          <w:color w:val="auto"/>
        </w:rPr>
        <w:t>We have established procedures to evaluate and respond to cybersecurity incidents, including cybersecurity incidents at third-party service providers which have a potential to impact our data and systems. Our cybersecurity risk management is intended to address such risks, as well as other risks related to third parties.</w:t>
      </w:r>
    </w:p>
    <w:p>
      <w:pPr>
        <w:spacing w:after="0" w:line="35" w:lineRule="exact"/>
        <w:rPr>
          <w:sz w:val="20"/>
          <w:szCs w:val="20"/>
          <w:color w:val="auto"/>
        </w:rPr>
      </w:pPr>
    </w:p>
    <w:p>
      <w:pPr>
        <w:jc w:val="both"/>
        <w:ind w:right="680"/>
        <w:spacing w:after="0" w:line="262" w:lineRule="auto"/>
        <w:rPr>
          <w:sz w:val="20"/>
          <w:szCs w:val="20"/>
          <w:color w:val="auto"/>
        </w:rPr>
      </w:pPr>
      <w:r>
        <w:rPr>
          <w:rFonts w:ascii="Arial" w:cs="Arial" w:eastAsia="Arial" w:hAnsi="Arial"/>
          <w:sz w:val="20"/>
          <w:szCs w:val="20"/>
          <w:b w:val="1"/>
          <w:bCs w:val="1"/>
          <w:color w:val="auto"/>
        </w:rPr>
        <w:t>We have not previously experienced a cybersecurity incident that was determined to be material. For additional information regarding whether any risks from cybersecurity threats are reasonably likely to materially affect our company, including our business strategy, results of operations, or financial condition, please refer to Item 1A, “</w:t>
      </w:r>
      <w:r>
        <w:rPr>
          <w:rFonts w:ascii="Arial" w:cs="Arial" w:eastAsia="Arial" w:hAnsi="Arial"/>
          <w:sz w:val="20"/>
          <w:szCs w:val="20"/>
          <w:b w:val="1"/>
          <w:bCs w:val="1"/>
          <w:u w:val="single" w:color="auto"/>
          <w:color w:val="0000FF"/>
        </w:rPr>
        <w:t>Risk Factors</w:t>
      </w:r>
      <w:r>
        <w:rPr>
          <w:rFonts w:ascii="Arial" w:cs="Arial" w:eastAsia="Arial" w:hAnsi="Arial"/>
          <w:sz w:val="20"/>
          <w:szCs w:val="20"/>
          <w:b w:val="1"/>
          <w:bCs w:val="1"/>
          <w:color w:val="auto"/>
        </w:rPr>
        <w:t>,” in this Annual Report on Form 10-K.</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9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76" w:lineRule="auto"/>
        <w:rPr>
          <w:sz w:val="20"/>
          <w:szCs w:val="20"/>
          <w:color w:val="auto"/>
        </w:rPr>
      </w:pPr>
      <w:r>
        <w:rPr>
          <w:rFonts w:ascii="Arial" w:cs="Arial" w:eastAsia="Arial" w:hAnsi="Arial"/>
          <w:sz w:val="19"/>
          <w:szCs w:val="19"/>
          <w:b w:val="1"/>
          <w:bCs w:val="1"/>
          <w:color w:val="auto"/>
        </w:rPr>
        <w:t>One of the key functions of our board of directors is to provide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corporate governance and nominating committee.</w:t>
      </w:r>
    </w:p>
    <w:p>
      <w:pPr>
        <w:spacing w:after="0" w:line="64"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Head of Information Technology and our cyber committee, which includes Facilities, HR, IT, Software, Legal, and Management, are primarily responsible to assess and manage our material risks from cybersecurity threats.</w:t>
      </w:r>
    </w:p>
    <w:p>
      <w:pPr>
        <w:spacing w:after="0" w:line="70" w:lineRule="exact"/>
        <w:rPr>
          <w:sz w:val="20"/>
          <w:szCs w:val="20"/>
          <w:color w:val="auto"/>
        </w:rPr>
      </w:pPr>
    </w:p>
    <w:p>
      <w:pPr>
        <w:jc w:val="both"/>
        <w:ind w:right="700"/>
        <w:spacing w:after="0" w:line="257" w:lineRule="auto"/>
        <w:rPr>
          <w:sz w:val="20"/>
          <w:szCs w:val="20"/>
          <w:color w:val="auto"/>
        </w:rPr>
      </w:pPr>
      <w:r>
        <w:rPr>
          <w:rFonts w:ascii="Arial" w:cs="Arial" w:eastAsia="Arial" w:hAnsi="Arial"/>
          <w:sz w:val="20"/>
          <w:szCs w:val="20"/>
          <w:b w:val="1"/>
          <w:bCs w:val="1"/>
          <w:color w:val="auto"/>
        </w:rPr>
        <w:t>Our Head of Information Technology and our management committee on cybersecurity oversee our cybersecurity policies and processes, including those described in “Risk Management and Strategy” above. Our Head of Information Technology is informed about and monitors the prevention, detection, mitigation, and remediation of cybersecurity incidents by leading cybersecurity risk management and working directly with our IT team. Our Head of Information Technology also provides appropriate information and updates to our management committee on cybersecurity.</w:t>
      </w:r>
    </w:p>
    <w:p>
      <w:pPr>
        <w:spacing w:after="0" w:line="82" w:lineRule="exact"/>
        <w:rPr>
          <w:sz w:val="20"/>
          <w:szCs w:val="20"/>
          <w:color w:val="auto"/>
        </w:rPr>
      </w:pPr>
    </w:p>
    <w:p>
      <w:pPr>
        <w:jc w:val="both"/>
        <w:ind w:right="700"/>
        <w:spacing w:after="0" w:line="258" w:lineRule="auto"/>
        <w:rPr>
          <w:sz w:val="20"/>
          <w:szCs w:val="20"/>
          <w:color w:val="auto"/>
        </w:rPr>
      </w:pPr>
      <w:r>
        <w:rPr>
          <w:rFonts w:ascii="Arial" w:cs="Arial" w:eastAsia="Arial" w:hAnsi="Arial"/>
          <w:sz w:val="20"/>
          <w:szCs w:val="20"/>
          <w:b w:val="1"/>
          <w:bCs w:val="1"/>
          <w:color w:val="auto"/>
        </w:rPr>
        <w:t>Our Head of Information Technology and representatives from our management committee on cybersecurity provide annual briefings to the audit committee regarding our company’s cybersecurity risks and activities, including any recent cybersecurity incidents and related responses, cybersecurity systems testing, activities of third parties, and the like. Our corporate governance and nominating committee provides regular updates to the board of directors on such reports.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167005</wp:posOffset>
                </wp:positionV>
                <wp:extent cx="628650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3.15pt" to="494.5pt,13.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167005</wp:posOffset>
                </wp:positionV>
                <wp:extent cx="6286500"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3.15pt" to="494.5pt,13.15pt" o:allowincell="f" strokecolor="#DF1995" strokeweight="1pt"/>
            </w:pict>
          </mc:Fallback>
        </mc:AlternateConten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2. PROPERTIES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07" w:lineRule="exact"/>
        <w:rPr>
          <w:sz w:val="20"/>
          <w:szCs w:val="20"/>
          <w:color w:val="auto"/>
        </w:rPr>
      </w:pPr>
    </w:p>
    <w:p>
      <w:pPr>
        <w:jc w:val="both"/>
        <w:ind w:right="700"/>
        <w:spacing w:after="0" w:line="258" w:lineRule="auto"/>
        <w:rPr>
          <w:sz w:val="20"/>
          <w:szCs w:val="20"/>
          <w:color w:val="auto"/>
        </w:rPr>
      </w:pPr>
      <w:r>
        <w:rPr>
          <w:rFonts w:ascii="Arial" w:cs="Arial" w:eastAsia="Arial" w:hAnsi="Arial"/>
          <w:sz w:val="20"/>
          <w:szCs w:val="20"/>
          <w:b w:val="1"/>
          <w:bCs w:val="1"/>
          <w:color w:val="auto"/>
        </w:rPr>
        <w:t>Our corporate headquarters, research and development facilities, and manufacturing and distribution centers are located in Menlo Park, California, where we lease approximately 180,200 square feet under a lease expiring on April 30, 2034. Additionally, our European headquarters is located in London, where we lease approximately 7,300 square feet under a lease expiring November 30, 2026. Including these leases, we lease approximately 189,600 square feet globally.</w:t>
      </w:r>
    </w:p>
    <w:p>
      <w:pPr>
        <w:spacing w:after="0" w:line="84"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We believe that our existing facilities, together with suitable additional or alternative space available on commercially reasonable terms, will be sufficient to meet our needs.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252095</wp:posOffset>
                </wp:positionV>
                <wp:extent cx="731520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85pt" to="535pt,19.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252095</wp:posOffset>
                </wp:positionV>
                <wp:extent cx="731520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85pt" to="535pt,19.8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48"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9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DF1995" strokeweight="1pt"/>
            </w:pict>
          </mc:Fallback>
        </mc:AlternateConten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3. LEGAL PROCEEDINGS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U.S. District Court Proceedings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9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0" w:lineRule="auto"/>
        <w:rPr>
          <w:sz w:val="20"/>
          <w:szCs w:val="20"/>
          <w:color w:val="auto"/>
        </w:rPr>
      </w:pPr>
      <w:r>
        <w:rPr>
          <w:rFonts w:ascii="Arial" w:cs="Arial" w:eastAsia="Arial" w:hAnsi="Arial"/>
          <w:sz w:val="19"/>
          <w:szCs w:val="19"/>
          <w:b w:val="1"/>
          <w:bCs w:val="1"/>
          <w:color w:val="auto"/>
        </w:rPr>
        <w:t>On September 26, 2019, Personal Genomics of Taiwan, Inc. (“PGI”) filed a complaint in the U.S. District Court for the District of Delaware against us for patent infringement (C.A. No. 19-cv-1810) (the “PGI District Court</w:t>
      </w:r>
    </w:p>
    <w:p>
      <w:pPr>
        <w:jc w:val="both"/>
        <w:ind w:right="700"/>
        <w:spacing w:after="0" w:line="263" w:lineRule="auto"/>
        <w:rPr>
          <w:sz w:val="20"/>
          <w:szCs w:val="20"/>
          <w:color w:val="auto"/>
        </w:rPr>
      </w:pPr>
      <w:r>
        <w:rPr>
          <w:rFonts w:ascii="Arial" w:cs="Arial" w:eastAsia="Arial" w:hAnsi="Arial"/>
          <w:sz w:val="20"/>
          <w:szCs w:val="20"/>
          <w:b w:val="1"/>
          <w:bCs w:val="1"/>
          <w:color w:val="auto"/>
        </w:rPr>
        <w:t>matter”). The matter from this complaint is based on PGI’s U.S. Patent No. 7,767,441 (the “‘441 Patent”). The complaint alleges that our Sequel systems and Sequel II systems infringe the ‘441 Patent. The complaint seeks unspecified monetary damages and an order enjoining us from infringing the ’441 Patent. On November 20, 2019, we filed our answer to the complaint, denying infringement and seeking declaratory judgements of non-infringement and invalidity of the ‘441 Patent.</w:t>
      </w:r>
    </w:p>
    <w:p>
      <w:pPr>
        <w:spacing w:after="0" w:line="78" w:lineRule="exact"/>
        <w:rPr>
          <w:sz w:val="20"/>
          <w:szCs w:val="20"/>
          <w:color w:val="auto"/>
        </w:rPr>
      </w:pPr>
    </w:p>
    <w:p>
      <w:pPr>
        <w:jc w:val="both"/>
        <w:ind w:right="700"/>
        <w:spacing w:after="0" w:line="268" w:lineRule="auto"/>
        <w:rPr>
          <w:sz w:val="20"/>
          <w:szCs w:val="20"/>
          <w:color w:val="auto"/>
        </w:rPr>
      </w:pPr>
      <w:r>
        <w:rPr>
          <w:rFonts w:ascii="Arial" w:cs="Arial" w:eastAsia="Arial" w:hAnsi="Arial"/>
          <w:sz w:val="19"/>
          <w:szCs w:val="19"/>
          <w:b w:val="1"/>
          <w:bCs w:val="1"/>
          <w:color w:val="auto"/>
        </w:rPr>
        <w:t>On June 22, 2020, we filed a petition requesting institution of an inter-partes review ("IPR") to the Patent Trial and Appeals Board (the “Board”) at the United States Patent Office (IPR2020-01163) requesting the Board to find a set of claims in the ‘441 Patent invalid. On June 27, 2020, we filed a second petition (IPR2020-01200) requesting institution of an IPR requesting the Board to find another set of claims in the ‘441 Patent invalid. The two petitions (the “PacBio IPR Petitions”) together asserted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PGI and PacBio each appealed to the U.S. Court of Appeals for the Federal Circuit, which affirmed both IPR decisions on January 9, 2024.</w:t>
      </w:r>
    </w:p>
    <w:p>
      <w:pPr>
        <w:spacing w:after="0" w:line="80" w:lineRule="exact"/>
        <w:rPr>
          <w:sz w:val="20"/>
          <w:szCs w:val="20"/>
          <w:color w:val="auto"/>
        </w:rPr>
      </w:pPr>
    </w:p>
    <w:p>
      <w:pPr>
        <w:jc w:val="both"/>
        <w:ind w:right="680"/>
        <w:spacing w:after="0" w:line="285" w:lineRule="auto"/>
        <w:rPr>
          <w:sz w:val="20"/>
          <w:szCs w:val="20"/>
          <w:color w:val="auto"/>
        </w:rPr>
      </w:pPr>
      <w:r>
        <w:rPr>
          <w:rFonts w:ascii="Arial" w:cs="Arial" w:eastAsia="Arial" w:hAnsi="Arial"/>
          <w:sz w:val="18"/>
          <w:szCs w:val="18"/>
          <w:b w:val="1"/>
          <w:bCs w:val="1"/>
          <w:color w:val="auto"/>
        </w:rPr>
        <w:t>On August 25, 2020, the court ordered a stay of the PGI District Court matter based on a joint stipulation by the parties pending a final written decision on the IPRs. Following the final written decisions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On February 26, 2024, we moved to transfer the case from the District of Delaware to the Northern District of California and that motion was granted on June 18, 2024. On March 18, 2024, the parties filed a joint status report in which PGI requested the Court set a revised scheduling order and we requested grant of our motion to transfer and proposed an alternate scheduling order. A case management conference was held on October 10, 2024 and the Court set a trial date of October 5, 2026. We plan to vigorously defend against the remaining claims.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Other Proceedings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0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79" w:lineRule="auto"/>
        <w:rPr>
          <w:sz w:val="20"/>
          <w:szCs w:val="20"/>
          <w:color w:val="auto"/>
        </w:rPr>
      </w:pPr>
      <w:r>
        <w:rPr>
          <w:rFonts w:ascii="Arial" w:cs="Arial" w:eastAsia="Arial" w:hAnsi="Arial"/>
          <w:sz w:val="19"/>
          <w:szCs w:val="19"/>
          <w:b w:val="1"/>
          <w:bCs w:val="1"/>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spacing w:after="0" w:line="64" w:lineRule="exact"/>
        <w:rPr>
          <w:sz w:val="20"/>
          <w:szCs w:val="20"/>
          <w:color w:val="auto"/>
        </w:rPr>
      </w:pPr>
    </w:p>
    <w:p>
      <w:pPr>
        <w:jc w:val="both"/>
        <w:ind w:right="700"/>
        <w:spacing w:after="0" w:line="273" w:lineRule="auto"/>
        <w:rPr>
          <w:sz w:val="20"/>
          <w:szCs w:val="20"/>
          <w:color w:val="auto"/>
        </w:rPr>
      </w:pPr>
      <w:r>
        <w:rPr>
          <w:rFonts w:ascii="Arial" w:cs="Arial" w:eastAsia="Arial" w:hAnsi="Arial"/>
          <w:sz w:val="19"/>
          <w:szCs w:val="19"/>
          <w:b w:val="1"/>
          <w:bCs w:val="1"/>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195580</wp:posOffset>
                </wp:positionV>
                <wp:extent cx="628650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4pt" to="494.5pt,15.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195580</wp:posOffset>
                </wp:positionV>
                <wp:extent cx="628650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4pt" to="494.5pt,15.4pt" o:allowincell="f" strokecolor="#DF1995" strokeweight="1pt"/>
            </w:pict>
          </mc:Fallback>
        </mc:AlternateConten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4. MINE SAFETY DISCLOSURES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1257300</wp:posOffset>
                </wp:positionV>
                <wp:extent cx="731520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9pt" to="535pt,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1257300</wp:posOffset>
                </wp:positionV>
                <wp:extent cx="731520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9pt" to="535pt,9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0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24"/>
          <w:szCs w:val="24"/>
          <w:b w:val="1"/>
          <w:bCs w:val="1"/>
          <w:color w:val="DF1995"/>
        </w:rPr>
        <w:t>PART 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167640</wp:posOffset>
                </wp:positionV>
                <wp:extent cx="628650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3.2pt" to="494.5pt,13.2pt" o:allowincell="f" strokecolor="#DF1995" strokeweight="1pt"/>
            </w:pict>
          </mc:Fallback>
        </mc:AlternateContent>
      </w:r>
    </w:p>
    <w:p>
      <w:pPr>
        <w:spacing w:after="0" w:line="259" w:lineRule="exact"/>
        <w:rPr>
          <w:sz w:val="20"/>
          <w:szCs w:val="20"/>
          <w:color w:val="auto"/>
        </w:rPr>
      </w:pPr>
    </w:p>
    <w:p>
      <w:pPr>
        <w:ind w:left="40" w:right="1500"/>
        <w:spacing w:after="0" w:line="308" w:lineRule="auto"/>
        <w:rPr>
          <w:sz w:val="20"/>
          <w:szCs w:val="20"/>
          <w:color w:val="auto"/>
        </w:rPr>
      </w:pPr>
      <w:r>
        <w:rPr>
          <w:rFonts w:ascii="Arial" w:cs="Arial" w:eastAsia="Arial" w:hAnsi="Arial"/>
          <w:sz w:val="23"/>
          <w:szCs w:val="23"/>
          <w:b w:val="1"/>
          <w:bCs w:val="1"/>
          <w:color w:val="DF1995"/>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-30480</wp:posOffset>
                </wp:positionV>
                <wp:extent cx="628650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999pt" to="494.5pt,-2.3999pt" o:allowincell="f" strokecolor="#DF1995" strokeweight="1pt"/>
            </w:pict>
          </mc:Fallback>
        </mc:AlternateConten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common stock is traded on The Nasdaq Global Select Market under the symbol “PACB.”</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Holders of Record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0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ind w:right="700"/>
        <w:spacing w:after="0" w:line="313" w:lineRule="auto"/>
        <w:rPr>
          <w:sz w:val="20"/>
          <w:szCs w:val="20"/>
          <w:color w:val="auto"/>
        </w:rPr>
      </w:pPr>
      <w:r>
        <w:rPr>
          <w:rFonts w:ascii="Arial" w:cs="Arial" w:eastAsia="Arial" w:hAnsi="Arial"/>
          <w:sz w:val="19"/>
          <w:szCs w:val="19"/>
          <w:b w:val="1"/>
          <w:bCs w:val="1"/>
          <w:color w:val="auto"/>
        </w:rPr>
        <w:t>As of January 31, 2026, there were approximately 75 stockholders of record of our common stock, although we believe that there are a significantly larger number of beneficial owners of our common stock.</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Dividend Policy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0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declared or paid any cash dividend on our common stock and have no present plans to do so.</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intend to retain earnings for use in the operation and expansion of our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6573520</wp:posOffset>
                </wp:positionV>
                <wp:extent cx="731520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517.6pt" to="535pt,51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6573520</wp:posOffset>
                </wp:positionV>
                <wp:extent cx="731520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517.6pt" to="535pt,517.6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04">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69" w:name="page70"/>
    <w:bookmarkEnd w:id="6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Performance Graph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0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311" w:lineRule="auto"/>
        <w:rPr>
          <w:sz w:val="20"/>
          <w:szCs w:val="20"/>
          <w:color w:val="auto"/>
        </w:rPr>
      </w:pPr>
      <w:r>
        <w:rPr>
          <w:rFonts w:ascii="Arial" w:cs="Arial" w:eastAsia="Arial" w:hAnsi="Arial"/>
          <w:sz w:val="18"/>
          <w:szCs w:val="18"/>
          <w:b w:val="1"/>
          <w:bCs w:val="1"/>
          <w:color w:val="auto"/>
        </w:rPr>
        <w:t>The performance graph included in this Annual Report on Form 10-K shall not be deemed “filed” for purposes of Section 18 of the Exchange Act, or incorporated by reference into any filing of Pacific Biosciences under the Securities Act or the Exchange Act, except as shall be expressly set forth by specific reference in such filing.</w:t>
      </w:r>
    </w:p>
    <w:p>
      <w:pPr>
        <w:spacing w:after="0" w:line="35" w:lineRule="exact"/>
        <w:rPr>
          <w:sz w:val="20"/>
          <w:szCs w:val="20"/>
          <w:color w:val="auto"/>
        </w:rPr>
      </w:pPr>
    </w:p>
    <w:p>
      <w:pPr>
        <w:jc w:val="both"/>
        <w:ind w:right="700"/>
        <w:spacing w:after="0" w:line="280" w:lineRule="auto"/>
        <w:rPr>
          <w:sz w:val="20"/>
          <w:szCs w:val="20"/>
          <w:color w:val="auto"/>
        </w:rPr>
      </w:pPr>
      <w:r>
        <w:rPr>
          <w:rFonts w:ascii="Arial" w:cs="Arial" w:eastAsia="Arial" w:hAnsi="Arial"/>
          <w:sz w:val="19"/>
          <w:szCs w:val="19"/>
          <w:b w:val="1"/>
          <w:bCs w:val="1"/>
          <w:color w:val="auto"/>
        </w:rPr>
        <w:t>The following graph shows a comparison from December 31, 2020 through December 31, 2025 of the cumulative total return for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6286500" cy="56368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06">
                      <a:extLst>
                        <a:ext uri="{28A0092B-C50C-407E-A947-70E740481C1C}"/>
                      </a:extLst>
                    </a:blip>
                    <a:srcRect/>
                    <a:stretch>
                      <a:fillRect/>
                    </a:stretch>
                  </pic:blipFill>
                  <pic:spPr bwMode="auto">
                    <a:xfrm>
                      <a:off x="0" y="0"/>
                      <a:ext cx="6286500" cy="563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6. [RESERVED]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1703705</wp:posOffset>
                </wp:positionV>
                <wp:extent cx="731520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34.15pt" to="535pt,134.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1703705</wp:posOffset>
                </wp:positionV>
                <wp:extent cx="7315200"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34.15pt" to="535pt,134.1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0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DF1995" strokeweight="1pt"/>
            </w:pict>
          </mc:Fallback>
        </mc:AlternateContent>
      </w:r>
    </w:p>
    <w:p>
      <w:pPr>
        <w:spacing w:after="0" w:line="200" w:lineRule="exact"/>
        <w:rPr>
          <w:sz w:val="20"/>
          <w:szCs w:val="20"/>
          <w:color w:val="auto"/>
        </w:rPr>
      </w:pPr>
    </w:p>
    <w:p>
      <w:pPr>
        <w:spacing w:after="0" w:line="254" w:lineRule="exact"/>
        <w:rPr>
          <w:sz w:val="20"/>
          <w:szCs w:val="20"/>
          <w:color w:val="auto"/>
        </w:rPr>
      </w:pPr>
    </w:p>
    <w:p>
      <w:pPr>
        <w:ind w:left="1040" w:right="1020" w:hanging="989"/>
        <w:spacing w:after="0" w:line="285" w:lineRule="auto"/>
        <w:rPr>
          <w:sz w:val="20"/>
          <w:szCs w:val="20"/>
          <w:color w:val="auto"/>
        </w:rPr>
      </w:pPr>
      <w:r>
        <w:rPr>
          <w:rFonts w:ascii="Arial" w:cs="Arial" w:eastAsia="Arial" w:hAnsi="Arial"/>
          <w:sz w:val="24"/>
          <w:szCs w:val="24"/>
          <w:b w:val="1"/>
          <w:bCs w:val="1"/>
          <w:color w:val="DF1995"/>
        </w:rPr>
        <w:t>ITEM 7. MANAGEMENT’S DISCUSSION AND ANALYSIS OF FINANCIAL CONDITION AND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-15240</wp:posOffset>
                </wp:positionV>
                <wp:extent cx="628650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999pt" to="494.5pt,-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-15240</wp:posOffset>
                </wp:positionV>
                <wp:extent cx="628650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999pt" to="494.5pt,-1.1999pt" o:allowincell="f" strokecolor="#DF1995" strokeweight="1pt"/>
            </w:pict>
          </mc:Fallback>
        </mc:AlternateContent>
      </w:r>
    </w:p>
    <w:p>
      <w:pPr>
        <w:spacing w:after="0" w:line="116" w:lineRule="exact"/>
        <w:rPr>
          <w:sz w:val="20"/>
          <w:szCs w:val="20"/>
          <w:color w:val="auto"/>
        </w:rPr>
      </w:pPr>
    </w:p>
    <w:p>
      <w:pPr>
        <w:jc w:val="both"/>
        <w:ind w:right="680"/>
        <w:spacing w:after="0" w:line="270" w:lineRule="auto"/>
        <w:rPr>
          <w:sz w:val="20"/>
          <w:szCs w:val="20"/>
          <w:color w:val="auto"/>
        </w:rPr>
      </w:pPr>
      <w:r>
        <w:rPr>
          <w:rFonts w:ascii="Arial" w:cs="Arial" w:eastAsia="Arial" w:hAnsi="Arial"/>
          <w:sz w:val="19"/>
          <w:szCs w:val="19"/>
          <w:b w:val="1"/>
          <w:bCs w:val="1"/>
          <w:i w:val="1"/>
          <w:iCs w:val="1"/>
          <w:color w:val="auto"/>
        </w:rPr>
        <w:t>You should read the following discussion and analysis of our financial condition and results of operations together with our consolidated financial statements and the related notes included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read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Management’s Discussion and Analysis ("MD&amp;A") is organized in the following sections:</w:t>
      </w:r>
    </w:p>
    <w:p>
      <w:pPr>
        <w:spacing w:after="0" w:line="155" w:lineRule="exact"/>
        <w:rPr>
          <w:sz w:val="20"/>
          <w:szCs w:val="20"/>
          <w:color w:val="auto"/>
        </w:rPr>
      </w:pPr>
    </w:p>
    <w:p>
      <w:pPr>
        <w:ind w:left="760" w:hanging="357"/>
        <w:spacing w:after="0"/>
        <w:tabs>
          <w:tab w:leader="none" w:pos="760" w:val="left"/>
        </w:tabs>
        <w:numPr>
          <w:ilvl w:val="0"/>
          <w:numId w:val="31"/>
        </w:numPr>
        <w:rPr>
          <w:rFonts w:ascii="Arial" w:cs="Arial" w:eastAsia="Arial" w:hAnsi="Arial"/>
          <w:sz w:val="20"/>
          <w:szCs w:val="20"/>
          <w:b w:val="1"/>
          <w:bCs w:val="1"/>
          <w:color w:val="DF1995"/>
        </w:rPr>
      </w:pPr>
      <w:r>
        <w:rPr>
          <w:rFonts w:ascii="Arial" w:cs="Arial" w:eastAsia="Arial" w:hAnsi="Arial"/>
          <w:sz w:val="20"/>
          <w:szCs w:val="20"/>
          <w:b w:val="1"/>
          <w:bCs w:val="1"/>
          <w:color w:val="auto"/>
        </w:rPr>
        <w:t>Overview and Outlook</w:t>
      </w:r>
    </w:p>
    <w:p>
      <w:pPr>
        <w:spacing w:after="0" w:line="70" w:lineRule="exact"/>
        <w:rPr>
          <w:rFonts w:ascii="Arial" w:cs="Arial" w:eastAsia="Arial" w:hAnsi="Arial"/>
          <w:sz w:val="20"/>
          <w:szCs w:val="20"/>
          <w:b w:val="1"/>
          <w:bCs w:val="1"/>
          <w:color w:val="DF1995"/>
        </w:rPr>
      </w:pPr>
    </w:p>
    <w:p>
      <w:pPr>
        <w:ind w:left="760" w:hanging="357"/>
        <w:spacing w:after="0"/>
        <w:tabs>
          <w:tab w:leader="none" w:pos="760" w:val="left"/>
        </w:tabs>
        <w:numPr>
          <w:ilvl w:val="0"/>
          <w:numId w:val="31"/>
        </w:numPr>
        <w:rPr>
          <w:rFonts w:ascii="Arial" w:cs="Arial" w:eastAsia="Arial" w:hAnsi="Arial"/>
          <w:sz w:val="20"/>
          <w:szCs w:val="20"/>
          <w:b w:val="1"/>
          <w:bCs w:val="1"/>
          <w:color w:val="DF1995"/>
        </w:rPr>
      </w:pPr>
      <w:r>
        <w:rPr>
          <w:rFonts w:ascii="Arial" w:cs="Arial" w:eastAsia="Arial" w:hAnsi="Arial"/>
          <w:sz w:val="20"/>
          <w:szCs w:val="20"/>
          <w:b w:val="1"/>
          <w:bCs w:val="1"/>
          <w:color w:val="auto"/>
        </w:rPr>
        <w:t>Results of Operations</w:t>
      </w:r>
    </w:p>
    <w:p>
      <w:pPr>
        <w:spacing w:after="0" w:line="70" w:lineRule="exact"/>
        <w:rPr>
          <w:rFonts w:ascii="Arial" w:cs="Arial" w:eastAsia="Arial" w:hAnsi="Arial"/>
          <w:sz w:val="20"/>
          <w:szCs w:val="20"/>
          <w:b w:val="1"/>
          <w:bCs w:val="1"/>
          <w:color w:val="DF1995"/>
        </w:rPr>
      </w:pPr>
    </w:p>
    <w:p>
      <w:pPr>
        <w:ind w:left="760" w:hanging="357"/>
        <w:spacing w:after="0"/>
        <w:tabs>
          <w:tab w:leader="none" w:pos="760" w:val="left"/>
        </w:tabs>
        <w:numPr>
          <w:ilvl w:val="0"/>
          <w:numId w:val="31"/>
        </w:numPr>
        <w:rPr>
          <w:rFonts w:ascii="Arial" w:cs="Arial" w:eastAsia="Arial" w:hAnsi="Arial"/>
          <w:sz w:val="20"/>
          <w:szCs w:val="20"/>
          <w:b w:val="1"/>
          <w:bCs w:val="1"/>
          <w:color w:val="DF1995"/>
        </w:rPr>
      </w:pPr>
      <w:r>
        <w:rPr>
          <w:rFonts w:ascii="Arial" w:cs="Arial" w:eastAsia="Arial" w:hAnsi="Arial"/>
          <w:sz w:val="20"/>
          <w:szCs w:val="20"/>
          <w:b w:val="1"/>
          <w:bCs w:val="1"/>
          <w:color w:val="auto"/>
        </w:rPr>
        <w:t>Liquidity and Capital Resources</w:t>
      </w:r>
    </w:p>
    <w:p>
      <w:pPr>
        <w:spacing w:after="0" w:line="70" w:lineRule="exact"/>
        <w:rPr>
          <w:rFonts w:ascii="Arial" w:cs="Arial" w:eastAsia="Arial" w:hAnsi="Arial"/>
          <w:sz w:val="20"/>
          <w:szCs w:val="20"/>
          <w:b w:val="1"/>
          <w:bCs w:val="1"/>
          <w:color w:val="DF1995"/>
        </w:rPr>
      </w:pPr>
    </w:p>
    <w:p>
      <w:pPr>
        <w:ind w:left="760" w:hanging="357"/>
        <w:spacing w:after="0"/>
        <w:tabs>
          <w:tab w:leader="none" w:pos="760" w:val="left"/>
        </w:tabs>
        <w:numPr>
          <w:ilvl w:val="0"/>
          <w:numId w:val="31"/>
        </w:numPr>
        <w:rPr>
          <w:rFonts w:ascii="Arial" w:cs="Arial" w:eastAsia="Arial" w:hAnsi="Arial"/>
          <w:sz w:val="20"/>
          <w:szCs w:val="20"/>
          <w:b w:val="1"/>
          <w:bCs w:val="1"/>
          <w:color w:val="DF1995"/>
        </w:rPr>
      </w:pPr>
      <w:r>
        <w:rPr>
          <w:rFonts w:ascii="Arial" w:cs="Arial" w:eastAsia="Arial" w:hAnsi="Arial"/>
          <w:sz w:val="20"/>
          <w:szCs w:val="20"/>
          <w:b w:val="1"/>
          <w:bCs w:val="1"/>
          <w:color w:val="auto"/>
        </w:rPr>
        <w:t>Off Balance Sheet Arrangements</w:t>
      </w:r>
    </w:p>
    <w:p>
      <w:pPr>
        <w:spacing w:after="0" w:line="70" w:lineRule="exact"/>
        <w:rPr>
          <w:rFonts w:ascii="Arial" w:cs="Arial" w:eastAsia="Arial" w:hAnsi="Arial"/>
          <w:sz w:val="20"/>
          <w:szCs w:val="20"/>
          <w:b w:val="1"/>
          <w:bCs w:val="1"/>
          <w:color w:val="DF1995"/>
        </w:rPr>
      </w:pPr>
    </w:p>
    <w:p>
      <w:pPr>
        <w:ind w:left="760" w:hanging="357"/>
        <w:spacing w:after="0"/>
        <w:tabs>
          <w:tab w:leader="none" w:pos="760" w:val="left"/>
        </w:tabs>
        <w:numPr>
          <w:ilvl w:val="0"/>
          <w:numId w:val="31"/>
        </w:numPr>
        <w:rPr>
          <w:rFonts w:ascii="Arial" w:cs="Arial" w:eastAsia="Arial" w:hAnsi="Arial"/>
          <w:sz w:val="20"/>
          <w:szCs w:val="20"/>
          <w:b w:val="1"/>
          <w:bCs w:val="1"/>
          <w:color w:val="DF1995"/>
        </w:rPr>
      </w:pPr>
      <w:r>
        <w:rPr>
          <w:rFonts w:ascii="Arial" w:cs="Arial" w:eastAsia="Arial" w:hAnsi="Arial"/>
          <w:sz w:val="20"/>
          <w:szCs w:val="20"/>
          <w:b w:val="1"/>
          <w:bCs w:val="1"/>
          <w:color w:val="auto"/>
        </w:rPr>
        <w:t>Critical Accounting Policies and Estimates</w:t>
      </w:r>
    </w:p>
    <w:p>
      <w:pPr>
        <w:spacing w:after="0" w:line="70" w:lineRule="exact"/>
        <w:rPr>
          <w:rFonts w:ascii="Arial" w:cs="Arial" w:eastAsia="Arial" w:hAnsi="Arial"/>
          <w:sz w:val="20"/>
          <w:szCs w:val="20"/>
          <w:b w:val="1"/>
          <w:bCs w:val="1"/>
          <w:color w:val="DF1995"/>
        </w:rPr>
      </w:pPr>
    </w:p>
    <w:p>
      <w:pPr>
        <w:ind w:left="760" w:hanging="357"/>
        <w:spacing w:after="0"/>
        <w:tabs>
          <w:tab w:leader="none" w:pos="760" w:val="left"/>
        </w:tabs>
        <w:numPr>
          <w:ilvl w:val="0"/>
          <w:numId w:val="31"/>
        </w:numPr>
        <w:rPr>
          <w:rFonts w:ascii="Arial" w:cs="Arial" w:eastAsia="Arial" w:hAnsi="Arial"/>
          <w:sz w:val="20"/>
          <w:szCs w:val="20"/>
          <w:b w:val="1"/>
          <w:bCs w:val="1"/>
          <w:color w:val="DF1995"/>
        </w:rPr>
      </w:pPr>
      <w:r>
        <w:rPr>
          <w:rFonts w:ascii="Arial" w:cs="Arial" w:eastAsia="Arial" w:hAnsi="Arial"/>
          <w:sz w:val="20"/>
          <w:szCs w:val="20"/>
          <w:b w:val="1"/>
          <w:bCs w:val="1"/>
          <w:color w:val="auto"/>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241300</wp:posOffset>
            </wp:positionV>
            <wp:extent cx="6311900" cy="2444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08">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OVERVIEW AND OUTLOOK</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About PacBio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0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We are a premier life science technology company that designs, develops, and manufactures advanced sequencing solutions that enable scientists and clinical researchers to improve their understanding of the genome and ultimately, resolve genetically complex problems.</w:t>
      </w:r>
    </w:p>
    <w:p>
      <w:pPr>
        <w:spacing w:after="0" w:line="7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products and technology, which include our HiFi long-read sequencing technology, address a broad set of applications including human germline sequencing, plant and animal sciences, infectious disease and microbiology, oncology, and other emerging applications.</w:t>
      </w:r>
    </w:p>
    <w:p>
      <w:pPr>
        <w:spacing w:after="0" w:line="7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Our focus is on creating some of the world’s most advanced sequencing systems to provide our customers with the most complete and accurate view of genomes, transcriptomes, and epigenomes.</w:t>
      </w:r>
    </w:p>
    <w:p>
      <w:pPr>
        <w:spacing w:after="0" w:line="54"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customers include academic and governmental research institutions, commercial testing and service laboratories, genome centers, public health labs, hospitals and clinical research institutes, CROs, pharmaceutical companies, and agricultural companies.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Recent Developments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1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54" w:lineRule="auto"/>
        <w:rPr>
          <w:sz w:val="20"/>
          <w:szCs w:val="20"/>
          <w:color w:val="auto"/>
        </w:rPr>
      </w:pPr>
      <w:r>
        <w:rPr>
          <w:rFonts w:ascii="Arial" w:cs="Arial" w:eastAsia="Arial" w:hAnsi="Arial"/>
          <w:sz w:val="20"/>
          <w:szCs w:val="20"/>
          <w:b w:val="1"/>
          <w:bCs w:val="1"/>
          <w:color w:val="auto"/>
        </w:rPr>
        <w:t>On January 30, 2026, we completed a disposition of assets to Buyer in accordance with the terms of the Asset Purchase Agreement, pursuant to which, among other matters, Buyer acquired certain intellectual property and other assets related to our short-read DNA sequencing technology and related clustering, sequencing reagent, and detection technologies. As consideration for the Asset Sale, Buyer paid us $50.0 million in cash and assumed certain liabilities. In addition, Buyer granted us a non-exclusive license to certain intellectual property included in the purchased assets. In connection with the Asset Sale, Buyer will pay at our direction 4% of the net proceeds from the Purchase Price to the former equity holders of Apton related to the waiver of all remaining milestone obligations associated with our purchase of Apton in August 2023, which payment is expected in the first quarter of 2026. As a result, we received approximately $48.1 million in net cash proceeds from the Asset Sale.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1129665</wp:posOffset>
                </wp:positionV>
                <wp:extent cx="731520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88.95pt" to="535pt,88.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1129665</wp:posOffset>
                </wp:positionV>
                <wp:extent cx="731520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88.95pt" to="535pt,88.9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1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Strategic Objectives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1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8" w:lineRule="auto"/>
        <w:rPr>
          <w:sz w:val="20"/>
          <w:szCs w:val="20"/>
          <w:color w:val="auto"/>
        </w:rPr>
      </w:pPr>
      <w:r>
        <w:rPr>
          <w:rFonts w:ascii="Arial" w:cs="Arial" w:eastAsia="Arial" w:hAnsi="Arial"/>
          <w:sz w:val="19"/>
          <w:szCs w:val="19"/>
          <w:b w:val="1"/>
          <w:bCs w:val="1"/>
          <w:color w:val="auto"/>
        </w:rPr>
        <w:t>Looking ahead to 2026, our main objectives are to grow revenue and expand gross margins through the following five activities. These initiatives are designed to improve the economics of HiFi sequencing, expand adoption across clinical and research markets, and drive durable growth across our platform portfolio.</w:t>
      </w:r>
    </w:p>
    <w:p>
      <w:pPr>
        <w:spacing w:after="0" w:line="83" w:lineRule="exact"/>
        <w:rPr>
          <w:sz w:val="20"/>
          <w:szCs w:val="20"/>
          <w:color w:val="auto"/>
        </w:rPr>
      </w:pPr>
    </w:p>
    <w:p>
      <w:pPr>
        <w:jc w:val="both"/>
        <w:ind w:left="720" w:right="700" w:hanging="370"/>
        <w:spacing w:after="0" w:line="292" w:lineRule="auto"/>
        <w:tabs>
          <w:tab w:leader="none" w:pos="720" w:val="left"/>
        </w:tabs>
        <w:numPr>
          <w:ilvl w:val="0"/>
          <w:numId w:val="32"/>
        </w:numPr>
        <w:rPr>
          <w:rFonts w:ascii="Arial" w:cs="Arial" w:eastAsia="Arial" w:hAnsi="Arial"/>
          <w:sz w:val="24"/>
          <w:szCs w:val="24"/>
          <w:b w:val="1"/>
          <w:bCs w:val="1"/>
          <w:color w:val="DF1995"/>
        </w:rPr>
      </w:pPr>
      <w:r>
        <w:rPr>
          <w:rFonts w:ascii="Arial" w:cs="Arial" w:eastAsia="Arial" w:hAnsi="Arial"/>
          <w:sz w:val="20"/>
          <w:szCs w:val="20"/>
          <w:b w:val="1"/>
          <w:bCs w:val="1"/>
          <w:color w:val="DF1995"/>
        </w:rPr>
        <w:t xml:space="preserve">Accelerate samples onto the Revio platform through SPRQ-Nx chemistry and application kits. </w:t>
      </w:r>
      <w:r>
        <w:rPr>
          <w:rFonts w:ascii="Arial" w:cs="Arial" w:eastAsia="Arial" w:hAnsi="Arial"/>
          <w:sz w:val="20"/>
          <w:szCs w:val="20"/>
          <w:b w:val="1"/>
          <w:bCs w:val="1"/>
          <w:color w:val="000000"/>
        </w:rPr>
        <w:t>SPRQ-Nx is designed to lower the cost of sequencing and improve sequencing efficiency, which we believe will support higher throughput, increased sample volumes, and broader adoption of HiFi sequencing in large-scale research studies and clinical applications.</w:t>
      </w:r>
    </w:p>
    <w:p>
      <w:pPr>
        <w:spacing w:after="0" w:line="96" w:lineRule="exact"/>
        <w:rPr>
          <w:rFonts w:ascii="Arial" w:cs="Arial" w:eastAsia="Arial" w:hAnsi="Arial"/>
          <w:sz w:val="24"/>
          <w:szCs w:val="24"/>
          <w:b w:val="1"/>
          <w:bCs w:val="1"/>
          <w:color w:val="DF1995"/>
        </w:rPr>
      </w:pPr>
    </w:p>
    <w:p>
      <w:pPr>
        <w:jc w:val="both"/>
        <w:ind w:left="720" w:right="680" w:hanging="370"/>
        <w:spacing w:after="0" w:line="308" w:lineRule="auto"/>
        <w:tabs>
          <w:tab w:leader="none" w:pos="720" w:val="left"/>
        </w:tabs>
        <w:numPr>
          <w:ilvl w:val="0"/>
          <w:numId w:val="32"/>
        </w:numPr>
        <w:rPr>
          <w:rFonts w:ascii="Arial" w:cs="Arial" w:eastAsia="Arial" w:hAnsi="Arial"/>
          <w:sz w:val="23"/>
          <w:szCs w:val="23"/>
          <w:b w:val="1"/>
          <w:bCs w:val="1"/>
          <w:color w:val="DF1995"/>
        </w:rPr>
      </w:pPr>
      <w:r>
        <w:rPr>
          <w:rFonts w:ascii="Arial" w:cs="Arial" w:eastAsia="Arial" w:hAnsi="Arial"/>
          <w:sz w:val="19"/>
          <w:szCs w:val="19"/>
          <w:b w:val="1"/>
          <w:bCs w:val="1"/>
          <w:color w:val="DF1995"/>
        </w:rPr>
        <w:t xml:space="preserve">Expand the capabilities of the Vega benchtop platform to broaden our market reach. </w:t>
      </w:r>
      <w:r>
        <w:rPr>
          <w:rFonts w:ascii="Arial" w:cs="Arial" w:eastAsia="Arial" w:hAnsi="Arial"/>
          <w:sz w:val="19"/>
          <w:szCs w:val="19"/>
          <w:b w:val="1"/>
          <w:bCs w:val="1"/>
          <w:color w:val="000000"/>
        </w:rPr>
        <w:t>We plan to enable</w:t>
      </w:r>
      <w:r>
        <w:rPr>
          <w:rFonts w:ascii="Arial" w:cs="Arial" w:eastAsia="Arial" w:hAnsi="Arial"/>
          <w:sz w:val="19"/>
          <w:szCs w:val="19"/>
          <w:b w:val="1"/>
          <w:bCs w:val="1"/>
          <w:color w:val="DF1995"/>
        </w:rPr>
        <w:t xml:space="preserve"> </w:t>
      </w:r>
      <w:r>
        <w:rPr>
          <w:rFonts w:ascii="Arial" w:cs="Arial" w:eastAsia="Arial" w:hAnsi="Arial"/>
          <w:sz w:val="19"/>
          <w:szCs w:val="19"/>
          <w:b w:val="1"/>
          <w:bCs w:val="1"/>
          <w:color w:val="000000"/>
        </w:rPr>
        <w:t>faster run times and enhanced user experience through software improvements, which are intended to support broader adoption and improve the overall economics of HiFi sequencing.</w:t>
      </w:r>
    </w:p>
    <w:p>
      <w:pPr>
        <w:spacing w:after="0" w:line="83" w:lineRule="exact"/>
        <w:rPr>
          <w:rFonts w:ascii="Arial" w:cs="Arial" w:eastAsia="Arial" w:hAnsi="Arial"/>
          <w:sz w:val="23"/>
          <w:szCs w:val="23"/>
          <w:b w:val="1"/>
          <w:bCs w:val="1"/>
          <w:color w:val="DF1995"/>
        </w:rPr>
      </w:pPr>
    </w:p>
    <w:p>
      <w:pPr>
        <w:jc w:val="both"/>
        <w:ind w:left="720" w:right="700" w:hanging="370"/>
        <w:spacing w:after="0" w:line="292" w:lineRule="auto"/>
        <w:tabs>
          <w:tab w:leader="none" w:pos="720" w:val="left"/>
        </w:tabs>
        <w:numPr>
          <w:ilvl w:val="0"/>
          <w:numId w:val="32"/>
        </w:numPr>
        <w:rPr>
          <w:rFonts w:ascii="Arial" w:cs="Arial" w:eastAsia="Arial" w:hAnsi="Arial"/>
          <w:sz w:val="24"/>
          <w:szCs w:val="24"/>
          <w:b w:val="1"/>
          <w:bCs w:val="1"/>
          <w:color w:val="DF1995"/>
        </w:rPr>
      </w:pPr>
      <w:r>
        <w:rPr>
          <w:rFonts w:ascii="Arial" w:cs="Arial" w:eastAsia="Arial" w:hAnsi="Arial"/>
          <w:sz w:val="20"/>
          <w:szCs w:val="20"/>
          <w:b w:val="1"/>
          <w:bCs w:val="1"/>
          <w:color w:val="DF1995"/>
        </w:rPr>
        <w:t xml:space="preserve">Progress our clinical strategy to improve outcomes and create durability. </w:t>
      </w:r>
      <w:r>
        <w:rPr>
          <w:rFonts w:ascii="Arial" w:cs="Arial" w:eastAsia="Arial" w:hAnsi="Arial"/>
          <w:sz w:val="20"/>
          <w:szCs w:val="20"/>
          <w:b w:val="1"/>
          <w:bCs w:val="1"/>
          <w:color w:val="000000"/>
        </w:rPr>
        <w:t>Revio is increasingly being</w:t>
      </w:r>
      <w:r>
        <w:rPr>
          <w:rFonts w:ascii="Arial" w:cs="Arial" w:eastAsia="Arial" w:hAnsi="Arial"/>
          <w:sz w:val="20"/>
          <w:szCs w:val="20"/>
          <w:b w:val="1"/>
          <w:bCs w:val="1"/>
          <w:color w:val="DF1995"/>
        </w:rPr>
        <w:t xml:space="preserve"> </w:t>
      </w:r>
      <w:r>
        <w:rPr>
          <w:rFonts w:ascii="Arial" w:cs="Arial" w:eastAsia="Arial" w:hAnsi="Arial"/>
          <w:sz w:val="20"/>
          <w:szCs w:val="20"/>
          <w:b w:val="1"/>
          <w:bCs w:val="1"/>
          <w:color w:val="000000"/>
        </w:rPr>
        <w:t>adopted in laboratory-developed test ("LDT") and clinical research settings, supporting consolidation of multiple tests, addressing complex genetic challenges, and driving sustained utilization of HiFi sequencing.</w:t>
      </w:r>
    </w:p>
    <w:p>
      <w:pPr>
        <w:spacing w:after="0" w:line="96" w:lineRule="exact"/>
        <w:rPr>
          <w:rFonts w:ascii="Arial" w:cs="Arial" w:eastAsia="Arial" w:hAnsi="Arial"/>
          <w:sz w:val="24"/>
          <w:szCs w:val="24"/>
          <w:b w:val="1"/>
          <w:bCs w:val="1"/>
          <w:color w:val="DF1995"/>
        </w:rPr>
      </w:pPr>
    </w:p>
    <w:p>
      <w:pPr>
        <w:jc w:val="both"/>
        <w:ind w:left="720" w:right="700" w:hanging="370"/>
        <w:spacing w:after="0" w:line="295" w:lineRule="auto"/>
        <w:tabs>
          <w:tab w:leader="none" w:pos="720" w:val="left"/>
        </w:tabs>
        <w:numPr>
          <w:ilvl w:val="0"/>
          <w:numId w:val="32"/>
        </w:numPr>
        <w:rPr>
          <w:rFonts w:ascii="Arial" w:cs="Arial" w:eastAsia="Arial" w:hAnsi="Arial"/>
          <w:sz w:val="24"/>
          <w:szCs w:val="24"/>
          <w:b w:val="1"/>
          <w:bCs w:val="1"/>
          <w:color w:val="DF1995"/>
        </w:rPr>
      </w:pPr>
      <w:r>
        <w:rPr>
          <w:rFonts w:ascii="Arial" w:cs="Arial" w:eastAsia="Arial" w:hAnsi="Arial"/>
          <w:sz w:val="20"/>
          <w:szCs w:val="20"/>
          <w:b w:val="1"/>
          <w:bCs w:val="1"/>
          <w:color w:val="DF1995"/>
        </w:rPr>
        <w:t xml:space="preserve">Advance data-driven interpretation through scalable HiFi datasets and analytics. </w:t>
      </w:r>
      <w:r>
        <w:rPr>
          <w:rFonts w:ascii="Arial" w:cs="Arial" w:eastAsia="Arial" w:hAnsi="Arial"/>
          <w:sz w:val="20"/>
          <w:szCs w:val="20"/>
          <w:b w:val="1"/>
          <w:bCs w:val="1"/>
          <w:color w:val="000000"/>
        </w:rPr>
        <w:t>We are focused on</w:t>
      </w:r>
      <w:r>
        <w:rPr>
          <w:rFonts w:ascii="Arial" w:cs="Arial" w:eastAsia="Arial" w:hAnsi="Arial"/>
          <w:sz w:val="20"/>
          <w:szCs w:val="20"/>
          <w:b w:val="1"/>
          <w:bCs w:val="1"/>
          <w:color w:val="DF1995"/>
        </w:rPr>
        <w:t xml:space="preserve"> </w:t>
      </w:r>
      <w:r>
        <w:rPr>
          <w:rFonts w:ascii="Arial" w:cs="Arial" w:eastAsia="Arial" w:hAnsi="Arial"/>
          <w:sz w:val="20"/>
          <w:szCs w:val="20"/>
          <w:b w:val="1"/>
          <w:bCs w:val="1"/>
          <w:color w:val="000000"/>
        </w:rPr>
        <w:t>leveraging the accuracy of HiFi sequencing and growing datasets to support advanced data analysis and AI-assisted interpretation approaches. Collaborative initiatives such as the HiFi Solves Global Consortium are designed to aggregate large, well-characterized HiFi datasets, which we believe can support improved understanding of complex genetic variation and disease biology while maintaining expert oversight.</w:t>
      </w:r>
    </w:p>
    <w:p>
      <w:pPr>
        <w:spacing w:after="0" w:line="95" w:lineRule="exact"/>
        <w:rPr>
          <w:rFonts w:ascii="Arial" w:cs="Arial" w:eastAsia="Arial" w:hAnsi="Arial"/>
          <w:sz w:val="24"/>
          <w:szCs w:val="24"/>
          <w:b w:val="1"/>
          <w:bCs w:val="1"/>
          <w:color w:val="DF1995"/>
        </w:rPr>
      </w:pPr>
    </w:p>
    <w:p>
      <w:pPr>
        <w:jc w:val="both"/>
        <w:ind w:left="720" w:right="680" w:hanging="370"/>
        <w:spacing w:after="0" w:line="292" w:lineRule="auto"/>
        <w:tabs>
          <w:tab w:leader="none" w:pos="720" w:val="left"/>
        </w:tabs>
        <w:numPr>
          <w:ilvl w:val="0"/>
          <w:numId w:val="32"/>
        </w:numPr>
        <w:rPr>
          <w:rFonts w:ascii="Arial" w:cs="Arial" w:eastAsia="Arial" w:hAnsi="Arial"/>
          <w:sz w:val="24"/>
          <w:szCs w:val="24"/>
          <w:b w:val="1"/>
          <w:bCs w:val="1"/>
          <w:color w:val="DF1995"/>
        </w:rPr>
      </w:pPr>
      <w:r>
        <w:rPr>
          <w:rFonts w:ascii="Arial" w:cs="Arial" w:eastAsia="Arial" w:hAnsi="Arial"/>
          <w:sz w:val="20"/>
          <w:szCs w:val="20"/>
          <w:b w:val="1"/>
          <w:bCs w:val="1"/>
          <w:color w:val="DF1995"/>
        </w:rPr>
        <w:t xml:space="preserve">Invest in future product launches to drive platform innovation. </w:t>
      </w:r>
      <w:r>
        <w:rPr>
          <w:rFonts w:ascii="Arial" w:cs="Arial" w:eastAsia="Arial" w:hAnsi="Arial"/>
          <w:sz w:val="20"/>
          <w:szCs w:val="20"/>
          <w:b w:val="1"/>
          <w:bCs w:val="1"/>
          <w:color w:val="000000"/>
        </w:rPr>
        <w:t>We continue to develop sequencing</w:t>
      </w:r>
      <w:r>
        <w:rPr>
          <w:rFonts w:ascii="Arial" w:cs="Arial" w:eastAsia="Arial" w:hAnsi="Arial"/>
          <w:sz w:val="20"/>
          <w:szCs w:val="20"/>
          <w:b w:val="1"/>
          <w:bCs w:val="1"/>
          <w:color w:val="DF1995"/>
        </w:rPr>
        <w:t xml:space="preserve"> </w:t>
      </w:r>
      <w:r>
        <w:rPr>
          <w:rFonts w:ascii="Arial" w:cs="Arial" w:eastAsia="Arial" w:hAnsi="Arial"/>
          <w:sz w:val="20"/>
          <w:szCs w:val="20"/>
          <w:b w:val="1"/>
          <w:bCs w:val="1"/>
          <w:color w:val="000000"/>
        </w:rPr>
        <w:t>solutions designed to increase throughput, simplify workflows, lower the cost to sequence a genome, and enhance downstream data analysis and interpretation capabilities, which we believe will allow us to address a larger portion of the market.</w:t>
      </w:r>
    </w:p>
    <w:p>
      <w:pPr>
        <w:spacing w:after="0" w:line="127"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b w:val="1"/>
          <w:bCs w:val="1"/>
          <w:color w:val="auto"/>
        </w:rPr>
        <w:t>We continue to believe that with the capabilities of our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Financial Overview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1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highlights of our 2025 consolidated financial results include the following: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120015</wp:posOffset>
                </wp:positionV>
                <wp:extent cx="0" cy="104775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77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pt,9.45pt" to="2.85pt,9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1522095</wp:posOffset>
                </wp:positionH>
                <wp:positionV relativeFrom="paragraph">
                  <wp:posOffset>120015</wp:posOffset>
                </wp:positionV>
                <wp:extent cx="0" cy="104775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77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85pt,9.45pt" to="119.85pt,9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1607820</wp:posOffset>
                </wp:positionH>
                <wp:positionV relativeFrom="paragraph">
                  <wp:posOffset>120015</wp:posOffset>
                </wp:positionV>
                <wp:extent cx="0" cy="104775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77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6pt,9.45pt" to="126.6pt,9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3093720</wp:posOffset>
                </wp:positionH>
                <wp:positionV relativeFrom="paragraph">
                  <wp:posOffset>120015</wp:posOffset>
                </wp:positionV>
                <wp:extent cx="0" cy="104775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77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6pt,9.45pt" to="243.6pt,9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3179445</wp:posOffset>
                </wp:positionH>
                <wp:positionV relativeFrom="paragraph">
                  <wp:posOffset>120015</wp:posOffset>
                </wp:positionV>
                <wp:extent cx="0" cy="104775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77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35pt,9.45pt" to="250.35pt,9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120015</wp:posOffset>
                </wp:positionV>
                <wp:extent cx="0" cy="104775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77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9.45pt" to="367.35pt,9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4751070</wp:posOffset>
                </wp:positionH>
                <wp:positionV relativeFrom="paragraph">
                  <wp:posOffset>120015</wp:posOffset>
                </wp:positionV>
                <wp:extent cx="0" cy="104775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77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9.45pt" to="374.1pt,9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6236970</wp:posOffset>
                </wp:positionH>
                <wp:positionV relativeFrom="paragraph">
                  <wp:posOffset>120015</wp:posOffset>
                </wp:positionV>
                <wp:extent cx="0" cy="104775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7750"/>
                        </a:xfrm>
                        <a:prstGeom prst="line">
                          <a:avLst/>
                        </a:prstGeom>
                        <a:solidFill>
                          <a:srgbClr val="FFFFFF"/>
                        </a:solidFill>
                        <a:ln w="0">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1.1pt,9.45pt" to="491.1pt,9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36195</wp:posOffset>
                </wp:positionH>
                <wp:positionV relativeFrom="paragraph">
                  <wp:posOffset>120015</wp:posOffset>
                </wp:positionV>
                <wp:extent cx="148590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pt,9.45pt" to="119.85pt,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1607820</wp:posOffset>
                </wp:positionH>
                <wp:positionV relativeFrom="paragraph">
                  <wp:posOffset>120015</wp:posOffset>
                </wp:positionV>
                <wp:extent cx="148590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6pt,9.45pt" to="243.6pt,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3179445</wp:posOffset>
                </wp:positionH>
                <wp:positionV relativeFrom="paragraph">
                  <wp:posOffset>120015</wp:posOffset>
                </wp:positionV>
                <wp:extent cx="148590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35pt,9.45pt" to="367.35pt,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4751070</wp:posOffset>
                </wp:positionH>
                <wp:positionV relativeFrom="paragraph">
                  <wp:posOffset>120015</wp:posOffset>
                </wp:positionV>
                <wp:extent cx="148590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9.45pt" to="491.1pt,9.45pt" o:allowincell="f" strokecolor="#000000" strokeweight="0pt"/>
            </w:pict>
          </mc:Fallback>
        </mc:AlternateContent>
        <w:drawing>
          <wp:anchor simplePos="0" relativeHeight="251657728" behindDoc="1" locked="0" layoutInCell="0" allowOverlap="1">
            <wp:simplePos x="0" y="0"/>
            <wp:positionH relativeFrom="column">
              <wp:posOffset>23495</wp:posOffset>
            </wp:positionH>
            <wp:positionV relativeFrom="paragraph">
              <wp:posOffset>107950</wp:posOffset>
            </wp:positionV>
            <wp:extent cx="6226175" cy="10731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14">
                      <a:extLst>
                        <a:ext uri="{28A0092B-C50C-407E-A947-70E740481C1C}"/>
                      </a:extLst>
                    </a:blip>
                    <a:srcRect/>
                    <a:stretch>
                      <a:fillRect/>
                    </a:stretch>
                  </pic:blipFill>
                  <pic:spPr bwMode="auto">
                    <a:xfrm>
                      <a:off x="0" y="0"/>
                      <a:ext cx="6226175" cy="1073150"/>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sectPr>
      </w:pP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1720" w:type="dxa"/>
            <w:vAlign w:val="bottom"/>
          </w:tcPr>
          <w:p>
            <w:pPr>
              <w:spacing w:after="0"/>
              <w:rPr>
                <w:sz w:val="20"/>
                <w:szCs w:val="20"/>
                <w:color w:val="auto"/>
              </w:rPr>
            </w:pPr>
            <w:r>
              <w:rPr>
                <w:rFonts w:ascii="Arial" w:cs="Arial" w:eastAsia="Arial" w:hAnsi="Arial"/>
                <w:sz w:val="20"/>
                <w:szCs w:val="20"/>
                <w:b w:val="1"/>
                <w:bCs w:val="1"/>
                <w:color w:val="FFFFFF"/>
              </w:rPr>
              <w:t>Revenue of</w:t>
            </w:r>
          </w:p>
        </w:tc>
        <w:tc>
          <w:tcPr>
            <w:tcW w:w="2640" w:type="dxa"/>
            <w:vAlign w:val="bottom"/>
          </w:tcPr>
          <w:p>
            <w:pPr>
              <w:ind w:left="740"/>
              <w:spacing w:after="0"/>
              <w:rPr>
                <w:sz w:val="20"/>
                <w:szCs w:val="20"/>
                <w:color w:val="auto"/>
              </w:rPr>
            </w:pPr>
            <w:r>
              <w:rPr>
                <w:rFonts w:ascii="Arial" w:cs="Arial" w:eastAsia="Arial" w:hAnsi="Arial"/>
                <w:sz w:val="20"/>
                <w:szCs w:val="20"/>
                <w:b w:val="1"/>
                <w:bCs w:val="1"/>
                <w:color w:val="FFFFFF"/>
              </w:rPr>
              <w:t>Gross Profit of</w:t>
            </w:r>
          </w:p>
        </w:tc>
        <w:tc>
          <w:tcPr>
            <w:tcW w:w="2160" w:type="dxa"/>
            <w:vAlign w:val="bottom"/>
          </w:tcPr>
          <w:p>
            <w:pPr>
              <w:ind w:left="580"/>
              <w:spacing w:after="0"/>
              <w:rPr>
                <w:sz w:val="20"/>
                <w:szCs w:val="20"/>
                <w:color w:val="auto"/>
              </w:rPr>
            </w:pPr>
            <w:r>
              <w:rPr>
                <w:rFonts w:ascii="Arial" w:cs="Arial" w:eastAsia="Arial" w:hAnsi="Arial"/>
                <w:sz w:val="20"/>
                <w:szCs w:val="20"/>
                <w:b w:val="1"/>
                <w:bCs w:val="1"/>
                <w:color w:val="FFFFFF"/>
                <w:w w:val="91"/>
              </w:rPr>
              <w:t>Operating Loss of</w:t>
            </w:r>
          </w:p>
        </w:tc>
      </w:tr>
    </w:tbl>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476"/>
        </w:trPr>
        <w:tc>
          <w:tcPr>
            <w:tcW w:w="2360" w:type="dxa"/>
            <w:vAlign w:val="bottom"/>
          </w:tcPr>
          <w:p>
            <w:pPr>
              <w:ind w:left="80"/>
              <w:spacing w:after="0"/>
              <w:rPr>
                <w:sz w:val="20"/>
                <w:szCs w:val="20"/>
                <w:color w:val="auto"/>
              </w:rPr>
            </w:pPr>
            <w:r>
              <w:rPr>
                <w:rFonts w:ascii="Arial" w:cs="Arial" w:eastAsia="Arial" w:hAnsi="Arial"/>
                <w:sz w:val="36"/>
                <w:szCs w:val="36"/>
                <w:b w:val="1"/>
                <w:bCs w:val="1"/>
                <w:color w:val="FFFFFF"/>
              </w:rPr>
              <w:t>$160.0 M</w:t>
            </w:r>
          </w:p>
        </w:tc>
        <w:tc>
          <w:tcPr>
            <w:tcW w:w="120" w:type="dxa"/>
            <w:vAlign w:val="bottom"/>
          </w:tcPr>
          <w:p>
            <w:pPr>
              <w:spacing w:after="0"/>
              <w:rPr>
                <w:sz w:val="24"/>
                <w:szCs w:val="24"/>
                <w:color w:val="auto"/>
              </w:rPr>
            </w:pPr>
          </w:p>
        </w:tc>
        <w:tc>
          <w:tcPr>
            <w:tcW w:w="2360" w:type="dxa"/>
            <w:vAlign w:val="bottom"/>
          </w:tcPr>
          <w:p>
            <w:pPr>
              <w:ind w:left="60"/>
              <w:spacing w:after="0"/>
              <w:rPr>
                <w:sz w:val="20"/>
                <w:szCs w:val="20"/>
                <w:color w:val="auto"/>
              </w:rPr>
            </w:pPr>
            <w:r>
              <w:rPr>
                <w:rFonts w:ascii="Arial" w:cs="Arial" w:eastAsia="Arial" w:hAnsi="Arial"/>
                <w:sz w:val="36"/>
                <w:szCs w:val="36"/>
                <w:b w:val="1"/>
                <w:bCs w:val="1"/>
                <w:color w:val="FFFFFF"/>
              </w:rPr>
              <w:t>$45.8 M</w:t>
            </w:r>
          </w:p>
        </w:tc>
        <w:tc>
          <w:tcPr>
            <w:tcW w:w="120" w:type="dxa"/>
            <w:vAlign w:val="bottom"/>
          </w:tcPr>
          <w:p>
            <w:pPr>
              <w:spacing w:after="0"/>
              <w:rPr>
                <w:sz w:val="24"/>
                <w:szCs w:val="24"/>
                <w:color w:val="auto"/>
              </w:rPr>
            </w:pPr>
          </w:p>
        </w:tc>
        <w:tc>
          <w:tcPr>
            <w:tcW w:w="2360" w:type="dxa"/>
            <w:vAlign w:val="bottom"/>
          </w:tcPr>
          <w:p>
            <w:pPr>
              <w:ind w:left="60"/>
              <w:spacing w:after="0"/>
              <w:rPr>
                <w:sz w:val="20"/>
                <w:szCs w:val="20"/>
                <w:color w:val="auto"/>
              </w:rPr>
            </w:pPr>
            <w:r>
              <w:rPr>
                <w:rFonts w:ascii="Arial" w:cs="Arial" w:eastAsia="Arial" w:hAnsi="Arial"/>
                <w:sz w:val="36"/>
                <w:szCs w:val="36"/>
                <w:b w:val="1"/>
                <w:bCs w:val="1"/>
                <w:color w:val="FFFFFF"/>
              </w:rPr>
              <w:t>$553.9 M</w:t>
            </w:r>
          </w:p>
        </w:tc>
      </w:tr>
      <w:tr>
        <w:trPr>
          <w:trHeight w:val="22"/>
        </w:trPr>
        <w:tc>
          <w:tcPr>
            <w:tcW w:w="2360" w:type="dxa"/>
            <w:vAlign w:val="bottom"/>
            <w:tcBorders>
              <w:bottom w:val="single" w:sz="8" w:color="009CA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bottom w:val="single" w:sz="8" w:color="009CA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bottom w:val="single" w:sz="8" w:color="009CA2"/>
            </w:tcBorders>
          </w:tcPr>
          <w:p>
            <w:pPr>
              <w:spacing w:after="0" w:line="20" w:lineRule="exact"/>
              <w:rPr>
                <w:sz w:val="1"/>
                <w:szCs w:val="1"/>
                <w:color w:val="auto"/>
              </w:rPr>
            </w:pPr>
          </w:p>
        </w:tc>
      </w:tr>
      <w:tr>
        <w:trPr>
          <w:trHeight w:val="225"/>
        </w:trPr>
        <w:tc>
          <w:tcPr>
            <w:tcW w:w="2360" w:type="dxa"/>
            <w:vAlign w:val="bottom"/>
          </w:tcPr>
          <w:p>
            <w:pPr>
              <w:ind w:left="80"/>
              <w:spacing w:after="0" w:line="225" w:lineRule="exact"/>
              <w:rPr>
                <w:sz w:val="20"/>
                <w:szCs w:val="20"/>
                <w:color w:val="auto"/>
              </w:rPr>
            </w:pPr>
            <w:r>
              <w:rPr>
                <w:rFonts w:ascii="Arial" w:cs="Arial" w:eastAsia="Arial" w:hAnsi="Arial"/>
                <w:sz w:val="20"/>
                <w:szCs w:val="20"/>
                <w:b w:val="1"/>
                <w:bCs w:val="1"/>
                <w:color w:val="FFFFFF"/>
                <w:w w:val="97"/>
              </w:rPr>
              <w:t>compared to $154.0 M in</w:t>
            </w:r>
          </w:p>
        </w:tc>
        <w:tc>
          <w:tcPr>
            <w:tcW w:w="120" w:type="dxa"/>
            <w:vAlign w:val="bottom"/>
          </w:tcPr>
          <w:p>
            <w:pPr>
              <w:spacing w:after="0"/>
              <w:rPr>
                <w:sz w:val="19"/>
                <w:szCs w:val="19"/>
                <w:color w:val="auto"/>
              </w:rPr>
            </w:pPr>
          </w:p>
        </w:tc>
        <w:tc>
          <w:tcPr>
            <w:tcW w:w="2360" w:type="dxa"/>
            <w:vAlign w:val="bottom"/>
          </w:tcPr>
          <w:p>
            <w:pPr>
              <w:ind w:left="60"/>
              <w:spacing w:after="0" w:line="225" w:lineRule="exact"/>
              <w:rPr>
                <w:sz w:val="20"/>
                <w:szCs w:val="20"/>
                <w:color w:val="auto"/>
              </w:rPr>
            </w:pPr>
            <w:r>
              <w:rPr>
                <w:rFonts w:ascii="Arial" w:cs="Arial" w:eastAsia="Arial" w:hAnsi="Arial"/>
                <w:sz w:val="20"/>
                <w:szCs w:val="20"/>
                <w:b w:val="1"/>
                <w:bCs w:val="1"/>
                <w:color w:val="FFFFFF"/>
              </w:rPr>
              <w:t>compared to $37.3 M in</w:t>
            </w:r>
          </w:p>
        </w:tc>
        <w:tc>
          <w:tcPr>
            <w:tcW w:w="120" w:type="dxa"/>
            <w:vAlign w:val="bottom"/>
          </w:tcPr>
          <w:p>
            <w:pPr>
              <w:spacing w:after="0"/>
              <w:rPr>
                <w:sz w:val="19"/>
                <w:szCs w:val="19"/>
                <w:color w:val="auto"/>
              </w:rPr>
            </w:pPr>
          </w:p>
        </w:tc>
        <w:tc>
          <w:tcPr>
            <w:tcW w:w="2360" w:type="dxa"/>
            <w:vAlign w:val="bottom"/>
          </w:tcPr>
          <w:p>
            <w:pPr>
              <w:ind w:left="60"/>
              <w:spacing w:after="0" w:line="225" w:lineRule="exact"/>
              <w:rPr>
                <w:sz w:val="20"/>
                <w:szCs w:val="20"/>
                <w:color w:val="auto"/>
              </w:rPr>
            </w:pPr>
            <w:r>
              <w:rPr>
                <w:rFonts w:ascii="Arial" w:cs="Arial" w:eastAsia="Arial" w:hAnsi="Arial"/>
                <w:sz w:val="20"/>
                <w:szCs w:val="20"/>
                <w:b w:val="1"/>
                <w:bCs w:val="1"/>
                <w:color w:val="FFFFFF"/>
                <w:w w:val="98"/>
              </w:rPr>
              <w:t>compared to $474.3 M in</w:t>
            </w:r>
          </w:p>
        </w:tc>
      </w:tr>
      <w:tr>
        <w:trPr>
          <w:trHeight w:val="264"/>
        </w:trPr>
        <w:tc>
          <w:tcPr>
            <w:tcW w:w="2360" w:type="dxa"/>
            <w:vAlign w:val="bottom"/>
          </w:tcPr>
          <w:p>
            <w:pPr>
              <w:ind w:left="80"/>
              <w:spacing w:after="0"/>
              <w:rPr>
                <w:sz w:val="20"/>
                <w:szCs w:val="20"/>
                <w:color w:val="auto"/>
              </w:rPr>
            </w:pPr>
            <w:r>
              <w:rPr>
                <w:rFonts w:ascii="Arial" w:cs="Arial" w:eastAsia="Arial" w:hAnsi="Arial"/>
                <w:sz w:val="20"/>
                <w:szCs w:val="20"/>
                <w:b w:val="1"/>
                <w:bCs w:val="1"/>
                <w:color w:val="FFFFFF"/>
              </w:rPr>
              <w:t>the prior year</w:t>
            </w:r>
          </w:p>
        </w:tc>
        <w:tc>
          <w:tcPr>
            <w:tcW w:w="120" w:type="dxa"/>
            <w:vAlign w:val="bottom"/>
          </w:tcPr>
          <w:p>
            <w:pPr>
              <w:spacing w:after="0"/>
              <w:rPr>
                <w:sz w:val="22"/>
                <w:szCs w:val="22"/>
                <w:color w:val="auto"/>
              </w:rPr>
            </w:pPr>
          </w:p>
        </w:tc>
        <w:tc>
          <w:tcPr>
            <w:tcW w:w="2360" w:type="dxa"/>
            <w:vAlign w:val="bottom"/>
          </w:tcPr>
          <w:p>
            <w:pPr>
              <w:ind w:left="60"/>
              <w:spacing w:after="0"/>
              <w:rPr>
                <w:sz w:val="20"/>
                <w:szCs w:val="20"/>
                <w:color w:val="auto"/>
              </w:rPr>
            </w:pPr>
            <w:r>
              <w:rPr>
                <w:rFonts w:ascii="Arial" w:cs="Arial" w:eastAsia="Arial" w:hAnsi="Arial"/>
                <w:sz w:val="20"/>
                <w:szCs w:val="20"/>
                <w:b w:val="1"/>
                <w:bCs w:val="1"/>
                <w:color w:val="FFFFFF"/>
              </w:rPr>
              <w:t>the prior year</w:t>
            </w:r>
          </w:p>
        </w:tc>
        <w:tc>
          <w:tcPr>
            <w:tcW w:w="120" w:type="dxa"/>
            <w:vAlign w:val="bottom"/>
          </w:tcPr>
          <w:p>
            <w:pPr>
              <w:spacing w:after="0"/>
              <w:rPr>
                <w:sz w:val="22"/>
                <w:szCs w:val="22"/>
                <w:color w:val="auto"/>
              </w:rPr>
            </w:pPr>
          </w:p>
        </w:tc>
        <w:tc>
          <w:tcPr>
            <w:tcW w:w="2360" w:type="dxa"/>
            <w:vAlign w:val="bottom"/>
          </w:tcPr>
          <w:p>
            <w:pPr>
              <w:ind w:left="60"/>
              <w:spacing w:after="0"/>
              <w:rPr>
                <w:sz w:val="20"/>
                <w:szCs w:val="20"/>
                <w:color w:val="auto"/>
              </w:rPr>
            </w:pPr>
            <w:r>
              <w:rPr>
                <w:rFonts w:ascii="Arial" w:cs="Arial" w:eastAsia="Arial" w:hAnsi="Arial"/>
                <w:sz w:val="20"/>
                <w:szCs w:val="20"/>
                <w:b w:val="1"/>
                <w:bCs w:val="1"/>
                <w:color w:val="FFFFFF"/>
              </w:rPr>
              <w:t>the prior year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-621030</wp:posOffset>
                </wp:positionV>
                <wp:extent cx="148590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pt,-48.8999pt" to="119.85pt,-48.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1607820</wp:posOffset>
                </wp:positionH>
                <wp:positionV relativeFrom="paragraph">
                  <wp:posOffset>-621030</wp:posOffset>
                </wp:positionV>
                <wp:extent cx="148590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6pt,-48.8999pt" to="243.6pt,-48.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3179445</wp:posOffset>
                </wp:positionH>
                <wp:positionV relativeFrom="paragraph">
                  <wp:posOffset>-621030</wp:posOffset>
                </wp:positionV>
                <wp:extent cx="148590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35pt,-48.8999pt" to="367.35pt,-48.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36195</wp:posOffset>
                </wp:positionH>
                <wp:positionV relativeFrom="paragraph">
                  <wp:posOffset>-316230</wp:posOffset>
                </wp:positionV>
                <wp:extent cx="148590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pt,-24.8999pt" to="119.85pt,-24.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1607820</wp:posOffset>
                </wp:positionH>
                <wp:positionV relativeFrom="paragraph">
                  <wp:posOffset>-316230</wp:posOffset>
                </wp:positionV>
                <wp:extent cx="148590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6pt,-24.8999pt" to="243.6pt,-24.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3179445</wp:posOffset>
                </wp:positionH>
                <wp:positionV relativeFrom="paragraph">
                  <wp:posOffset>-316230</wp:posOffset>
                </wp:positionV>
                <wp:extent cx="148590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35pt,-24.8999pt" to="367.35pt,-24.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36195</wp:posOffset>
                </wp:positionH>
                <wp:positionV relativeFrom="paragraph">
                  <wp:posOffset>16510</wp:posOffset>
                </wp:positionV>
                <wp:extent cx="148590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pt,1.3pt" to="119.85pt,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1607820</wp:posOffset>
                </wp:positionH>
                <wp:positionV relativeFrom="paragraph">
                  <wp:posOffset>16510</wp:posOffset>
                </wp:positionV>
                <wp:extent cx="148590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6pt,1.3pt" to="243.6pt,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3179445</wp:posOffset>
                </wp:positionH>
                <wp:positionV relativeFrom="paragraph">
                  <wp:posOffset>16510</wp:posOffset>
                </wp:positionV>
                <wp:extent cx="1485900"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35pt,1.3pt" to="367.35pt,1.3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980"/>
        <w:spacing w:after="0" w:line="295" w:lineRule="auto"/>
        <w:rPr>
          <w:sz w:val="20"/>
          <w:szCs w:val="20"/>
          <w:color w:val="auto"/>
        </w:rPr>
      </w:pPr>
      <w:r>
        <w:rPr>
          <w:rFonts w:ascii="Arial" w:cs="Arial" w:eastAsia="Arial" w:hAnsi="Arial"/>
          <w:sz w:val="18"/>
          <w:szCs w:val="18"/>
          <w:b w:val="1"/>
          <w:bCs w:val="1"/>
          <w:color w:val="FFFFFF"/>
        </w:rPr>
        <w:t>Cash, cash equivalents, and investments of</w:t>
      </w:r>
    </w:p>
    <w:p>
      <w:pPr>
        <w:spacing w:after="0" w:line="23" w:lineRule="exact"/>
        <w:rPr>
          <w:sz w:val="20"/>
          <w:szCs w:val="20"/>
          <w:color w:val="auto"/>
        </w:rPr>
      </w:pPr>
    </w:p>
    <w:p>
      <w:pPr>
        <w:spacing w:after="0"/>
        <w:rPr>
          <w:sz w:val="20"/>
          <w:szCs w:val="20"/>
          <w:color w:val="auto"/>
        </w:rPr>
      </w:pPr>
      <w:r>
        <w:rPr>
          <w:rFonts w:ascii="Arial" w:cs="Arial" w:eastAsia="Arial" w:hAnsi="Arial"/>
          <w:sz w:val="36"/>
          <w:szCs w:val="36"/>
          <w:b w:val="1"/>
          <w:bCs w:val="1"/>
          <w:color w:val="FFFFFF"/>
        </w:rPr>
        <w:t>$279.5 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-245110</wp:posOffset>
                </wp:positionV>
                <wp:extent cx="148526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2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9pt,-19.2999pt" to="114.1pt,-19.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-36195</wp:posOffset>
                </wp:positionH>
                <wp:positionV relativeFrom="paragraph">
                  <wp:posOffset>59055</wp:posOffset>
                </wp:positionV>
                <wp:extent cx="1485265"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2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9pt,4.65pt" to="114.1pt,4.65pt" o:allowincell="f" strokecolor="#000000" strokeweight="0pt"/>
            </w:pict>
          </mc:Fallback>
        </mc:AlternateContent>
      </w:r>
    </w:p>
    <w:p>
      <w:pPr>
        <w:spacing w:after="0" w:line="99" w:lineRule="exact"/>
        <w:rPr>
          <w:sz w:val="20"/>
          <w:szCs w:val="20"/>
          <w:color w:val="auto"/>
        </w:rPr>
      </w:pPr>
    </w:p>
    <w:p>
      <w:pPr>
        <w:ind w:right="1020"/>
        <w:spacing w:after="0" w:line="243" w:lineRule="auto"/>
        <w:rPr>
          <w:sz w:val="20"/>
          <w:szCs w:val="20"/>
          <w:color w:val="auto"/>
        </w:rPr>
      </w:pPr>
      <w:r>
        <w:rPr>
          <w:rFonts w:ascii="Arial" w:cs="Arial" w:eastAsia="Arial" w:hAnsi="Arial"/>
          <w:sz w:val="20"/>
          <w:szCs w:val="20"/>
          <w:b w:val="1"/>
          <w:bCs w:val="1"/>
          <w:color w:val="FFFFFF"/>
        </w:rPr>
        <w:t>compared to $389.9 M last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20955</wp:posOffset>
                </wp:positionV>
                <wp:extent cx="148526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2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9pt,1.65pt" to="114.1pt,1.65pt" o:allowincell="f" strokecolor="#000000" strokeweight="0pt"/>
            </w:pict>
          </mc:Fallback>
        </mc:AlternateContent>
      </w:r>
    </w:p>
    <w:p>
      <w:pPr>
        <w:spacing w:after="0" w:line="207" w:lineRule="exact"/>
        <w:rPr>
          <w:sz w:val="20"/>
          <w:szCs w:val="20"/>
          <w:color w:val="auto"/>
        </w:rPr>
      </w:pPr>
    </w:p>
    <w:p>
      <w:pPr>
        <w:sectPr>
          <w:pgSz w:w="12240" w:h="15840" w:orient="portrait"/>
          <w:cols w:equalWidth="0" w:num="2">
            <w:col w:w="7360" w:space="180"/>
            <w:col w:w="3040"/>
          </w:cols>
          <w:pgMar w:left="1180" w:top="210" w:right="480" w:bottom="0" w:gutter="0" w:footer="0" w:header="0"/>
          <w:type w:val="continuous"/>
        </w:sectPr>
      </w:pPr>
    </w:p>
    <w:p>
      <w:pPr>
        <w:spacing w:after="0" w:line="47" w:lineRule="exact"/>
        <w:rPr>
          <w:sz w:val="20"/>
          <w:szCs w:val="20"/>
          <w:color w:val="auto"/>
        </w:rPr>
      </w:pPr>
    </w:p>
    <w:p>
      <w:pPr>
        <w:jc w:val="both"/>
        <w:ind w:left="720" w:right="680" w:hanging="370"/>
        <w:spacing w:after="0" w:line="276" w:lineRule="auto"/>
        <w:tabs>
          <w:tab w:leader="none" w:pos="720" w:val="left"/>
        </w:tabs>
        <w:numPr>
          <w:ilvl w:val="0"/>
          <w:numId w:val="33"/>
        </w:numPr>
        <w:rPr>
          <w:rFonts w:ascii="Arial" w:cs="Arial" w:eastAsia="Arial" w:hAnsi="Arial"/>
          <w:sz w:val="19"/>
          <w:szCs w:val="19"/>
          <w:b w:val="1"/>
          <w:bCs w:val="1"/>
          <w:color w:val="DF1995"/>
        </w:rPr>
      </w:pPr>
      <w:r>
        <w:rPr>
          <w:rFonts w:ascii="Arial" w:cs="Arial" w:eastAsia="Arial" w:hAnsi="Arial"/>
          <w:sz w:val="19"/>
          <w:szCs w:val="19"/>
          <w:b w:val="1"/>
          <w:bCs w:val="1"/>
          <w:color w:val="auto"/>
        </w:rPr>
        <w:t>Revenue was comprised of approximately $82.0 million in consumables revenue, $53.8 million in instrument revenue, and $24.2 million in service and other revenue for the year ended December 31, 2025. Revenue was comprised $70.3 million in consumables revenue, $65.8 million in instrument revenue, and $17.9 million in service and other revenue for the year ended December 31, 2024. The increase in total revenue was primarily due to higher consumable sales, Vega instrument sales,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193040</wp:posOffset>
                </wp:positionV>
                <wp:extent cx="731520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2pt" to="535pt,1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193040</wp:posOffset>
                </wp:positionV>
                <wp:extent cx="7315200"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2pt" to="535pt,15.2pt" o:allowincell="f" strokecolor="#DF1995" strokeweight="1pt"/>
            </w:pict>
          </mc:Fallback>
        </mc:AlternateContent>
      </w:r>
    </w:p>
    <w:p>
      <w:pPr>
        <w:sectPr>
          <w:pgSz w:w="12240" w:h="15840" w:orient="portrait"/>
          <w:cols w:equalWidth="0" w:num="1">
            <w:col w:w="10580"/>
          </w:cols>
          <w:pgMar w:left="1180" w:top="210" w:right="480" w:bottom="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1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left="720" w:right="680"/>
        <w:spacing w:after="0" w:line="285" w:lineRule="auto"/>
        <w:rPr>
          <w:sz w:val="20"/>
          <w:szCs w:val="20"/>
          <w:color w:val="auto"/>
        </w:rPr>
      </w:pPr>
      <w:r>
        <w:rPr>
          <w:rFonts w:ascii="Arial" w:cs="Arial" w:eastAsia="Arial" w:hAnsi="Arial"/>
          <w:sz w:val="20"/>
          <w:szCs w:val="20"/>
          <w:b w:val="1"/>
          <w:bCs w:val="1"/>
          <w:color w:val="auto"/>
        </w:rPr>
        <w:t>service and other revenue, partially offset by lower Revio instrument sales as compared to the prior year.</w:t>
      </w:r>
    </w:p>
    <w:p>
      <w:pPr>
        <w:spacing w:after="0" w:line="54" w:lineRule="exact"/>
        <w:rPr>
          <w:sz w:val="20"/>
          <w:szCs w:val="20"/>
          <w:color w:val="auto"/>
        </w:rPr>
      </w:pPr>
    </w:p>
    <w:p>
      <w:pPr>
        <w:jc w:val="both"/>
        <w:ind w:left="720" w:right="700" w:hanging="370"/>
        <w:spacing w:after="0" w:line="259" w:lineRule="auto"/>
        <w:tabs>
          <w:tab w:leader="none" w:pos="720" w:val="left"/>
        </w:tabs>
        <w:numPr>
          <w:ilvl w:val="0"/>
          <w:numId w:val="34"/>
        </w:numPr>
        <w:rPr>
          <w:rFonts w:ascii="Arial" w:cs="Arial" w:eastAsia="Arial" w:hAnsi="Arial"/>
          <w:sz w:val="20"/>
          <w:szCs w:val="20"/>
          <w:b w:val="1"/>
          <w:bCs w:val="1"/>
          <w:color w:val="DF1995"/>
        </w:rPr>
      </w:pPr>
      <w:r>
        <w:rPr>
          <w:rFonts w:ascii="Arial" w:cs="Arial" w:eastAsia="Arial" w:hAnsi="Arial"/>
          <w:sz w:val="20"/>
          <w:szCs w:val="20"/>
          <w:b w:val="1"/>
          <w:bCs w:val="1"/>
          <w:color w:val="auto"/>
        </w:rPr>
        <w:t>Gross profit increased for the year ended December 31, 2025 compared to the year ended December 31, 2024. The increase was primarily driven by higher consumable volumes, which drove a more favorable product mix. Gross margins may be affected by product mix, manufacturing efficiencies, changes in warranty costs, average selling price fluctuations, future product launches, changes to inventory reserves, costs of raw materials, and tariffs.</w:t>
      </w:r>
    </w:p>
    <w:p>
      <w:pPr>
        <w:spacing w:after="0" w:line="79" w:lineRule="exact"/>
        <w:rPr>
          <w:rFonts w:ascii="Arial" w:cs="Arial" w:eastAsia="Arial" w:hAnsi="Arial"/>
          <w:sz w:val="20"/>
          <w:szCs w:val="20"/>
          <w:b w:val="1"/>
          <w:bCs w:val="1"/>
          <w:color w:val="DF1995"/>
        </w:rPr>
      </w:pPr>
    </w:p>
    <w:p>
      <w:pPr>
        <w:jc w:val="both"/>
        <w:ind w:left="720" w:right="700" w:hanging="370"/>
        <w:spacing w:after="0" w:line="271" w:lineRule="auto"/>
        <w:tabs>
          <w:tab w:leader="none" w:pos="720" w:val="left"/>
        </w:tabs>
        <w:numPr>
          <w:ilvl w:val="0"/>
          <w:numId w:val="34"/>
        </w:numPr>
        <w:rPr>
          <w:rFonts w:ascii="Arial" w:cs="Arial" w:eastAsia="Arial" w:hAnsi="Arial"/>
          <w:sz w:val="19"/>
          <w:szCs w:val="19"/>
          <w:b w:val="1"/>
          <w:bCs w:val="1"/>
          <w:color w:val="DF1995"/>
        </w:rPr>
      </w:pPr>
      <w:r>
        <w:rPr>
          <w:rFonts w:ascii="Arial" w:cs="Arial" w:eastAsia="Arial" w:hAnsi="Arial"/>
          <w:sz w:val="19"/>
          <w:szCs w:val="19"/>
          <w:b w:val="1"/>
          <w:bCs w:val="1"/>
          <w:color w:val="auto"/>
        </w:rPr>
        <w:t xml:space="preserve">Loss from operations increased for the year ended December 31, 2025 compared to the year ended December 31, 2024 primarily due to $383.1 million of restructuring-related costs. See </w:t>
      </w:r>
      <w:r>
        <w:rPr>
          <w:rFonts w:ascii="Arial" w:cs="Arial" w:eastAsia="Arial" w:hAnsi="Arial"/>
          <w:sz w:val="19"/>
          <w:szCs w:val="19"/>
          <w:b w:val="1"/>
          <w:bCs w:val="1"/>
          <w:i w:val="1"/>
          <w:iCs w:val="1"/>
          <w:u w:val="single" w:color="auto"/>
          <w:color w:val="0000FF"/>
        </w:rPr>
        <w:t>Note 6.</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u w:val="single" w:color="auto"/>
          <w:color w:val="0000FF"/>
        </w:rPr>
        <w:t>Restructuring</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in Part II, Item 8 of this Annual Report on Form 10-K for additional information about</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restructuring activities. These restructuring-related costs were partially offset by a $169.5 million decrease in impairment charges and a $17.9 million change in fair value of contingent consideration. As a result of the restructuring, core operating expenses, consisting of research and development and sales, general and administrative expenses, decreased by $71.1 million.</w:t>
      </w:r>
    </w:p>
    <w:p>
      <w:pPr>
        <w:spacing w:after="0" w:line="73" w:lineRule="exact"/>
        <w:rPr>
          <w:rFonts w:ascii="Arial" w:cs="Arial" w:eastAsia="Arial" w:hAnsi="Arial"/>
          <w:sz w:val="19"/>
          <w:szCs w:val="19"/>
          <w:b w:val="1"/>
          <w:bCs w:val="1"/>
          <w:color w:val="DF1995"/>
        </w:rPr>
      </w:pPr>
    </w:p>
    <w:p>
      <w:pPr>
        <w:ind w:left="720" w:right="700" w:hanging="370"/>
        <w:spacing w:after="0" w:line="285" w:lineRule="auto"/>
        <w:tabs>
          <w:tab w:leader="none" w:pos="720" w:val="left"/>
        </w:tabs>
        <w:numPr>
          <w:ilvl w:val="0"/>
          <w:numId w:val="34"/>
        </w:numPr>
        <w:rPr>
          <w:rFonts w:ascii="Arial" w:cs="Arial" w:eastAsia="Arial" w:hAnsi="Arial"/>
          <w:sz w:val="20"/>
          <w:szCs w:val="20"/>
          <w:b w:val="1"/>
          <w:bCs w:val="1"/>
          <w:color w:val="DF1995"/>
        </w:rPr>
      </w:pPr>
      <w:r>
        <w:rPr>
          <w:rFonts w:ascii="Arial" w:cs="Arial" w:eastAsia="Arial" w:hAnsi="Arial"/>
          <w:sz w:val="20"/>
          <w:szCs w:val="20"/>
          <w:b w:val="1"/>
          <w:bCs w:val="1"/>
          <w:color w:val="auto"/>
        </w:rPr>
        <w:t>Cash, cash equivalents, and investments were $279.5 million at December 31, 2025, which represents a 28% decrease compared to the balance of $389.9 million at December 31, 2024.</w:t>
      </w:r>
    </w:p>
    <w:p>
      <w:pPr>
        <w:spacing w:after="0" w:line="54" w:lineRule="exact"/>
        <w:rPr>
          <w:sz w:val="20"/>
          <w:szCs w:val="20"/>
          <w:color w:val="auto"/>
        </w:rPr>
      </w:pPr>
    </w:p>
    <w:p>
      <w:pPr>
        <w:jc w:val="both"/>
        <w:ind w:right="700"/>
        <w:spacing w:after="0" w:line="311" w:lineRule="auto"/>
        <w:rPr>
          <w:sz w:val="20"/>
          <w:szCs w:val="20"/>
          <w:color w:val="auto"/>
        </w:rPr>
      </w:pPr>
      <w:r>
        <w:rPr>
          <w:rFonts w:ascii="Arial" w:cs="Arial" w:eastAsia="Arial" w:hAnsi="Arial"/>
          <w:sz w:val="18"/>
          <w:szCs w:val="18"/>
          <w:b w:val="1"/>
          <w:bCs w:val="1"/>
          <w:color w:val="auto"/>
        </w:rPr>
        <w:t>We believe that our sales cycles for Revio instruments continues to be elongated due to, among other reasons, continued capital funding constraints in academic and research markets, procurement timing considerations, and longer adoption cycles among new customers, which have affected the timing of certain instrument orders.</w:t>
      </w:r>
    </w:p>
    <w:p>
      <w:pPr>
        <w:spacing w:after="0" w:line="35"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Macroeconomic dynamics impacting the Company in the future may include rising inflation, geopolitical tensions, volatile capital markets, tariffs, uncertainty in the United States related to NIH and academic funding, and fluctuating exchange rates. These factors could continue to impact our revenues and results of operations in future periods; however, the magnitude and duration of these impacts is highly uncertain and inherently unpredictable.</w:t>
      </w:r>
    </w:p>
    <w:p>
      <w:pPr>
        <w:spacing w:after="0" w:line="79" w:lineRule="exact"/>
        <w:rPr>
          <w:sz w:val="20"/>
          <w:szCs w:val="20"/>
          <w:color w:val="auto"/>
        </w:rPr>
      </w:pPr>
    </w:p>
    <w:p>
      <w:pPr>
        <w:jc w:val="both"/>
        <w:ind w:right="680"/>
        <w:spacing w:after="0" w:line="289" w:lineRule="auto"/>
        <w:rPr>
          <w:sz w:val="20"/>
          <w:szCs w:val="20"/>
          <w:color w:val="auto"/>
        </w:rPr>
      </w:pPr>
      <w:r>
        <w:rPr>
          <w:rFonts w:ascii="Arial" w:cs="Arial" w:eastAsia="Arial" w:hAnsi="Arial"/>
          <w:sz w:val="18"/>
          <w:szCs w:val="18"/>
          <w:b w:val="1"/>
          <w:bCs w:val="1"/>
          <w:color w:val="auto"/>
        </w:rPr>
        <w:t xml:space="preserve">On an ongoing basis, we evaluate our significant estimates, including those related to the valuation of goodwill, indefinite-lived and finite-lived assets. However, these estimates could change in future periods based on events or changes in circumstances, which could result in material future impairment charges. We recorded $15.0 million of impairment charges during the first quarter of 2025. See additional discussion below in Results of Operations, as well as </w:t>
      </w:r>
      <w:r>
        <w:rPr>
          <w:rFonts w:ascii="Arial" w:cs="Arial" w:eastAsia="Arial" w:hAnsi="Arial"/>
          <w:sz w:val="18"/>
          <w:szCs w:val="18"/>
          <w:b w:val="1"/>
          <w:bCs w:val="1"/>
          <w:i w:val="1"/>
          <w:iCs w:val="1"/>
          <w:u w:val="single" w:color="auto"/>
          <w:color w:val="0000FF"/>
        </w:rPr>
        <w:t>Note 4. Balance Sheet Components</w:t>
      </w:r>
      <w:r>
        <w:rPr>
          <w:rFonts w:ascii="Arial" w:cs="Arial" w:eastAsia="Arial" w:hAnsi="Arial"/>
          <w:sz w:val="18"/>
          <w:szCs w:val="18"/>
          <w:b w:val="1"/>
          <w:bCs w:val="1"/>
          <w:color w:val="auto"/>
        </w:rPr>
        <w:t xml:space="preserve"> in Part II, Item 8 of this Annual Report on Form 10-K for further information. Additionally, refer to the Critical Accounting Policies and Estimates section later in this Item 7 for further discussion on the Company's asset impairment assessments.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See the </w:t>
      </w:r>
      <w:r>
        <w:rPr>
          <w:rFonts w:ascii="Arial" w:cs="Arial" w:eastAsia="Arial" w:hAnsi="Arial"/>
          <w:sz w:val="20"/>
          <w:szCs w:val="20"/>
          <w:b w:val="1"/>
          <w:bCs w:val="1"/>
          <w:i w:val="1"/>
          <w:iCs w:val="1"/>
          <w:u w:val="single" w:color="auto"/>
          <w:color w:val="0000FF"/>
        </w:rPr>
        <w:t>Risk Factors</w:t>
      </w:r>
      <w:r>
        <w:rPr>
          <w:rFonts w:ascii="Arial" w:cs="Arial" w:eastAsia="Arial" w:hAnsi="Arial"/>
          <w:sz w:val="20"/>
          <w:szCs w:val="20"/>
          <w:b w:val="1"/>
          <w:bCs w:val="1"/>
          <w:color w:val="auto"/>
        </w:rPr>
        <w:t xml:space="preserve"> section for further discussion.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3732530</wp:posOffset>
                </wp:positionV>
                <wp:extent cx="731520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93.9pt" to="535pt,293.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3732530</wp:posOffset>
                </wp:positionV>
                <wp:extent cx="7315200"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93.9pt" to="535pt,293.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1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73" w:name="page74"/>
    <w:bookmarkEnd w:id="7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2444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17">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RESULTS OF OPERATIONS</w:t>
      </w:r>
    </w:p>
    <w:p>
      <w:pPr>
        <w:spacing w:after="0" w:line="225"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 xml:space="preserve">A detailed discussion of our consolidated financial results comparison between 2025 and 2024 is presented below. A discussion of the changes in our results of operations between the years ended December 31, 2024 and December 31, 2023, has been omitted from this Annual Report on Form 10-K but may be found in </w:t>
      </w:r>
      <w:r>
        <w:rPr>
          <w:rFonts w:ascii="Arial" w:cs="Arial" w:eastAsia="Arial" w:hAnsi="Arial"/>
          <w:sz w:val="19"/>
          <w:szCs w:val="19"/>
          <w:b w:val="1"/>
          <w:bCs w:val="1"/>
          <w:i w:val="1"/>
          <w:iCs w:val="1"/>
          <w:color w:val="auto"/>
        </w:rPr>
        <w:t>Item 7.</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Management’s Discussion and Analysis of Financial Condition and Results of Operations </w:t>
      </w:r>
      <w:r>
        <w:rPr>
          <w:rFonts w:ascii="Arial" w:cs="Arial" w:eastAsia="Arial" w:hAnsi="Arial"/>
          <w:sz w:val="19"/>
          <w:szCs w:val="19"/>
          <w:b w:val="1"/>
          <w:bCs w:val="1"/>
          <w:color w:val="auto"/>
        </w:rPr>
        <w:t>of our</w:t>
      </w:r>
      <w:r>
        <w:rPr>
          <w:rFonts w:ascii="Arial" w:cs="Arial" w:eastAsia="Arial" w:hAnsi="Arial"/>
          <w:sz w:val="19"/>
          <w:szCs w:val="19"/>
          <w:b w:val="1"/>
          <w:bCs w:val="1"/>
          <w:i w:val="1"/>
          <w:iCs w:val="1"/>
          <w:color w:val="auto"/>
        </w:rPr>
        <w:t xml:space="preserve"> Annual Report on </w:t>
      </w:r>
      <w:r>
        <w:rPr>
          <w:rFonts w:ascii="Arial" w:cs="Arial" w:eastAsia="Arial" w:hAnsi="Arial"/>
          <w:sz w:val="19"/>
          <w:szCs w:val="19"/>
          <w:b w:val="1"/>
          <w:bCs w:val="1"/>
          <w:i w:val="1"/>
          <w:iCs w:val="1"/>
          <w:u w:val="single" w:color="auto"/>
          <w:color w:val="0000FF"/>
        </w:rPr>
        <w:t>Form 10-K</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for the year ended December 31, 2024, filed with the Securities and Exchange Commission on</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March 17, 2025, which is incorporated herein by reference, and is available free of charge on the SEC’s website at www.sec.gov and our corporate website (www.pacb.com).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593725</wp:posOffset>
                </wp:positionH>
                <wp:positionV relativeFrom="paragraph">
                  <wp:posOffset>-448945</wp:posOffset>
                </wp:positionV>
                <wp:extent cx="1216025" cy="12700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6025" cy="127000"/>
                        </a:xfrm>
                        <a:prstGeom prst="rect">
                          <a:avLst/>
                        </a:prstGeom>
                        <a:solidFill>
                          <a:srgbClr val="FFFFFF"/>
                        </a:solidFill>
                      </wps:spPr>
                      <wps:bodyPr/>
                    </wps:wsp>
                  </a:graphicData>
                </a:graphic>
              </wp:anchor>
            </w:drawing>
          </mc:Choice>
          <mc:Fallback>
            <w:pict>
              <v:rect id="Shape 325" o:spid="_x0000_s1350" style="position:absolute;margin-left:46.75pt;margin-top:-35.3499pt;width:95.75pt;height:1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Comparison of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11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30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23495</wp:posOffset>
            </wp:positionV>
            <wp:extent cx="2613025" cy="50038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19">
                      <a:extLst>
                        <a:ext uri="{28A0092B-C50C-407E-A947-70E740481C1C}"/>
                      </a:extLst>
                    </a:blip>
                    <a:srcRect/>
                    <a:stretch>
                      <a:fillRect/>
                    </a:stretch>
                  </pic:blipFill>
                  <pic:spPr bwMode="auto">
                    <a:xfrm>
                      <a:off x="0" y="0"/>
                      <a:ext cx="2613025" cy="50038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44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 Change</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63"/>
        </w:trPr>
        <w:tc>
          <w:tcPr>
            <w:tcW w:w="44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30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Product revenue</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135,758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136,149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17"/>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Service and other revenue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24,247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17,865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6,382</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r>
      <w:tr>
        <w:trPr>
          <w:trHeight w:val="280"/>
        </w:trPr>
        <w:tc>
          <w:tcPr>
            <w:tcW w:w="4460" w:type="dxa"/>
            <w:vAlign w:val="bottom"/>
          </w:tcPr>
          <w:p>
            <w:pPr>
              <w:ind w:left="7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160,005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154,014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5,991</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r>
      <w:tr>
        <w:trPr>
          <w:trHeight w:val="263"/>
        </w:trPr>
        <w:tc>
          <w:tcPr>
            <w:tcW w:w="4460" w:type="dxa"/>
            <w:vAlign w:val="bottom"/>
          </w:tcPr>
          <w:p>
            <w:pPr>
              <w:spacing w:after="0"/>
              <w:rPr>
                <w:sz w:val="20"/>
                <w:szCs w:val="20"/>
                <w:color w:val="auto"/>
              </w:rPr>
            </w:pPr>
            <w:r>
              <w:rPr>
                <w:rFonts w:ascii="Arial" w:cs="Arial" w:eastAsia="Arial" w:hAnsi="Arial"/>
                <w:sz w:val="18"/>
                <w:szCs w:val="18"/>
                <w:b w:val="1"/>
                <w:bCs w:val="1"/>
                <w:color w:val="auto"/>
              </w:rPr>
              <w:t>Cost of Revenue:</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30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Cost of product revenue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89,763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92,284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(2,521)</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r>
      <w:tr>
        <w:trPr>
          <w:trHeight w:val="30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Cost of service and other revenue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15,390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14,057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1,333</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r>
      <w:tr>
        <w:trPr>
          <w:trHeight w:val="30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Amortization of acquired intangible assets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4,894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9,393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(4,499)</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r>
      <w:tr>
        <w:trPr>
          <w:trHeight w:val="317"/>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Loss on purchase commitment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4,178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3,180</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319%</w:t>
            </w:r>
          </w:p>
        </w:tc>
      </w:tr>
      <w:tr>
        <w:trPr>
          <w:trHeight w:val="280"/>
        </w:trPr>
        <w:tc>
          <w:tcPr>
            <w:tcW w:w="4460" w:type="dxa"/>
            <w:vAlign w:val="bottom"/>
          </w:tcPr>
          <w:p>
            <w:pPr>
              <w:ind w:left="720"/>
              <w:spacing w:after="0"/>
              <w:rPr>
                <w:sz w:val="20"/>
                <w:szCs w:val="20"/>
                <w:color w:val="auto"/>
              </w:rPr>
            </w:pPr>
            <w:r>
              <w:rPr>
                <w:rFonts w:ascii="Arial" w:cs="Arial" w:eastAsia="Arial" w:hAnsi="Arial"/>
                <w:sz w:val="18"/>
                <w:szCs w:val="18"/>
                <w:b w:val="1"/>
                <w:bCs w:val="1"/>
                <w:color w:val="auto"/>
              </w:rPr>
              <w:t>Total cost of revenue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114,225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116,732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(2,507)</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r>
      <w:tr>
        <w:trPr>
          <w:trHeight w:val="280"/>
        </w:trPr>
        <w:tc>
          <w:tcPr>
            <w:tcW w:w="4460" w:type="dxa"/>
            <w:vAlign w:val="bottom"/>
          </w:tcPr>
          <w:p>
            <w:pPr>
              <w:ind w:left="126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45,780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37,282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8,498</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r>
      <w:tr>
        <w:trPr>
          <w:trHeight w:val="263"/>
        </w:trPr>
        <w:tc>
          <w:tcPr>
            <w:tcW w:w="446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30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Research and development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97,307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134,922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(37,615)</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r>
      <w:tr>
        <w:trPr>
          <w:trHeight w:val="30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Sales, general and administrative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141,493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175,017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(33,524)</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r>
      <w:tr>
        <w:trPr>
          <w:trHeight w:val="30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Impairment charges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15,000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184,500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(169,500)</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r>
      <w:tr>
        <w:trPr>
          <w:trHeight w:val="30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Amortization of acquired intangible assets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364,541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18,006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346,535</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1,925%</w:t>
            </w:r>
          </w:p>
        </w:tc>
      </w:tr>
      <w:tr>
        <w:trPr>
          <w:trHeight w:val="317"/>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w w:val="98"/>
              </w:rPr>
              <w:t>Change in fair value of contingent consideration</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(18,700)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(17,850)</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2,100%</w:t>
            </w:r>
          </w:p>
        </w:tc>
      </w:tr>
      <w:tr>
        <w:trPr>
          <w:trHeight w:val="280"/>
        </w:trPr>
        <w:tc>
          <w:tcPr>
            <w:tcW w:w="4460" w:type="dxa"/>
            <w:vAlign w:val="bottom"/>
          </w:tcPr>
          <w:p>
            <w:pPr>
              <w:ind w:left="720"/>
              <w:spacing w:after="0"/>
              <w:rPr>
                <w:sz w:val="20"/>
                <w:szCs w:val="20"/>
                <w:color w:val="auto"/>
              </w:rPr>
            </w:pPr>
            <w:r>
              <w:rPr>
                <w:rFonts w:ascii="Arial" w:cs="Arial" w:eastAsia="Arial" w:hAnsi="Arial"/>
                <w:sz w:val="18"/>
                <w:szCs w:val="18"/>
                <w:b w:val="1"/>
                <w:bCs w:val="1"/>
                <w:color w:val="auto"/>
              </w:rPr>
              <w:t>Total operating expense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599,641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511,595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88,046</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r>
      <w:tr>
        <w:trPr>
          <w:trHeight w:val="263"/>
        </w:trPr>
        <w:tc>
          <w:tcPr>
            <w:tcW w:w="446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(553,861)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(474,313)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(79,548)</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r>
      <w:tr>
        <w:trPr>
          <w:trHeight w:val="30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Gain on debt restructuring</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154,407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(154,407)</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r>
      <w:tr>
        <w:trPr>
          <w:trHeight w:val="30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(6,954)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(13,412)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6,458</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r>
      <w:tr>
        <w:trPr>
          <w:trHeight w:val="317"/>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Other income, net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14,757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23,783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(9,026)</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r>
      <w:tr>
        <w:trPr>
          <w:trHeight w:val="263"/>
        </w:trPr>
        <w:tc>
          <w:tcPr>
            <w:tcW w:w="44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(546,058)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(309,535)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(236,523)</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76%</w:t>
            </w:r>
          </w:p>
        </w:tc>
      </w:tr>
      <w:tr>
        <w:trPr>
          <w:trHeight w:val="317"/>
        </w:trPr>
        <w:tc>
          <w:tcPr>
            <w:tcW w:w="446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318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260"/>
        </w:trPr>
        <w:tc>
          <w:tcPr>
            <w:tcW w:w="44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(546,376)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(309,851)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(236,525)</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76%</w:t>
            </w: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2037715</wp:posOffset>
                </wp:positionV>
                <wp:extent cx="7315200"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60.45pt" to="535pt,16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2037715</wp:posOffset>
                </wp:positionV>
                <wp:extent cx="7315200"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60.45pt" to="535pt,160.4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20">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21">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35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1383C6"/>
        </w:rPr>
        <w:t>Total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37465</wp:posOffset>
                </wp:positionV>
                <wp:extent cx="6286500"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95pt" to="494.5pt,2.95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31750</wp:posOffset>
            </wp:positionV>
            <wp:extent cx="6286500" cy="127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2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40" w:type="dxa"/>
        <w:tblCellMar>
          <w:top w:w="0" w:type="dxa"/>
          <w:left w:w="0" w:type="dxa"/>
          <w:bottom w:w="0" w:type="dxa"/>
          <w:right w:w="0" w:type="dxa"/>
        </w:tblCellMar>
      </w:tblPr>
      <w:tr>
        <w:trPr>
          <w:trHeight w:val="249"/>
        </w:trPr>
        <w:tc>
          <w:tcPr>
            <w:tcW w:w="1040" w:type="dxa"/>
            <w:vAlign w:val="bottom"/>
          </w:tcPr>
          <w:p>
            <w:pPr>
              <w:spacing w:after="0"/>
              <w:rPr>
                <w:sz w:val="20"/>
                <w:szCs w:val="20"/>
                <w:color w:val="auto"/>
              </w:rPr>
            </w:pPr>
            <w:r>
              <w:rPr>
                <w:rFonts w:ascii="Arial" w:cs="Arial" w:eastAsia="Arial" w:hAnsi="Arial"/>
                <w:sz w:val="18"/>
                <w:szCs w:val="18"/>
                <w:b w:val="1"/>
                <w:bCs w:val="1"/>
                <w:color w:val="auto"/>
              </w:rPr>
              <w:t>$160.0 M</w:t>
            </w:r>
          </w:p>
        </w:tc>
        <w:tc>
          <w:tcPr>
            <w:tcW w:w="1460" w:type="dxa"/>
            <w:vAlign w:val="bottom"/>
          </w:tcPr>
          <w:p>
            <w:pPr>
              <w:ind w:left="260"/>
              <w:spacing w:after="0"/>
              <w:rPr>
                <w:sz w:val="20"/>
                <w:szCs w:val="20"/>
                <w:color w:val="auto"/>
              </w:rPr>
            </w:pPr>
            <w:r>
              <w:rPr>
                <w:rFonts w:ascii="Arial" w:cs="Arial" w:eastAsia="Arial" w:hAnsi="Arial"/>
                <w:sz w:val="18"/>
                <w:szCs w:val="18"/>
                <w:b w:val="1"/>
                <w:bCs w:val="1"/>
                <w:color w:val="auto"/>
              </w:rPr>
              <w:t>$154.0 M</w:t>
            </w:r>
          </w:p>
        </w:tc>
        <w:tc>
          <w:tcPr>
            <w:tcW w:w="7140" w:type="dxa"/>
            <w:vAlign w:val="bottom"/>
            <w:gridSpan w:val="2"/>
          </w:tcPr>
          <w:p>
            <w:pPr>
              <w:ind w:left="420"/>
              <w:spacing w:after="0"/>
              <w:rPr>
                <w:sz w:val="20"/>
                <w:szCs w:val="20"/>
                <w:color w:val="auto"/>
              </w:rPr>
            </w:pPr>
            <w:r>
              <w:rPr>
                <w:rFonts w:ascii="Arial" w:cs="Arial" w:eastAsia="Arial" w:hAnsi="Arial"/>
                <w:sz w:val="20"/>
                <w:szCs w:val="20"/>
                <w:b w:val="1"/>
                <w:bCs w:val="1"/>
                <w:color w:val="auto"/>
                <w:w w:val="93"/>
              </w:rPr>
              <w:t>Total revenue increased $6.0 million for the year ended December 31, 2025,</w:t>
            </w:r>
          </w:p>
        </w:tc>
      </w:tr>
      <w:tr>
        <w:trPr>
          <w:trHeight w:val="264"/>
        </w:trPr>
        <w:tc>
          <w:tcPr>
            <w:tcW w:w="10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140" w:type="dxa"/>
            <w:vAlign w:val="bottom"/>
            <w:gridSpan w:val="2"/>
          </w:tcPr>
          <w:p>
            <w:pPr>
              <w:ind w:left="420"/>
              <w:spacing w:after="0"/>
              <w:rPr>
                <w:sz w:val="20"/>
                <w:szCs w:val="20"/>
                <w:color w:val="auto"/>
              </w:rPr>
            </w:pPr>
            <w:r>
              <w:rPr>
                <w:rFonts w:ascii="Arial" w:cs="Arial" w:eastAsia="Arial" w:hAnsi="Arial"/>
                <w:sz w:val="20"/>
                <w:szCs w:val="20"/>
                <w:b w:val="1"/>
                <w:bCs w:val="1"/>
                <w:color w:val="auto"/>
              </w:rPr>
              <w:t>as compared to the year ended December 31, 2024.</w:t>
            </w:r>
          </w:p>
        </w:tc>
      </w:tr>
      <w:tr>
        <w:trPr>
          <w:trHeight w:val="336"/>
        </w:trPr>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ind w:left="420"/>
              <w:spacing w:after="0"/>
              <w:rPr>
                <w:sz w:val="20"/>
                <w:szCs w:val="20"/>
                <w:color w:val="auto"/>
              </w:rPr>
            </w:pPr>
            <w:r>
              <w:rPr>
                <w:rFonts w:ascii="Arial" w:cs="Arial" w:eastAsia="Arial" w:hAnsi="Arial"/>
                <w:sz w:val="20"/>
                <w:szCs w:val="20"/>
                <w:b w:val="1"/>
                <w:bCs w:val="1"/>
                <w:color w:val="auto"/>
                <w:w w:val="97"/>
              </w:rPr>
              <w:t>Product</w:t>
            </w:r>
          </w:p>
        </w:tc>
        <w:tc>
          <w:tcPr>
            <w:tcW w:w="5960" w:type="dxa"/>
            <w:vAlign w:val="bottom"/>
          </w:tcPr>
          <w:p>
            <w:pPr>
              <w:jc w:val="right"/>
              <w:spacing w:after="0"/>
              <w:rPr>
                <w:sz w:val="20"/>
                <w:szCs w:val="20"/>
                <w:color w:val="auto"/>
              </w:rPr>
            </w:pPr>
            <w:r>
              <w:rPr>
                <w:rFonts w:ascii="Arial" w:cs="Arial" w:eastAsia="Arial" w:hAnsi="Arial"/>
                <w:sz w:val="20"/>
                <w:szCs w:val="20"/>
                <w:b w:val="1"/>
                <w:bCs w:val="1"/>
                <w:color w:val="auto"/>
                <w:w w:val="99"/>
              </w:rPr>
              <w:t>revenue decreased slightly compared to prior year. Instrument</w:t>
            </w:r>
          </w:p>
        </w:tc>
      </w:tr>
      <w:tr>
        <w:trPr>
          <w:trHeight w:val="264"/>
        </w:trPr>
        <w:tc>
          <w:tcPr>
            <w:tcW w:w="10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80" w:type="dxa"/>
            <w:vAlign w:val="bottom"/>
          </w:tcPr>
          <w:p>
            <w:pPr>
              <w:ind w:left="420"/>
              <w:spacing w:after="0"/>
              <w:rPr>
                <w:sz w:val="20"/>
                <w:szCs w:val="20"/>
                <w:color w:val="auto"/>
              </w:rPr>
            </w:pPr>
            <w:r>
              <w:rPr>
                <w:rFonts w:ascii="Arial" w:cs="Arial" w:eastAsia="Arial" w:hAnsi="Arial"/>
                <w:sz w:val="20"/>
                <w:szCs w:val="20"/>
                <w:b w:val="1"/>
                <w:bCs w:val="1"/>
                <w:color w:val="auto"/>
                <w:w w:val="96"/>
              </w:rPr>
              <w:t>revenue</w:t>
            </w:r>
          </w:p>
        </w:tc>
        <w:tc>
          <w:tcPr>
            <w:tcW w:w="5960" w:type="dxa"/>
            <w:vAlign w:val="bottom"/>
          </w:tcPr>
          <w:p>
            <w:pPr>
              <w:jc w:val="right"/>
              <w:spacing w:after="0"/>
              <w:rPr>
                <w:sz w:val="20"/>
                <w:szCs w:val="20"/>
                <w:color w:val="auto"/>
              </w:rPr>
            </w:pPr>
            <w:r>
              <w:rPr>
                <w:rFonts w:ascii="Arial" w:cs="Arial" w:eastAsia="Arial" w:hAnsi="Arial"/>
                <w:sz w:val="20"/>
                <w:szCs w:val="20"/>
                <w:b w:val="1"/>
                <w:bCs w:val="1"/>
                <w:color w:val="auto"/>
                <w:w w:val="99"/>
              </w:rPr>
              <w:t>decreased  $12.0  million,  or  18%  and  consumables  revenue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-513080</wp:posOffset>
            </wp:positionV>
            <wp:extent cx="1645920" cy="10890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23">
                      <a:extLst>
                        <a:ext uri="{28A0092B-C50C-407E-A947-70E740481C1C}"/>
                      </a:extLst>
                    </a:blip>
                    <a:srcRect/>
                    <a:stretch>
                      <a:fillRect/>
                    </a:stretch>
                  </pic:blipFill>
                  <pic:spPr bwMode="auto">
                    <a:xfrm>
                      <a:off x="0" y="0"/>
                      <a:ext cx="1645920" cy="1089025"/>
                    </a:xfrm>
                    <a:prstGeom prst="rect">
                      <a:avLst/>
                    </a:prstGeom>
                    <a:noFill/>
                  </pic:spPr>
                </pic:pic>
              </a:graphicData>
            </a:graphic>
          </wp:anchor>
        </w:drawing>
      </w:r>
    </w:p>
    <w:p>
      <w:pPr>
        <w:ind w:left="3160"/>
        <w:spacing w:after="0"/>
        <w:rPr>
          <w:sz w:val="20"/>
          <w:szCs w:val="20"/>
          <w:color w:val="auto"/>
        </w:rPr>
      </w:pPr>
      <w:r>
        <w:rPr>
          <w:rFonts w:ascii="Arial" w:cs="Arial" w:eastAsia="Arial" w:hAnsi="Arial"/>
          <w:sz w:val="20"/>
          <w:szCs w:val="20"/>
          <w:b w:val="1"/>
          <w:bCs w:val="1"/>
          <w:color w:val="auto"/>
        </w:rPr>
        <w:t>increased $11.6 million, or 16%.</w:t>
      </w:r>
    </w:p>
    <w:p>
      <w:pPr>
        <w:spacing w:after="0" w:line="106" w:lineRule="exact"/>
        <w:rPr>
          <w:sz w:val="20"/>
          <w:szCs w:val="20"/>
          <w:color w:val="auto"/>
        </w:rPr>
      </w:pPr>
    </w:p>
    <w:p>
      <w:pPr>
        <w:ind w:left="3160" w:right="700"/>
        <w:spacing w:after="0" w:line="285" w:lineRule="auto"/>
        <w:rPr>
          <w:sz w:val="20"/>
          <w:szCs w:val="20"/>
          <w:color w:val="auto"/>
        </w:rPr>
      </w:pPr>
      <w:r>
        <w:rPr>
          <w:rFonts w:ascii="Arial" w:cs="Arial" w:eastAsia="Arial" w:hAnsi="Arial"/>
          <w:sz w:val="20"/>
          <w:szCs w:val="20"/>
          <w:b w:val="1"/>
          <w:bCs w:val="1"/>
          <w:color w:val="auto"/>
        </w:rPr>
        <w:t>Service and other revenue increased $6.4 million, or 36%, primarily driven by an increase in Revio service contracts.</w:t>
      </w:r>
    </w:p>
    <w:p>
      <w:pPr>
        <w:spacing w:after="0" w:line="104"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34" w:lineRule="exact"/>
        <w:rPr>
          <w:sz w:val="20"/>
          <w:szCs w:val="20"/>
          <w:color w:val="auto"/>
        </w:rPr>
      </w:pPr>
    </w:p>
    <w:p>
      <w:pPr>
        <w:ind w:left="120"/>
        <w:spacing w:after="0"/>
        <w:rPr>
          <w:sz w:val="20"/>
          <w:szCs w:val="20"/>
          <w:color w:val="auto"/>
        </w:rPr>
      </w:pPr>
      <w:r>
        <w:rPr>
          <w:sz w:val="1"/>
          <w:szCs w:val="1"/>
          <w:color w:val="auto"/>
        </w:rPr>
        <w:drawing>
          <wp:inline distT="0" distB="0" distL="0" distR="0">
            <wp:extent cx="105410" cy="10477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24">
                      <a:extLst>
                        <a:ext uri="{28A0092B-C50C-407E-A947-70E740481C1C}"/>
                      </a:extLst>
                    </a:blip>
                    <a:srcRect/>
                    <a:stretch>
                      <a:fillRect/>
                    </a:stretch>
                  </pic:blipFill>
                  <pic:spPr bwMode="auto">
                    <a:xfrm>
                      <a:off x="0" y="0"/>
                      <a:ext cx="105410" cy="10477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Product </w:t>
      </w:r>
      <w:r>
        <w:rPr>
          <w:sz w:val="1"/>
          <w:szCs w:val="1"/>
          <w:color w:val="auto"/>
        </w:rPr>
        <w:drawing>
          <wp:inline distT="0" distB="0" distL="0" distR="0">
            <wp:extent cx="105410" cy="10477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25">
                      <a:extLst>
                        <a:ext uri="{28A0092B-C50C-407E-A947-70E740481C1C}"/>
                      </a:extLst>
                    </a:blip>
                    <a:srcRect/>
                    <a:stretch>
                      <a:fillRect/>
                    </a:stretch>
                  </pic:blipFill>
                  <pic:spPr bwMode="auto">
                    <a:xfrm>
                      <a:off x="0" y="0"/>
                      <a:ext cx="105410" cy="10477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Service and Other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1383C6"/>
        </w:rPr>
        <w:t>Consumables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37465</wp:posOffset>
                </wp:positionV>
                <wp:extent cx="6286500"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95pt" to="494.5pt,2.95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31750</wp:posOffset>
            </wp:positionV>
            <wp:extent cx="6286500" cy="127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26">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sectPr>
      </w:pP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$81.9 M</w:t>
      </w:r>
    </w:p>
    <w:p>
      <w:pPr>
        <w:jc w:val="right"/>
        <w:ind w:right="140"/>
        <w:spacing w:after="0"/>
        <w:rPr>
          <w:sz w:val="20"/>
          <w:szCs w:val="20"/>
          <w:color w:val="auto"/>
        </w:rPr>
      </w:pPr>
      <w:r>
        <w:rPr>
          <w:rFonts w:ascii="Arial" w:cs="Arial" w:eastAsia="Arial" w:hAnsi="Arial"/>
          <w:sz w:val="18"/>
          <w:szCs w:val="18"/>
          <w:b w:val="1"/>
          <w:bCs w:val="1"/>
          <w:color w:val="auto"/>
        </w:rPr>
        <w:t>$70.4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1645920" cy="8159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127">
                      <a:extLst>
                        <a:ext uri="{28A0092B-C50C-407E-A947-70E740481C1C}"/>
                      </a:extLst>
                    </a:blip>
                    <a:srcRect/>
                    <a:stretch>
                      <a:fillRect/>
                    </a:stretch>
                  </pic:blipFill>
                  <pic:spPr bwMode="auto">
                    <a:xfrm>
                      <a:off x="0" y="0"/>
                      <a:ext cx="1645920" cy="81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35" w:lineRule="exact"/>
        <w:rPr>
          <w:sz w:val="20"/>
          <w:szCs w:val="20"/>
          <w:color w:val="auto"/>
        </w:rPr>
      </w:pPr>
    </w:p>
    <w:p>
      <w:pPr>
        <w:ind w:left="360"/>
        <w:spacing w:after="0"/>
        <w:rPr>
          <w:sz w:val="20"/>
          <w:szCs w:val="20"/>
          <w:color w:val="auto"/>
        </w:rPr>
      </w:pPr>
      <w:r>
        <w:rPr>
          <w:sz w:val="1"/>
          <w:szCs w:val="1"/>
          <w:color w:val="auto"/>
        </w:rPr>
        <w:drawing>
          <wp:inline distT="0" distB="0" distL="0" distR="0">
            <wp:extent cx="105410" cy="10541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28">
                      <a:extLst>
                        <a:ext uri="{28A0092B-C50C-407E-A947-70E740481C1C}"/>
                      </a:extLst>
                    </a:blip>
                    <a:srcRect/>
                    <a:stretch>
                      <a:fillRect/>
                    </a:stretch>
                  </pic:blipFill>
                  <pic:spPr bwMode="auto">
                    <a:xfrm>
                      <a:off x="0" y="0"/>
                      <a:ext cx="105410" cy="105410"/>
                    </a:xfrm>
                    <a:prstGeom prst="rect">
                      <a:avLst/>
                    </a:prstGeom>
                    <a:noFill/>
                    <a:ln>
                      <a:noFill/>
                    </a:ln>
                  </pic:spPr>
                </pic:pic>
              </a:graphicData>
            </a:graphic>
          </wp:inline>
        </w:drawing>
      </w:r>
      <w:r>
        <w:rPr>
          <w:rFonts w:ascii="Arial" w:cs="Arial" w:eastAsia="Arial" w:hAnsi="Arial"/>
          <w:sz w:val="15"/>
          <w:szCs w:val="15"/>
          <w:b w:val="1"/>
          <w:bCs w:val="1"/>
          <w:color w:val="auto"/>
        </w:rPr>
        <w:t xml:space="preserve"> Consumables Revenue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right="700"/>
        <w:spacing w:after="0" w:line="261" w:lineRule="auto"/>
        <w:rPr>
          <w:sz w:val="20"/>
          <w:szCs w:val="20"/>
          <w:color w:val="auto"/>
        </w:rPr>
      </w:pPr>
      <w:r>
        <w:rPr>
          <w:rFonts w:ascii="Arial" w:cs="Arial" w:eastAsia="Arial" w:hAnsi="Arial"/>
          <w:sz w:val="20"/>
          <w:szCs w:val="20"/>
          <w:b w:val="1"/>
          <w:bCs w:val="1"/>
          <w:color w:val="auto"/>
        </w:rPr>
        <w:t>The increase in consumables revenue for the year ended December 31, 2025 as compared to the year ended December 31, 2024 was primarily driven by higher Revio consumables sales, reflecting the continued expansion of the Revio instrument installed base.</w:t>
      </w:r>
    </w:p>
    <w:p>
      <w:pPr>
        <w:spacing w:after="0" w:line="80"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b w:val="1"/>
          <w:bCs w:val="1"/>
          <w:color w:val="auto"/>
        </w:rPr>
        <w:t>Looking ahead, we expect consumables revenue to increase as we execute against our strategic objectives and expand utilization of our sequencing platforms. This growth is expected to be driven by a growing installed base of Revio and Vega instruments, enhancing platform economics that support higher throughput, and broader adoption across research and clinical research applications. In addition, continued investments in chemistry, application kits, and workflow enhancements are intended to expand addressable applications and increase consumables usage per instrument over time.</w:t>
      </w:r>
    </w:p>
    <w:p>
      <w:pPr>
        <w:spacing w:after="0" w:line="200" w:lineRule="exact"/>
        <w:rPr>
          <w:sz w:val="20"/>
          <w:szCs w:val="20"/>
          <w:color w:val="auto"/>
        </w:rPr>
      </w:pPr>
    </w:p>
    <w:p>
      <w:pPr>
        <w:sectPr>
          <w:pgSz w:w="12240" w:h="15840" w:orient="portrait"/>
          <w:cols w:equalWidth="0" w:num="2">
            <w:col w:w="2400" w:space="720"/>
            <w:col w:w="7460"/>
          </w:cols>
          <w:pgMar w:left="1180" w:top="210" w:right="480" w:bottom="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383C6"/>
        </w:rPr>
        <w:t>Instrument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52070</wp:posOffset>
                </wp:positionV>
                <wp:extent cx="6286500"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4.1pt" to="494.5pt,4.1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46355</wp:posOffset>
            </wp:positionV>
            <wp:extent cx="6286500" cy="127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2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$65.8 M</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$53.8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-85090</wp:posOffset>
            </wp:positionV>
            <wp:extent cx="1645920" cy="7010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30">
                      <a:extLst>
                        <a:ext uri="{28A0092B-C50C-407E-A947-70E740481C1C}"/>
                      </a:extLst>
                    </a:blip>
                    <a:srcRect/>
                    <a:stretch>
                      <a:fillRect/>
                    </a:stretch>
                  </pic:blipFill>
                  <pic:spPr bwMode="auto">
                    <a:xfrm>
                      <a:off x="0" y="0"/>
                      <a:ext cx="1645920" cy="70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154" w:lineRule="exact"/>
        <w:rPr>
          <w:sz w:val="20"/>
          <w:szCs w:val="20"/>
          <w:color w:val="auto"/>
        </w:rPr>
      </w:pPr>
    </w:p>
    <w:p>
      <w:pPr>
        <w:ind w:left="360"/>
        <w:spacing w:after="0"/>
        <w:rPr>
          <w:sz w:val="20"/>
          <w:szCs w:val="20"/>
          <w:color w:val="auto"/>
        </w:rPr>
      </w:pPr>
      <w:r>
        <w:rPr>
          <w:sz w:val="1"/>
          <w:szCs w:val="1"/>
          <w:color w:val="auto"/>
        </w:rPr>
        <w:drawing>
          <wp:inline distT="0" distB="0" distL="0" distR="0">
            <wp:extent cx="114935" cy="9588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31">
                      <a:extLst>
                        <a:ext uri="{28A0092B-C50C-407E-A947-70E740481C1C}"/>
                      </a:extLst>
                    </a:blip>
                    <a:srcRect/>
                    <a:stretch>
                      <a:fillRect/>
                    </a:stretch>
                  </pic:blipFill>
                  <pic:spPr bwMode="auto">
                    <a:xfrm>
                      <a:off x="0" y="0"/>
                      <a:ext cx="114935" cy="95885"/>
                    </a:xfrm>
                    <a:prstGeom prst="rect">
                      <a:avLst/>
                    </a:prstGeom>
                    <a:noFill/>
                    <a:ln>
                      <a:noFill/>
                    </a:ln>
                  </pic:spPr>
                </pic:pic>
              </a:graphicData>
            </a:graphic>
          </wp:inline>
        </w:drawing>
      </w:r>
      <w:r>
        <w:rPr>
          <w:rFonts w:ascii="Arial" w:cs="Arial" w:eastAsia="Arial" w:hAnsi="Arial"/>
          <w:sz w:val="16"/>
          <w:szCs w:val="16"/>
          <w:b w:val="1"/>
          <w:bCs w:val="1"/>
          <w:color w:val="auto"/>
        </w:rPr>
        <w:t xml:space="preserve"> Instrument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b w:val="1"/>
          <w:bCs w:val="1"/>
          <w:color w:val="auto"/>
        </w:rPr>
        <w:t>Instrument revenue decreased for the year ended December 31, 2025 compared to the year ended December 31, 2024 primarily due to a lower number of Revio systems sold—61 units during the year ended December 31, 2025 compared to 97 Revio systems during the year ended December 31, 2024. This decline primarily reflects variability in customer purchasing behavior resulting from uncertainty surrounding the funding for new capital equipment, particularly among academic and research institutions.</w:t>
      </w:r>
    </w:p>
    <w:p>
      <w:pPr>
        <w:spacing w:after="0" w:line="85"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The decrease was partially offset by sales of Vega systems, with 140 units sold during the year ended December 31, 2025 following its commercial launch in the fourth quarter of 2024.</w:t>
      </w:r>
    </w:p>
    <w:p>
      <w:pPr>
        <w:spacing w:after="0" w:line="75"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We expect that instrument revenue may fluctuate based on timing of customer purchasing decisions, sales mix, and funding dynamics.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-2501900</wp:posOffset>
                </wp:positionH>
                <wp:positionV relativeFrom="paragraph">
                  <wp:posOffset>505460</wp:posOffset>
                </wp:positionV>
                <wp:extent cx="7315200"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pt,39.8pt" to="379pt,39.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-2501900</wp:posOffset>
                </wp:positionH>
                <wp:positionV relativeFrom="paragraph">
                  <wp:posOffset>505460</wp:posOffset>
                </wp:positionV>
                <wp:extent cx="7315200"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pt,39.8pt" to="379pt,39.8pt" o:allowincell="f" strokecolor="#DF1995" strokeweight="1pt"/>
            </w:pict>
          </mc:Fallback>
        </mc:AlternateContent>
      </w:r>
    </w:p>
    <w:p>
      <w:pPr>
        <w:spacing w:after="0" w:line="200" w:lineRule="exact"/>
        <w:rPr>
          <w:sz w:val="20"/>
          <w:szCs w:val="20"/>
          <w:color w:val="auto"/>
        </w:rPr>
      </w:pPr>
    </w:p>
    <w:p>
      <w:pPr>
        <w:sectPr>
          <w:pgSz w:w="12240" w:h="15840" w:orient="portrait"/>
          <w:cols w:equalWidth="0" w:num="2">
            <w:col w:w="2400" w:space="720"/>
            <w:col w:w="7460"/>
          </w:cols>
          <w:pgMar w:left="1180" w:top="210" w:right="4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3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Cost of Revenue and Gross Profit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13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70" w:lineRule="auto"/>
        <w:rPr>
          <w:sz w:val="20"/>
          <w:szCs w:val="20"/>
          <w:color w:val="auto"/>
        </w:rPr>
      </w:pPr>
      <w:r>
        <w:rPr>
          <w:rFonts w:ascii="Arial" w:cs="Arial" w:eastAsia="Arial" w:hAnsi="Arial"/>
          <w:sz w:val="19"/>
          <w:szCs w:val="19"/>
          <w:b w:val="1"/>
          <w:bCs w:val="1"/>
          <w:color w:val="auto"/>
        </w:rPr>
        <w:t>Total cost of revenue decreased $2.5 million, or 2%, during the year ended December 31, 2025, compared to the year ended December 31, 2024 primarily due to more favorable product mix driven by higher consumable sales and a decrease in amortization of acquired intangible assets. These decreases were partially offset by $8.1 million of excess inventory charges resulting from reduced external demand and $3.9 million of estimated losses on purchase commitments associated with anticipated excess inventory in connection with the Company’s expense reduction and strategic initiatives. Excess inventory charges were $3.6 million for the year ended December 31, 2024. Total cost of revenue included share-based compensation expense of $3.8 million and $5.7 million during the years ended December 31, 2025 and 2024, respectively.</w:t>
      </w:r>
    </w:p>
    <w:p>
      <w:pPr>
        <w:spacing w:after="0" w:line="74" w:lineRule="exact"/>
        <w:rPr>
          <w:sz w:val="20"/>
          <w:szCs w:val="20"/>
          <w:color w:val="auto"/>
        </w:rPr>
      </w:pPr>
    </w:p>
    <w:p>
      <w:pPr>
        <w:jc w:val="both"/>
        <w:ind w:right="680"/>
        <w:spacing w:after="0" w:line="273" w:lineRule="auto"/>
        <w:rPr>
          <w:sz w:val="20"/>
          <w:szCs w:val="20"/>
          <w:color w:val="auto"/>
        </w:rPr>
      </w:pPr>
      <w:r>
        <w:rPr>
          <w:rFonts w:ascii="Arial" w:cs="Arial" w:eastAsia="Arial" w:hAnsi="Arial"/>
          <w:sz w:val="19"/>
          <w:szCs w:val="19"/>
          <w:b w:val="1"/>
          <w:bCs w:val="1"/>
          <w:color w:val="auto"/>
        </w:rPr>
        <w:t xml:space="preserve">Gross profit increased $8.5 million, or 23%, for the year ended December 31, 2025, compared to the year ended December 31, 2024 driven by higher consumable volumes and the resulting improvement in product mix, partially offset by restructuring-related charges. See </w:t>
      </w:r>
      <w:r>
        <w:rPr>
          <w:rFonts w:ascii="Arial" w:cs="Arial" w:eastAsia="Arial" w:hAnsi="Arial"/>
          <w:sz w:val="19"/>
          <w:szCs w:val="19"/>
          <w:b w:val="1"/>
          <w:bCs w:val="1"/>
          <w:i w:val="1"/>
          <w:iCs w:val="1"/>
          <w:u w:val="single" w:color="auto"/>
          <w:color w:val="0000FF"/>
        </w:rPr>
        <w:t>Note 6. Restructuring</w:t>
      </w:r>
      <w:r>
        <w:rPr>
          <w:rFonts w:ascii="Arial" w:cs="Arial" w:eastAsia="Arial" w:hAnsi="Arial"/>
          <w:sz w:val="19"/>
          <w:szCs w:val="19"/>
          <w:b w:val="1"/>
          <w:bCs w:val="1"/>
          <w:color w:val="auto"/>
        </w:rPr>
        <w:t xml:space="preserve"> in Part II, Item 8 of this Annual Report on Form 10-K for additional information about restructuring activities. Gross margins may be affected by product mix, manufacturing efficiencies, changes in warranty costs, average selling price fluctuations, future product launches, changes to inventory reserves, costs of raw materials and tariffs.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Research and Development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13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7" w:lineRule="auto"/>
        <w:rPr>
          <w:sz w:val="20"/>
          <w:szCs w:val="20"/>
          <w:color w:val="auto"/>
        </w:rPr>
      </w:pPr>
      <w:r>
        <w:rPr>
          <w:rFonts w:ascii="Arial" w:cs="Arial" w:eastAsia="Arial" w:hAnsi="Arial"/>
          <w:sz w:val="18"/>
          <w:szCs w:val="18"/>
          <w:b w:val="1"/>
          <w:bCs w:val="1"/>
          <w:color w:val="auto"/>
        </w:rPr>
        <w:t>Research and development expense decreased by $37.6 million, or 28%, for the year ended December 31, 2025, compared to the year ended December 31, 2024. The decrease was primarily driven by a decrease in personnel and related expenses, including share-based compensation expense, lower product development costs due to the transition of launched products from development to commercialization, and lower restructuring-related charges, partially offset by an increase in future product development activities. We recorded $2.8 million of restructuring-related charges during the year ended December 31, 2025 compared to $5.9 million for the year ended December 31, 2024. Research and development expense included share-based compensation of $11.2 million and $19.2 million during the years ended December 31, 2025 and 2024, respectively.</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Sales, General, and Administrative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13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56" w:lineRule="auto"/>
        <w:rPr>
          <w:sz w:val="20"/>
          <w:szCs w:val="20"/>
          <w:color w:val="auto"/>
        </w:rPr>
      </w:pPr>
      <w:r>
        <w:rPr>
          <w:rFonts w:ascii="Arial" w:cs="Arial" w:eastAsia="Arial" w:hAnsi="Arial"/>
          <w:sz w:val="20"/>
          <w:szCs w:val="20"/>
          <w:b w:val="1"/>
          <w:bCs w:val="1"/>
          <w:color w:val="auto"/>
        </w:rPr>
        <w:t>Sales, general and administrative expense decreased by $33.5 million, or 19%, during the year ended December 31, 2025, compared to the year ended December 31, 2024. The decrease was primarily due to a decrease in personnel and related expenses, including share-based compensation expense, and lower restructuring-related charges. We recorded $6.1 million of restructuring-related charges during the year ended December 31, 2025 compared to $14.9 million for the year ended December 31, 2024. Sales, general, and administrative expense included share-based compensation expenses of $26.6 million and $46.2 million during the years ended December 31, 2025 and 2024, respectively.</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Impairment Charges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136">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8" w:lineRule="auto"/>
        <w:rPr>
          <w:sz w:val="20"/>
          <w:szCs w:val="20"/>
          <w:color w:val="auto"/>
        </w:rPr>
      </w:pPr>
      <w:r>
        <w:rPr>
          <w:rFonts w:ascii="Arial" w:cs="Arial" w:eastAsia="Arial" w:hAnsi="Arial"/>
          <w:sz w:val="20"/>
          <w:szCs w:val="20"/>
          <w:b w:val="1"/>
          <w:bCs w:val="1"/>
          <w:color w:val="auto"/>
        </w:rPr>
        <w:t xml:space="preserve">We recorded impairment charges of $15.0 million during the first quarter of 2025, related to in-process research and development (“IPR&amp;D”). These charges resulted from an interim impairment assessment performed in response to identified indicators of impairment during the period. The impairment test concluded that the fair value of our IPR&amp;D assets was $0. See </w:t>
      </w:r>
      <w:r>
        <w:rPr>
          <w:rFonts w:ascii="Arial" w:cs="Arial" w:eastAsia="Arial" w:hAnsi="Arial"/>
          <w:sz w:val="20"/>
          <w:szCs w:val="20"/>
          <w:b w:val="1"/>
          <w:bCs w:val="1"/>
          <w:i w:val="1"/>
          <w:iCs w:val="1"/>
          <w:u w:val="single" w:color="auto"/>
          <w:color w:val="0000FF"/>
        </w:rPr>
        <w:t>Note 4. Balance Sheet Components</w:t>
      </w:r>
      <w:r>
        <w:rPr>
          <w:rFonts w:ascii="Arial" w:cs="Arial" w:eastAsia="Arial" w:hAnsi="Arial"/>
          <w:sz w:val="20"/>
          <w:szCs w:val="20"/>
          <w:b w:val="1"/>
          <w:bCs w:val="1"/>
          <w:color w:val="auto"/>
        </w:rPr>
        <w:t xml:space="preserve"> in Part II, Item 8 of this Annual Report on Form 10-K for further details.</w:t>
      </w:r>
    </w:p>
    <w:p>
      <w:pPr>
        <w:spacing w:after="0" w:line="84" w:lineRule="exact"/>
        <w:rPr>
          <w:sz w:val="20"/>
          <w:szCs w:val="20"/>
          <w:color w:val="auto"/>
        </w:rPr>
      </w:pPr>
    </w:p>
    <w:p>
      <w:pPr>
        <w:jc w:val="both"/>
        <w:ind w:right="700"/>
        <w:spacing w:after="0" w:line="310" w:lineRule="auto"/>
        <w:rPr>
          <w:sz w:val="20"/>
          <w:szCs w:val="20"/>
          <w:color w:val="auto"/>
        </w:rPr>
      </w:pPr>
      <w:r>
        <w:rPr>
          <w:rFonts w:ascii="Arial" w:cs="Arial" w:eastAsia="Arial" w:hAnsi="Arial"/>
          <w:sz w:val="19"/>
          <w:szCs w:val="19"/>
          <w:b w:val="1"/>
          <w:bCs w:val="1"/>
          <w:color w:val="auto"/>
        </w:rPr>
        <w:t>We recorded impairment charges of $184.5 million during the year ended December 31, 2024 including $144.5 million of goodwill and $40.0 million of IPR&amp;D as a result of quantitative interim impairment tests.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Amortization of Acquired Intangible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13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79" w:lineRule="auto"/>
        <w:rPr>
          <w:sz w:val="20"/>
          <w:szCs w:val="20"/>
          <w:color w:val="auto"/>
        </w:rPr>
      </w:pPr>
      <w:r>
        <w:rPr>
          <w:rFonts w:ascii="Arial" w:cs="Arial" w:eastAsia="Arial" w:hAnsi="Arial"/>
          <w:sz w:val="19"/>
          <w:szCs w:val="19"/>
          <w:b w:val="1"/>
          <w:bCs w:val="1"/>
          <w:color w:val="auto"/>
        </w:rPr>
        <w:t>Amortization of acquired intangible assets during the year ended December 31, 2025 included $359.3 million of accelerated amortization recorded during the first quarter of 2025 which was related to developed technology from the 2021 Omniome acquisition, reflecting our revised estimate that the asset will no longer generate economic benefit. We expect significantly lower amortization expense in future periods.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639445</wp:posOffset>
                </wp:positionV>
                <wp:extent cx="7315200"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50.35pt" to="535pt,5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639445</wp:posOffset>
                </wp:positionV>
                <wp:extent cx="731520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50.35pt" to="535pt,50.3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3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76" w:name="page77"/>
    <w:bookmarkEnd w:id="7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Change in Fair Value of Contingent Consideration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3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During the first quarter of 2025 we recognized a change in fair value of contingent consideration of $18.7 million, resulting in a contingent consideration liability of $0. This was primarily due to management's decision to cease development of the high-throughput short-read system, the associated changes in expected future revenues, and the requirement that the milestone event occur prior to the five-year anniversary of the acquisition closing date.</w:t>
      </w:r>
    </w:p>
    <w:p>
      <w:pPr>
        <w:spacing w:after="0" w:line="79" w:lineRule="exact"/>
        <w:rPr>
          <w:sz w:val="20"/>
          <w:szCs w:val="20"/>
          <w:color w:val="auto"/>
        </w:rPr>
      </w:pPr>
    </w:p>
    <w:p>
      <w:pPr>
        <w:jc w:val="both"/>
        <w:ind w:right="680"/>
        <w:spacing w:after="0" w:line="257" w:lineRule="auto"/>
        <w:rPr>
          <w:sz w:val="20"/>
          <w:szCs w:val="20"/>
          <w:color w:val="auto"/>
        </w:rPr>
      </w:pPr>
      <w:r>
        <w:rPr>
          <w:rFonts w:ascii="Arial" w:cs="Arial" w:eastAsia="Arial" w:hAnsi="Arial"/>
          <w:sz w:val="20"/>
          <w:szCs w:val="20"/>
          <w:b w:val="1"/>
          <w:bCs w:val="1"/>
          <w:color w:val="auto"/>
        </w:rPr>
        <w:t xml:space="preserve">On January 30, 2026, we completed a disposition of assets to Buyer in accordance with the terms of the Asset Purchase Agreement. In connection with the Asset Sale, Buyer will pay at our direction 4% of the net proceeds from the Purchase Price to the former equity holders of Apton related to the waiver of all remaining milestone obligations associated with our purchase of Apton in August 2023, which payment is expected in the first quarter of 2026. See </w:t>
      </w:r>
      <w:r>
        <w:rPr>
          <w:rFonts w:ascii="Arial" w:cs="Arial" w:eastAsia="Arial" w:hAnsi="Arial"/>
          <w:sz w:val="20"/>
          <w:szCs w:val="20"/>
          <w:b w:val="1"/>
          <w:bCs w:val="1"/>
          <w:i w:val="1"/>
          <w:iCs w:val="1"/>
          <w:u w:val="single" w:color="auto"/>
          <w:color w:val="0000FF"/>
        </w:rPr>
        <w:t>Note 12. Subsequent Events</w:t>
      </w:r>
      <w:r>
        <w:rPr>
          <w:rFonts w:ascii="Arial" w:cs="Arial" w:eastAsia="Arial" w:hAnsi="Arial"/>
          <w:sz w:val="20"/>
          <w:szCs w:val="20"/>
          <w:b w:val="1"/>
          <w:bCs w:val="1"/>
          <w:color w:val="auto"/>
        </w:rPr>
        <w:t xml:space="preserve"> in Part II, Item 8 of this Annual Report on Form 10-K for further details.</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Gain on Debt Restructuring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4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 xml:space="preserve">Gain on debt restructuring of $154.4 million during the year ended December 31, 2024, represents the gain resulting from the Exchange Transaction, which qualified as a troubled debt restructuring under Accounting Standards Codification ("ASC") 470-60, Debt - Troubled Debt Restructurings by Debtors. Since the undiscounted cash flows of the new 2029 Notes were less than the carrying amount of the exchanged 2028 Notes, the carrying value of the 2029 Notes was determined based on the total undiscounted cash flows. The gain was calculated as the difference between the carrying amount of the old debt and the carrying amount of the new debt, adjusted for debt issuance costs. See </w:t>
      </w:r>
      <w:r>
        <w:rPr>
          <w:rFonts w:ascii="Arial" w:cs="Arial" w:eastAsia="Arial" w:hAnsi="Arial"/>
          <w:sz w:val="20"/>
          <w:szCs w:val="20"/>
          <w:b w:val="1"/>
          <w:bCs w:val="1"/>
          <w:i w:val="1"/>
          <w:iCs w:val="1"/>
          <w:u w:val="single" w:color="auto"/>
          <w:color w:val="0000FF"/>
        </w:rPr>
        <w:t>Note 5. Convertible Senior Notes</w:t>
      </w:r>
      <w:r>
        <w:rPr>
          <w:rFonts w:ascii="Arial" w:cs="Arial" w:eastAsia="Arial" w:hAnsi="Arial"/>
          <w:sz w:val="20"/>
          <w:szCs w:val="20"/>
          <w:b w:val="1"/>
          <w:bCs w:val="1"/>
          <w:color w:val="auto"/>
        </w:rPr>
        <w:t xml:space="preserve"> in Part II, Item 8 of this Annual Report on Form 10-K for further details.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Interest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41">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 xml:space="preserve">Interest expense during the years ended December 31, 2025 and 2024 was primarily comprised of interest on the convertible senior notes. The decrease was due to lower convertible notes balances as a result of the notes exchange transaction in November 2024. See </w:t>
      </w:r>
      <w:r>
        <w:rPr>
          <w:rFonts w:ascii="Arial" w:cs="Arial" w:eastAsia="Arial" w:hAnsi="Arial"/>
          <w:sz w:val="20"/>
          <w:szCs w:val="20"/>
          <w:b w:val="1"/>
          <w:bCs w:val="1"/>
          <w:i w:val="1"/>
          <w:iCs w:val="1"/>
          <w:u w:val="single" w:color="auto"/>
          <w:color w:val="0000FF"/>
        </w:rPr>
        <w:t>Note 5. Convertible Senior Notes</w:t>
      </w:r>
      <w:r>
        <w:rPr>
          <w:rFonts w:ascii="Arial" w:cs="Arial" w:eastAsia="Arial" w:hAnsi="Arial"/>
          <w:sz w:val="20"/>
          <w:szCs w:val="20"/>
          <w:b w:val="1"/>
          <w:bCs w:val="1"/>
          <w:color w:val="auto"/>
        </w:rPr>
        <w:t xml:space="preserve"> in Part II, Item 8 of this Annual Report on Form 10-K for additional information.</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Other Income,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4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The decrease in other income, net was primarily driven by lower investment income due to lower cash and investment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135255</wp:posOffset>
            </wp:positionV>
            <wp:extent cx="6311900" cy="2444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43">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LIQUIDITY AND CAPITAL RESOURCES</w:t>
      </w:r>
    </w:p>
    <w:p>
      <w:pPr>
        <w:spacing w:after="0" w:line="225" w:lineRule="exact"/>
        <w:rPr>
          <w:sz w:val="20"/>
          <w:szCs w:val="20"/>
          <w:color w:val="auto"/>
        </w:rPr>
      </w:pPr>
    </w:p>
    <w:p>
      <w:pPr>
        <w:jc w:val="both"/>
        <w:ind w:right="680"/>
        <w:spacing w:after="0" w:line="287" w:lineRule="auto"/>
        <w:rPr>
          <w:sz w:val="20"/>
          <w:szCs w:val="20"/>
          <w:color w:val="auto"/>
        </w:rPr>
      </w:pPr>
      <w:r>
        <w:rPr>
          <w:rFonts w:ascii="Arial" w:cs="Arial" w:eastAsia="Arial" w:hAnsi="Arial"/>
          <w:sz w:val="18"/>
          <w:szCs w:val="18"/>
          <w:b w:val="1"/>
          <w:bCs w:val="1"/>
          <w:color w:val="auto"/>
        </w:rPr>
        <w:t xml:space="preserve">Our primary sources of liquidity, other than our holdings of cash, cash equivalents, and investments, has primarily been through the issuance of debt or equity securities, together with cash flow from operating activities. For example, in January 2023, as discussed in </w:t>
      </w:r>
      <w:r>
        <w:rPr>
          <w:rFonts w:ascii="Arial" w:cs="Arial" w:eastAsia="Arial" w:hAnsi="Arial"/>
          <w:sz w:val="18"/>
          <w:szCs w:val="18"/>
          <w:b w:val="1"/>
          <w:bCs w:val="1"/>
          <w:i w:val="1"/>
          <w:iCs w:val="1"/>
          <w:u w:val="single" w:color="auto"/>
          <w:color w:val="0000FF"/>
        </w:rPr>
        <w:t>Note 9. Stockholders’ Equity</w:t>
      </w:r>
      <w:r>
        <w:rPr>
          <w:rFonts w:ascii="Arial" w:cs="Arial" w:eastAsia="Arial" w:hAnsi="Arial"/>
          <w:sz w:val="18"/>
          <w:szCs w:val="18"/>
          <w:b w:val="1"/>
          <w:bCs w:val="1"/>
          <w:color w:val="auto"/>
        </w:rPr>
        <w:t xml:space="preserve"> in Part II, Item 8 of this Annual Report on Form 10-K, we issued and sold an aggregate of 20,125,000 shares of our common stock in a follow-on public offering for aggregate gross proceeds of approximately $201.3 million. We have historically incurred, and expect to continue to incur, operating losses and generate negative cash flows from operations on an annual basis due to the investments we intend to make as described in </w:t>
      </w:r>
      <w:r>
        <w:rPr>
          <w:rFonts w:ascii="Arial" w:cs="Arial" w:eastAsia="Arial" w:hAnsi="Arial"/>
          <w:sz w:val="18"/>
          <w:szCs w:val="18"/>
          <w:b w:val="1"/>
          <w:bCs w:val="1"/>
          <w:i w:val="1"/>
          <w:iCs w:val="1"/>
          <w:u w:val="single" w:color="auto"/>
          <w:color w:val="0000FF"/>
        </w:rPr>
        <w:t>Results of Operations</w:t>
      </w:r>
      <w:r>
        <w:rPr>
          <w:rFonts w:ascii="Arial" w:cs="Arial" w:eastAsia="Arial" w:hAnsi="Arial"/>
          <w:sz w:val="18"/>
          <w:szCs w:val="18"/>
          <w:b w:val="1"/>
          <w:bCs w:val="1"/>
          <w:color w:val="auto"/>
        </w:rPr>
        <w:t xml:space="preserve"> above, and as a result, we may require additional capital resources to execute our strategic initiatives to grow our business.</w:t>
      </w:r>
    </w:p>
    <w:p>
      <w:pPr>
        <w:spacing w:after="0" w:line="60" w:lineRule="exact"/>
        <w:rPr>
          <w:sz w:val="20"/>
          <w:szCs w:val="20"/>
          <w:color w:val="auto"/>
        </w:rPr>
      </w:pPr>
    </w:p>
    <w:p>
      <w:pPr>
        <w:jc w:val="both"/>
        <w:ind w:right="680"/>
        <w:spacing w:after="0" w:line="266" w:lineRule="auto"/>
        <w:rPr>
          <w:sz w:val="20"/>
          <w:szCs w:val="20"/>
          <w:color w:val="auto"/>
        </w:rPr>
      </w:pPr>
      <w:r>
        <w:rPr>
          <w:rFonts w:ascii="Arial" w:cs="Arial" w:eastAsia="Arial" w:hAnsi="Arial"/>
          <w:sz w:val="20"/>
          <w:szCs w:val="20"/>
          <w:b w:val="1"/>
          <w:bCs w:val="1"/>
          <w:color w:val="auto"/>
        </w:rPr>
        <w:t>We approved and implemented certain efficiency and expense reduction initiatives during 2025 and 2024. These expense reduction initiatives included workforce reductions, facilities downsizing and a refined pipeline of development programs.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Cash, Cash Equivalents, and 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4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As of December 31, 2025, we had $279.5 million in cash, cash equivalents, and investments, compared to $389.9 million at December 31, 2024. The decrease was primarily attributable to $111.2 million cash used in operating activities during the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246380</wp:posOffset>
                </wp:positionV>
                <wp:extent cx="731520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4pt" to="535pt,19.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246380</wp:posOffset>
                </wp:positionV>
                <wp:extent cx="7315200"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4pt" to="535pt,19.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3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4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Convertible Senior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46">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ind w:right="800"/>
        <w:spacing w:after="0" w:line="295" w:lineRule="auto"/>
        <w:rPr>
          <w:sz w:val="20"/>
          <w:szCs w:val="20"/>
          <w:color w:val="auto"/>
        </w:rPr>
      </w:pPr>
      <w:r>
        <w:rPr>
          <w:rFonts w:ascii="Arial" w:cs="Arial" w:eastAsia="Arial" w:hAnsi="Arial"/>
          <w:sz w:val="18"/>
          <w:szCs w:val="18"/>
          <w:b w:val="1"/>
          <w:bCs w:val="1"/>
          <w:color w:val="auto"/>
        </w:rPr>
        <w:t>On February 9, 2021, we entered into an investment agreement with SB Northstar LP (“SBN”), a subsidiary of SoftBank Group Corp., relating to the issuance and sale to SBN of $900.0 million in aggregate principal amount</w:t>
      </w:r>
    </w:p>
    <w:p>
      <w:pPr>
        <w:spacing w:after="0" w:line="1" w:lineRule="exact"/>
        <w:rPr>
          <w:sz w:val="20"/>
          <w:szCs w:val="20"/>
          <w:color w:val="auto"/>
        </w:rPr>
      </w:pPr>
    </w:p>
    <w:p>
      <w:pPr>
        <w:ind w:right="940"/>
        <w:spacing w:after="0" w:line="304" w:lineRule="auto"/>
        <w:rPr>
          <w:sz w:val="20"/>
          <w:szCs w:val="20"/>
          <w:color w:val="auto"/>
        </w:rPr>
      </w:pPr>
      <w:r>
        <w:rPr>
          <w:rFonts w:ascii="Arial" w:cs="Arial" w:eastAsia="Arial" w:hAnsi="Arial"/>
          <w:sz w:val="20"/>
          <w:szCs w:val="20"/>
          <w:b w:val="1"/>
          <w:bCs w:val="1"/>
          <w:color w:val="auto"/>
        </w:rPr>
        <w:t>of our 2028 Notes. The 2028 Notes were issued on February 16, 2021 and, as of November 21, 2024, no 2028 Notes were outstanding.</w:t>
      </w:r>
    </w:p>
    <w:p>
      <w:pPr>
        <w:spacing w:after="0" w:line="35" w:lineRule="exact"/>
        <w:rPr>
          <w:sz w:val="20"/>
          <w:szCs w:val="20"/>
          <w:color w:val="auto"/>
        </w:rPr>
      </w:pPr>
    </w:p>
    <w:p>
      <w:pPr>
        <w:jc w:val="both"/>
        <w:ind w:right="700"/>
        <w:spacing w:after="0" w:line="273" w:lineRule="auto"/>
        <w:rPr>
          <w:sz w:val="20"/>
          <w:szCs w:val="20"/>
          <w:color w:val="auto"/>
        </w:rPr>
      </w:pPr>
      <w:r>
        <w:rPr>
          <w:rFonts w:ascii="Arial" w:cs="Arial" w:eastAsia="Arial" w:hAnsi="Arial"/>
          <w:sz w:val="19"/>
          <w:szCs w:val="19"/>
          <w:b w:val="1"/>
          <w:bCs w:val="1"/>
          <w:color w:val="auto"/>
        </w:rPr>
        <w:t>In June 2023, we entered into a privately negotiated exchange agreement with a holder of our outstanding 2028 Notes, pursuant to which we issued $441.0 million in aggregate principal amount of our 2030 Notes in exchange for $441.0 million principal amount of the 2028 Notes, leaving approximately $459.0 million in aggregate principal amount outstanding of our 2028 Notes. Interest on the 2030 Notes is payable semi-annually in arrears on June 15 and December 15 commencing on December 15, 2023. The 2030 Notes will mature on December 15, 2030, subject to earlier conversion, redemption, or repurchase.</w:t>
      </w:r>
    </w:p>
    <w:p>
      <w:pPr>
        <w:spacing w:after="0" w:line="69"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In November 2024, we entered into an exchange agreement with SBN, pursuant to which we agreed to exchange the remaining approximately $459.0 million in aggregate principal amount of 2028 Notes outstanding for (i) $200.0 million aggregate principal amount of the 2029 Notes, (ii) 20,451,570 shares of common stock (the “Exchange Shares”) and (iii) $50.0 million of cash. The exchange and issuances closed on November 21, 2024 (the “Closing Date”). The 2029 Notes, the Exchange Shares, and shares of common stock issuable upon conversion of the 2029 Notes were subject to certain lock-up restrictions for a six-month period (the “Lock-Up Period”) beginning on the Closing Date of the Exchange Transaction; the lock-up restrictions will terminate immediately prior to the consummation of any change in control of the Company. The 2029 Notes bear interest at a rate of 1.50% per annum. Interest on the 2029 Notes is payable semi-annually in arrears on February 15 and August 15 and commencing on February 15, 2025. The 2029 Notes will mature on August 15, 2029, subject to earlier conversion, redemption or repurchase.</w:t>
      </w:r>
    </w:p>
    <w:p>
      <w:pPr>
        <w:spacing w:after="0" w:line="76" w:lineRule="exact"/>
        <w:rPr>
          <w:sz w:val="20"/>
          <w:szCs w:val="20"/>
          <w:color w:val="auto"/>
        </w:rPr>
      </w:pPr>
    </w:p>
    <w:p>
      <w:pPr>
        <w:jc w:val="both"/>
        <w:ind w:right="680"/>
        <w:spacing w:after="0" w:line="270" w:lineRule="auto"/>
        <w:rPr>
          <w:sz w:val="20"/>
          <w:szCs w:val="20"/>
          <w:color w:val="auto"/>
        </w:rPr>
      </w:pPr>
      <w:r>
        <w:rPr>
          <w:rFonts w:ascii="Arial" w:cs="Arial" w:eastAsia="Arial" w:hAnsi="Arial"/>
          <w:sz w:val="19"/>
          <w:szCs w:val="19"/>
          <w:b w:val="1"/>
          <w:bCs w:val="1"/>
          <w:color w:val="auto"/>
        </w:rPr>
        <w:t>The 2029 Notes are convertible at the option of the holder at any time from the expiration of the Lock-Up Period until the second scheduled trading day prior to the maturity date, including in connection with a redemption by the Company. The 2029 Notes are convertible into shares of our common stock based on an initial conversion rate of 204.5157 shares of common stock per $1,000 principal amount of the 2029 Notes (which is equal to an initial conversion price of approximately $4.89 per share of common stock), in each case subject to customary anti-dilution and other adjustments as a result of certain extraordinary transactions. Upon conversion of the 2029 Notes, we may elect to settle such conversion obligation in shares of our common stock, cash or a combination of shares of our common stock and cash.</w:t>
      </w:r>
    </w:p>
    <w:p>
      <w:pPr>
        <w:spacing w:after="0" w:line="74"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approximately $21.50 per share of common stock), in each case subject to customary anti-dilution and other adjustments as a result of certain extraordinary transactions. Upon conversion of the 2030 Notes, we may elect to settle such conversion obligation in shares of our common stock, cash or a combination of shares of our common stock and cash.</w:t>
      </w:r>
    </w:p>
    <w:p>
      <w:pPr>
        <w:spacing w:after="0" w:line="85" w:lineRule="exact"/>
        <w:rPr>
          <w:sz w:val="20"/>
          <w:szCs w:val="20"/>
          <w:color w:val="auto"/>
        </w:rPr>
      </w:pPr>
    </w:p>
    <w:p>
      <w:pPr>
        <w:jc w:val="both"/>
        <w:ind w:right="700"/>
        <w:spacing w:after="0" w:line="261" w:lineRule="auto"/>
        <w:rPr>
          <w:sz w:val="20"/>
          <w:szCs w:val="20"/>
          <w:color w:val="auto"/>
        </w:rPr>
      </w:pPr>
      <w:r>
        <w:rPr>
          <w:rFonts w:ascii="Arial" w:cs="Arial" w:eastAsia="Arial" w:hAnsi="Arial"/>
          <w:sz w:val="20"/>
          <w:szCs w:val="20"/>
          <w:b w:val="1"/>
          <w:bCs w:val="1"/>
          <w:color w:val="auto"/>
        </w:rPr>
        <w:t>With certain exceptions, upon a change of control of our company or the failure of our common stock to be listed on certain stock exchanges, the holders of the Notes may require that we repurchase all or part of the principal amount of those Notes at a purchase price of par plus unpaid interest up to, but excluding, the maturity date.</w:t>
      </w:r>
    </w:p>
    <w:p>
      <w:pPr>
        <w:spacing w:after="0" w:line="80"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The indenture governing the 2029 Notes and the 2030 Notes include customary “events of default,” which may result in the acceleration of the maturity of the Notes under the respective indentures. The indentures also include customary covenants for convertible notes of this type.</w:t>
      </w:r>
    </w:p>
    <w:p>
      <w:pPr>
        <w:spacing w:after="0" w:line="75" w:lineRule="exact"/>
        <w:rPr>
          <w:sz w:val="20"/>
          <w:szCs w:val="20"/>
          <w:color w:val="auto"/>
        </w:rPr>
      </w:pPr>
    </w:p>
    <w:p>
      <w:pPr>
        <w:jc w:val="both"/>
        <w:ind w:right="700"/>
        <w:spacing w:after="0" w:line="284" w:lineRule="auto"/>
        <w:rPr>
          <w:sz w:val="20"/>
          <w:szCs w:val="20"/>
          <w:color w:val="auto"/>
        </w:rPr>
      </w:pPr>
      <w:r>
        <w:rPr>
          <w:rFonts w:ascii="Arial" w:cs="Arial" w:eastAsia="Arial" w:hAnsi="Arial"/>
          <w:sz w:val="18"/>
          <w:szCs w:val="18"/>
          <w:b w:val="1"/>
          <w:bCs w:val="1"/>
          <w:color w:val="auto"/>
        </w:rPr>
        <w:t>Additionally, on November 21, 2024, in connection with the issuance of the 2029 Notes, the Company and SBN entered into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w:t>
      </w:r>
    </w:p>
    <w:p>
      <w:pPr>
        <w:spacing w:after="0"/>
        <w:rPr>
          <w:sz w:val="20"/>
          <w:szCs w:val="20"/>
          <w:color w:val="auto"/>
        </w:rPr>
      </w:pPr>
      <w:r>
        <w:rPr>
          <w:rFonts w:ascii="Arial" w:cs="Arial" w:eastAsia="Arial" w:hAnsi="Arial"/>
          <w:sz w:val="18"/>
          <w:szCs w:val="18"/>
          <w:b w:val="1"/>
          <w:bCs w:val="1"/>
          <w:color w:val="auto"/>
        </w:rPr>
        <w:t>amount of secured indebtedness pursuant to Credit Facilities (as defined in the Letter Agreement). In addition,</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Letter Agreement restricts the ability of the Company and its subsidiaries from guaranteeing 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261620</wp:posOffset>
                </wp:positionV>
                <wp:extent cx="7315200"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0.6pt" to="535pt,2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261620</wp:posOffset>
                </wp:positionV>
                <wp:extent cx="7315200"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0.6pt" to="535pt,20.6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62"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4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indebtedness or incurring certain indebtedness outside of the ordinary course of business unless, in each case, the Company and its subsidiaries concurrently provide a guarantee of the Company’s obligations under the 2029 Notes.</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See </w:t>
      </w:r>
      <w:r>
        <w:rPr>
          <w:rFonts w:ascii="Arial" w:cs="Arial" w:eastAsia="Arial" w:hAnsi="Arial"/>
          <w:sz w:val="19"/>
          <w:szCs w:val="19"/>
          <w:b w:val="1"/>
          <w:bCs w:val="1"/>
          <w:i w:val="1"/>
          <w:iCs w:val="1"/>
          <w:u w:val="single" w:color="auto"/>
          <w:color w:val="0000FF"/>
        </w:rPr>
        <w:t>Note 5. Convertible Senior Notes</w:t>
      </w:r>
      <w:r>
        <w:rPr>
          <w:rFonts w:ascii="Arial" w:cs="Arial" w:eastAsia="Arial" w:hAnsi="Arial"/>
          <w:sz w:val="19"/>
          <w:szCs w:val="19"/>
          <w:b w:val="1"/>
          <w:bCs w:val="1"/>
          <w:color w:val="auto"/>
        </w:rPr>
        <w:t xml:space="preserve"> in Part II, Item 8 of this Annual Report on Form 10-K for further details.</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Additional Capital Requirements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14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76" w:lineRule="auto"/>
        <w:rPr>
          <w:sz w:val="20"/>
          <w:szCs w:val="20"/>
          <w:color w:val="auto"/>
        </w:rPr>
      </w:pPr>
      <w:r>
        <w:rPr>
          <w:rFonts w:ascii="Arial" w:cs="Arial" w:eastAsia="Arial" w:hAnsi="Arial"/>
          <w:sz w:val="19"/>
          <w:szCs w:val="19"/>
          <w:b w:val="1"/>
          <w:bCs w:val="1"/>
          <w:color w:val="auto"/>
        </w:rPr>
        <w:t>We believe that our existing cash, cash equivalents, and investments will be sufficient to fund our projected operating and capital requirements for at least the next 12 months from the date of filing of this Annual Report on Form 10-K for the year ended December 31, 2025. Operating needs include planned costs to operate our business, including costs to fund working capital and capital expenditures. Recent and expected working and other capital requirements, in addition to the above matters, include:</w:t>
      </w:r>
    </w:p>
    <w:p>
      <w:pPr>
        <w:spacing w:after="0" w:line="64" w:lineRule="exact"/>
        <w:rPr>
          <w:sz w:val="20"/>
          <w:szCs w:val="20"/>
          <w:color w:val="auto"/>
        </w:rPr>
      </w:pPr>
    </w:p>
    <w:p>
      <w:pPr>
        <w:jc w:val="both"/>
        <w:ind w:left="720" w:right="700" w:hanging="370"/>
        <w:spacing w:after="0" w:line="271" w:lineRule="auto"/>
        <w:tabs>
          <w:tab w:leader="none" w:pos="720" w:val="left"/>
        </w:tabs>
        <w:numPr>
          <w:ilvl w:val="0"/>
          <w:numId w:val="35"/>
        </w:numPr>
        <w:rPr>
          <w:rFonts w:ascii="Arial" w:cs="Arial" w:eastAsia="Arial" w:hAnsi="Arial"/>
          <w:sz w:val="19"/>
          <w:szCs w:val="19"/>
          <w:b w:val="1"/>
          <w:bCs w:val="1"/>
          <w:color w:val="DF1995"/>
        </w:rPr>
      </w:pPr>
      <w:r>
        <w:rPr>
          <w:rFonts w:ascii="Arial" w:cs="Arial" w:eastAsia="Arial" w:hAnsi="Arial"/>
          <w:sz w:val="19"/>
          <w:szCs w:val="19"/>
          <w:b w:val="1"/>
          <w:bCs w:val="1"/>
          <w:color w:val="auto"/>
        </w:rPr>
        <w:t>Our purchase orders and contractual obligations of approximately $71.3 million as of December 31, 2025, which consist of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73" w:lineRule="exact"/>
        <w:rPr>
          <w:rFonts w:ascii="Arial" w:cs="Arial" w:eastAsia="Arial" w:hAnsi="Arial"/>
          <w:sz w:val="19"/>
          <w:szCs w:val="19"/>
          <w:b w:val="1"/>
          <w:bCs w:val="1"/>
          <w:color w:val="DF1995"/>
        </w:rPr>
      </w:pPr>
    </w:p>
    <w:p>
      <w:pPr>
        <w:jc w:val="both"/>
        <w:ind w:left="720" w:right="680" w:hanging="370"/>
        <w:spacing w:after="0" w:line="257" w:lineRule="auto"/>
        <w:tabs>
          <w:tab w:leader="none" w:pos="720" w:val="left"/>
        </w:tabs>
        <w:numPr>
          <w:ilvl w:val="0"/>
          <w:numId w:val="35"/>
        </w:numPr>
        <w:rPr>
          <w:rFonts w:ascii="Arial" w:cs="Arial" w:eastAsia="Arial" w:hAnsi="Arial"/>
          <w:sz w:val="20"/>
          <w:szCs w:val="20"/>
          <w:b w:val="1"/>
          <w:bCs w:val="1"/>
          <w:color w:val="DF1995"/>
        </w:rPr>
      </w:pPr>
      <w:r>
        <w:rPr>
          <w:rFonts w:ascii="Arial" w:cs="Arial" w:eastAsia="Arial" w:hAnsi="Arial"/>
          <w:sz w:val="20"/>
          <w:szCs w:val="20"/>
          <w:b w:val="1"/>
          <w:bCs w:val="1"/>
          <w:color w:val="auto"/>
        </w:rPr>
        <w:t xml:space="preserve">As described in </w:t>
      </w:r>
      <w:r>
        <w:rPr>
          <w:rFonts w:ascii="Arial" w:cs="Arial" w:eastAsia="Arial" w:hAnsi="Arial"/>
          <w:sz w:val="20"/>
          <w:szCs w:val="20"/>
          <w:b w:val="1"/>
          <w:bCs w:val="1"/>
          <w:u w:val="single" w:color="auto"/>
          <w:color w:val="0000FF"/>
        </w:rPr>
        <w:t>Note 7 - Commitments and Contingencies</w:t>
      </w:r>
      <w:r>
        <w:rPr>
          <w:rFonts w:ascii="Arial" w:cs="Arial" w:eastAsia="Arial" w:hAnsi="Arial"/>
          <w:sz w:val="20"/>
          <w:szCs w:val="20"/>
          <w:b w:val="1"/>
          <w:bCs w:val="1"/>
          <w:color w:val="auto"/>
        </w:rPr>
        <w:t xml:space="preserve"> in Part II, Item 8 of this Annual Report on Form 10-K, we have a Supply Agreement, that includes minimum annual purchase commitments for certain products through 2031. To secure supply under the agreement, we paid deposits totaling $15.0 million, of which $4.0 million and $3.0 million were refunded in 2025 and 2024, respectively. The supplier may retain all or a portion of the deposit if we fail to meet our minimum purchase commitments.</w:t>
      </w:r>
    </w:p>
    <w:p>
      <w:pPr>
        <w:spacing w:after="0" w:line="82" w:lineRule="exact"/>
        <w:rPr>
          <w:rFonts w:ascii="Arial" w:cs="Arial" w:eastAsia="Arial" w:hAnsi="Arial"/>
          <w:sz w:val="20"/>
          <w:szCs w:val="20"/>
          <w:b w:val="1"/>
          <w:bCs w:val="1"/>
          <w:color w:val="DF1995"/>
        </w:rPr>
      </w:pPr>
    </w:p>
    <w:p>
      <w:pPr>
        <w:jc w:val="both"/>
        <w:ind w:left="720" w:right="700" w:hanging="370"/>
        <w:spacing w:after="0" w:line="287" w:lineRule="auto"/>
        <w:tabs>
          <w:tab w:leader="none" w:pos="720" w:val="left"/>
        </w:tabs>
        <w:numPr>
          <w:ilvl w:val="0"/>
          <w:numId w:val="35"/>
        </w:numPr>
        <w:rPr>
          <w:rFonts w:ascii="Arial" w:cs="Arial" w:eastAsia="Arial" w:hAnsi="Arial"/>
          <w:sz w:val="18"/>
          <w:szCs w:val="18"/>
          <w:b w:val="1"/>
          <w:bCs w:val="1"/>
          <w:color w:val="DF1995"/>
        </w:rPr>
      </w:pPr>
      <w:r>
        <w:rPr>
          <w:rFonts w:ascii="Arial" w:cs="Arial" w:eastAsia="Arial" w:hAnsi="Arial"/>
          <w:sz w:val="18"/>
          <w:szCs w:val="18"/>
          <w:b w:val="1"/>
          <w:bCs w:val="1"/>
          <w:color w:val="auto"/>
        </w:rPr>
        <w:t xml:space="preserve">As described in </w:t>
      </w:r>
      <w:r>
        <w:rPr>
          <w:rFonts w:ascii="Arial" w:cs="Arial" w:eastAsia="Arial" w:hAnsi="Arial"/>
          <w:sz w:val="18"/>
          <w:szCs w:val="18"/>
          <w:b w:val="1"/>
          <w:bCs w:val="1"/>
          <w:i w:val="1"/>
          <w:iCs w:val="1"/>
          <w:u w:val="single" w:color="auto"/>
          <w:color w:val="0000FF"/>
        </w:rPr>
        <w:t>Note 4 - Balance Sheet Components</w:t>
      </w:r>
      <w:r>
        <w:rPr>
          <w:rFonts w:ascii="Arial" w:cs="Arial" w:eastAsia="Arial" w:hAnsi="Arial"/>
          <w:sz w:val="18"/>
          <w:szCs w:val="18"/>
          <w:b w:val="1"/>
          <w:bCs w:val="1"/>
          <w:color w:val="auto"/>
        </w:rPr>
        <w:t xml:space="preserve"> in Part II, Item 8 of this Annual Report on Form 10-K the Company entered into an agreement to acquire certain developed technology and related intellectual property from The Chinese University of Hong Kong for a total consideration of $9.7 million. In addition, the Company entered into a license agreement for complementary developed technology during the three months ended March 31, 2025. Both the acquired technology and license are classified as intangible assets and are being amortized over an estimated useful life of three years. As of December 31, 2025, $5.0 million of these intangible assets remained unpaid. This amount is included in accrued liabilities on the condensed consolidated balance sheets and is expected to be paid in 2026.</w:t>
      </w:r>
    </w:p>
    <w:p>
      <w:pPr>
        <w:spacing w:after="0" w:line="59" w:lineRule="exact"/>
        <w:rPr>
          <w:rFonts w:ascii="Arial" w:cs="Arial" w:eastAsia="Arial" w:hAnsi="Arial"/>
          <w:sz w:val="18"/>
          <w:szCs w:val="18"/>
          <w:b w:val="1"/>
          <w:bCs w:val="1"/>
          <w:color w:val="DF1995"/>
        </w:rPr>
      </w:pPr>
    </w:p>
    <w:p>
      <w:pPr>
        <w:jc w:val="both"/>
        <w:ind w:left="720" w:right="700" w:hanging="370"/>
        <w:spacing w:after="0" w:line="288" w:lineRule="auto"/>
        <w:tabs>
          <w:tab w:leader="none" w:pos="720" w:val="left"/>
        </w:tabs>
        <w:numPr>
          <w:ilvl w:val="0"/>
          <w:numId w:val="35"/>
        </w:numPr>
        <w:rPr>
          <w:rFonts w:ascii="Arial" w:cs="Arial" w:eastAsia="Arial" w:hAnsi="Arial"/>
          <w:sz w:val="19"/>
          <w:szCs w:val="19"/>
          <w:b w:val="1"/>
          <w:bCs w:val="1"/>
          <w:color w:val="DF1995"/>
        </w:rPr>
      </w:pPr>
      <w:r>
        <w:rPr>
          <w:rFonts w:ascii="Arial" w:cs="Arial" w:eastAsia="Arial" w:hAnsi="Arial"/>
          <w:sz w:val="19"/>
          <w:szCs w:val="19"/>
          <w:b w:val="1"/>
          <w:bCs w:val="1"/>
          <w:color w:val="auto"/>
        </w:rPr>
        <w:t>Our research and development expenditures of $97.3 million in 2025 and $134.9 million in 2024. We expect to continue our investment in research and development in 2026, including enhancements of our existing products, and continued development of other new technology and products.</w:t>
      </w:r>
    </w:p>
    <w:p>
      <w:pPr>
        <w:spacing w:after="0" w:line="53" w:lineRule="exact"/>
        <w:rPr>
          <w:rFonts w:ascii="Arial" w:cs="Arial" w:eastAsia="Arial" w:hAnsi="Arial"/>
          <w:sz w:val="19"/>
          <w:szCs w:val="19"/>
          <w:b w:val="1"/>
          <w:bCs w:val="1"/>
          <w:color w:val="DF1995"/>
        </w:rPr>
      </w:pPr>
    </w:p>
    <w:p>
      <w:pPr>
        <w:jc w:val="both"/>
        <w:ind w:left="720" w:right="700" w:hanging="370"/>
        <w:spacing w:after="0" w:line="266" w:lineRule="auto"/>
        <w:tabs>
          <w:tab w:leader="none" w:pos="720" w:val="left"/>
        </w:tabs>
        <w:numPr>
          <w:ilvl w:val="0"/>
          <w:numId w:val="35"/>
        </w:numPr>
        <w:rPr>
          <w:rFonts w:ascii="Arial" w:cs="Arial" w:eastAsia="Arial" w:hAnsi="Arial"/>
          <w:sz w:val="20"/>
          <w:szCs w:val="20"/>
          <w:b w:val="1"/>
          <w:bCs w:val="1"/>
          <w:color w:val="DF1995"/>
        </w:rPr>
      </w:pPr>
      <w:r>
        <w:rPr>
          <w:rFonts w:ascii="Arial" w:cs="Arial" w:eastAsia="Arial" w:hAnsi="Arial"/>
          <w:sz w:val="20"/>
          <w:szCs w:val="20"/>
          <w:b w:val="1"/>
          <w:bCs w:val="1"/>
          <w:color w:val="auto"/>
        </w:rPr>
        <w:t>Cash outflows for capital expenditures of $2.7 million in 2025 and $6.2 million in 2024. We expect to continue to invest in capital expenditures in fiscal 2026 to continue to support manufacturing and expansion of our business.</w:t>
      </w:r>
    </w:p>
    <w:p>
      <w:pPr>
        <w:spacing w:after="0" w:line="75" w:lineRule="exact"/>
        <w:rPr>
          <w:rFonts w:ascii="Arial" w:cs="Arial" w:eastAsia="Arial" w:hAnsi="Arial"/>
          <w:sz w:val="20"/>
          <w:szCs w:val="20"/>
          <w:b w:val="1"/>
          <w:bCs w:val="1"/>
          <w:color w:val="DF1995"/>
        </w:rPr>
      </w:pPr>
    </w:p>
    <w:p>
      <w:pPr>
        <w:ind w:left="720" w:right="700" w:hanging="370"/>
        <w:spacing w:after="0" w:line="283" w:lineRule="auto"/>
        <w:tabs>
          <w:tab w:leader="none" w:pos="720" w:val="left"/>
        </w:tabs>
        <w:numPr>
          <w:ilvl w:val="0"/>
          <w:numId w:val="35"/>
        </w:numPr>
        <w:rPr>
          <w:rFonts w:ascii="Arial" w:cs="Arial" w:eastAsia="Arial" w:hAnsi="Arial"/>
          <w:sz w:val="20"/>
          <w:szCs w:val="20"/>
          <w:b w:val="1"/>
          <w:bCs w:val="1"/>
          <w:color w:val="DF1995"/>
        </w:rPr>
      </w:pPr>
      <w:r>
        <w:rPr>
          <w:rFonts w:ascii="Arial" w:cs="Arial" w:eastAsia="Arial" w:hAnsi="Arial"/>
          <w:sz w:val="20"/>
          <w:szCs w:val="20"/>
          <w:b w:val="1"/>
          <w:bCs w:val="1"/>
          <w:color w:val="auto"/>
        </w:rPr>
        <w:t>Amounts related to future lease payments for operating lease obligations at December 31, 2025, totaling $98.2 million, with $4.0 million expected to be paid within the next 12 months.</w:t>
      </w:r>
    </w:p>
    <w:p>
      <w:pPr>
        <w:spacing w:after="0" w:line="57" w:lineRule="exact"/>
        <w:rPr>
          <w:rFonts w:ascii="Arial" w:cs="Arial" w:eastAsia="Arial" w:hAnsi="Arial"/>
          <w:sz w:val="20"/>
          <w:szCs w:val="20"/>
          <w:b w:val="1"/>
          <w:bCs w:val="1"/>
          <w:color w:val="DF1995"/>
        </w:rPr>
      </w:pPr>
    </w:p>
    <w:p>
      <w:pPr>
        <w:jc w:val="both"/>
        <w:ind w:left="720" w:right="680" w:hanging="370"/>
        <w:spacing w:after="0" w:line="275" w:lineRule="auto"/>
        <w:tabs>
          <w:tab w:leader="none" w:pos="720" w:val="left"/>
        </w:tabs>
        <w:numPr>
          <w:ilvl w:val="0"/>
          <w:numId w:val="35"/>
        </w:numPr>
        <w:rPr>
          <w:rFonts w:ascii="Arial" w:cs="Arial" w:eastAsia="Arial" w:hAnsi="Arial"/>
          <w:sz w:val="19"/>
          <w:szCs w:val="19"/>
          <w:b w:val="1"/>
          <w:bCs w:val="1"/>
          <w:color w:val="DF1995"/>
        </w:rPr>
      </w:pPr>
      <w:r>
        <w:rPr>
          <w:rFonts w:ascii="Arial" w:cs="Arial" w:eastAsia="Arial" w:hAnsi="Arial"/>
          <w:sz w:val="19"/>
          <w:szCs w:val="19"/>
          <w:b w:val="1"/>
          <w:bCs w:val="1"/>
          <w:color w:val="auto"/>
        </w:rPr>
        <w:t>Payments related to licensing and other arrangements, which are cancellable license agreements with third parties for certain patent rights and technology. Under the terms of these agreements, we may be obligated to pay royalties based on revenue from the sales of licensed products, or minimum royalties, whichever is greater, and license maintenance fees. The future license maintenance fees and minimum royalty payments under the license agreements are not deemed to be material.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capital requirements and the adequacy of our available funds will depend on many factors, including:</w:t>
      </w:r>
    </w:p>
    <w:p>
      <w:pPr>
        <w:spacing w:after="0" w:line="153" w:lineRule="exact"/>
        <w:rPr>
          <w:sz w:val="20"/>
          <w:szCs w:val="20"/>
          <w:color w:val="auto"/>
        </w:rPr>
      </w:pPr>
    </w:p>
    <w:p>
      <w:pPr>
        <w:ind w:left="720" w:right="700" w:hanging="370"/>
        <w:spacing w:after="0" w:line="283" w:lineRule="auto"/>
        <w:tabs>
          <w:tab w:leader="none" w:pos="720" w:val="left"/>
        </w:tabs>
        <w:numPr>
          <w:ilvl w:val="0"/>
          <w:numId w:val="36"/>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successfully commercialize and develop products and solutions that address customer needs;</w:t>
      </w:r>
    </w:p>
    <w:p>
      <w:pPr>
        <w:spacing w:after="0" w:line="57" w:lineRule="exact"/>
        <w:rPr>
          <w:rFonts w:ascii="Arial" w:cs="Arial" w:eastAsia="Arial" w:hAnsi="Arial"/>
          <w:sz w:val="20"/>
          <w:szCs w:val="20"/>
          <w:b w:val="1"/>
          <w:bCs w:val="1"/>
          <w:color w:val="DF1995"/>
        </w:rPr>
      </w:pPr>
    </w:p>
    <w:p>
      <w:pPr>
        <w:ind w:left="720" w:hanging="370"/>
        <w:spacing w:after="0"/>
        <w:tabs>
          <w:tab w:leader="none" w:pos="720" w:val="left"/>
        </w:tabs>
        <w:numPr>
          <w:ilvl w:val="0"/>
          <w:numId w:val="36"/>
        </w:numPr>
        <w:rPr>
          <w:rFonts w:ascii="Arial" w:cs="Arial" w:eastAsia="Arial" w:hAnsi="Arial"/>
          <w:sz w:val="20"/>
          <w:szCs w:val="20"/>
          <w:b w:val="1"/>
          <w:bCs w:val="1"/>
          <w:color w:val="DF1995"/>
        </w:rPr>
      </w:pPr>
      <w:r>
        <w:rPr>
          <w:rFonts w:ascii="Arial" w:cs="Arial" w:eastAsia="Arial" w:hAnsi="Arial"/>
          <w:sz w:val="20"/>
          <w:szCs w:val="20"/>
          <w:b w:val="1"/>
          <w:bCs w:val="1"/>
          <w:color w:val="auto"/>
        </w:rPr>
        <w:t>the pace of adoption of our products and our ability to obtain new customers in markets;</w:t>
      </w:r>
    </w:p>
    <w:p>
      <w:pPr>
        <w:spacing w:after="0" w:line="130" w:lineRule="exact"/>
        <w:rPr>
          <w:rFonts w:ascii="Arial" w:cs="Arial" w:eastAsia="Arial" w:hAnsi="Arial"/>
          <w:sz w:val="20"/>
          <w:szCs w:val="20"/>
          <w:b w:val="1"/>
          <w:bCs w:val="1"/>
          <w:color w:val="DF1995"/>
        </w:rPr>
      </w:pPr>
    </w:p>
    <w:p>
      <w:pPr>
        <w:ind w:left="720" w:right="680" w:hanging="370"/>
        <w:spacing w:after="0" w:line="285" w:lineRule="auto"/>
        <w:tabs>
          <w:tab w:leader="none" w:pos="720" w:val="left"/>
        </w:tabs>
        <w:numPr>
          <w:ilvl w:val="0"/>
          <w:numId w:val="36"/>
        </w:numPr>
        <w:rPr>
          <w:rFonts w:ascii="Arial" w:cs="Arial" w:eastAsia="Arial" w:hAnsi="Arial"/>
          <w:sz w:val="20"/>
          <w:szCs w:val="20"/>
          <w:b w:val="1"/>
          <w:bCs w:val="1"/>
          <w:color w:val="DF1995"/>
        </w:rPr>
      </w:pPr>
      <w:r>
        <w:rPr>
          <w:rFonts w:ascii="Arial" w:cs="Arial" w:eastAsia="Arial" w:hAnsi="Arial"/>
          <w:sz w:val="20"/>
          <w:szCs w:val="20"/>
          <w:b w:val="1"/>
          <w:bCs w:val="1"/>
          <w:color w:val="auto"/>
        </w:rPr>
        <w:t>the progress of our research and development programs and our ability to initiate or expand research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201295</wp:posOffset>
                </wp:positionV>
                <wp:extent cx="7315200" cy="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85pt" to="535pt,15.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201295</wp:posOffset>
                </wp:positionV>
                <wp:extent cx="7315200"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85pt" to="535pt,15.8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4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left="720" w:right="700" w:hanging="370"/>
        <w:spacing w:after="0" w:line="268" w:lineRule="auto"/>
        <w:tabs>
          <w:tab w:leader="none" w:pos="720" w:val="left"/>
        </w:tabs>
        <w:numPr>
          <w:ilvl w:val="0"/>
          <w:numId w:val="37"/>
        </w:numPr>
        <w:rPr>
          <w:rFonts w:ascii="Arial" w:cs="Arial" w:eastAsia="Arial" w:hAnsi="Arial"/>
          <w:sz w:val="20"/>
          <w:szCs w:val="20"/>
          <w:b w:val="1"/>
          <w:bCs w:val="1"/>
          <w:color w:val="DF1995"/>
        </w:rPr>
      </w:pPr>
      <w:r>
        <w:rPr>
          <w:rFonts w:ascii="Arial" w:cs="Arial" w:eastAsia="Arial" w:hAnsi="Arial"/>
          <w:sz w:val="20"/>
          <w:szCs w:val="20"/>
          <w:b w:val="1"/>
          <w:bCs w:val="1"/>
          <w:color w:val="auto"/>
        </w:rPr>
        <w:t>our ability to manage manufacturing and production costs, including purchase obligations, and litigation costs, including the costs involved in preparing, filing, prosecuting, defending and enforcing intellectual property rights; and</w:t>
      </w:r>
    </w:p>
    <w:p>
      <w:pPr>
        <w:spacing w:after="0" w:line="69"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37"/>
        </w:numPr>
        <w:rPr>
          <w:rFonts w:ascii="Arial" w:cs="Arial" w:eastAsia="Arial" w:hAnsi="Arial"/>
          <w:sz w:val="20"/>
          <w:szCs w:val="20"/>
          <w:b w:val="1"/>
          <w:bCs w:val="1"/>
          <w:color w:val="DF1995"/>
        </w:rPr>
      </w:pPr>
      <w:r>
        <w:rPr>
          <w:rFonts w:ascii="Arial" w:cs="Arial" w:eastAsia="Arial" w:hAnsi="Arial"/>
          <w:sz w:val="20"/>
          <w:szCs w:val="20"/>
          <w:b w:val="1"/>
          <w:bCs w:val="1"/>
          <w:color w:val="auto"/>
        </w:rPr>
        <w:t>the extent to which we engage in collaborations with partners and acquire other businesses or technologies.</w:t>
      </w:r>
    </w:p>
    <w:p>
      <w:pPr>
        <w:spacing w:after="0" w:line="114"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If economic, financial, business, or other factors adversely affect our ability to fund our projected operating cash requirements, we may be required to obtain funding through traditional or alternative sources of financing. Raising additional funds may result in dilution to existing shareholders. We cannot be certain that funds will be available on favorable terms, or at all. If we are required and unable to raise additional capital when desired, our business, operating results, and financial condition may be adversely affected. See our risk factor captioned “</w:t>
      </w:r>
      <w:r>
        <w:rPr>
          <w:rFonts w:ascii="Arial" w:cs="Arial" w:eastAsia="Arial" w:hAnsi="Arial"/>
          <w:sz w:val="19"/>
          <w:szCs w:val="19"/>
          <w:b w:val="1"/>
          <w:bCs w:val="1"/>
          <w:i w:val="1"/>
          <w:iCs w:val="1"/>
          <w:u w:val="single" w:color="auto"/>
          <w:color w:val="0000FF"/>
        </w:rPr>
        <w:t>We are not cash flow positive and may not have sufficient cash to make required payments under the terms of</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u w:val="single" w:color="auto"/>
          <w:color w:val="0000FF"/>
        </w:rPr>
        <w:t>our debt or fund our long-term planned operations</w:t>
      </w:r>
      <w:r>
        <w:rPr>
          <w:rFonts w:ascii="Arial" w:cs="Arial" w:eastAsia="Arial" w:hAnsi="Arial"/>
          <w:sz w:val="19"/>
          <w:szCs w:val="19"/>
          <w:b w:val="1"/>
          <w:bCs w:val="1"/>
          <w:color w:val="000000"/>
        </w:rPr>
        <w:t>” for more information.</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Cash Flow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5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300"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23495</wp:posOffset>
            </wp:positionV>
            <wp:extent cx="1746250" cy="10033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151">
                      <a:extLst>
                        <a:ext uri="{28A0092B-C50C-407E-A947-70E740481C1C}"/>
                      </a:extLst>
                    </a:blip>
                    <a:srcRect/>
                    <a:stretch>
                      <a:fillRect/>
                    </a:stretch>
                  </pic:blipFill>
                  <pic:spPr bwMode="auto">
                    <a:xfrm>
                      <a:off x="0" y="0"/>
                      <a:ext cx="1746250" cy="10033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71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63"/>
        </w:trPr>
        <w:tc>
          <w:tcPr>
            <w:tcW w:w="7180" w:type="dxa"/>
            <w:vAlign w:val="bottom"/>
          </w:tcPr>
          <w:p>
            <w:pPr>
              <w:ind w:left="100"/>
              <w:spacing w:after="0"/>
              <w:rPr>
                <w:sz w:val="20"/>
                <w:szCs w:val="20"/>
                <w:color w:val="auto"/>
              </w:rPr>
            </w:pPr>
            <w:r>
              <w:rPr>
                <w:rFonts w:ascii="Arial" w:cs="Arial" w:eastAsia="Arial" w:hAnsi="Arial"/>
                <w:sz w:val="18"/>
                <w:szCs w:val="18"/>
                <w:b w:val="1"/>
                <w:bCs w:val="1"/>
                <w:color w:val="auto"/>
              </w:rPr>
              <w:t>Cash used in operating activities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(111,209)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(206,058)</w:t>
            </w:r>
          </w:p>
        </w:tc>
      </w:tr>
      <w:tr>
        <w:trPr>
          <w:trHeight w:val="300"/>
        </w:trPr>
        <w:tc>
          <w:tcPr>
            <w:tcW w:w="7180" w:type="dxa"/>
            <w:vAlign w:val="bottom"/>
          </w:tcPr>
          <w:p>
            <w:pPr>
              <w:ind w:left="100"/>
              <w:spacing w:after="0"/>
              <w:rPr>
                <w:sz w:val="20"/>
                <w:szCs w:val="20"/>
                <w:color w:val="auto"/>
              </w:rPr>
            </w:pPr>
            <w:r>
              <w:rPr>
                <w:rFonts w:ascii="Arial" w:cs="Arial" w:eastAsia="Arial" w:hAnsi="Arial"/>
                <w:sz w:val="18"/>
                <w:szCs w:val="18"/>
                <w:b w:val="1"/>
                <w:bCs w:val="1"/>
                <w:color w:val="auto"/>
              </w:rPr>
              <w:t>Cash provided by investing activities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115,448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124,004</w:t>
            </w:r>
          </w:p>
        </w:tc>
      </w:tr>
      <w:tr>
        <w:trPr>
          <w:trHeight w:val="317"/>
        </w:trPr>
        <w:tc>
          <w:tcPr>
            <w:tcW w:w="7180" w:type="dxa"/>
            <w:vAlign w:val="bottom"/>
          </w:tcPr>
          <w:p>
            <w:pPr>
              <w:ind w:left="100"/>
              <w:spacing w:after="0"/>
              <w:rPr>
                <w:sz w:val="20"/>
                <w:szCs w:val="20"/>
                <w:color w:val="auto"/>
              </w:rPr>
            </w:pPr>
            <w:r>
              <w:rPr>
                <w:rFonts w:ascii="Arial" w:cs="Arial" w:eastAsia="Arial" w:hAnsi="Arial"/>
                <w:sz w:val="18"/>
                <w:szCs w:val="18"/>
                <w:b w:val="1"/>
                <w:bCs w:val="1"/>
                <w:color w:val="auto"/>
              </w:rPr>
              <w:t>Cash provided by (used in) financing activities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3,428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(42,987)</w:t>
            </w:r>
          </w:p>
        </w:tc>
      </w:tr>
      <w:tr>
        <w:trPr>
          <w:trHeight w:val="260"/>
        </w:trPr>
        <w:tc>
          <w:tcPr>
            <w:tcW w:w="7180" w:type="dxa"/>
            <w:vAlign w:val="bottom"/>
          </w:tcPr>
          <w:p>
            <w:pPr>
              <w:ind w:left="10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7,667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(125,041)</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Operating Activities</w:t>
      </w:r>
    </w:p>
    <w:p>
      <w:pPr>
        <w:spacing w:after="0" w:line="130"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color w:val="auto"/>
        </w:rPr>
        <w:t>Our primary uses of cash in operating activities include the development of future products and product enhancements, manufacturing, and support functions related to our sales, general, and administrative activities.</w:t>
      </w:r>
    </w:p>
    <w:p>
      <w:pPr>
        <w:spacing w:after="0" w:line="8" w:lineRule="exact"/>
        <w:rPr>
          <w:sz w:val="20"/>
          <w:szCs w:val="20"/>
          <w:color w:val="auto"/>
        </w:rPr>
      </w:pPr>
    </w:p>
    <w:p>
      <w:pPr>
        <w:jc w:val="both"/>
        <w:ind w:right="680"/>
        <w:spacing w:after="0" w:line="254" w:lineRule="auto"/>
        <w:rPr>
          <w:sz w:val="20"/>
          <w:szCs w:val="20"/>
          <w:color w:val="auto"/>
        </w:rPr>
      </w:pPr>
      <w:r>
        <w:rPr>
          <w:rFonts w:ascii="Arial" w:cs="Arial" w:eastAsia="Arial" w:hAnsi="Arial"/>
          <w:sz w:val="20"/>
          <w:szCs w:val="20"/>
          <w:b w:val="1"/>
          <w:bCs w:val="1"/>
          <w:color w:val="auto"/>
        </w:rPr>
        <w:t>Cash used in operating activities for the year ended December 31, 2025, of $111.2 million was due primarily to a $546.4 million net loss that included non-cash items such as impairment charges of $15.0 million, share-based compensation of $41.7 million, amortization of intangible assets of $369.4 million, depreciation of $13.0 million, amortization of right-of-use assets of $4.0 million, and $4.4 million from changes in net operating assets and liabilities primarily driven by a decrease in prepaid expenses and other assets as well as increases in accrued expenses and accounts payable partially offset by increases in accounts receivable and inventory. These changes in non-cash items were partially offset by an $18.7 million decrease in the change in the fair value of the contingent consideration and accretion of discount and amortization of premium on marketable securities, net of $4.4 million.</w:t>
      </w:r>
    </w:p>
    <w:p>
      <w:pPr>
        <w:spacing w:after="0" w:line="89" w:lineRule="exact"/>
        <w:rPr>
          <w:sz w:val="20"/>
          <w:szCs w:val="20"/>
          <w:color w:val="auto"/>
        </w:rPr>
      </w:pPr>
    </w:p>
    <w:p>
      <w:pPr>
        <w:jc w:val="both"/>
        <w:ind w:right="680"/>
        <w:spacing w:after="0" w:line="254" w:lineRule="auto"/>
        <w:rPr>
          <w:sz w:val="20"/>
          <w:szCs w:val="20"/>
          <w:color w:val="auto"/>
        </w:rPr>
      </w:pPr>
      <w:r>
        <w:rPr>
          <w:rFonts w:ascii="Arial" w:cs="Arial" w:eastAsia="Arial" w:hAnsi="Arial"/>
          <w:sz w:val="20"/>
          <w:szCs w:val="20"/>
          <w:b w:val="1"/>
          <w:bCs w:val="1"/>
          <w:color w:val="auto"/>
        </w:rPr>
        <w:t>Cash used in operating activities for the year ended December 31, 2024, of $206.1 million was due primarily to a $309.9 million net loss that included non-cash items such as impairment charges of $184.5 million, share-based compensation of $71.0 million, amortization of intangible assets of $27.4 million, depreciation of $13.8 million, and amortization of right-of-use assets of $12.2 million, offset by a gain on debt restructuring of $154.4 million, and accretion of discount and amortization of premium on marketable securities, net of $13.0 million. Cash flow impact from changes in net operating assets and liabilities of $40.6 million, was primarily driven by an increase of $8.3 million in inventory, net, as well as decreases of $26.3 million in accrued expenses and $11.9 million in operating lease liabilities. These uses of cash were partially offset by a decrease of $9.1 million in accounts receivable, net.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Investing Activities</w:t>
      </w:r>
    </w:p>
    <w:p>
      <w:pPr>
        <w:spacing w:after="0" w:line="130"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Our investing activities consist primarily of purchases, sales and maturities of investments as well as capital expenditures.</w:t>
      </w:r>
    </w:p>
    <w:p>
      <w:pPr>
        <w:spacing w:after="0" w:line="58"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Cash provided by investing activities for the year ended December 31, 2025, was due primarily to maturities of investments of $340.1 million partially offset by purchases of investments of $216.9 million, $5.0 million in purchases of intangible assets, and capital expenditures of $2.7 million.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684530</wp:posOffset>
                </wp:positionV>
                <wp:extent cx="7315200"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53.9pt" to="535pt,53.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684530</wp:posOffset>
                </wp:positionV>
                <wp:extent cx="7315200"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53.9pt" to="535pt,53.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5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Cash provided by investing activities for the year ended December 31, 2024, was due primarily to maturities of investments of $594.0 million partially offset by purchases of investments of $498.6 million and capital expenditures of $6.2 million.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Financing Activities</w:t>
      </w:r>
    </w:p>
    <w:p>
      <w:pPr>
        <w:spacing w:after="0" w:line="130" w:lineRule="exact"/>
        <w:rPr>
          <w:sz w:val="20"/>
          <w:szCs w:val="20"/>
          <w:color w:val="auto"/>
        </w:rPr>
      </w:pPr>
    </w:p>
    <w:p>
      <w:pPr>
        <w:jc w:val="both"/>
        <w:ind w:right="680"/>
        <w:spacing w:after="0" w:line="285" w:lineRule="auto"/>
        <w:rPr>
          <w:sz w:val="20"/>
          <w:szCs w:val="20"/>
          <w:color w:val="auto"/>
        </w:rPr>
      </w:pPr>
      <w:r>
        <w:rPr>
          <w:rFonts w:ascii="Arial" w:cs="Arial" w:eastAsia="Arial" w:hAnsi="Arial"/>
          <w:sz w:val="20"/>
          <w:szCs w:val="20"/>
          <w:b w:val="1"/>
          <w:bCs w:val="1"/>
          <w:color w:val="auto"/>
        </w:rPr>
        <w:t>Cash provided by financing activities during the year ended December 31, 2025 resulted from $3.4 million of proceeds from the issuance of common stock through our equity compensation plans.</w:t>
      </w:r>
    </w:p>
    <w:p>
      <w:pPr>
        <w:spacing w:after="0" w:line="54"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Cash used in financing activities during the year ended December 31, 2024, was primarily due to payments made in conjunction with the convertible notes exchange of $50.2 million partially offset by proceeds of $7.7 million from the issuance of common stock through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145415</wp:posOffset>
            </wp:positionV>
            <wp:extent cx="6311900" cy="2444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153">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5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of December 31, 2025, we did not have any off-balance sheet arrangements.</w:t>
      </w:r>
    </w:p>
    <w:p>
      <w:pPr>
        <w:spacing w:after="0" w:line="130" w:lineRule="exact"/>
        <w:rPr>
          <w:sz w:val="20"/>
          <w:szCs w:val="20"/>
          <w:color w:val="auto"/>
        </w:rPr>
      </w:pPr>
    </w:p>
    <w:p>
      <w:pPr>
        <w:jc w:val="both"/>
        <w:ind w:right="680"/>
        <w:spacing w:after="0" w:line="285" w:lineRule="auto"/>
        <w:rPr>
          <w:sz w:val="20"/>
          <w:szCs w:val="20"/>
          <w:color w:val="auto"/>
        </w:rPr>
      </w:pPr>
      <w:r>
        <w:rPr>
          <w:rFonts w:ascii="Arial" w:cs="Arial" w:eastAsia="Arial" w:hAnsi="Arial"/>
          <w:sz w:val="18"/>
          <w:szCs w:val="18"/>
          <w:b w:val="1"/>
          <w:bCs w:val="1"/>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62" w:lineRule="exact"/>
        <w:rPr>
          <w:sz w:val="20"/>
          <w:szCs w:val="20"/>
          <w:color w:val="auto"/>
        </w:rPr>
      </w:pPr>
    </w:p>
    <w:p>
      <w:pPr>
        <w:jc w:val="both"/>
        <w:ind w:right="700"/>
        <w:spacing w:after="0" w:line="285" w:lineRule="auto"/>
        <w:rPr>
          <w:sz w:val="20"/>
          <w:szCs w:val="20"/>
          <w:color w:val="auto"/>
        </w:rPr>
      </w:pPr>
      <w:r>
        <w:rPr>
          <w:rFonts w:ascii="Arial" w:cs="Arial" w:eastAsia="Arial" w:hAnsi="Arial"/>
          <w:sz w:val="18"/>
          <w:szCs w:val="18"/>
          <w:b w:val="1"/>
          <w:bCs w:val="1"/>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r>
        <w:rPr>
          <w:rFonts w:ascii="Arial" w:cs="Arial" w:eastAsia="Arial" w:hAnsi="Arial"/>
          <w:sz w:val="18"/>
          <w:szCs w:val="18"/>
          <w:b w:val="1"/>
          <w:bCs w:val="1"/>
          <w:i w:val="1"/>
          <w:iCs w:val="1"/>
          <w:u w:val="single" w:color="auto"/>
          <w:color w:val="0000FF"/>
        </w:rPr>
        <w:t>Legal Proceedings</w:t>
      </w:r>
      <w:r>
        <w:rPr>
          <w:rFonts w:ascii="Arial" w:cs="Arial" w:eastAsia="Arial" w:hAnsi="Arial"/>
          <w:sz w:val="18"/>
          <w:szCs w:val="18"/>
          <w:b w:val="1"/>
          <w:bCs w:val="1"/>
          <w:color w:val="auto"/>
        </w:rPr>
        <w:t xml:space="preserve"> in Part I, Item 3 of this Annual Report on Form 10-K, any associated expenses incurred are included within the related accrued litigation expense amounts. No additional liability associated with such indemnification agreements has been recorded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140970</wp:posOffset>
            </wp:positionV>
            <wp:extent cx="6311900" cy="2444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54">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5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CRITICAL ACCOUNTING POLICIES AND ESTIMATES</w:t>
      </w:r>
    </w:p>
    <w:p>
      <w:pPr>
        <w:spacing w:after="0" w:line="225" w:lineRule="exact"/>
        <w:rPr>
          <w:sz w:val="20"/>
          <w:szCs w:val="20"/>
          <w:color w:val="auto"/>
        </w:rPr>
      </w:pPr>
    </w:p>
    <w:p>
      <w:pPr>
        <w:jc w:val="both"/>
        <w:ind w:right="680"/>
        <w:spacing w:after="0" w:line="28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is based upon our consolidated financial statements, which we have prepared in accordance with U.S. GAAP. The preparation of these financial statements requires management to make estimates and assumptions that affect the reported amounts of assets, liabilities, revenue, cost of revenue, and operating expenses, and related disclosure of contingent assets and liabilities. Management based its estimates on historical experience and on various other assumptions that it believes to be reasonable under the circumstances, the results of which form the basis for making judgements about the carrying values of assets and liabilities that are not readily apparent from other sources. Actual results may differ materially from these estimates under different assumptions or conditions.</w:t>
      </w:r>
    </w:p>
    <w:p>
      <w:pPr>
        <w:spacing w:after="0" w:line="60" w:lineRule="exact"/>
        <w:rPr>
          <w:sz w:val="20"/>
          <w:szCs w:val="20"/>
          <w:color w:val="auto"/>
        </w:rPr>
      </w:pPr>
    </w:p>
    <w:p>
      <w:pPr>
        <w:jc w:val="both"/>
        <w:ind w:right="700"/>
        <w:spacing w:after="0" w:line="261" w:lineRule="auto"/>
        <w:rPr>
          <w:sz w:val="20"/>
          <w:szCs w:val="20"/>
          <w:color w:val="auto"/>
        </w:rPr>
      </w:pPr>
      <w:r>
        <w:rPr>
          <w:rFonts w:ascii="Arial" w:cs="Arial" w:eastAsia="Arial" w:hAnsi="Arial"/>
          <w:sz w:val="20"/>
          <w:szCs w:val="20"/>
          <w:b w:val="1"/>
          <w:bCs w:val="1"/>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Revenue Recognition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5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revenue is generated primarily from the sale of products and services. Product revenue primarily consists of sales of our instruments and related consumables; service and other revenue consist primarily of revenue earned from product maintenance agreements.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255905</wp:posOffset>
                </wp:positionV>
                <wp:extent cx="731520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0.15pt" to="535pt,20.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255905</wp:posOffset>
                </wp:positionV>
                <wp:extent cx="731520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0.15pt" to="535pt,20.1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5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5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is transferred to our customers, or services are performed, in an amount that reflects the consideration we expect to be entitled to in exchange for those goods or services. Invoicing typically occurs upon shipment, or delivery in the case of an instrument, and payment is typically due within 30 days from invoice. In instances where the right to payment or transfer of title is contingent upon customer acceptance of the product, revenue is deferred until the acceptance criteria has been met. Revenue from instrument service contracts is recognized as the services are rendered, typically evenly over the contract term. Revenue from development agreements generally includes upfront and milestone payments. Revenue for these agreements is recognized when each separate performance obligation is satisfied.</w:t>
      </w:r>
    </w:p>
    <w:p>
      <w:pPr>
        <w:spacing w:after="0" w:line="76"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We may enter into, or periodically modify, contracts with customers that include a combination of promised products and services, resulting in arrangements containing multiple performance obligations. We determine whether each product or service is distinct, in order to identify the performance obligations in the contract and allocate the contract transaction price among the separate performance obligations. A product or service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Therefore, instrument revenue is recognized upon transfer of control of the asset to the customer, which is generally upon delivery for sales made to our non-distributor customers and upon shipment for sales made to our distributor customers.</w:t>
      </w:r>
    </w:p>
    <w:p>
      <w:pPr>
        <w:spacing w:after="0" w:line="76"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The consideration for contracts with multiple performance obligations is allocated between separate performance obligations based on their individual standalone selling price. We determine the best estimate of standalone selling price primarily using historical average selling prices combined with an assessment of current market conditions. If the standalone selling price is not directly observable, we rely on estimates by considering multiple factors including, but not limited to, overall market conditions, including geographic or regional specific factors, internal costs, profit objectives, pricing practices, and other observable inputs. We recognize revenues as performance obligations are satisfied by transferring control of the product or service to the customer or over the term of a product maintenance agreement with a customer. Our revenue arrangements generally do not provide a right of return. Revenue is recorded net of discounts and sales taxes collected on behalf of governmental authorities. We update the transaction price for expected consideration, subject to constraint. Where we expect, at contract inception, the timing of payments to be consistent with the transfer of goods or services or the contract duration to be one year or less, we do not adjust the transaction price for the effects of a significant financing component.</w:t>
      </w:r>
    </w:p>
    <w:p>
      <w:pPr>
        <w:spacing w:after="0" w:line="80"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Modification of existing contracts with customers could change the scope or the price of the contract, or both. When a contract modification occurs, we exercise judgment to determine if the modification should be accounted for as: (i) a separate contract, (ii) the termination of the original contract and creation of a new contract, (iii) a cumulative catch-up adjustment to the original contract, or a combination thereof. Further, contract modifications require the identification and evaluation of the performance obligations of the modified contract, allocation of revenue to the remaining performance obligations and determination of the period of recognition for each identified performance obligation.</w:t>
      </w:r>
    </w:p>
    <w:p>
      <w:pPr>
        <w:spacing w:after="0" w:line="90"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Certain of our agreements provide options to customers which can be exercised at a future date, such as the option to purchase our product at discounted prices, among others. In accounting for customer options, we determine whether an option is a material right and this may require us to exercise judgment. If a contract provides the customer an option to acquire additional goods or services at a discount that exceeds the range of discounts that we typically give for that product or service for the same class of customer, or if the option provides the customer certain additional goods or services for free, the option is considered a material right and, therefore, a performance obligation. If the standalone selling price of the option is not directly observable, an estimated standalone selling price is utilized which considers adjustments for discounts that the customer could receive without exercising the option and the likelihood that the option will be exercised.</w:t>
      </w:r>
    </w:p>
    <w:p>
      <w:pPr>
        <w:spacing w:after="0" w:line="76" w:lineRule="exact"/>
        <w:rPr>
          <w:sz w:val="20"/>
          <w:szCs w:val="20"/>
          <w:color w:val="auto"/>
        </w:rPr>
      </w:pPr>
    </w:p>
    <w:p>
      <w:pPr>
        <w:jc w:val="both"/>
        <w:ind w:right="680"/>
        <w:spacing w:after="0" w:line="262" w:lineRule="auto"/>
        <w:rPr>
          <w:sz w:val="20"/>
          <w:szCs w:val="20"/>
          <w:color w:val="auto"/>
        </w:rPr>
      </w:pPr>
      <w:r>
        <w:rPr>
          <w:rFonts w:ascii="Arial" w:cs="Arial" w:eastAsia="Arial" w:hAnsi="Arial"/>
          <w:sz w:val="20"/>
          <w:szCs w:val="20"/>
          <w:b w:val="1"/>
          <w:bCs w:val="1"/>
          <w:color w:val="auto"/>
        </w:rPr>
        <w:t>Additionally, we generally provide a one-year warranty on instruments. We accrue the cost of the assurance warranty when revenue of the instrument is recognized. Employee sales commissions are generally recorded as selling, general, and administrative expense when incurred as the amortization period for such costs, if capitalized, would have been one year or less.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345440</wp:posOffset>
                </wp:positionV>
                <wp:extent cx="731520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7.2pt" to="535pt,27.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345440</wp:posOffset>
                </wp:positionV>
                <wp:extent cx="731520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7.2pt" to="535pt,27.2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15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Inventories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5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57" w:lineRule="auto"/>
        <w:rPr>
          <w:sz w:val="20"/>
          <w:szCs w:val="20"/>
          <w:color w:val="auto"/>
        </w:rPr>
      </w:pPr>
      <w:r>
        <w:rPr>
          <w:rFonts w:ascii="Arial" w:cs="Arial" w:eastAsia="Arial" w:hAnsi="Arial"/>
          <w:sz w:val="20"/>
          <w:szCs w:val="20"/>
          <w:b w:val="1"/>
          <w:bCs w:val="1"/>
          <w:color w:val="auto"/>
        </w:rPr>
        <w:t>Inventories are stated at the lower of cost or net realizable value. Cost is determined using the first-in, first-out (“FIFO”) method. Adjustments to reduce the cost of inventory to its net realizable value, if required, are made for estimated excess or obsolete balances. Cost includes depreciation, labor, material, and overhead costs, including product and process technology costs. Determining net realizable value of inventories involves judgements, including projecting future average selling prices, sales volumes, and costs to complete products in work in process inventories.</w:t>
      </w:r>
    </w:p>
    <w:p>
      <w:pPr>
        <w:spacing w:after="0" w:line="82" w:lineRule="exact"/>
        <w:rPr>
          <w:sz w:val="20"/>
          <w:szCs w:val="20"/>
          <w:color w:val="auto"/>
        </w:rPr>
      </w:pPr>
    </w:p>
    <w:p>
      <w:pPr>
        <w:jc w:val="both"/>
        <w:ind w:right="680"/>
        <w:spacing w:after="0" w:line="254" w:lineRule="auto"/>
        <w:rPr>
          <w:sz w:val="20"/>
          <w:szCs w:val="20"/>
          <w:color w:val="auto"/>
        </w:rPr>
      </w:pPr>
      <w:r>
        <w:rPr>
          <w:rFonts w:ascii="Arial" w:cs="Arial" w:eastAsia="Arial" w:hAnsi="Arial"/>
          <w:sz w:val="20"/>
          <w:szCs w:val="20"/>
          <w:b w:val="1"/>
          <w:bCs w:val="1"/>
          <w:color w:val="auto"/>
        </w:rPr>
        <w:t>We make inventory purchases and commitments to meet future shipment schedules based on forecasted demand for our products. The business environment in which we operate is subject to rapid changes in technology and customer demand. We perform a detailed assessment of inventory each period, which includes a review of, among other factors, demand requirements, product life cycle and development plans, component cost trends, product pricing, product expiration, and quality issues. Based on our analysis, we record adjustments to inventory for potentially excess, obsolete, or impaired goods, when appropriate, to report inventory at net realizable value. Inventory adjustments may be required if actual demand, component costs, supplier arrangements, or product life cycles differ from our estimates. Any such adjustments would result in a charge to our results of operations.</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Business Combinations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5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54" w:lineRule="auto"/>
        <w:rPr>
          <w:sz w:val="20"/>
          <w:szCs w:val="20"/>
          <w:color w:val="auto"/>
        </w:rPr>
      </w:pPr>
      <w:r>
        <w:rPr>
          <w:rFonts w:ascii="Arial" w:cs="Arial" w:eastAsia="Arial" w:hAnsi="Arial"/>
          <w:sz w:val="20"/>
          <w:szCs w:val="20"/>
          <w:b w:val="1"/>
          <w:bCs w:val="1"/>
          <w:color w:val="auto"/>
        </w:rPr>
        <w:t>Under the acquisition method of accounting, we allocate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These valuations require us to make estimates and assumptions, especially with respect to intangible assets. We record the excess consideration over the aggregate fair value of tangible and intangible assets, net of liabilities assumed, as goodwill. Costs that we incur to complete the business combination, such as legal and other professional fees, are expensed as they are incurred.</w:t>
      </w:r>
    </w:p>
    <w:p>
      <w:pPr>
        <w:spacing w:after="0" w:line="89" w:lineRule="exact"/>
        <w:rPr>
          <w:sz w:val="20"/>
          <w:szCs w:val="20"/>
          <w:color w:val="auto"/>
        </w:rPr>
      </w:pPr>
    </w:p>
    <w:p>
      <w:pPr>
        <w:jc w:val="both"/>
        <w:ind w:right="700"/>
        <w:spacing w:after="0" w:line="276" w:lineRule="auto"/>
        <w:rPr>
          <w:sz w:val="20"/>
          <w:szCs w:val="20"/>
          <w:color w:val="auto"/>
        </w:rPr>
      </w:pPr>
      <w:r>
        <w:rPr>
          <w:rFonts w:ascii="Arial" w:cs="Arial" w:eastAsia="Arial" w:hAnsi="Arial"/>
          <w:sz w:val="19"/>
          <w:szCs w:val="19"/>
          <w:b w:val="1"/>
          <w:bCs w:val="1"/>
          <w:color w:val="auto"/>
        </w:rPr>
        <w:t>In connection with certain acquisitions, contingent consideration can be earned by the sellers upon completion of certain future performance milestones. In these cases, a liability is recorded on the acquisition date for an estimate of the acquisition date fair value of the contingent consideration. Changes in the fair value of contingent consideration subsequent to the acquisition date are recognized in operating expenses on our consolidated statements of operations and comprehensive loss.</w:t>
      </w:r>
    </w:p>
    <w:p>
      <w:pPr>
        <w:spacing w:after="0" w:line="64"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We typically use the discounted cash flow method to value our acquired intangible assets. This method requires significant management judgment to forecast future operating results and utilizes significant assumptions such as assumed revenue projections, discount rates and obsolescence factors. The estimates we use to value and amortize intangible assets are consistent with the plans and estimates that we use to manage our business and are based on available historical information and industry estimates and averages. If the subsequent actual results and updated projections of the underlying business activity change compared with the assumptions and projections used to develop these values, we could experience impairment charges. In addition, we have estimated the economic lives of certain acquired assets and these lives are used to calculate depreciation and amortization expense. If our estimates of the economic lives change, depreciation or amortization expense could be accelerated or extended. We capitalize IPR&amp;D, which is considered indefinite lived until the completion or abandonment of the associated research and development efforts. Upon reaching the end of the relevant research and development project (i.e., upon commercialization), the IPR&amp;D asset is amortized over its estimated useful life. If the relevant research and development project is abandoned, the IPR&amp;D asset is expensed in the period of abandonment.</w:t>
      </w:r>
    </w:p>
    <w:p>
      <w:pPr>
        <w:spacing w:after="0" w:line="77" w:lineRule="exact"/>
        <w:rPr>
          <w:sz w:val="20"/>
          <w:szCs w:val="20"/>
          <w:color w:val="auto"/>
        </w:rPr>
      </w:pPr>
    </w:p>
    <w:p>
      <w:pPr>
        <w:jc w:val="both"/>
        <w:ind w:right="700"/>
        <w:spacing w:after="0" w:line="289" w:lineRule="auto"/>
        <w:rPr>
          <w:sz w:val="20"/>
          <w:szCs w:val="20"/>
          <w:color w:val="auto"/>
        </w:rPr>
      </w:pPr>
      <w:r>
        <w:rPr>
          <w:rFonts w:ascii="Arial" w:cs="Arial" w:eastAsia="Arial" w:hAnsi="Arial"/>
          <w:sz w:val="18"/>
          <w:szCs w:val="18"/>
          <w:b w:val="1"/>
          <w:bCs w:val="1"/>
          <w:color w:val="auto"/>
        </w:rPr>
        <w:t>If the initial accounting for a business combination is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offset to goodwill. Any adjustments identified after the measurement period are recorded on our consolidated statements of operations and comprehensive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338455</wp:posOffset>
                </wp:positionV>
                <wp:extent cx="7315200"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6.65pt" to="535pt,26.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338455</wp:posOffset>
                </wp:positionV>
                <wp:extent cx="7315200"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6.65pt" to="535pt,26.6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160">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85" w:lineRule="auto"/>
        <w:rPr>
          <w:sz w:val="20"/>
          <w:szCs w:val="20"/>
          <w:color w:val="auto"/>
        </w:rPr>
      </w:pPr>
      <w:r>
        <w:rPr>
          <w:rFonts w:ascii="Arial" w:cs="Arial" w:eastAsia="Arial" w:hAnsi="Arial"/>
          <w:sz w:val="20"/>
          <w:szCs w:val="20"/>
          <w:b w:val="1"/>
          <w:bCs w:val="1"/>
          <w:color w:val="auto"/>
        </w:rPr>
        <w:t>We acquired $55.0 million of IPR&amp;D, and $52.3 million of goodwill in connection with the acquisition of Apton Biosystems, Inc. in the third quarter of 2023.</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 xml:space="preserve">Goodwill and Intangible Assets with Indefinite Lives </w:t>
      </w:r>
      <w:r>
        <w:rPr>
          <w:rFonts w:ascii="Arial" w:cs="Arial" w:eastAsia="Arial" w:hAnsi="Arial"/>
          <w:sz w:val="20"/>
          <w:szCs w:val="20"/>
          <w:b w:val="1"/>
          <w:bCs w:val="1"/>
          <w:i w:val="1"/>
          <w:iCs w:val="1"/>
          <w:color w:val="DF1995"/>
        </w:rPr>
        <w:t>—</w:t>
      </w:r>
      <w:r>
        <w:rPr>
          <w:rFonts w:ascii="Arial" w:cs="Arial" w:eastAsia="Arial" w:hAnsi="Arial"/>
          <w:sz w:val="22"/>
          <w:szCs w:val="22"/>
          <w:b w:val="1"/>
          <w:bCs w:val="1"/>
          <w:color w:val="DF1995"/>
        </w:rPr>
        <w:t xml:space="preserve"> Impairment Assessment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161">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Goodwill and other intangible assets with indefinite useful lives (i.e., IPR&amp;D) are not amortized, however they are tested annually for impairment, as of the first day of the second and third quarter of our fiscal year, respectively, and whenever events or changes in circumstances indicate that it is more likely than not that the fair value is less than the carrying value. Events that could indicate impairment and trigger an interim impairment test include, but are not limited to, adverse changes in business or economic conditions, lower-than-expected performance of a product line or business, changes in strategic direction, unanticipated technological or competitive developments, loss of key personnel, and actions by governments or courts.</w:t>
      </w:r>
    </w:p>
    <w:p>
      <w:pPr>
        <w:spacing w:after="0" w:line="73" w:lineRule="exact"/>
        <w:rPr>
          <w:sz w:val="20"/>
          <w:szCs w:val="20"/>
          <w:color w:val="auto"/>
        </w:rPr>
      </w:pPr>
    </w:p>
    <w:p>
      <w:pPr>
        <w:jc w:val="both"/>
        <w:ind w:right="680"/>
        <w:spacing w:after="0" w:line="265" w:lineRule="auto"/>
        <w:rPr>
          <w:sz w:val="20"/>
          <w:szCs w:val="20"/>
          <w:color w:val="auto"/>
        </w:rPr>
      </w:pPr>
      <w:r>
        <w:rPr>
          <w:rFonts w:ascii="Arial" w:cs="Arial" w:eastAsia="Arial" w:hAnsi="Arial"/>
          <w:sz w:val="19"/>
          <w:szCs w:val="19"/>
          <w:b w:val="1"/>
          <w:bCs w:val="1"/>
          <w:color w:val="auto"/>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 of our reporting unit is less than the carrying amount, including goodwill. The qualitative factors include, but are not limited to, macroeconomic conditions, industry and market considerations, and our overall financial performance. If, after assessing the totality of these qualitative factors, we determine that it is not more likely than not that the fair value of our reporting unit is less than the carrying amount, then no additional assessment is deemed necessary. Otherwise, we proceed to compare the estimated fair value of the reporting unit with the carrying value, including goodwill. If the carrying amount of the reporting unit exceeds the fair value, we record an impairment loss based on the difference. We generally perform our impairment test using a combination of an income and a market approach to determine the fair value of goodwill. The income approach utilizes estimated discounted cash flows, while the market approach utilizes comparable company information. If a quantitative assessment is performed, the evaluation includes management estimates of cash flow projections based on internal future projections and/or use of a market approach by looking at market values of comparable companies, including the observable implied multiples of those companies. Key assumptions include, but are not limited to, revenue and operating income growth rates, discount rates and other factors. We consider peer revenues and earnings trading multiples from companies that have operational and financial characteristics that are similar to the asset under measurement and estimated weighted-average costs of capital. Different assumptions from those made in our analysis could materially affect projected cash flows and the evaluation of assets for impairment. We also consider our market capitalization as a part of our analysis. We may elect to bypass the qualitative assessment in a period and proceed to perform the quantitative goodwill impairment test.</w:t>
      </w:r>
    </w:p>
    <w:p>
      <w:pPr>
        <w:spacing w:after="0" w:line="93"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We recognized $144.5 million of impairment charges to goodwill during the year ended December 31, 2024, as a result of quantitative interim impairment tests.</w:t>
      </w:r>
    </w:p>
    <w:p>
      <w:pPr>
        <w:spacing w:after="0" w:line="54" w:lineRule="exact"/>
        <w:rPr>
          <w:sz w:val="20"/>
          <w:szCs w:val="20"/>
          <w:color w:val="auto"/>
        </w:rPr>
      </w:pPr>
    </w:p>
    <w:p>
      <w:pPr>
        <w:jc w:val="both"/>
        <w:ind w:right="680"/>
        <w:spacing w:after="0" w:line="270" w:lineRule="auto"/>
        <w:rPr>
          <w:sz w:val="20"/>
          <w:szCs w:val="20"/>
          <w:color w:val="auto"/>
        </w:rPr>
      </w:pPr>
      <w:r>
        <w:rPr>
          <w:rFonts w:ascii="Arial" w:cs="Arial" w:eastAsia="Arial" w:hAnsi="Arial"/>
          <w:sz w:val="19"/>
          <w:szCs w:val="19"/>
          <w:b w:val="1"/>
          <w:bCs w:val="1"/>
          <w:color w:val="auto"/>
        </w:rPr>
        <w:t>Based primarily on the decline in our stock price and overall market capitalization during the first quarter of 2025, driven in part by macroeconomic uncertainties, as well as our updated strategic plans and restructuring initiatives that prioritize accelerating adoption of HiFi sequencing and ceasing development of our high-throughput short-read platform, we concluded that changes to the timing and amount of expected future cash flows, among other factors, indicated that it was more likely than not that the fair value of the reporting unit was less than its carrying amount, requiring an interim goodwill impairment assessment. As a result of the quantitative interim impairment test performed as of March 31, 2025, we concluded that there was no impairment, as the estimated fair value of the entity-level reporting unit exceeded the carrying value.</w:t>
      </w:r>
    </w:p>
    <w:p>
      <w:pPr>
        <w:spacing w:after="0" w:line="74"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To determine the fair value of the entity-level reporting unit as of March 31, 2025, we performed our impairment test using a combination of an income approach and a market approach to determine the fair value of the reporting unit. The income approach utilized estimated discounted cash flows, while the market approach utilized comparable company information. Significant assumptions used in the income approach included revenue growth expectations and a selected discount rate of 12.0%. The discount rate was based on the weighted average cost of capital, determined using market, industry data, and related risk factors. The assumptions used were inherently subject to uncertainty. The assessment is a level 3 measurement due to its reliance on certain unobservable inputs and management judgment. The assessed fair value was deemed reasonable based on a market capitalization reconciliation and a supportable control premium.</w:t>
      </w:r>
    </w:p>
    <w:p>
      <w:pPr>
        <w:spacing w:after="0" w:line="76"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 xml:space="preserve">We performed our annual assessment for goodwill impairment in the second quarter of 2025, noting no impairment. See </w:t>
      </w:r>
      <w:r>
        <w:rPr>
          <w:rFonts w:ascii="Arial" w:cs="Arial" w:eastAsia="Arial" w:hAnsi="Arial"/>
          <w:sz w:val="20"/>
          <w:szCs w:val="20"/>
          <w:b w:val="1"/>
          <w:bCs w:val="1"/>
          <w:i w:val="1"/>
          <w:iCs w:val="1"/>
          <w:u w:val="single" w:color="auto"/>
          <w:color w:val="0000FF"/>
        </w:rPr>
        <w:t>Note 4. Balance Sheet Components</w:t>
      </w:r>
      <w:r>
        <w:rPr>
          <w:rFonts w:ascii="Arial" w:cs="Arial" w:eastAsia="Arial" w:hAnsi="Arial"/>
          <w:sz w:val="20"/>
          <w:szCs w:val="20"/>
          <w:b w:val="1"/>
          <w:bCs w:val="1"/>
          <w:color w:val="auto"/>
        </w:rPr>
        <w:t xml:space="preserve"> in Part II, Item 8 of this Annual Report on Form 10-K for further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173355</wp:posOffset>
                </wp:positionV>
                <wp:extent cx="7315200"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3.65pt" to="535pt,13.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173355</wp:posOffset>
                </wp:positionV>
                <wp:extent cx="7315200"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3.65pt" to="535pt,13.6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2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6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66" w:lineRule="auto"/>
        <w:rPr>
          <w:sz w:val="20"/>
          <w:szCs w:val="20"/>
          <w:color w:val="auto"/>
        </w:rPr>
      </w:pPr>
      <w:r>
        <w:rPr>
          <w:rFonts w:ascii="Arial" w:cs="Arial" w:eastAsia="Arial" w:hAnsi="Arial"/>
          <w:sz w:val="19"/>
          <w:szCs w:val="19"/>
          <w:b w:val="1"/>
          <w:bCs w:val="1"/>
          <w:color w:val="auto"/>
        </w:rPr>
        <w:t>During the IPR&amp;D impairment review, we assess qualitative factors to determine whether it is more likely than not that the fair value of the IPR&amp;D is less than the carrying amount. The qualitative factors include, but are not limited to, macroeconomic conditions, industry-specific conditions, and company-specific conditions. If, after assessing the totality of these qualitative factors, we determine that it is not more likely than not that the fair value of the IPR&amp;D is less than the carrying amount, then no additional assessment is deemed necessary. Otherwise, we proceed to compare the estimated fair value of the IPR&amp;D with the carrying value. If the carrying amount of the IPR&amp;D exceeds the fair value, we record an impairment loss based on the difference. We generally perform our impairment test using an income approach to determine the fair value of IPR&amp;D. The income approach utilizes estimated discounted cash flows. If a quantitative assessment is performed, the evaluation includes management estimates of cash flow projections based on internal future projections. Key assumptions include, but are not limited to, revenue projections, revenue growth rates, discount rates and other factors. Different assumptions from those made in our analysis could materially affect projected cash flows and the evaluation of assets for impairment. We may elect to bypass the qualitative assessment in a period and proceed to perform the quantitative impairment test. There is substantial risk inherent in forecasting revenues and spend associated with research and development, including assumptions around the timing and level of resources and investment to be made.</w:t>
      </w:r>
    </w:p>
    <w:p>
      <w:pPr>
        <w:spacing w:after="0" w:line="85"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We recognized a $40.0 million impairment charge during the year ended December 31, 2024 as a result of a quantitative interim impairment test.</w:t>
      </w:r>
    </w:p>
    <w:p>
      <w:pPr>
        <w:spacing w:after="0" w:line="54" w:lineRule="exact"/>
        <w:rPr>
          <w:sz w:val="20"/>
          <w:szCs w:val="20"/>
          <w:color w:val="auto"/>
        </w:rPr>
      </w:pPr>
    </w:p>
    <w:p>
      <w:pPr>
        <w:jc w:val="both"/>
        <w:ind w:right="680"/>
        <w:spacing w:after="0" w:line="266" w:lineRule="auto"/>
        <w:rPr>
          <w:sz w:val="20"/>
          <w:szCs w:val="20"/>
          <w:color w:val="auto"/>
        </w:rPr>
      </w:pPr>
      <w:r>
        <w:rPr>
          <w:rFonts w:ascii="Arial" w:cs="Arial" w:eastAsia="Arial" w:hAnsi="Arial"/>
          <w:sz w:val="19"/>
          <w:szCs w:val="19"/>
          <w:b w:val="1"/>
          <w:bCs w:val="1"/>
          <w:color w:val="auto"/>
        </w:rPr>
        <w:t xml:space="preserve">During the first quarter of 2025, 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$0 and recorded a $15.0 million impairment charge. The decline in the fair value of the IPR&amp;D to $0 as of March 31, 2025 resulted primarily from changes in the timing of expected future cash flows as compared to the fair value as of December 31, 2024, driven by the restructuring initiatives that prioritize accelerating adoption of HiFi sequencing and resulted in ceasing development of our high-throughput short-read sequencing platform. The impairment charge is included on our consolidated statements of operations and comprehensive loss for the year ended December 31, 2025. Significant estimates and assumptions used in the income approach include timing of future cash flows, revenue growth assumptions, a selected discount rate of 14.0%, and a selected obsolescence factor of 11 years. The discount rate was based primarily on the weighted average cost of capital, determined using market, peer company, industry data, and related risk factors. The assessment is a level 3 measurement due to its reliance on certain unobservable inputs and management judgment. The assumptions used were inherently subject to uncertainty. See </w:t>
      </w:r>
      <w:r>
        <w:rPr>
          <w:rFonts w:ascii="Arial" w:cs="Arial" w:eastAsia="Arial" w:hAnsi="Arial"/>
          <w:sz w:val="19"/>
          <w:szCs w:val="19"/>
          <w:b w:val="1"/>
          <w:bCs w:val="1"/>
          <w:i w:val="1"/>
          <w:iCs w:val="1"/>
          <w:u w:val="single" w:color="auto"/>
          <w:color w:val="0000FF"/>
        </w:rPr>
        <w:t>Note 4. Balance Sheet Components</w:t>
      </w:r>
      <w:r>
        <w:rPr>
          <w:rFonts w:ascii="Arial" w:cs="Arial" w:eastAsia="Arial" w:hAnsi="Arial"/>
          <w:sz w:val="19"/>
          <w:szCs w:val="19"/>
          <w:b w:val="1"/>
          <w:bCs w:val="1"/>
          <w:color w:val="auto"/>
        </w:rPr>
        <w:t xml:space="preserve"> in Part II, Item 8 of this Annual Report on Form 10-K for further information.</w:t>
      </w:r>
    </w:p>
    <w:p>
      <w:pPr>
        <w:spacing w:after="0" w:line="83"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b w:val="1"/>
          <w:bCs w:val="1"/>
          <w:color w:val="auto"/>
        </w:rPr>
        <w:t>Assumptions and estimates about future values are complex and often subjective. They can be affected by a variety of factors, including external factors such as industry and economic trends, and internal factors such as changes in our business strategy and our internal forecasts. For example, if our future operating results do not meet current forecasts or if we experience a sustained decline in our market capitalization that is determined to be indicative of a reduction in fair value of our reporting unit, we may be required to record future impairment charges for goodwill. Impairment charges could materially decrease our future results of operations and result in lower asset values on our balance sheet.</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 xml:space="preserve">Intangible Assets and Other Finite-Lived Assets </w:t>
      </w:r>
      <w:r>
        <w:rPr>
          <w:rFonts w:ascii="Arial" w:cs="Arial" w:eastAsia="Arial" w:hAnsi="Arial"/>
          <w:sz w:val="20"/>
          <w:szCs w:val="20"/>
          <w:b w:val="1"/>
          <w:bCs w:val="1"/>
          <w:i w:val="1"/>
          <w:iCs w:val="1"/>
          <w:color w:val="DF1995"/>
        </w:rPr>
        <w:t>—</w:t>
      </w:r>
      <w:r>
        <w:rPr>
          <w:rFonts w:ascii="Arial" w:cs="Arial" w:eastAsia="Arial" w:hAnsi="Arial"/>
          <w:sz w:val="22"/>
          <w:szCs w:val="22"/>
          <w:b w:val="1"/>
          <w:bCs w:val="1"/>
          <w:color w:val="DF1995"/>
        </w:rPr>
        <w:t xml:space="preserve"> Impairment Assessment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16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We capitalize finite-lived intangible assets and generally amortize such assets on a straight-line basis over their estimated useful lives. We review intangible assets with finite lives and other finite-lived assets for impairment whenever events or changes in circumstances indicate the carrying amount of an asset or asset group may not be recoverable. We assess the recoverability of assets based on the estimated undiscounted future cash flows expected to result from the use and eventual disposition of the asset. If the undiscounted future cash flows are less than the carrying amount, we estimate the fair value of the assets and record an impairment loss if the carrying value exceeds the fair value. In light of the changes in circumstances that led to the recoverability assessment, we also assess the remaining estimated useful life of the assets. Factors that may indicate potential impairment include a significant decline in our stock price and market capitalization compared to net book value, significant changes in the ability of an asset to generate positive cash flows for our strategic business objectives, and the pattern of utilization of a particular asset.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329565</wp:posOffset>
                </wp:positionV>
                <wp:extent cx="731520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5.95pt" to="535pt,25.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329565</wp:posOffset>
                </wp:positionV>
                <wp:extent cx="7315200"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5.95pt" to="535pt,25.9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164">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56" w:lineRule="auto"/>
        <w:rPr>
          <w:sz w:val="20"/>
          <w:szCs w:val="20"/>
          <w:color w:val="auto"/>
        </w:rPr>
      </w:pPr>
      <w:r>
        <w:rPr>
          <w:rFonts w:ascii="Arial" w:cs="Arial" w:eastAsia="Arial" w:hAnsi="Arial"/>
          <w:sz w:val="20"/>
          <w:szCs w:val="20"/>
          <w:b w:val="1"/>
          <w:bCs w:val="1"/>
          <w:color w:val="auto"/>
        </w:rPr>
        <w:t>In order to estimate the fair values of identifiable intangible assets with finite lives and other finite-lived assets, we estimate the present value of future cash flows from those assets. The key assumptions that we use in our cash flow model are the amount and timing of estimated future cash flows to be generated by the asset over an extended period of time and a rate of return that considers the relative risk of achieving the cash flows, the time value of money, and other factors that a willing market participant would consider. Management judgment is required to estimate the amount and timing of future cash flows and the relative risk of achieving those cash flows.</w:t>
      </w:r>
    </w:p>
    <w:p>
      <w:pPr>
        <w:spacing w:after="0" w:line="83"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Assumptions and estimates about future values and remaining useful lives are complex and often subjective. They can be affected by a variety of factors, including external factors such as industry and economic trends, and internal factors such as changes in our business strategy and our internal forecasts. For example, if our future operating results do not meet current forecasts or if we experience a sustained decline in our market capitalization that is determined to be indicative of a reduction in fair value of the asset group, we may be required to record future impairment charges. Impairment charges could materially decrease our future results of operations and result in lower asset values on our balance sheet.</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Contingent Consideration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16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54" w:lineRule="auto"/>
        <w:rPr>
          <w:sz w:val="20"/>
          <w:szCs w:val="20"/>
          <w:color w:val="auto"/>
        </w:rPr>
      </w:pPr>
      <w:r>
        <w:rPr>
          <w:rFonts w:ascii="Arial" w:cs="Arial" w:eastAsia="Arial" w:hAnsi="Arial"/>
          <w:sz w:val="20"/>
          <w:szCs w:val="20"/>
          <w:b w:val="1"/>
          <w:bCs w:val="1"/>
          <w:color w:val="auto"/>
        </w:rPr>
        <w:t>In connection with the acquisition of Omniome in the third quarter of 2021, we entered into an arrangement where we were obligated to pay $200 million in cash and equity dependent upon the achievement of a milestone event upon the first commercial shipment of products developed from our acquired sequencing technology. In the third quarter of 2023, we commenced customer shipments of the Onso short-read sequencing instrument. The milestone payment associated with PacBio’s acquisition of Omniome was triggered in September 2023 once both the Onso instrument and related consumables had been shipped to one customer. Consequently, we paid the former Omniome securityholders milestone consideration of an aggregate of approximately $100.9 million in cash and approximately 9.0 million shares of our common stock in October 2023.</w:t>
      </w:r>
    </w:p>
    <w:p>
      <w:pPr>
        <w:spacing w:after="0" w:line="89" w:lineRule="exact"/>
        <w:rPr>
          <w:sz w:val="20"/>
          <w:szCs w:val="20"/>
          <w:color w:val="auto"/>
        </w:rPr>
      </w:pPr>
    </w:p>
    <w:p>
      <w:pPr>
        <w:jc w:val="both"/>
        <w:ind w:right="700"/>
        <w:spacing w:after="0" w:line="273" w:lineRule="auto"/>
        <w:rPr>
          <w:sz w:val="20"/>
          <w:szCs w:val="20"/>
          <w:color w:val="auto"/>
        </w:rPr>
      </w:pPr>
      <w:r>
        <w:rPr>
          <w:rFonts w:ascii="Arial" w:cs="Arial" w:eastAsia="Arial" w:hAnsi="Arial"/>
          <w:sz w:val="19"/>
          <w:szCs w:val="19"/>
          <w:b w:val="1"/>
          <w:bCs w:val="1"/>
          <w:color w:val="auto"/>
        </w:rPr>
        <w:t xml:space="preserve">In connection with the acquisition of Apton, we entered into an arrangement where we are obligated to pay former holders of Apton's outstanding equity interests $25.0 million upon the achievement of $50 million in revenue associated with a high throughput sequencer using Apton's technology, provided that the milestone event occurs prior to the five-year anniversary of the closing date of the acquisition, which we may elect to pay in cash, shares of our common stock or a combination of cash and shares of our common stock. See </w:t>
      </w:r>
      <w:r>
        <w:rPr>
          <w:rFonts w:ascii="Arial" w:cs="Arial" w:eastAsia="Arial" w:hAnsi="Arial"/>
          <w:sz w:val="19"/>
          <w:szCs w:val="19"/>
          <w:b w:val="1"/>
          <w:bCs w:val="1"/>
          <w:i w:val="1"/>
          <w:iCs w:val="1"/>
          <w:u w:val="single" w:color="auto"/>
          <w:color w:val="0000FF"/>
        </w:rPr>
        <w:t>Note 2.</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u w:val="single" w:color="auto"/>
          <w:color w:val="0000FF"/>
        </w:rPr>
        <w:t>Business Acquisitions</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in Part II, Item 8 of this Annual Report on Form 10-K for further information.</w:t>
      </w:r>
    </w:p>
    <w:p>
      <w:pPr>
        <w:spacing w:after="0" w:line="69" w:lineRule="exact"/>
        <w:rPr>
          <w:sz w:val="20"/>
          <w:szCs w:val="20"/>
          <w:color w:val="auto"/>
        </w:rPr>
      </w:pPr>
    </w:p>
    <w:p>
      <w:pPr>
        <w:jc w:val="both"/>
        <w:ind w:right="700"/>
        <w:spacing w:after="0" w:line="268" w:lineRule="auto"/>
        <w:rPr>
          <w:sz w:val="20"/>
          <w:szCs w:val="20"/>
          <w:color w:val="auto"/>
        </w:rPr>
      </w:pPr>
      <w:r>
        <w:rPr>
          <w:rFonts w:ascii="Arial" w:cs="Arial" w:eastAsia="Arial" w:hAnsi="Arial"/>
          <w:sz w:val="19"/>
          <w:szCs w:val="19"/>
          <w:b w:val="1"/>
          <w:bCs w:val="1"/>
          <w:color w:val="auto"/>
        </w:rPr>
        <w:t xml:space="preserve">We estimate the fair value of the contingent consideration liability based on the simulated revenue of the Company through the five-year anniversary of the closing date of the acquisition. The key input used in the determination of the fair value included projected revenues of the high-throughput short-read products and services leveraging Apton's technology. Primarily due to management's decision to cease development of the high-throughput short-read system, and the resulting changes in the expected future revenues, among other factors, and as the milestone event must occur prior to the five-year anniversary of the closing date of the acquisition, the estimated fair value of the contingent consideration liability is $0. An increase in the fair value of the liability may result from changes in projected revenues, including accelerated timing or higher expected amounts, and from decreases in discount rates, including the risk-free rate and the estimated subordinated credit spread for a CCC credit rating. Refer to </w:t>
      </w:r>
      <w:r>
        <w:rPr>
          <w:rFonts w:ascii="Arial" w:cs="Arial" w:eastAsia="Arial" w:hAnsi="Arial"/>
          <w:sz w:val="19"/>
          <w:szCs w:val="19"/>
          <w:b w:val="1"/>
          <w:bCs w:val="1"/>
          <w:i w:val="1"/>
          <w:iCs w:val="1"/>
          <w:u w:val="single" w:color="auto"/>
          <w:color w:val="0000FF"/>
        </w:rPr>
        <w:t>Note 3. Financial Instruments</w:t>
      </w:r>
      <w:r>
        <w:rPr>
          <w:rFonts w:ascii="Arial" w:cs="Arial" w:eastAsia="Arial" w:hAnsi="Arial"/>
          <w:sz w:val="19"/>
          <w:szCs w:val="19"/>
          <w:b w:val="1"/>
          <w:bCs w:val="1"/>
          <w:color w:val="auto"/>
        </w:rPr>
        <w:t xml:space="preserve"> in Part II, Item 8 of this Annual Report on Form 10-K for further discussion on valuation assumptions.</w:t>
      </w:r>
    </w:p>
    <w:p>
      <w:pPr>
        <w:spacing w:after="0" w:line="76" w:lineRule="exact"/>
        <w:rPr>
          <w:sz w:val="20"/>
          <w:szCs w:val="20"/>
          <w:color w:val="auto"/>
        </w:rPr>
      </w:pPr>
    </w:p>
    <w:p>
      <w:pPr>
        <w:jc w:val="both"/>
        <w:ind w:right="700"/>
        <w:spacing w:after="0" w:line="257" w:lineRule="auto"/>
        <w:rPr>
          <w:sz w:val="20"/>
          <w:szCs w:val="20"/>
          <w:color w:val="auto"/>
        </w:rPr>
      </w:pPr>
      <w:r>
        <w:rPr>
          <w:rFonts w:ascii="Arial" w:cs="Arial" w:eastAsia="Arial" w:hAnsi="Arial"/>
          <w:sz w:val="20"/>
          <w:szCs w:val="20"/>
          <w:b w:val="1"/>
          <w:bCs w:val="1"/>
          <w:color w:val="auto"/>
        </w:rPr>
        <w:t xml:space="preserve">On January 30, 2026, we completed a disposition of assets to Buyer in accordance with the terms of an Asset Purchase Agreement. In connection with the Asset Sale, Buyer will pay at our direction 4% of the net proceeds from the Purchase Price to the former equity holders of Apton related to the waiver of all remaining milestone obligations associated with our purchase of Apton in August 2023, which payment is expected in the first quarter of 2026. See </w:t>
      </w:r>
      <w:r>
        <w:rPr>
          <w:rFonts w:ascii="Arial" w:cs="Arial" w:eastAsia="Arial" w:hAnsi="Arial"/>
          <w:sz w:val="20"/>
          <w:szCs w:val="20"/>
          <w:b w:val="1"/>
          <w:bCs w:val="1"/>
          <w:i w:val="1"/>
          <w:iCs w:val="1"/>
          <w:u w:val="single" w:color="auto"/>
          <w:color w:val="0000FF"/>
        </w:rPr>
        <w:t>Note 12. Subsequent Events</w:t>
      </w:r>
      <w:r>
        <w:rPr>
          <w:rFonts w:ascii="Arial" w:cs="Arial" w:eastAsia="Arial" w:hAnsi="Arial"/>
          <w:sz w:val="20"/>
          <w:szCs w:val="20"/>
          <w:b w:val="1"/>
          <w:bCs w:val="1"/>
          <w:color w:val="auto"/>
        </w:rPr>
        <w:t xml:space="preserve"> in Part II, Item 8 of this Annual Report on Form 10-K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153670</wp:posOffset>
            </wp:positionV>
            <wp:extent cx="6311900" cy="2444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66">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7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RECENT ACCOUNTING PRONOUNCEMENTS</w:t>
      </w:r>
    </w:p>
    <w:p>
      <w:pPr>
        <w:spacing w:after="0" w:line="22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 xml:space="preserve">Please see </w:t>
      </w:r>
      <w:r>
        <w:rPr>
          <w:rFonts w:ascii="Arial" w:cs="Arial" w:eastAsia="Arial" w:hAnsi="Arial"/>
          <w:sz w:val="20"/>
          <w:szCs w:val="20"/>
          <w:b w:val="1"/>
          <w:bCs w:val="1"/>
          <w:i w:val="1"/>
          <w:iCs w:val="1"/>
          <w:u w:val="single" w:color="auto"/>
          <w:color w:val="0000FF"/>
        </w:rPr>
        <w:t>Note 1. Organization and Significant Accounting Policies</w:t>
      </w:r>
      <w:r>
        <w:rPr>
          <w:rFonts w:ascii="Arial" w:cs="Arial" w:eastAsia="Arial" w:hAnsi="Arial"/>
          <w:sz w:val="20"/>
          <w:szCs w:val="20"/>
          <w:b w:val="1"/>
          <w:bCs w:val="1"/>
          <w:color w:val="auto"/>
        </w:rPr>
        <w:t>, subsection titled “Recent Accounting Pronouncements”, in Part II, Item 8 of this Annual Report on Form 10-K for information regarding applicable recent accounting pronouncements.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347980</wp:posOffset>
                </wp:positionV>
                <wp:extent cx="7315200"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7.4pt" to="535pt,27.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347980</wp:posOffset>
                </wp:positionV>
                <wp:extent cx="7315200"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7.4pt" to="535pt,27.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16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DF1995" strokeweight="1pt"/>
            </w:pict>
          </mc:Fallback>
        </mc:AlternateConten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7A. QUANTITATIVE AND QUALITATIVE DISCLOSURES ABOUT MARKET RISK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Interest Rate and Market Risk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16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Our investment portfolio is exposed to market risk from changes in interest rates. The goals of our investment policy are preservation of capital, fulfillment of liquidity needs and fiduciary control of cash and cash equivalents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 for sale and are, due to their short-term nature, subject to minimal interest rate risk.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on December 31, 2025 would have affected the fair value of our investment portfolio by approximately $1.5 million.</w:t>
      </w:r>
    </w:p>
    <w:p>
      <w:pPr>
        <w:spacing w:after="0" w:line="71" w:lineRule="exact"/>
        <w:rPr>
          <w:sz w:val="20"/>
          <w:szCs w:val="20"/>
          <w:color w:val="auto"/>
        </w:rPr>
      </w:pPr>
    </w:p>
    <w:p>
      <w:pPr>
        <w:jc w:val="both"/>
        <w:ind w:right="680"/>
        <w:spacing w:after="0" w:line="289" w:lineRule="auto"/>
        <w:rPr>
          <w:sz w:val="20"/>
          <w:szCs w:val="20"/>
          <w:color w:val="auto"/>
        </w:rPr>
      </w:pPr>
      <w:r>
        <w:rPr>
          <w:rFonts w:ascii="Arial" w:cs="Arial" w:eastAsia="Arial" w:hAnsi="Arial"/>
          <w:sz w:val="18"/>
          <w:szCs w:val="18"/>
          <w:b w:val="1"/>
          <w:bCs w:val="1"/>
          <w:color w:val="auto"/>
        </w:rPr>
        <w:t xml:space="preserve">The carrying value of the 2029 Notes were recorded at the undiscounted cash flow amount on our consolidated balance sheets. The 2030 Notes were recorded at fair value as of the closing date of the related exchange transaction, less debt issuance costs, on our consolidated balance sheets. Because the 2029 Notes and 2030 Notes have fixed annual interest rates of 1.50% and 1.375%, respectively, we do not have any economic interest rate exposure or financial statement risk associated with changes in interest rates. The fair value of the Notes, however, may fluctuate when interest rates and the market price of our stock changes. See </w:t>
      </w:r>
      <w:r>
        <w:rPr>
          <w:rFonts w:ascii="Arial" w:cs="Arial" w:eastAsia="Arial" w:hAnsi="Arial"/>
          <w:sz w:val="18"/>
          <w:szCs w:val="18"/>
          <w:b w:val="1"/>
          <w:bCs w:val="1"/>
          <w:i w:val="1"/>
          <w:iCs w:val="1"/>
          <w:u w:val="single" w:color="auto"/>
          <w:color w:val="0000FF"/>
        </w:rPr>
        <w:t>Note 5. Convertible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0000FF"/>
        </w:rPr>
        <w:t>Senior Notes</w:t>
      </w:r>
      <w:r>
        <w:rPr>
          <w:rFonts w:ascii="Arial" w:cs="Arial" w:eastAsia="Arial" w:hAnsi="Arial"/>
          <w:sz w:val="18"/>
          <w:szCs w:val="18"/>
          <w:b w:val="1"/>
          <w:bCs w:val="1"/>
          <w:i w:val="1"/>
          <w:iCs w:val="1"/>
          <w:color w:val="0000FF"/>
        </w:rPr>
        <w:t xml:space="preserve"> </w:t>
      </w:r>
      <w:r>
        <w:rPr>
          <w:rFonts w:ascii="Arial" w:cs="Arial" w:eastAsia="Arial" w:hAnsi="Arial"/>
          <w:sz w:val="18"/>
          <w:szCs w:val="18"/>
          <w:b w:val="1"/>
          <w:bCs w:val="1"/>
          <w:color w:val="000000"/>
        </w:rPr>
        <w:t>in Part II, Item 8 of this Annual Report on Form 10-K for additional information.</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Foreign Exchange Risk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16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7" w:lineRule="auto"/>
        <w:rPr>
          <w:sz w:val="20"/>
          <w:szCs w:val="20"/>
          <w:color w:val="auto"/>
        </w:rPr>
      </w:pPr>
      <w:r>
        <w:rPr>
          <w:rFonts w:ascii="Arial" w:cs="Arial" w:eastAsia="Arial" w:hAnsi="Arial"/>
          <w:sz w:val="19"/>
          <w:szCs w:val="19"/>
          <w:b w:val="1"/>
          <w:bCs w:val="1"/>
          <w:color w:val="auto"/>
        </w:rPr>
        <w:t>Our revenue, expense, and capital purchasing activities are primarily transacted in U.S. dollars; however, a portion of our operations is conducted in foreign currencies. As a result, we have foreign exchange exposures relating to non-U.S. dollar denominated cash flows and monetary assets and liabilities that are denominated in currencies other than U.S. dollars. The value of the amounts is exposed to changes in currency exchange rates from the time the transactions are originated, until the time the cash settlement is converted into U.S. dollars. Our foreign currency exposure is primarily concentrated in the Euro. While we are exposed to market risks related to changes in foreign currency exchange rates, we do not believe a hypothetical 10% change in exchange rates would have a material impact on our financial position or results of operations. Actual gains and losses in the future may differ materially from these hypothetical gains and losses based on changes in the timing and amount of foreign currency exchange rate movements and our actual exposure. Our international operations are subject to risks typical of international operations, including, but not limited to, differing economic conditions, changes in political climate, differing tax structures, other regulations and restrictions, and foreign exchange rate volatility.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3224530</wp:posOffset>
                </wp:positionV>
                <wp:extent cx="7315200"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53.9pt" to="535pt,253.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3224530</wp:posOffset>
                </wp:positionV>
                <wp:extent cx="7315200"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53.9pt" to="535pt,253.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70">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87" w:name="page88"/>
    <w:bookmarkEnd w:id="8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DF1995" strokeweight="1pt"/>
            </w:pict>
          </mc:Fallback>
        </mc:AlternateConten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8. FINANCIAL STATEMENTS AND SUPPLEMENTARY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380"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DF1995"/>
        </w:rPr>
        <w:t>PACIFIC BIOSCIENCES OF CALIFORNIA, INC.</w:t>
      </w:r>
    </w:p>
    <w:p>
      <w:pPr>
        <w:spacing w:after="0" w:line="37"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80"/>
        </w:trPr>
        <w:tc>
          <w:tcPr>
            <w:tcW w:w="2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Page(s)</w:t>
            </w:r>
          </w:p>
        </w:tc>
      </w:tr>
      <w:tr>
        <w:trPr>
          <w:trHeight w:val="544"/>
        </w:trPr>
        <w:tc>
          <w:tcPr>
            <w:tcW w:w="8840" w:type="dxa"/>
            <w:vAlign w:val="bottom"/>
            <w:gridSpan w:val="9"/>
          </w:tcPr>
          <w:p>
            <w:pPr>
              <w:spacing w:after="0"/>
              <w:rPr>
                <w:sz w:val="20"/>
                <w:szCs w:val="20"/>
                <w:color w:val="auto"/>
              </w:rPr>
            </w:pPr>
            <w:r>
              <w:rPr>
                <w:rFonts w:ascii="Arial" w:cs="Arial" w:eastAsia="Arial" w:hAnsi="Arial"/>
                <w:sz w:val="20"/>
                <w:szCs w:val="20"/>
                <w:b w:val="1"/>
                <w:bCs w:val="1"/>
                <w:color w:val="0000FF"/>
              </w:rPr>
              <w:t xml:space="preserve">Report of Independent Registered Public Accounting Firm (PCAOB ID: </w:t>
            </w:r>
            <w:r>
              <w:rPr>
                <w:rFonts w:ascii="Arial" w:cs="Arial" w:eastAsia="Arial" w:hAnsi="Arial"/>
                <w:sz w:val="20"/>
                <w:szCs w:val="20"/>
                <w:b w:val="1"/>
                <w:bCs w:val="1"/>
                <w:color w:val="000000"/>
              </w:rPr>
              <w:t>42</w:t>
            </w:r>
            <w:r>
              <w:rPr>
                <w:rFonts w:ascii="Arial" w:cs="Arial" w:eastAsia="Arial" w:hAnsi="Arial"/>
                <w:sz w:val="20"/>
                <w:szCs w:val="20"/>
                <w:b w:val="1"/>
                <w:bCs w:val="1"/>
                <w:color w:val="0000FF"/>
              </w:rPr>
              <w:t>)</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8"/>
              </w:rPr>
              <w:t>78</w:t>
            </w:r>
          </w:p>
        </w:tc>
      </w:tr>
      <w:tr>
        <w:trPr>
          <w:trHeight w:val="525"/>
        </w:trPr>
        <w:tc>
          <w:tcPr>
            <w:tcW w:w="6180" w:type="dxa"/>
            <w:vAlign w:val="bottom"/>
            <w:tcBorders>
              <w:top w:val="single" w:sz="8" w:color="0000FF"/>
            </w:tcBorders>
            <w:gridSpan w:val="6"/>
          </w:tcPr>
          <w:p>
            <w:pPr>
              <w:spacing w:after="0"/>
              <w:rPr>
                <w:sz w:val="20"/>
                <w:szCs w:val="20"/>
                <w:color w:val="auto"/>
              </w:rPr>
            </w:pPr>
            <w:r>
              <w:rPr>
                <w:rFonts w:ascii="Arial" w:cs="Arial" w:eastAsia="Arial" w:hAnsi="Arial"/>
                <w:sz w:val="20"/>
                <w:szCs w:val="20"/>
                <w:b w:val="1"/>
                <w:bCs w:val="1"/>
                <w:color w:val="auto"/>
              </w:rPr>
              <w:t>Consolidated Financial Statements</w:t>
            </w:r>
          </w:p>
        </w:tc>
        <w:tc>
          <w:tcPr>
            <w:tcW w:w="2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0"/>
        </w:trPr>
        <w:tc>
          <w:tcPr>
            <w:tcW w:w="2600" w:type="dxa"/>
            <w:vAlign w:val="bottom"/>
            <w:tcBorders>
              <w:bottom w:val="single" w:sz="8" w:color="0000FF"/>
            </w:tcBorders>
          </w:tcPr>
          <w:p>
            <w:pPr>
              <w:spacing w:after="0"/>
              <w:rPr>
                <w:sz w:val="20"/>
                <w:szCs w:val="20"/>
                <w:color w:val="auto"/>
              </w:rPr>
            </w:pPr>
            <w:r>
              <w:rPr>
                <w:rFonts w:ascii="Arial" w:cs="Arial" w:eastAsia="Arial" w:hAnsi="Arial"/>
                <w:sz w:val="20"/>
                <w:szCs w:val="20"/>
                <w:b w:val="1"/>
                <w:bCs w:val="1"/>
                <w:color w:val="0000FF"/>
                <w:w w:val="92"/>
              </w:rPr>
              <w:t>Consolidated Balance Sheets</w:t>
            </w:r>
          </w:p>
        </w:tc>
        <w:tc>
          <w:tcPr>
            <w:tcW w:w="6240" w:type="dxa"/>
            <w:vAlign w:val="bottom"/>
            <w:gridSpan w:val="8"/>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8"/>
              </w:rPr>
              <w:t>80</w:t>
            </w:r>
          </w:p>
        </w:tc>
      </w:tr>
      <w:tr>
        <w:trPr>
          <w:trHeight w:val="355"/>
        </w:trPr>
        <w:tc>
          <w:tcPr>
            <w:tcW w:w="58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b w:val="1"/>
                <w:bCs w:val="1"/>
                <w:color w:val="0000FF"/>
                <w:w w:val="92"/>
              </w:rPr>
              <w:t>Consolidated Statements of Operations and Comprehensive Loss</w:t>
            </w:r>
          </w:p>
        </w:tc>
        <w:tc>
          <w:tcPr>
            <w:tcW w:w="3040" w:type="dxa"/>
            <w:vAlign w:val="bottom"/>
            <w:gridSpan w:val="4"/>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8"/>
              </w:rPr>
              <w:t>81</w:t>
            </w:r>
          </w:p>
        </w:tc>
      </w:tr>
      <w:tr>
        <w:trPr>
          <w:trHeight w:val="355"/>
        </w:trPr>
        <w:tc>
          <w:tcPr>
            <w:tcW w:w="8840" w:type="dxa"/>
            <w:vAlign w:val="bottom"/>
            <w:gridSpan w:val="9"/>
          </w:tcPr>
          <w:p>
            <w:pPr>
              <w:spacing w:after="0"/>
              <w:rPr>
                <w:sz w:val="20"/>
                <w:szCs w:val="20"/>
                <w:color w:val="auto"/>
              </w:rPr>
            </w:pPr>
            <w:r>
              <w:rPr>
                <w:rFonts w:ascii="Arial" w:cs="Arial" w:eastAsia="Arial" w:hAnsi="Arial"/>
                <w:sz w:val="20"/>
                <w:szCs w:val="20"/>
                <w:b w:val="1"/>
                <w:bCs w:val="1"/>
                <w:color w:val="0000FF"/>
              </w:rPr>
              <w:t>Consolidated Statements of Stockholders’ Equity</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8"/>
              </w:rPr>
              <w:t>82</w:t>
            </w:r>
          </w:p>
        </w:tc>
      </w:tr>
      <w:tr>
        <w:trPr>
          <w:trHeight w:val="355"/>
        </w:trPr>
        <w:tc>
          <w:tcPr>
            <w:tcW w:w="35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b w:val="1"/>
                <w:bCs w:val="1"/>
                <w:color w:val="0000FF"/>
                <w:w w:val="92"/>
              </w:rPr>
              <w:t>Consolidated Statements of Cash Flows</w:t>
            </w:r>
          </w:p>
        </w:tc>
        <w:tc>
          <w:tcPr>
            <w:tcW w:w="760" w:type="dxa"/>
            <w:vAlign w:val="bottom"/>
            <w:tcBorders>
              <w:top w:val="single" w:sz="8" w:color="0000FF"/>
            </w:tcBorders>
            <w:gridSpan w:val="2"/>
          </w:tcPr>
          <w:p>
            <w:pPr>
              <w:spacing w:after="0"/>
              <w:rPr>
                <w:sz w:val="24"/>
                <w:szCs w:val="24"/>
                <w:color w:val="auto"/>
              </w:rPr>
            </w:pPr>
          </w:p>
        </w:tc>
        <w:tc>
          <w:tcPr>
            <w:tcW w:w="4520" w:type="dxa"/>
            <w:vAlign w:val="bottom"/>
            <w:gridSpan w:val="5"/>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8"/>
              </w:rPr>
              <w:t>83</w:t>
            </w:r>
          </w:p>
        </w:tc>
      </w:tr>
      <w:tr>
        <w:trPr>
          <w:trHeight w:val="355"/>
        </w:trPr>
        <w:tc>
          <w:tcPr>
            <w:tcW w:w="8840" w:type="dxa"/>
            <w:vAlign w:val="bottom"/>
            <w:gridSpan w:val="9"/>
          </w:tcPr>
          <w:p>
            <w:pPr>
              <w:spacing w:after="0"/>
              <w:rPr>
                <w:sz w:val="20"/>
                <w:szCs w:val="20"/>
                <w:color w:val="auto"/>
              </w:rPr>
            </w:pPr>
            <w:r>
              <w:rPr>
                <w:rFonts w:ascii="Arial" w:cs="Arial" w:eastAsia="Arial" w:hAnsi="Arial"/>
                <w:sz w:val="20"/>
                <w:szCs w:val="20"/>
                <w:b w:val="1"/>
                <w:bCs w:val="1"/>
                <w:color w:val="0000FF"/>
              </w:rPr>
              <w:t>Notes to Consolidated Financial Statements</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8"/>
              </w:rPr>
              <w:t>85</w:t>
            </w:r>
          </w:p>
        </w:tc>
      </w:tr>
      <w:tr>
        <w:trPr>
          <w:trHeight w:val="20"/>
        </w:trPr>
        <w:tc>
          <w:tcPr>
            <w:tcW w:w="2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6017260</wp:posOffset>
                </wp:positionV>
                <wp:extent cx="7315200"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73.8pt" to="535pt,473.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6017260</wp:posOffset>
                </wp:positionV>
                <wp:extent cx="7315200" cy="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73.8pt" to="535pt,473.8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17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 Pacific Biosciences of California, Inc.</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30"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We have audited the accompanying consolidated balance sheets of Pacific Biosciences of California, Inc. (the Company) as of December 31, 2025 and 2024, the related consolidated statements of operations and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85"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0" w:lineRule="exact"/>
        <w:rPr>
          <w:sz w:val="20"/>
          <w:szCs w:val="20"/>
          <w:color w:val="auto"/>
        </w:rPr>
      </w:pPr>
    </w:p>
    <w:p>
      <w:pPr>
        <w:jc w:val="both"/>
        <w:ind w:right="680"/>
        <w:spacing w:after="0" w:line="259" w:lineRule="auto"/>
        <w:rPr>
          <w:sz w:val="20"/>
          <w:szCs w:val="20"/>
          <w:color w:val="auto"/>
        </w:rPr>
      </w:pPr>
      <w:r>
        <w:rPr>
          <w:rFonts w:ascii="Arial" w:cs="Arial" w:eastAsia="Arial" w:hAnsi="Arial"/>
          <w:sz w:val="20"/>
          <w:szCs w:val="20"/>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right="680"/>
        <w:spacing w:after="0" w:line="287" w:lineRule="auto"/>
        <w:rPr>
          <w:sz w:val="20"/>
          <w:szCs w:val="20"/>
          <w:color w:val="auto"/>
        </w:rPr>
      </w:pPr>
      <w:r>
        <w:rPr>
          <w:rFonts w:ascii="Arial" w:cs="Arial" w:eastAsia="Arial" w:hAnsi="Arial"/>
          <w:sz w:val="18"/>
          <w:szCs w:val="18"/>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130"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b w:val="1"/>
          <w:bCs w:val="1"/>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2411730</wp:posOffset>
                </wp:positionV>
                <wp:extent cx="7315200"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89.9pt" to="535pt,18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2411730</wp:posOffset>
                </wp:positionV>
                <wp:extent cx="7315200"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89.9pt" to="535pt,189.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17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89" w:name="page90"/>
    <w:bookmarkEnd w:id="8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60" w:right="2220"/>
        <w:spacing w:after="0" w:line="243" w:lineRule="auto"/>
        <w:rPr>
          <w:sz w:val="20"/>
          <w:szCs w:val="20"/>
          <w:color w:val="auto"/>
        </w:rPr>
      </w:pPr>
      <w:r>
        <w:rPr>
          <w:rFonts w:ascii="Arial" w:cs="Arial" w:eastAsia="Arial" w:hAnsi="Arial"/>
          <w:sz w:val="20"/>
          <w:szCs w:val="20"/>
          <w:b w:val="1"/>
          <w:bCs w:val="1"/>
          <w:i w:val="1"/>
          <w:iCs w:val="1"/>
          <w:color w:val="auto"/>
        </w:rPr>
        <w:t>Revenue recognition - Identification and evaluation of performance obligations</w:t>
      </w:r>
    </w:p>
    <w:p>
      <w:pPr>
        <w:sectPr>
          <w:pgSz w:w="12240" w:h="15840" w:orient="portrait"/>
          <w:cols w:equalWidth="0" w:num="1">
            <w:col w:w="10580"/>
          </w:cols>
          <w:pgMar w:left="1180" w:top="210" w:right="480" w:bottom="0" w:gutter="0" w:footer="0" w:header="0"/>
        </w:sectPr>
      </w:pPr>
    </w:p>
    <w:p>
      <w:pPr>
        <w:spacing w:after="0" w:line="119" w:lineRule="exact"/>
        <w:rPr>
          <w:sz w:val="20"/>
          <w:szCs w:val="20"/>
          <w:color w:val="auto"/>
        </w:rPr>
      </w:pPr>
    </w:p>
    <w:p>
      <w:pPr>
        <w:ind w:left="40" w:right="460"/>
        <w:spacing w:after="0" w:line="243" w:lineRule="auto"/>
        <w:rPr>
          <w:sz w:val="20"/>
          <w:szCs w:val="20"/>
          <w:color w:val="auto"/>
        </w:rPr>
      </w:pPr>
      <w:r>
        <w:rPr>
          <w:rFonts w:ascii="Arial" w:cs="Arial" w:eastAsia="Arial" w:hAnsi="Arial"/>
          <w:sz w:val="20"/>
          <w:szCs w:val="20"/>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line="297" w:lineRule="auto"/>
        <w:rPr>
          <w:sz w:val="20"/>
          <w:szCs w:val="20"/>
          <w:color w:val="auto"/>
        </w:rPr>
      </w:pPr>
      <w:r>
        <w:rPr>
          <w:rFonts w:ascii="Arial" w:cs="Arial" w:eastAsia="Arial" w:hAnsi="Arial"/>
          <w:sz w:val="18"/>
          <w:szCs w:val="18"/>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ind w:right="2220"/>
        <w:spacing w:after="0" w:line="254" w:lineRule="auto"/>
        <w:rPr>
          <w:sz w:val="20"/>
          <w:szCs w:val="20"/>
          <w:color w:val="auto"/>
        </w:rPr>
      </w:pPr>
      <w:r>
        <w:rPr>
          <w:rFonts w:ascii="Arial" w:cs="Arial" w:eastAsia="Arial" w:hAnsi="Arial"/>
          <w:sz w:val="20"/>
          <w:szCs w:val="20"/>
          <w:b w:val="1"/>
          <w:bCs w:val="1"/>
          <w:color w:val="auto"/>
        </w:rPr>
        <w:t>For the year ended December 31, 2025, the Company recognized revenue of $160.0 million, including $135.8 million of product revenue, which consists primarily of instrument sales and related consumables. As described in Note 1 to the consolidated financial statements, the Company may enter into, or periodically modify, contracts with customers that include a combination of promised products and services, resulting in arrangements containing multiple performance obligations. The Company identifies performance obligations for promises to transfer distinct products or services to a customer.</w:t>
      </w:r>
    </w:p>
    <w:p>
      <w:pPr>
        <w:spacing w:after="0" w:line="206" w:lineRule="exact"/>
        <w:rPr>
          <w:sz w:val="20"/>
          <w:szCs w:val="20"/>
          <w:color w:val="auto"/>
        </w:rPr>
      </w:pPr>
    </w:p>
    <w:p>
      <w:pPr>
        <w:jc w:val="both"/>
        <w:ind w:right="2220"/>
        <w:spacing w:after="0" w:line="268" w:lineRule="auto"/>
        <w:rPr>
          <w:sz w:val="20"/>
          <w:szCs w:val="20"/>
          <w:color w:val="auto"/>
        </w:rPr>
      </w:pPr>
      <w:r>
        <w:rPr>
          <w:rFonts w:ascii="Arial" w:cs="Arial" w:eastAsia="Arial" w:hAnsi="Arial"/>
          <w:sz w:val="20"/>
          <w:szCs w:val="20"/>
          <w:b w:val="1"/>
          <w:bCs w:val="1"/>
          <w:color w:val="auto"/>
        </w:rPr>
        <w:t>Auditing management’s identification and evaluation of performance obligations is complex due to the significant volume of sales transactions that require analysis.</w:t>
      </w:r>
    </w:p>
    <w:p>
      <w:pPr>
        <w:spacing w:after="0" w:line="200" w:lineRule="exact"/>
        <w:rPr>
          <w:sz w:val="20"/>
          <w:szCs w:val="20"/>
          <w:color w:val="auto"/>
        </w:rPr>
      </w:pPr>
    </w:p>
    <w:p>
      <w:pPr>
        <w:spacing w:after="0" w:line="270" w:lineRule="exact"/>
        <w:rPr>
          <w:sz w:val="20"/>
          <w:szCs w:val="20"/>
          <w:color w:val="auto"/>
        </w:rPr>
      </w:pPr>
    </w:p>
    <w:p>
      <w:pPr>
        <w:jc w:val="both"/>
        <w:ind w:right="2220"/>
        <w:spacing w:after="0" w:line="262" w:lineRule="auto"/>
        <w:rPr>
          <w:sz w:val="20"/>
          <w:szCs w:val="20"/>
          <w:color w:val="auto"/>
        </w:rPr>
      </w:pPr>
      <w:r>
        <w:rPr>
          <w:rFonts w:ascii="Arial" w:cs="Arial" w:eastAsia="Arial" w:hAnsi="Arial"/>
          <w:sz w:val="20"/>
          <w:szCs w:val="20"/>
          <w:b w:val="1"/>
          <w:bCs w:val="1"/>
          <w:color w:val="auto"/>
        </w:rPr>
        <w:t>We obtained an understanding, evaluated the design, and tested the operating effectiveness of the Company’s internal controls addressing management’s identification and evaluation of performance obligations.</w:t>
      </w:r>
    </w:p>
    <w:p>
      <w:pPr>
        <w:spacing w:after="0" w:line="196" w:lineRule="exact"/>
        <w:rPr>
          <w:sz w:val="20"/>
          <w:szCs w:val="20"/>
          <w:color w:val="auto"/>
        </w:rPr>
      </w:pPr>
    </w:p>
    <w:p>
      <w:pPr>
        <w:jc w:val="both"/>
        <w:ind w:right="2220"/>
        <w:spacing w:after="0" w:line="280" w:lineRule="auto"/>
        <w:rPr>
          <w:sz w:val="20"/>
          <w:szCs w:val="20"/>
          <w:color w:val="auto"/>
        </w:rPr>
      </w:pPr>
      <w:r>
        <w:rPr>
          <w:rFonts w:ascii="Arial" w:cs="Arial" w:eastAsia="Arial" w:hAnsi="Arial"/>
          <w:sz w:val="19"/>
          <w:szCs w:val="19"/>
          <w:b w:val="1"/>
          <w:bCs w:val="1"/>
          <w:color w:val="auto"/>
        </w:rPr>
        <w:t>Our audit procedures included, among others, reading executed contracts for a sample of arrangements and evaluating whether all performance obligations were appropriately identified and accounted for based on terms of the contracts.</w:t>
      </w:r>
    </w:p>
    <w:p>
      <w:pPr>
        <w:spacing w:after="0" w:line="200" w:lineRule="exact"/>
        <w:rPr>
          <w:sz w:val="20"/>
          <w:szCs w:val="20"/>
          <w:color w:val="auto"/>
        </w:rPr>
      </w:pPr>
    </w:p>
    <w:p>
      <w:pPr>
        <w:sectPr>
          <w:pgSz w:w="12240" w:h="15840" w:orient="portrait"/>
          <w:cols w:equalWidth="0" w:num="2">
            <w:col w:w="2080" w:space="180"/>
            <w:col w:w="8320"/>
          </w:cols>
          <w:pgMar w:left="1180" w:top="210" w:right="480" w:bottom="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Ernst &amp; Young LLP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served as the Company’s auditor since 2011.</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Mateo, California</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25,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3078480</wp:posOffset>
                </wp:positionV>
                <wp:extent cx="7315200"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42.4pt" to="535pt,242.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3078480</wp:posOffset>
                </wp:positionV>
                <wp:extent cx="7315200" cy="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42.4pt" to="535pt,242.4pt" o:allowincell="f" strokecolor="#DF1995" strokeweight="1pt"/>
            </w:pict>
          </mc:Fallback>
        </mc:AlternateContent>
      </w:r>
    </w:p>
    <w:p>
      <w:pPr>
        <w:sectPr>
          <w:pgSz w:w="12240" w:h="15840" w:orient="portrait"/>
          <w:cols w:equalWidth="0" w:num="1">
            <w:col w:w="10580"/>
          </w:cols>
          <w:pgMar w:left="1180" w:top="210" w:right="4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73">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406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174">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PACIFIC BIOSCIENCES OF CALIFORNIA, INC.</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CONSOLIDATED BALANCE SHEETS</w:t>
      </w:r>
    </w:p>
    <w:p>
      <w:pPr>
        <w:spacing w:after="0" w:line="305"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21590</wp:posOffset>
            </wp:positionV>
            <wp:extent cx="1746250" cy="776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175">
                      <a:extLst>
                        <a:ext uri="{28A0092B-C50C-407E-A947-70E740481C1C}"/>
                      </a:extLst>
                    </a:blip>
                    <a:srcRect/>
                    <a:stretch>
                      <a:fillRect/>
                    </a:stretch>
                  </pic:blipFill>
                  <pic:spPr bwMode="auto">
                    <a:xfrm>
                      <a:off x="0" y="0"/>
                      <a:ext cx="1746250" cy="7766050"/>
                    </a:xfrm>
                    <a:prstGeom prst="rect">
                      <a:avLst/>
                    </a:prstGeom>
                    <a:noFill/>
                  </pic:spPr>
                </pic:pic>
              </a:graphicData>
            </a:graphic>
          </wp:anchor>
        </w:drawing>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180" w:type="dxa"/>
            <w:vAlign w:val="bottom"/>
          </w:tcPr>
          <w:p>
            <w:pPr>
              <w:spacing w:after="0"/>
              <w:rPr>
                <w:sz w:val="20"/>
                <w:szCs w:val="20"/>
                <w:color w:val="auto"/>
              </w:rPr>
            </w:pPr>
            <w:r>
              <w:rPr>
                <w:rFonts w:ascii="Arial" w:cs="Arial" w:eastAsia="Arial" w:hAnsi="Arial"/>
                <w:sz w:val="15"/>
                <w:szCs w:val="15"/>
                <w:b w:val="1"/>
                <w:bCs w:val="1"/>
                <w:i w:val="1"/>
                <w:iCs w:val="1"/>
                <w:color w:val="auto"/>
              </w:rPr>
              <w:t>(In thousands, except par value)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1383C6"/>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7"/>
        </w:trPr>
        <w:tc>
          <w:tcPr>
            <w:tcW w:w="71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Cash and cash equivalents</w:t>
            </w:r>
          </w:p>
        </w:tc>
        <w:tc>
          <w:tcPr>
            <w:tcW w:w="300" w:type="dxa"/>
            <w:vAlign w:val="bottom"/>
          </w:tcPr>
          <w:p>
            <w:pPr>
              <w:jc w:val="right"/>
              <w:ind w:right="75"/>
              <w:spacing w:after="0"/>
              <w:rPr>
                <w:sz w:val="20"/>
                <w:szCs w:val="20"/>
                <w:color w:val="auto"/>
              </w:rPr>
            </w:pPr>
            <w:r>
              <w:rPr>
                <w:rFonts w:ascii="Arial" w:cs="Arial" w:eastAsia="Arial" w:hAnsi="Arial"/>
                <w:sz w:val="17"/>
                <w:szCs w:val="17"/>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63,707</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55,370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Investments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215,799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334,561</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Accounts receivable,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35,448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27,524</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Inventory,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49,285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58,755</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Prepaid expenses and other current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10,793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18,781</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Arial" w:cs="Arial" w:eastAsia="Arial" w:hAnsi="Arial"/>
                <w:sz w:val="17"/>
                <w:szCs w:val="17"/>
                <w:b w:val="1"/>
                <w:bCs w:val="1"/>
                <w:color w:val="auto"/>
              </w:rPr>
              <w:t>Short-term restricted cash</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1383C6"/>
              </w:rPr>
              <w:t>20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690</w:t>
            </w:r>
          </w:p>
        </w:tc>
        <w:tc>
          <w:tcPr>
            <w:tcW w:w="0" w:type="dxa"/>
            <w:vAlign w:val="bottom"/>
          </w:tcPr>
          <w:p>
            <w:pPr>
              <w:spacing w:after="0"/>
              <w:rPr>
                <w:sz w:val="1"/>
                <w:szCs w:val="1"/>
                <w:color w:val="auto"/>
              </w:rPr>
            </w:pPr>
          </w:p>
        </w:tc>
      </w:tr>
      <w:tr>
        <w:trPr>
          <w:trHeight w:val="247"/>
        </w:trPr>
        <w:tc>
          <w:tcPr>
            <w:tcW w:w="7180" w:type="dxa"/>
            <w:vAlign w:val="bottom"/>
          </w:tcPr>
          <w:p>
            <w:pPr>
              <w:spacing w:after="0"/>
              <w:rPr>
                <w:sz w:val="20"/>
                <w:szCs w:val="20"/>
                <w:color w:val="auto"/>
              </w:rPr>
            </w:pPr>
            <w:r>
              <w:rPr>
                <w:rFonts w:ascii="Arial" w:cs="Arial" w:eastAsia="Arial" w:hAnsi="Arial"/>
                <w:sz w:val="17"/>
                <w:szCs w:val="17"/>
                <w:b w:val="1"/>
                <w:bCs w:val="1"/>
                <w:color w:val="auto"/>
              </w:rPr>
              <w:t>Total current assets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375,052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495,681</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Property and equipment,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24,146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30,505</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Operating lease right-of-use assets,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41,695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16,091</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Long-term restricted cash</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1,532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1,532</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Intangible assets,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15,124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389,572</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Goodwill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317,761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317,761</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Arial" w:cs="Arial" w:eastAsia="Arial" w:hAnsi="Arial"/>
                <w:sz w:val="17"/>
                <w:szCs w:val="17"/>
                <w:b w:val="1"/>
                <w:bCs w:val="1"/>
                <w:color w:val="auto"/>
              </w:rPr>
              <w:t>Other long-term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1383C6"/>
              </w:rPr>
              <w:t>8,773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9,305</w:t>
            </w:r>
          </w:p>
        </w:tc>
        <w:tc>
          <w:tcPr>
            <w:tcW w:w="0" w:type="dxa"/>
            <w:vAlign w:val="bottom"/>
          </w:tcPr>
          <w:p>
            <w:pPr>
              <w:spacing w:after="0"/>
              <w:rPr>
                <w:sz w:val="1"/>
                <w:szCs w:val="1"/>
                <w:color w:val="auto"/>
              </w:rPr>
            </w:pPr>
          </w:p>
        </w:tc>
      </w:tr>
      <w:tr>
        <w:trPr>
          <w:trHeight w:val="245"/>
        </w:trPr>
        <w:tc>
          <w:tcPr>
            <w:tcW w:w="718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300" w:type="dxa"/>
            <w:vAlign w:val="bottom"/>
          </w:tcPr>
          <w:p>
            <w:pPr>
              <w:jc w:val="right"/>
              <w:ind w:right="75"/>
              <w:spacing w:after="0"/>
              <w:rPr>
                <w:sz w:val="20"/>
                <w:szCs w:val="20"/>
                <w:color w:val="auto"/>
              </w:rPr>
            </w:pPr>
            <w:r>
              <w:rPr>
                <w:rFonts w:ascii="Arial" w:cs="Arial" w:eastAsia="Arial" w:hAnsi="Arial"/>
                <w:sz w:val="17"/>
                <w:szCs w:val="17"/>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784,083</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1,260,447</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Accounts payable</w:t>
            </w:r>
          </w:p>
        </w:tc>
        <w:tc>
          <w:tcPr>
            <w:tcW w:w="300" w:type="dxa"/>
            <w:vAlign w:val="bottom"/>
          </w:tcPr>
          <w:p>
            <w:pPr>
              <w:jc w:val="right"/>
              <w:ind w:right="75"/>
              <w:spacing w:after="0"/>
              <w:rPr>
                <w:sz w:val="20"/>
                <w:szCs w:val="20"/>
                <w:color w:val="auto"/>
              </w:rPr>
            </w:pPr>
            <w:r>
              <w:rPr>
                <w:rFonts w:ascii="Arial" w:cs="Arial" w:eastAsia="Arial" w:hAnsi="Arial"/>
                <w:sz w:val="17"/>
                <w:szCs w:val="17"/>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20,770</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16,590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Accrued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33,646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22,595</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Deferred revenue, current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15,936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13,864</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Operating lease liabilities, current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448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10,026</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Arial" w:cs="Arial" w:eastAsia="Arial" w:hAnsi="Arial"/>
                <w:sz w:val="17"/>
                <w:szCs w:val="17"/>
                <w:b w:val="1"/>
                <w:bCs w:val="1"/>
                <w:color w:val="auto"/>
              </w:rPr>
              <w:t>Other liabilities, current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1383C6"/>
              </w:rPr>
              <w:t>2,031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3,224</w:t>
            </w:r>
          </w:p>
        </w:tc>
        <w:tc>
          <w:tcPr>
            <w:tcW w:w="0" w:type="dxa"/>
            <w:vAlign w:val="bottom"/>
          </w:tcPr>
          <w:p>
            <w:pPr>
              <w:spacing w:after="0"/>
              <w:rPr>
                <w:sz w:val="1"/>
                <w:szCs w:val="1"/>
                <w:color w:val="auto"/>
              </w:rPr>
            </w:pPr>
          </w:p>
        </w:tc>
      </w:tr>
      <w:tr>
        <w:trPr>
          <w:trHeight w:val="247"/>
        </w:trPr>
        <w:tc>
          <w:tcPr>
            <w:tcW w:w="718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72,831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66,299</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Deferred revenue, non-current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3,929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5,900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Contingent consideration liability, non-current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18,700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Operating lease liabilities, non-current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56,592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14,914</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Convertible senior notes, net, non-current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645,382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647,494</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Arial" w:cs="Arial" w:eastAsia="Arial" w:hAnsi="Arial"/>
                <w:sz w:val="17"/>
                <w:szCs w:val="17"/>
                <w:b w:val="1"/>
                <w:bCs w:val="1"/>
                <w:color w:val="auto"/>
              </w:rPr>
              <w:t>Other liabilities, non-current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1383C6"/>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546</w:t>
            </w:r>
          </w:p>
        </w:tc>
        <w:tc>
          <w:tcPr>
            <w:tcW w:w="0" w:type="dxa"/>
            <w:vAlign w:val="bottom"/>
          </w:tcPr>
          <w:p>
            <w:pPr>
              <w:spacing w:after="0"/>
              <w:rPr>
                <w:sz w:val="1"/>
                <w:szCs w:val="1"/>
                <w:color w:val="auto"/>
              </w:rPr>
            </w:pPr>
          </w:p>
        </w:tc>
      </w:tr>
      <w:tr>
        <w:trPr>
          <w:trHeight w:val="265"/>
        </w:trPr>
        <w:tc>
          <w:tcPr>
            <w:tcW w:w="718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1383C6"/>
              </w:rPr>
              <w:t>778,734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753,853</w:t>
            </w:r>
          </w:p>
        </w:tc>
        <w:tc>
          <w:tcPr>
            <w:tcW w:w="0" w:type="dxa"/>
            <w:vAlign w:val="bottom"/>
          </w:tcPr>
          <w:p>
            <w:pPr>
              <w:spacing w:after="0"/>
              <w:rPr>
                <w:sz w:val="1"/>
                <w:szCs w:val="1"/>
                <w:color w:val="auto"/>
              </w:rPr>
            </w:pPr>
          </w:p>
        </w:tc>
      </w:tr>
      <w:tr>
        <w:trPr>
          <w:trHeight w:val="247"/>
        </w:trPr>
        <w:tc>
          <w:tcPr>
            <w:tcW w:w="7180" w:type="dxa"/>
            <w:vAlign w:val="bottom"/>
          </w:tcPr>
          <w:p>
            <w:pPr>
              <w:spacing w:after="0"/>
              <w:rPr>
                <w:sz w:val="20"/>
                <w:szCs w:val="20"/>
                <w:color w:val="auto"/>
              </w:rPr>
            </w:pPr>
            <w:r>
              <w:rPr>
                <w:rFonts w:ascii="Arial" w:cs="Arial" w:eastAsia="Arial" w:hAnsi="Arial"/>
                <w:sz w:val="17"/>
                <w:szCs w:val="17"/>
                <w:b w:val="1"/>
                <w:bCs w:val="1"/>
                <w:color w:val="auto"/>
              </w:rPr>
              <w:t>Commitments and contingencies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Preferred stock, $0.001 par value: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Authorized 50,000 shares; No shares issued or outstanding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Common stock, $0.001 par value: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0"/>
                <w:szCs w:val="20"/>
                <w:color w:val="auto"/>
              </w:rPr>
            </w:pPr>
            <w:r>
              <w:rPr>
                <w:rFonts w:ascii="Arial" w:cs="Arial" w:eastAsia="Arial" w:hAnsi="Arial"/>
                <w:sz w:val="17"/>
                <w:szCs w:val="17"/>
                <w:b w:val="1"/>
                <w:bCs w:val="1"/>
                <w:color w:val="auto"/>
              </w:rPr>
              <w:t>Authorized 1,000,000 shares; issued and outstanding 301,956 and 294,418 shares at</w:t>
            </w:r>
          </w:p>
        </w:tc>
        <w:tc>
          <w:tcPr>
            <w:tcW w:w="30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1383C6"/>
              </w:rPr>
              <w:t>302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294</w:t>
            </w:r>
          </w:p>
        </w:tc>
        <w:tc>
          <w:tcPr>
            <w:tcW w:w="0" w:type="dxa"/>
            <w:vAlign w:val="bottom"/>
          </w:tcPr>
          <w:p>
            <w:pPr>
              <w:spacing w:after="0"/>
              <w:rPr>
                <w:sz w:val="1"/>
                <w:szCs w:val="1"/>
                <w:color w:val="auto"/>
              </w:rPr>
            </w:pPr>
          </w:p>
        </w:tc>
      </w:tr>
      <w:tr>
        <w:trPr>
          <w:trHeight w:val="222"/>
        </w:trPr>
        <w:tc>
          <w:tcPr>
            <w:tcW w:w="7180" w:type="dxa"/>
            <w:vAlign w:val="bottom"/>
          </w:tcPr>
          <w:p>
            <w:pPr>
              <w:spacing w:after="0"/>
              <w:rPr>
                <w:sz w:val="20"/>
                <w:szCs w:val="20"/>
                <w:color w:val="auto"/>
              </w:rPr>
            </w:pPr>
            <w:r>
              <w:rPr>
                <w:rFonts w:ascii="Arial" w:cs="Arial" w:eastAsia="Arial" w:hAnsi="Arial"/>
                <w:sz w:val="17"/>
                <w:szCs w:val="17"/>
                <w:b w:val="1"/>
                <w:bCs w:val="1"/>
                <w:color w:val="auto"/>
              </w:rPr>
              <w:t>December 31, 2025 and December 31, 2024, respectively</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Arial" w:cs="Arial" w:eastAsia="Arial" w:hAnsi="Arial"/>
                <w:sz w:val="17"/>
                <w:szCs w:val="17"/>
                <w:b w:val="1"/>
                <w:bCs w:val="1"/>
                <w:color w:val="auto"/>
              </w:rPr>
              <w:t>Additional paid-in capital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2,699,892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2,654,804</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Arial" w:cs="Arial" w:eastAsia="Arial" w:hAnsi="Arial"/>
                <w:sz w:val="17"/>
                <w:szCs w:val="17"/>
                <w:b w:val="1"/>
                <w:bCs w:val="1"/>
                <w:color w:val="auto"/>
              </w:rPr>
              <w:t>Accumulated other comprehensive income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457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422</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Arial" w:cs="Arial" w:eastAsia="Arial" w:hAnsi="Arial"/>
                <w:sz w:val="17"/>
                <w:szCs w:val="17"/>
                <w:b w:val="1"/>
                <w:bCs w:val="1"/>
                <w:color w:val="auto"/>
              </w:rPr>
              <w:t>Accumulated deficit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1383C6"/>
              </w:rPr>
              <w:t>(2,695,302)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(2,148,926)</w:t>
            </w:r>
          </w:p>
        </w:tc>
        <w:tc>
          <w:tcPr>
            <w:tcW w:w="0" w:type="dxa"/>
            <w:vAlign w:val="bottom"/>
          </w:tcPr>
          <w:p>
            <w:pPr>
              <w:spacing w:after="0"/>
              <w:rPr>
                <w:sz w:val="1"/>
                <w:szCs w:val="1"/>
                <w:color w:val="auto"/>
              </w:rPr>
            </w:pPr>
          </w:p>
        </w:tc>
      </w:tr>
      <w:tr>
        <w:trPr>
          <w:trHeight w:val="265"/>
        </w:trPr>
        <w:tc>
          <w:tcPr>
            <w:tcW w:w="7180" w:type="dxa"/>
            <w:vAlign w:val="bottom"/>
          </w:tcPr>
          <w:p>
            <w:pPr>
              <w:spacing w:after="0"/>
              <w:rPr>
                <w:sz w:val="20"/>
                <w:szCs w:val="20"/>
                <w:color w:val="auto"/>
              </w:rPr>
            </w:pPr>
            <w:r>
              <w:rPr>
                <w:rFonts w:ascii="Arial" w:cs="Arial" w:eastAsia="Arial" w:hAnsi="Arial"/>
                <w:sz w:val="17"/>
                <w:szCs w:val="17"/>
                <w:b w:val="1"/>
                <w:bCs w:val="1"/>
                <w:color w:val="auto"/>
              </w:rPr>
              <w:t>Total stockholders’ equity</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1383C6"/>
              </w:rPr>
              <w:t>5,349</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506,594</w:t>
            </w:r>
          </w:p>
        </w:tc>
        <w:tc>
          <w:tcPr>
            <w:tcW w:w="0" w:type="dxa"/>
            <w:vAlign w:val="bottom"/>
          </w:tcPr>
          <w:p>
            <w:pPr>
              <w:spacing w:after="0"/>
              <w:rPr>
                <w:sz w:val="1"/>
                <w:szCs w:val="1"/>
                <w:color w:val="auto"/>
              </w:rPr>
            </w:pPr>
          </w:p>
        </w:tc>
      </w:tr>
      <w:tr>
        <w:trPr>
          <w:trHeight w:val="245"/>
        </w:trPr>
        <w:tc>
          <w:tcPr>
            <w:tcW w:w="718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300" w:type="dxa"/>
            <w:vAlign w:val="bottom"/>
          </w:tcPr>
          <w:p>
            <w:pPr>
              <w:jc w:val="right"/>
              <w:ind w:right="75"/>
              <w:spacing w:after="0"/>
              <w:rPr>
                <w:sz w:val="20"/>
                <w:szCs w:val="20"/>
                <w:color w:val="auto"/>
              </w:rPr>
            </w:pPr>
            <w:r>
              <w:rPr>
                <w:rFonts w:ascii="Arial" w:cs="Arial" w:eastAsia="Arial" w:hAnsi="Arial"/>
                <w:sz w:val="17"/>
                <w:szCs w:val="17"/>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1383C6"/>
              </w:rPr>
              <w:t>784,083</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1,260,447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 xml:space="preserve">See accompanying </w:t>
      </w:r>
      <w:r>
        <w:rPr>
          <w:rFonts w:ascii="Arial" w:cs="Arial" w:eastAsia="Arial" w:hAnsi="Arial"/>
          <w:sz w:val="20"/>
          <w:szCs w:val="20"/>
          <w:b w:val="1"/>
          <w:bCs w:val="1"/>
          <w:u w:val="single" w:color="auto"/>
          <w:color w:val="0000FF"/>
        </w:rPr>
        <w:t>notes</w:t>
      </w:r>
      <w:r>
        <w:rPr>
          <w:rFonts w:ascii="Arial" w:cs="Arial" w:eastAsia="Arial" w:hAnsi="Arial"/>
          <w:sz w:val="20"/>
          <w:szCs w:val="20"/>
          <w:b w:val="1"/>
          <w:bCs w:val="1"/>
          <w:color w:val="auto"/>
        </w:rPr>
        <w:t xml:space="preserve">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471805</wp:posOffset>
                </wp:positionV>
                <wp:extent cx="7315200"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7.15pt" to="535pt,37.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471805</wp:posOffset>
                </wp:positionV>
                <wp:extent cx="7315200" cy="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7.15pt" to="535pt,37.1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17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91" w:name="page92"/>
    <w:bookmarkEnd w:id="9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406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177">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PACIFIC BIOSCIENCES OF CALIFORNIA, INC.</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CONSOLIDATED STATEMENTS OF OPERATIONS AND COMPREHENSIVE LOSS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0"/>
                <w:szCs w:val="20"/>
                <w:color w:val="auto"/>
              </w:rPr>
            </w:pPr>
            <w:r>
              <w:rPr>
                <w:rFonts w:ascii="Arial" w:cs="Arial" w:eastAsia="Arial" w:hAnsi="Arial"/>
                <w:sz w:val="15"/>
                <w:szCs w:val="15"/>
                <w:b w:val="1"/>
                <w:bCs w:val="1"/>
                <w:i w:val="1"/>
                <w:iCs w:val="1"/>
                <w:color w:val="auto"/>
              </w:rPr>
              <w:t>(In thousands, except per share amounts)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1383C6"/>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Product revenue</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135,758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136,149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183,872</w:t>
            </w:r>
          </w:p>
        </w:tc>
        <w:tc>
          <w:tcPr>
            <w:tcW w:w="0" w:type="dxa"/>
            <w:vAlign w:val="bottom"/>
          </w:tcPr>
          <w:p>
            <w:pPr>
              <w:spacing w:after="0"/>
              <w:rPr>
                <w:sz w:val="1"/>
                <w:szCs w:val="1"/>
                <w:color w:val="auto"/>
              </w:rPr>
            </w:pPr>
          </w:p>
        </w:tc>
      </w:tr>
      <w:tr>
        <w:trPr>
          <w:trHeight w:val="317"/>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Service and other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24,247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17,865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16,649</w:t>
            </w:r>
          </w:p>
        </w:tc>
        <w:tc>
          <w:tcPr>
            <w:tcW w:w="0" w:type="dxa"/>
            <w:vAlign w:val="bottom"/>
          </w:tcPr>
          <w:p>
            <w:pPr>
              <w:spacing w:after="0"/>
              <w:rPr>
                <w:sz w:val="1"/>
                <w:szCs w:val="1"/>
                <w:color w:val="auto"/>
              </w:rPr>
            </w:pPr>
          </w:p>
        </w:tc>
      </w:tr>
      <w:tr>
        <w:trPr>
          <w:trHeight w:val="263"/>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160,005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154,014</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200,521</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Cost of Revenue: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Cost of product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89,763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92,284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127,568</w:t>
            </w: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Cost of service and other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15,390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14,057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14,754</w:t>
            </w: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Amortization of acquired intangible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4,894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9,393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1,983</w:t>
            </w:r>
          </w:p>
        </w:tc>
        <w:tc>
          <w:tcPr>
            <w:tcW w:w="0" w:type="dxa"/>
            <w:vAlign w:val="bottom"/>
          </w:tcPr>
          <w:p>
            <w:pPr>
              <w:spacing w:after="0"/>
              <w:rPr>
                <w:sz w:val="1"/>
                <w:szCs w:val="1"/>
                <w:color w:val="auto"/>
              </w:rPr>
            </w:pPr>
          </w:p>
        </w:tc>
      </w:tr>
      <w:tr>
        <w:trPr>
          <w:trHeight w:val="317"/>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Loss on purchase commitment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4,178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3,436</w:t>
            </w:r>
          </w:p>
        </w:tc>
        <w:tc>
          <w:tcPr>
            <w:tcW w:w="0" w:type="dxa"/>
            <w:vAlign w:val="bottom"/>
          </w:tcPr>
          <w:p>
            <w:pPr>
              <w:spacing w:after="0"/>
              <w:rPr>
                <w:sz w:val="1"/>
                <w:szCs w:val="1"/>
                <w:color w:val="auto"/>
              </w:rPr>
            </w:pPr>
          </w:p>
        </w:tc>
      </w:tr>
      <w:tr>
        <w:trPr>
          <w:trHeight w:val="280"/>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Total cost of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114,225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116,732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147,741</w:t>
            </w:r>
          </w:p>
        </w:tc>
        <w:tc>
          <w:tcPr>
            <w:tcW w:w="0" w:type="dxa"/>
            <w:vAlign w:val="bottom"/>
          </w:tcPr>
          <w:p>
            <w:pPr>
              <w:spacing w:after="0"/>
              <w:rPr>
                <w:sz w:val="1"/>
                <w:szCs w:val="1"/>
                <w:color w:val="auto"/>
              </w:rPr>
            </w:pPr>
          </w:p>
        </w:tc>
      </w:tr>
      <w:tr>
        <w:trPr>
          <w:trHeight w:val="263"/>
        </w:trPr>
        <w:tc>
          <w:tcPr>
            <w:tcW w:w="5820" w:type="dxa"/>
            <w:vAlign w:val="bottom"/>
          </w:tcPr>
          <w:p>
            <w:pPr>
              <w:ind w:left="5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45,780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37,282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52,780</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97,307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134,922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187,170</w:t>
            </w: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Sales, general and administrative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141,493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175,017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169,818</w:t>
            </w: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Impairment charges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15,000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184,500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Merger-related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9,042</w:t>
            </w: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Amortization of acquired intangible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364,541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18,006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6,157</w:t>
            </w:r>
          </w:p>
        </w:tc>
        <w:tc>
          <w:tcPr>
            <w:tcW w:w="0" w:type="dxa"/>
            <w:vAlign w:val="bottom"/>
          </w:tcPr>
          <w:p>
            <w:pPr>
              <w:spacing w:after="0"/>
              <w:rPr>
                <w:sz w:val="1"/>
                <w:szCs w:val="1"/>
                <w:color w:val="auto"/>
              </w:rPr>
            </w:pPr>
          </w:p>
        </w:tc>
      </w:tr>
      <w:tr>
        <w:trPr>
          <w:trHeight w:val="317"/>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Change in fair value of contingent consideration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(18,700)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15,060</w:t>
            </w:r>
          </w:p>
        </w:tc>
        <w:tc>
          <w:tcPr>
            <w:tcW w:w="0" w:type="dxa"/>
            <w:vAlign w:val="bottom"/>
          </w:tcPr>
          <w:p>
            <w:pPr>
              <w:spacing w:after="0"/>
              <w:rPr>
                <w:sz w:val="1"/>
                <w:szCs w:val="1"/>
                <w:color w:val="auto"/>
              </w:rPr>
            </w:pPr>
          </w:p>
        </w:tc>
      </w:tr>
      <w:tr>
        <w:trPr>
          <w:trHeight w:val="280"/>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599,641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511,595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387,247</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(553,861)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(474,313)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(334,467)</w:t>
            </w: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Loss on extinguishment of debt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(2,033)</w:t>
            </w: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Gain on debt restructuring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154,407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(6,954)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(13,412)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(14,343)</w:t>
            </w:r>
          </w:p>
        </w:tc>
        <w:tc>
          <w:tcPr>
            <w:tcW w:w="0" w:type="dxa"/>
            <w:vAlign w:val="bottom"/>
          </w:tcPr>
          <w:p>
            <w:pPr>
              <w:spacing w:after="0"/>
              <w:rPr>
                <w:sz w:val="1"/>
                <w:szCs w:val="1"/>
                <w:color w:val="auto"/>
              </w:rPr>
            </w:pPr>
          </w:p>
        </w:tc>
      </w:tr>
      <w:tr>
        <w:trPr>
          <w:trHeight w:val="317"/>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Other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14,757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23,783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32,684</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(546,058)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(309,535)</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(318,159)</w:t>
            </w:r>
          </w:p>
        </w:tc>
        <w:tc>
          <w:tcPr>
            <w:tcW w:w="0" w:type="dxa"/>
            <w:vAlign w:val="bottom"/>
          </w:tcPr>
          <w:p>
            <w:pPr>
              <w:spacing w:after="0"/>
              <w:rPr>
                <w:sz w:val="1"/>
                <w:szCs w:val="1"/>
                <w:color w:val="auto"/>
              </w:rPr>
            </w:pPr>
          </w:p>
        </w:tc>
      </w:tr>
      <w:tr>
        <w:trPr>
          <w:trHeight w:val="317"/>
        </w:trPr>
        <w:tc>
          <w:tcPr>
            <w:tcW w:w="5820" w:type="dxa"/>
            <w:vAlign w:val="bottom"/>
          </w:tcPr>
          <w:p>
            <w:pPr>
              <w:spacing w:after="0"/>
              <w:rPr>
                <w:sz w:val="20"/>
                <w:szCs w:val="20"/>
                <w:color w:val="auto"/>
              </w:rPr>
            </w:pPr>
            <w:r>
              <w:rPr>
                <w:rFonts w:ascii="Arial" w:cs="Arial" w:eastAsia="Arial" w:hAnsi="Arial"/>
                <w:sz w:val="18"/>
                <w:szCs w:val="18"/>
                <w:b w:val="1"/>
                <w:bCs w:val="1"/>
                <w:color w:val="auto"/>
              </w:rPr>
              <w:t>Income tax provision (benefit)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318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(11,424)</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(546,376)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(309,851)</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(306,735)</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Unrealized gain on investments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4,984</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(546,341)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(309,648)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(301,751)</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Net loss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Basic</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(1.82)</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60" w:type="dxa"/>
            <w:vAlign w:val="bottom"/>
          </w:tcPr>
          <w:p>
            <w:pPr>
              <w:spacing w:after="0"/>
              <w:rPr>
                <w:sz w:val="24"/>
                <w:szCs w:val="24"/>
                <w:color w:val="auto"/>
              </w:rPr>
            </w:pP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(1.82)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Weighted average shares outstanding used in calculating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00"/>
              <w:spacing w:after="0"/>
              <w:rPr>
                <w:sz w:val="20"/>
                <w:szCs w:val="20"/>
                <w:color w:val="auto"/>
              </w:rPr>
            </w:pPr>
            <w:r>
              <w:rPr>
                <w:rFonts w:ascii="Arial" w:cs="Arial" w:eastAsia="Arial" w:hAnsi="Arial"/>
                <w:sz w:val="18"/>
                <w:szCs w:val="18"/>
                <w:b w:val="1"/>
                <w:bCs w:val="1"/>
                <w:color w:val="auto"/>
              </w:rPr>
              <w:t>net loss per share: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Basic</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299,959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274,488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253,629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299,959</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288,366</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253,629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-7384415</wp:posOffset>
            </wp:positionV>
            <wp:extent cx="2613025" cy="7404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78">
                      <a:extLst>
                        <a:ext uri="{28A0092B-C50C-407E-A947-70E740481C1C}"/>
                      </a:extLst>
                    </a:blip>
                    <a:srcRect/>
                    <a:stretch>
                      <a:fillRect/>
                    </a:stretch>
                  </pic:blipFill>
                  <pic:spPr bwMode="auto">
                    <a:xfrm>
                      <a:off x="0" y="0"/>
                      <a:ext cx="2613025" cy="7404100"/>
                    </a:xfrm>
                    <a:prstGeom prst="rect">
                      <a:avLst/>
                    </a:prstGeom>
                    <a:noFill/>
                  </pic:spPr>
                </pic:pic>
              </a:graphicData>
            </a:graphic>
          </wp:anchor>
        </w:drawing>
      </w:r>
    </w:p>
    <w:p>
      <w:pPr>
        <w:spacing w:after="0" w:line="110"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 xml:space="preserve">See accompanying </w:t>
      </w:r>
      <w:r>
        <w:rPr>
          <w:rFonts w:ascii="Arial" w:cs="Arial" w:eastAsia="Arial" w:hAnsi="Arial"/>
          <w:sz w:val="20"/>
          <w:szCs w:val="20"/>
          <w:b w:val="1"/>
          <w:bCs w:val="1"/>
          <w:u w:val="single" w:color="auto"/>
          <w:color w:val="0000FF"/>
        </w:rPr>
        <w:t>notes</w:t>
      </w:r>
      <w:r>
        <w:rPr>
          <w:rFonts w:ascii="Arial" w:cs="Arial" w:eastAsia="Arial" w:hAnsi="Arial"/>
          <w:sz w:val="20"/>
          <w:szCs w:val="20"/>
          <w:b w:val="1"/>
          <w:bCs w:val="1"/>
          <w:color w:val="auto"/>
        </w:rPr>
        <w:t xml:space="preserve">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795655</wp:posOffset>
                </wp:positionV>
                <wp:extent cx="7315200"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62.65pt" to="535pt,62.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795655</wp:posOffset>
                </wp:positionV>
                <wp:extent cx="7315200"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62.65pt" to="535pt,62.6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17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406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180">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0" w:right="4620"/>
        <w:spacing w:after="0" w:line="368" w:lineRule="auto"/>
        <w:rPr>
          <w:sz w:val="20"/>
          <w:szCs w:val="20"/>
          <w:color w:val="auto"/>
        </w:rPr>
      </w:pPr>
      <w:r>
        <w:rPr>
          <w:rFonts w:ascii="Arial" w:cs="Arial" w:eastAsia="Arial" w:hAnsi="Arial"/>
          <w:sz w:val="19"/>
          <w:szCs w:val="19"/>
          <w:b w:val="1"/>
          <w:bCs w:val="1"/>
          <w:color w:val="FFFFFF"/>
        </w:rPr>
        <w:t>PACIFIC BIOSCIENCES OF CALIFORNIA, INC. CONSOLIDATED STATEMENTS OF STOCKHOLDERS' EQUITY</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Arial" w:cs="Arial" w:eastAsia="Arial" w:hAnsi="Arial"/>
                <w:sz w:val="16"/>
                <w:szCs w:val="16"/>
                <w:b w:val="1"/>
                <w:bCs w:val="1"/>
                <w:color w:val="auto"/>
                <w:w w:val="95"/>
              </w:rPr>
              <w:t>Accumulated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2240" w:type="dxa"/>
            <w:vAlign w:val="bottom"/>
            <w:gridSpan w:val="4"/>
            <w:vMerge w:val="restart"/>
          </w:tcPr>
          <w:p>
            <w:pPr>
              <w:jc w:val="right"/>
              <w:ind w:right="478"/>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38"/>
              <w:spacing w:after="0" w:line="173" w:lineRule="exact"/>
              <w:rPr>
                <w:sz w:val="20"/>
                <w:szCs w:val="20"/>
                <w:color w:val="auto"/>
              </w:rPr>
            </w:pPr>
            <w:r>
              <w:rPr>
                <w:rFonts w:ascii="Arial" w:cs="Arial" w:eastAsia="Arial" w:hAnsi="Arial"/>
                <w:sz w:val="16"/>
                <w:szCs w:val="16"/>
                <w:b w:val="1"/>
                <w:bCs w:val="1"/>
                <w:color w:val="auto"/>
                <w:w w:val="97"/>
              </w:rPr>
              <w:t>Additional</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98"/>
              <w:spacing w:after="0" w:line="173" w:lineRule="exact"/>
              <w:rPr>
                <w:sz w:val="20"/>
                <w:szCs w:val="20"/>
                <w:color w:val="auto"/>
              </w:rPr>
            </w:pPr>
            <w:r>
              <w:rPr>
                <w:rFonts w:ascii="Arial" w:cs="Arial" w:eastAsia="Arial" w:hAnsi="Arial"/>
                <w:sz w:val="16"/>
                <w:szCs w:val="16"/>
                <w:b w:val="1"/>
                <w:bCs w:val="1"/>
                <w:color w:val="auto"/>
                <w:w w:val="93"/>
              </w:rPr>
              <w:t>Other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center"/>
              <w:ind w:right="198"/>
              <w:spacing w:after="0" w:line="173" w:lineRule="exact"/>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2240" w:type="dxa"/>
            <w:vAlign w:val="bottom"/>
            <w:tcBorders>
              <w:bottom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258"/>
              <w:spacing w:after="0" w:line="173" w:lineRule="exact"/>
              <w:rPr>
                <w:sz w:val="20"/>
                <w:szCs w:val="20"/>
                <w:color w:val="auto"/>
              </w:rPr>
            </w:pPr>
            <w:r>
              <w:rPr>
                <w:rFonts w:ascii="Arial" w:cs="Arial" w:eastAsia="Arial" w:hAnsi="Arial"/>
                <w:sz w:val="16"/>
                <w:szCs w:val="16"/>
                <w:b w:val="1"/>
                <w:bCs w:val="1"/>
                <w:color w:val="auto"/>
              </w:rPr>
              <w:t>Paid-in</w:t>
            </w:r>
          </w:p>
        </w:tc>
        <w:tc>
          <w:tcPr>
            <w:tcW w:w="60" w:type="dxa"/>
            <w:vAlign w:val="bottom"/>
          </w:tcPr>
          <w:p>
            <w:pPr>
              <w:spacing w:after="0"/>
              <w:rPr>
                <w:sz w:val="10"/>
                <w:szCs w:val="10"/>
                <w:color w:val="auto"/>
              </w:rPr>
            </w:pPr>
          </w:p>
        </w:tc>
        <w:tc>
          <w:tcPr>
            <w:tcW w:w="1320" w:type="dxa"/>
            <w:vAlign w:val="bottom"/>
            <w:gridSpan w:val="2"/>
            <w:vMerge w:val="restart"/>
          </w:tcPr>
          <w:p>
            <w:pPr>
              <w:jc w:val="center"/>
              <w:spacing w:after="0" w:line="173" w:lineRule="exact"/>
              <w:rPr>
                <w:sz w:val="20"/>
                <w:szCs w:val="20"/>
                <w:color w:val="auto"/>
              </w:rPr>
            </w:pPr>
            <w:r>
              <w:rPr>
                <w:rFonts w:ascii="Arial" w:cs="Arial" w:eastAsia="Arial" w:hAnsi="Arial"/>
                <w:sz w:val="16"/>
                <w:szCs w:val="16"/>
                <w:b w:val="1"/>
                <w:bCs w:val="1"/>
                <w:color w:val="auto"/>
                <w:w w:val="93"/>
              </w:rPr>
              <w:t>Comprehensive</w:t>
            </w:r>
          </w:p>
        </w:tc>
        <w:tc>
          <w:tcPr>
            <w:tcW w:w="60" w:type="dxa"/>
            <w:vAlign w:val="bottom"/>
          </w:tcPr>
          <w:p>
            <w:pPr>
              <w:spacing w:after="0"/>
              <w:rPr>
                <w:sz w:val="10"/>
                <w:szCs w:val="10"/>
                <w:color w:val="auto"/>
              </w:rPr>
            </w:pPr>
          </w:p>
        </w:tc>
        <w:tc>
          <w:tcPr>
            <w:tcW w:w="1200" w:type="dxa"/>
            <w:vAlign w:val="bottom"/>
            <w:gridSpan w:val="2"/>
            <w:vMerge w:val="restart"/>
          </w:tcPr>
          <w:p>
            <w:pPr>
              <w:jc w:val="right"/>
              <w:ind w:right="58"/>
              <w:spacing w:after="0" w:line="173" w:lineRule="exact"/>
              <w:rPr>
                <w:sz w:val="20"/>
                <w:szCs w:val="20"/>
                <w:color w:val="auto"/>
              </w:rPr>
            </w:pPr>
            <w:r>
              <w:rPr>
                <w:rFonts w:ascii="Arial" w:cs="Arial" w:eastAsia="Arial" w:hAnsi="Arial"/>
                <w:sz w:val="16"/>
                <w:szCs w:val="16"/>
                <w:b w:val="1"/>
                <w:bCs w:val="1"/>
                <w:color w:val="auto"/>
              </w:rPr>
              <w:t>Accumulated</w:t>
            </w:r>
          </w:p>
        </w:tc>
        <w:tc>
          <w:tcPr>
            <w:tcW w:w="60" w:type="dxa"/>
            <w:vAlign w:val="bottom"/>
          </w:tcPr>
          <w:p>
            <w:pPr>
              <w:spacing w:after="0"/>
              <w:rPr>
                <w:sz w:val="10"/>
                <w:szCs w:val="10"/>
                <w:color w:val="auto"/>
              </w:rPr>
            </w:pPr>
          </w:p>
        </w:tc>
        <w:tc>
          <w:tcPr>
            <w:tcW w:w="1200" w:type="dxa"/>
            <w:vAlign w:val="bottom"/>
            <w:gridSpan w:val="2"/>
            <w:vMerge w:val="restart"/>
          </w:tcPr>
          <w:p>
            <w:pPr>
              <w:jc w:val="center"/>
              <w:spacing w:after="0" w:line="173" w:lineRule="exact"/>
              <w:rPr>
                <w:sz w:val="20"/>
                <w:szCs w:val="20"/>
                <w:color w:val="auto"/>
              </w:rPr>
            </w:pPr>
            <w:r>
              <w:rPr>
                <w:rFonts w:ascii="Arial" w:cs="Arial" w:eastAsia="Arial" w:hAnsi="Arial"/>
                <w:sz w:val="16"/>
                <w:szCs w:val="16"/>
                <w:b w:val="1"/>
                <w:bCs w:val="1"/>
                <w:color w:val="auto"/>
                <w:w w:val="93"/>
              </w:rPr>
              <w:t>Stockholders'</w:t>
            </w: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460" w:type="dxa"/>
            <w:vAlign w:val="bottom"/>
          </w:tcPr>
          <w:p>
            <w:pPr>
              <w:spacing w:after="0"/>
              <w:rPr>
                <w:sz w:val="20"/>
                <w:szCs w:val="20"/>
                <w:color w:val="auto"/>
              </w:rPr>
            </w:pPr>
            <w:r>
              <w:rPr>
                <w:rFonts w:ascii="Arial" w:cs="Arial" w:eastAsia="Arial" w:hAnsi="Arial"/>
                <w:sz w:val="15"/>
                <w:szCs w:val="15"/>
                <w:b w:val="1"/>
                <w:bCs w:val="1"/>
                <w:i w:val="1"/>
                <w:iCs w:val="1"/>
                <w:color w:val="auto"/>
              </w:rPr>
              <w:t>(In thousands)</w:t>
            </w:r>
          </w:p>
        </w:tc>
        <w:tc>
          <w:tcPr>
            <w:tcW w:w="11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Capital</w:t>
            </w:r>
          </w:p>
        </w:tc>
        <w:tc>
          <w:tcPr>
            <w:tcW w:w="60" w:type="dxa"/>
            <w:vAlign w:val="bottom"/>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Income (Loss)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8"/>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Arial" w:cs="Arial" w:eastAsia="Arial" w:hAnsi="Arial"/>
                <w:sz w:val="16"/>
                <w:szCs w:val="16"/>
                <w:b w:val="1"/>
                <w:bCs w:val="1"/>
                <w:color w:val="auto"/>
              </w:rPr>
              <w:t>Balance at December 31, 2022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226,505</w:t>
            </w:r>
          </w:p>
        </w:tc>
        <w:tc>
          <w:tcPr>
            <w:tcW w:w="26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2,099,782</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(4,765)</w:t>
            </w:r>
          </w:p>
        </w:tc>
        <w:tc>
          <w:tcPr>
            <w:tcW w:w="26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(1,532,340)</w:t>
            </w:r>
          </w:p>
        </w:tc>
        <w:tc>
          <w:tcPr>
            <w:tcW w:w="32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562,904</w:t>
            </w:r>
          </w:p>
        </w:tc>
        <w:tc>
          <w:tcPr>
            <w:tcW w:w="0" w:type="dxa"/>
            <w:vAlign w:val="bottom"/>
          </w:tcPr>
          <w:p>
            <w:pPr>
              <w:spacing w:after="0"/>
              <w:rPr>
                <w:sz w:val="1"/>
                <w:szCs w:val="1"/>
                <w:color w:val="auto"/>
              </w:rPr>
            </w:pPr>
          </w:p>
        </w:tc>
      </w:tr>
      <w:tr>
        <w:trPr>
          <w:trHeight w:val="285"/>
        </w:trPr>
        <w:tc>
          <w:tcPr>
            <w:tcW w:w="24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(306,735)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(306,735)</w:t>
            </w:r>
          </w:p>
        </w:tc>
        <w:tc>
          <w:tcPr>
            <w:tcW w:w="0" w:type="dxa"/>
            <w:vAlign w:val="bottom"/>
          </w:tcPr>
          <w:p>
            <w:pPr>
              <w:spacing w:after="0"/>
              <w:rPr>
                <w:sz w:val="1"/>
                <w:szCs w:val="1"/>
                <w:color w:val="auto"/>
              </w:rPr>
            </w:pPr>
          </w:p>
        </w:tc>
      </w:tr>
      <w:tr>
        <w:trPr>
          <w:trHeight w:val="285"/>
        </w:trPr>
        <w:tc>
          <w:tcPr>
            <w:tcW w:w="246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4,984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4,984</w:t>
            </w: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r>
              <w:rPr>
                <w:rFonts w:ascii="Arial" w:cs="Arial" w:eastAsia="Arial" w:hAnsi="Arial"/>
                <w:sz w:val="16"/>
                <w:szCs w:val="16"/>
                <w:b w:val="1"/>
                <w:bCs w:val="1"/>
                <w:color w:val="auto"/>
              </w:rPr>
              <w:t>Issuance of common stock</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6"/>
                <w:szCs w:val="16"/>
                <w:b w:val="1"/>
                <w:bCs w:val="1"/>
                <w:color w:val="auto"/>
                <w:w w:val="97"/>
              </w:rPr>
              <w:t>following milestone achievement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8,988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84,752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84,761</w:t>
            </w: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r>
              <w:rPr>
                <w:rFonts w:ascii="Arial" w:cs="Arial" w:eastAsia="Arial" w:hAnsi="Arial"/>
                <w:sz w:val="16"/>
                <w:szCs w:val="16"/>
                <w:b w:val="1"/>
                <w:bCs w:val="1"/>
                <w:color w:val="auto"/>
              </w:rPr>
              <w:t>Issuance of common stock in</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6"/>
                <w:szCs w:val="16"/>
                <w:b w:val="1"/>
                <w:bCs w:val="1"/>
                <w:color w:val="auto"/>
              </w:rPr>
              <w:t>acquisition of Apton</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6,121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76,636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76,642</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6"/>
                <w:szCs w:val="16"/>
                <w:b w:val="1"/>
                <w:bCs w:val="1"/>
                <w:color w:val="auto"/>
              </w:rPr>
              <w:t>Issuance of common stock in</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line="173" w:lineRule="exact"/>
              <w:rPr>
                <w:sz w:val="20"/>
                <w:szCs w:val="20"/>
                <w:color w:val="auto"/>
              </w:rPr>
            </w:pPr>
            <w:r>
              <w:rPr>
                <w:rFonts w:ascii="Arial" w:cs="Arial" w:eastAsia="Arial" w:hAnsi="Arial"/>
                <w:sz w:val="16"/>
                <w:szCs w:val="16"/>
                <w:b w:val="1"/>
                <w:bCs w:val="1"/>
                <w:color w:val="auto"/>
              </w:rPr>
              <w:t>connection with Apton liquidity</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b w:val="1"/>
                <w:bCs w:val="1"/>
                <w:color w:val="auto"/>
              </w:rPr>
              <w:t>event bonus plan</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169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2,111</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6"/>
                <w:szCs w:val="16"/>
                <w:b w:val="1"/>
                <w:bCs w:val="1"/>
                <w:color w:val="auto"/>
                <w:w w:val="99"/>
              </w:rPr>
              <w:t>Issuance of common stock from</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line="173" w:lineRule="exact"/>
              <w:rPr>
                <w:sz w:val="20"/>
                <w:szCs w:val="20"/>
                <w:color w:val="auto"/>
              </w:rPr>
            </w:pPr>
            <w:r>
              <w:rPr>
                <w:rFonts w:ascii="Arial" w:cs="Arial" w:eastAsia="Arial" w:hAnsi="Arial"/>
                <w:sz w:val="16"/>
                <w:szCs w:val="16"/>
                <w:b w:val="1"/>
                <w:bCs w:val="1"/>
                <w:color w:val="auto"/>
              </w:rPr>
              <w:t>Underwritten Public Equity</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b w:val="1"/>
                <w:bCs w:val="1"/>
                <w:color w:val="auto"/>
              </w:rPr>
              <w:t>Offering, net of issuance costs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189,180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189,200</w:t>
            </w: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r>
              <w:rPr>
                <w:rFonts w:ascii="Arial" w:cs="Arial" w:eastAsia="Arial" w:hAnsi="Arial"/>
                <w:sz w:val="16"/>
                <w:szCs w:val="16"/>
                <w:b w:val="1"/>
                <w:bCs w:val="1"/>
                <w:color w:val="auto"/>
              </w:rPr>
              <w:t>Issuance of common stock in</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6"/>
                <w:szCs w:val="16"/>
                <w:b w:val="1"/>
                <w:bCs w:val="1"/>
                <w:color w:val="auto"/>
              </w:rPr>
              <w:t>conjunction with equity plans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5,836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15,313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15,319</w:t>
            </w: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r>
              <w:rPr>
                <w:rFonts w:ascii="Arial" w:cs="Arial" w:eastAsia="Arial" w:hAnsi="Arial"/>
                <w:sz w:val="16"/>
                <w:szCs w:val="16"/>
                <w:b w:val="1"/>
                <w:bCs w:val="1"/>
                <w:color w:val="auto"/>
              </w:rPr>
              <w:t>Share-based compensation</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0"/>
                <w:szCs w:val="20"/>
                <w:color w:val="auto"/>
              </w:rPr>
            </w:pPr>
            <w:r>
              <w:rPr>
                <w:rFonts w:ascii="Arial" w:cs="Arial" w:eastAsia="Arial" w:hAnsi="Arial"/>
                <w:sz w:val="16"/>
                <w:szCs w:val="16"/>
                <w:b w:val="1"/>
                <w:bCs w:val="1"/>
                <w:color w:val="auto"/>
              </w:rPr>
              <w:t>expense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72,118</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72,118</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Arial" w:cs="Arial" w:eastAsia="Arial" w:hAnsi="Arial"/>
                <w:sz w:val="16"/>
                <w:szCs w:val="16"/>
                <w:b w:val="1"/>
                <w:bCs w:val="1"/>
                <w:color w:val="auto"/>
              </w:rPr>
              <w:t>Balance at December 31, 2023</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267,744</w:t>
            </w:r>
          </w:p>
        </w:tc>
        <w:tc>
          <w:tcPr>
            <w:tcW w:w="26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268</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2,539,892</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219</w:t>
            </w:r>
          </w:p>
        </w:tc>
        <w:tc>
          <w:tcPr>
            <w:tcW w:w="26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(1,839,075)</w:t>
            </w:r>
          </w:p>
        </w:tc>
        <w:tc>
          <w:tcPr>
            <w:tcW w:w="32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701,304</w:t>
            </w:r>
          </w:p>
        </w:tc>
        <w:tc>
          <w:tcPr>
            <w:tcW w:w="0" w:type="dxa"/>
            <w:vAlign w:val="bottom"/>
          </w:tcPr>
          <w:p>
            <w:pPr>
              <w:spacing w:after="0"/>
              <w:rPr>
                <w:sz w:val="1"/>
                <w:szCs w:val="1"/>
                <w:color w:val="auto"/>
              </w:rPr>
            </w:pPr>
          </w:p>
        </w:tc>
      </w:tr>
      <w:tr>
        <w:trPr>
          <w:trHeight w:val="285"/>
        </w:trPr>
        <w:tc>
          <w:tcPr>
            <w:tcW w:w="24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(309,851)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(309,851)</w:t>
            </w:r>
          </w:p>
        </w:tc>
        <w:tc>
          <w:tcPr>
            <w:tcW w:w="0" w:type="dxa"/>
            <w:vAlign w:val="bottom"/>
          </w:tcPr>
          <w:p>
            <w:pPr>
              <w:spacing w:after="0"/>
              <w:rPr>
                <w:sz w:val="1"/>
                <w:szCs w:val="1"/>
                <w:color w:val="auto"/>
              </w:rPr>
            </w:pPr>
          </w:p>
        </w:tc>
      </w:tr>
      <w:tr>
        <w:trPr>
          <w:trHeight w:val="285"/>
        </w:trPr>
        <w:tc>
          <w:tcPr>
            <w:tcW w:w="246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203</w:t>
            </w: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r>
              <w:rPr>
                <w:rFonts w:ascii="Arial" w:cs="Arial" w:eastAsia="Arial" w:hAnsi="Arial"/>
                <w:sz w:val="16"/>
                <w:szCs w:val="16"/>
                <w:b w:val="1"/>
                <w:bCs w:val="1"/>
                <w:color w:val="auto"/>
              </w:rPr>
              <w:t>Issuance of common stock in</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6"/>
                <w:szCs w:val="16"/>
                <w:b w:val="1"/>
                <w:bCs w:val="1"/>
                <w:color w:val="auto"/>
              </w:rPr>
              <w:t>conjunction with equity plans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6,222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7,697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7,703</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6"/>
                <w:szCs w:val="16"/>
                <w:b w:val="1"/>
                <w:bCs w:val="1"/>
                <w:color w:val="auto"/>
              </w:rPr>
              <w:t>Issuance of common stock in</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line="173" w:lineRule="exact"/>
              <w:rPr>
                <w:sz w:val="20"/>
                <w:szCs w:val="20"/>
                <w:color w:val="auto"/>
              </w:rPr>
            </w:pPr>
            <w:r>
              <w:rPr>
                <w:rFonts w:ascii="Arial" w:cs="Arial" w:eastAsia="Arial" w:hAnsi="Arial"/>
                <w:sz w:val="16"/>
                <w:szCs w:val="16"/>
                <w:b w:val="1"/>
                <w:bCs w:val="1"/>
                <w:color w:val="auto"/>
              </w:rPr>
              <w:t>conjunction with convertible</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b w:val="1"/>
                <w:bCs w:val="1"/>
                <w:color w:val="auto"/>
              </w:rPr>
              <w:t>notes exchange</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20,452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36,179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36,199</w:t>
            </w: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r>
              <w:rPr>
                <w:rFonts w:ascii="Arial" w:cs="Arial" w:eastAsia="Arial" w:hAnsi="Arial"/>
                <w:sz w:val="16"/>
                <w:szCs w:val="16"/>
                <w:b w:val="1"/>
                <w:bCs w:val="1"/>
                <w:color w:val="auto"/>
              </w:rPr>
              <w:t>Share-based compensation</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0"/>
                <w:szCs w:val="20"/>
                <w:color w:val="auto"/>
              </w:rPr>
            </w:pPr>
            <w:r>
              <w:rPr>
                <w:rFonts w:ascii="Arial" w:cs="Arial" w:eastAsia="Arial" w:hAnsi="Arial"/>
                <w:sz w:val="16"/>
                <w:szCs w:val="16"/>
                <w:b w:val="1"/>
                <w:bCs w:val="1"/>
                <w:color w:val="auto"/>
              </w:rPr>
              <w:t>expense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71,036</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71,036</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Arial" w:cs="Arial" w:eastAsia="Arial" w:hAnsi="Arial"/>
                <w:sz w:val="16"/>
                <w:szCs w:val="16"/>
                <w:b w:val="1"/>
                <w:bCs w:val="1"/>
                <w:color w:val="auto"/>
              </w:rPr>
              <w:t>Balance at December 31, 2024</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294,418</w:t>
            </w:r>
          </w:p>
        </w:tc>
        <w:tc>
          <w:tcPr>
            <w:tcW w:w="26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294</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2,654,804</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422</w:t>
            </w:r>
          </w:p>
        </w:tc>
        <w:tc>
          <w:tcPr>
            <w:tcW w:w="26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(2,148,926)</w:t>
            </w:r>
          </w:p>
        </w:tc>
        <w:tc>
          <w:tcPr>
            <w:tcW w:w="32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506,594</w:t>
            </w:r>
          </w:p>
        </w:tc>
        <w:tc>
          <w:tcPr>
            <w:tcW w:w="0" w:type="dxa"/>
            <w:vAlign w:val="bottom"/>
          </w:tcPr>
          <w:p>
            <w:pPr>
              <w:spacing w:after="0"/>
              <w:rPr>
                <w:sz w:val="1"/>
                <w:szCs w:val="1"/>
                <w:color w:val="auto"/>
              </w:rPr>
            </w:pPr>
          </w:p>
        </w:tc>
      </w:tr>
      <w:tr>
        <w:trPr>
          <w:trHeight w:val="301"/>
        </w:trPr>
        <w:tc>
          <w:tcPr>
            <w:tcW w:w="2460" w:type="dxa"/>
            <w:vAlign w:val="bottom"/>
          </w:tcPr>
          <w:p>
            <w:pPr>
              <w:spacing w:after="0"/>
              <w:rPr>
                <w:sz w:val="20"/>
                <w:szCs w:val="20"/>
                <w:color w:val="auto"/>
              </w:rPr>
            </w:pPr>
            <w:r>
              <w:rPr>
                <w:rFonts w:ascii="Arial" w:cs="Arial" w:eastAsia="Arial" w:hAnsi="Arial"/>
                <w:sz w:val="16"/>
                <w:szCs w:val="16"/>
                <w:b w:val="1"/>
                <w:bCs w:val="1"/>
                <w:color w:val="1383C6"/>
              </w:rPr>
              <w:t>Net loss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(546,376)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1383C6"/>
              </w:rPr>
              <w:t>(546,376)</w:t>
            </w:r>
          </w:p>
        </w:tc>
        <w:tc>
          <w:tcPr>
            <w:tcW w:w="0" w:type="dxa"/>
            <w:vAlign w:val="bottom"/>
          </w:tcPr>
          <w:p>
            <w:pPr>
              <w:spacing w:after="0"/>
              <w:rPr>
                <w:sz w:val="1"/>
                <w:szCs w:val="1"/>
                <w:color w:val="auto"/>
              </w:rPr>
            </w:pPr>
          </w:p>
        </w:tc>
      </w:tr>
      <w:tr>
        <w:trPr>
          <w:trHeight w:val="300"/>
        </w:trPr>
        <w:tc>
          <w:tcPr>
            <w:tcW w:w="2460" w:type="dxa"/>
            <w:vAlign w:val="bottom"/>
          </w:tcPr>
          <w:p>
            <w:pPr>
              <w:spacing w:after="0"/>
              <w:rPr>
                <w:sz w:val="20"/>
                <w:szCs w:val="20"/>
                <w:color w:val="auto"/>
              </w:rPr>
            </w:pPr>
            <w:r>
              <w:rPr>
                <w:rFonts w:ascii="Arial" w:cs="Arial" w:eastAsia="Arial" w:hAnsi="Arial"/>
                <w:sz w:val="16"/>
                <w:szCs w:val="16"/>
                <w:b w:val="1"/>
                <w:bCs w:val="1"/>
                <w:color w:val="1383C6"/>
              </w:rPr>
              <w:t>Other comprehensive income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1383C6"/>
              </w:rPr>
              <w:t>35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1383C6"/>
              </w:rPr>
              <w:t>35</w:t>
            </w: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r>
              <w:rPr>
                <w:rFonts w:ascii="Arial" w:cs="Arial" w:eastAsia="Arial" w:hAnsi="Arial"/>
                <w:sz w:val="16"/>
                <w:szCs w:val="16"/>
                <w:b w:val="1"/>
                <w:bCs w:val="1"/>
                <w:color w:val="1383C6"/>
              </w:rPr>
              <w:t>Issuance of common stock in</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7,538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3,420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3,428</w:t>
            </w:r>
          </w:p>
        </w:tc>
        <w:tc>
          <w:tcPr>
            <w:tcW w:w="0" w:type="dxa"/>
            <w:vAlign w:val="bottom"/>
          </w:tcPr>
          <w:p>
            <w:pPr>
              <w:spacing w:after="0"/>
              <w:rPr>
                <w:sz w:val="1"/>
                <w:szCs w:val="1"/>
                <w:color w:val="auto"/>
              </w:rPr>
            </w:pPr>
          </w:p>
        </w:tc>
      </w:tr>
      <w:tr>
        <w:trPr>
          <w:trHeight w:val="225"/>
        </w:trPr>
        <w:tc>
          <w:tcPr>
            <w:tcW w:w="2460" w:type="dxa"/>
            <w:vAlign w:val="bottom"/>
          </w:tcPr>
          <w:p>
            <w:pPr>
              <w:spacing w:after="0"/>
              <w:rPr>
                <w:sz w:val="20"/>
                <w:szCs w:val="20"/>
                <w:color w:val="auto"/>
              </w:rPr>
            </w:pPr>
            <w:r>
              <w:rPr>
                <w:rFonts w:ascii="Arial" w:cs="Arial" w:eastAsia="Arial" w:hAnsi="Arial"/>
                <w:sz w:val="16"/>
                <w:szCs w:val="16"/>
                <w:b w:val="1"/>
                <w:bCs w:val="1"/>
                <w:color w:val="1383C6"/>
              </w:rPr>
              <w:t>conjunction with equity plans</w:t>
            </w: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r>
              <w:rPr>
                <w:rFonts w:ascii="Arial" w:cs="Arial" w:eastAsia="Arial" w:hAnsi="Arial"/>
                <w:sz w:val="16"/>
                <w:szCs w:val="16"/>
                <w:b w:val="1"/>
                <w:bCs w:val="1"/>
                <w:color w:val="1383C6"/>
              </w:rPr>
              <w:t>Share-based compensation</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41,668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41,668</w:t>
            </w: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0"/>
                <w:szCs w:val="20"/>
                <w:color w:val="auto"/>
              </w:rPr>
            </w:pPr>
            <w:r>
              <w:rPr>
                <w:rFonts w:ascii="Arial" w:cs="Arial" w:eastAsia="Arial" w:hAnsi="Arial"/>
                <w:sz w:val="16"/>
                <w:szCs w:val="16"/>
                <w:b w:val="1"/>
                <w:bCs w:val="1"/>
                <w:color w:val="1383C6"/>
              </w:rPr>
              <w:t>expense</w:t>
            </w:r>
          </w:p>
        </w:tc>
        <w:tc>
          <w:tcPr>
            <w:tcW w:w="11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0"/>
                <w:szCs w:val="20"/>
                <w:color w:val="auto"/>
              </w:rPr>
            </w:pPr>
            <w:r>
              <w:rPr>
                <w:rFonts w:ascii="Arial" w:cs="Arial" w:eastAsia="Arial" w:hAnsi="Arial"/>
                <w:sz w:val="16"/>
                <w:szCs w:val="16"/>
                <w:b w:val="1"/>
                <w:bCs w:val="1"/>
                <w:color w:val="1383C6"/>
              </w:rPr>
              <w:t>Balance at December 31, 2025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1383C6"/>
              </w:rPr>
              <w:t>301,956</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1383C6"/>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1383C6"/>
              </w:rPr>
              <w:t>302</w:t>
            </w:r>
          </w:p>
        </w:tc>
        <w:tc>
          <w:tcPr>
            <w:tcW w:w="260" w:type="dxa"/>
            <w:vAlign w:val="bottom"/>
            <w:gridSpan w:val="2"/>
          </w:tcPr>
          <w:p>
            <w:pPr>
              <w:ind w:left="12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2,699,892</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1383C6"/>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1383C6"/>
              </w:rPr>
              <w:t>457</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(2,695,302)</w:t>
            </w: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1383C6"/>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1383C6"/>
              </w:rPr>
              <w:t>5,349</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-1193165</wp:posOffset>
            </wp:positionV>
            <wp:extent cx="6324600" cy="12128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181">
                      <a:extLst>
                        <a:ext uri="{28A0092B-C50C-407E-A947-70E740481C1C}"/>
                      </a:extLst>
                    </a:blip>
                    <a:srcRect/>
                    <a:stretch>
                      <a:fillRect/>
                    </a:stretch>
                  </pic:blipFill>
                  <pic:spPr bwMode="auto">
                    <a:xfrm>
                      <a:off x="0" y="0"/>
                      <a:ext cx="6324600" cy="1212850"/>
                    </a:xfrm>
                    <a:prstGeom prst="rect">
                      <a:avLst/>
                    </a:prstGeom>
                    <a:noFill/>
                  </pic:spPr>
                </pic:pic>
              </a:graphicData>
            </a:graphic>
          </wp:anchor>
        </w:drawing>
      </w:r>
    </w:p>
    <w:p>
      <w:pPr>
        <w:spacing w:after="0" w:line="110"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 xml:space="preserve">See accompanying </w:t>
      </w:r>
      <w:r>
        <w:rPr>
          <w:rFonts w:ascii="Arial" w:cs="Arial" w:eastAsia="Arial" w:hAnsi="Arial"/>
          <w:sz w:val="20"/>
          <w:szCs w:val="20"/>
          <w:b w:val="1"/>
          <w:bCs w:val="1"/>
          <w:u w:val="single" w:color="auto"/>
          <w:color w:val="0000FF"/>
        </w:rPr>
        <w:t>notes</w:t>
      </w:r>
      <w:r>
        <w:rPr>
          <w:rFonts w:ascii="Arial" w:cs="Arial" w:eastAsia="Arial" w:hAnsi="Arial"/>
          <w:sz w:val="20"/>
          <w:szCs w:val="20"/>
          <w:b w:val="1"/>
          <w:bCs w:val="1"/>
          <w:color w:val="auto"/>
        </w:rPr>
        <w:t xml:space="preserve">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2376805</wp:posOffset>
                </wp:positionV>
                <wp:extent cx="7315200"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87.15pt" to="535pt,187.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2376805</wp:posOffset>
                </wp:positionV>
                <wp:extent cx="7315200"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87.15pt" to="535pt,187.1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18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406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183">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PACIFIC BIOSCIENCES OF CALIFORNIA, INC.</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CONSOLIDATED STATEMENTS OF CASH FLOWS</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140" w:type="dxa"/>
            <w:vAlign w:val="bottom"/>
          </w:tcPr>
          <w:p>
            <w:pPr>
              <w:spacing w:after="0"/>
              <w:rPr>
                <w:sz w:val="19"/>
                <w:szCs w:val="19"/>
                <w:color w:val="auto"/>
              </w:rPr>
            </w:pPr>
          </w:p>
        </w:tc>
        <w:tc>
          <w:tcPr>
            <w:tcW w:w="28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Years Ended December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1383C6"/>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63"/>
        </w:trPr>
        <w:tc>
          <w:tcPr>
            <w:tcW w:w="61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   (546,376)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(309,851)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(306,735)</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Arial" w:cs="Arial" w:eastAsia="Arial" w:hAnsi="Arial"/>
                <w:sz w:val="18"/>
                <w:szCs w:val="18"/>
                <w:b w:val="1"/>
                <w:bCs w:val="1"/>
                <w:color w:val="auto"/>
                <w:w w:val="97"/>
              </w:rPr>
              <w:t>Adjustments to reconcile net loss to net cash used in operating activities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Depreciation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12,987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13,774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11,463</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Amortization of intangible assets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369,448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27,412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8,261</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Amortization of right-of-use assets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3,977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12,165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6,810</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Share-based compensation expense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41,668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71,036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72,118</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Impairment charges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15,000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184,500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Merger-related compensation expense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3,395</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Loss on extinguishment of debt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2,033</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Gain on debt restructuring</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(154,407)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2"/>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Accretion of discount and amortization of premium on marketable</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(4,365)</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(13,044)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(12,840)</w:t>
            </w:r>
          </w:p>
        </w:tc>
        <w:tc>
          <w:tcPr>
            <w:tcW w:w="0" w:type="dxa"/>
            <w:vAlign w:val="bottom"/>
          </w:tcPr>
          <w:p>
            <w:pPr>
              <w:spacing w:after="0"/>
              <w:rPr>
                <w:sz w:val="1"/>
                <w:szCs w:val="1"/>
                <w:color w:val="auto"/>
              </w:rPr>
            </w:pPr>
          </w:p>
        </w:tc>
      </w:tr>
      <w:tr>
        <w:trPr>
          <w:trHeight w:val="237"/>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securities, net</w:t>
            </w: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Change in the estimated fair value of contingent consideration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(18,700)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15,060</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Inventory provision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9,568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10,584</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Deferred income taxes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(546)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(11,424)</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1,688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1,059</w:t>
            </w:r>
          </w:p>
        </w:tc>
        <w:tc>
          <w:tcPr>
            <w:tcW w:w="0" w:type="dxa"/>
            <w:vAlign w:val="bottom"/>
          </w:tcPr>
          <w:p>
            <w:pPr>
              <w:spacing w:after="0"/>
              <w:rPr>
                <w:sz w:val="1"/>
                <w:szCs w:val="1"/>
                <w:color w:val="auto"/>
              </w:rPr>
            </w:pPr>
          </w:p>
        </w:tc>
      </w:tr>
      <w:tr>
        <w:trPr>
          <w:trHeight w:val="300"/>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Changes in assets and liabilities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40" w:type="dxa"/>
            <w:vAlign w:val="bottom"/>
          </w:tcPr>
          <w:p>
            <w:pPr>
              <w:ind w:left="460"/>
              <w:spacing w:after="0"/>
              <w:rPr>
                <w:sz w:val="20"/>
                <w:szCs w:val="20"/>
                <w:color w:val="auto"/>
              </w:rPr>
            </w:pPr>
            <w:r>
              <w:rPr>
                <w:rFonts w:ascii="Arial" w:cs="Arial" w:eastAsia="Arial" w:hAnsi="Arial"/>
                <w:sz w:val="18"/>
                <w:szCs w:val="18"/>
                <w:b w:val="1"/>
                <w:bCs w:val="1"/>
                <w:color w:val="auto"/>
              </w:rPr>
              <w:t>Accounts receivable, net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(7,924)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9,091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(17,829)</w:t>
            </w:r>
          </w:p>
        </w:tc>
        <w:tc>
          <w:tcPr>
            <w:tcW w:w="0" w:type="dxa"/>
            <w:vAlign w:val="bottom"/>
          </w:tcPr>
          <w:p>
            <w:pPr>
              <w:spacing w:after="0"/>
              <w:rPr>
                <w:sz w:val="1"/>
                <w:szCs w:val="1"/>
                <w:color w:val="auto"/>
              </w:rPr>
            </w:pPr>
          </w:p>
        </w:tc>
      </w:tr>
      <w:tr>
        <w:trPr>
          <w:trHeight w:val="300"/>
        </w:trPr>
        <w:tc>
          <w:tcPr>
            <w:tcW w:w="6140" w:type="dxa"/>
            <w:vAlign w:val="bottom"/>
          </w:tcPr>
          <w:p>
            <w:pPr>
              <w:ind w:left="460"/>
              <w:spacing w:after="0"/>
              <w:rPr>
                <w:sz w:val="20"/>
                <w:szCs w:val="20"/>
                <w:color w:val="auto"/>
              </w:rPr>
            </w:pPr>
            <w:r>
              <w:rPr>
                <w:rFonts w:ascii="Arial" w:cs="Arial" w:eastAsia="Arial" w:hAnsi="Arial"/>
                <w:sz w:val="18"/>
                <w:szCs w:val="18"/>
                <w:b w:val="1"/>
                <w:bCs w:val="1"/>
                <w:color w:val="auto"/>
              </w:rPr>
              <w:t>Inventory, net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(1,419)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(8,320)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(13,841)</w:t>
            </w:r>
          </w:p>
        </w:tc>
        <w:tc>
          <w:tcPr>
            <w:tcW w:w="0" w:type="dxa"/>
            <w:vAlign w:val="bottom"/>
          </w:tcPr>
          <w:p>
            <w:pPr>
              <w:spacing w:after="0"/>
              <w:rPr>
                <w:sz w:val="1"/>
                <w:szCs w:val="1"/>
                <w:color w:val="auto"/>
              </w:rPr>
            </w:pPr>
          </w:p>
        </w:tc>
      </w:tr>
      <w:tr>
        <w:trPr>
          <w:trHeight w:val="300"/>
        </w:trPr>
        <w:tc>
          <w:tcPr>
            <w:tcW w:w="6140" w:type="dxa"/>
            <w:vAlign w:val="bottom"/>
          </w:tcPr>
          <w:p>
            <w:pPr>
              <w:ind w:left="460"/>
              <w:spacing w:after="0"/>
              <w:rPr>
                <w:sz w:val="20"/>
                <w:szCs w:val="20"/>
                <w:color w:val="auto"/>
              </w:rPr>
            </w:pPr>
            <w:r>
              <w:rPr>
                <w:rFonts w:ascii="Arial" w:cs="Arial" w:eastAsia="Arial" w:hAnsi="Arial"/>
                <w:sz w:val="18"/>
                <w:szCs w:val="18"/>
                <w:b w:val="1"/>
                <w:bCs w:val="1"/>
                <w:color w:val="auto"/>
              </w:rPr>
              <w:t>Prepaid expenses and other assets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8,514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2,228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(8,984)</w:t>
            </w:r>
          </w:p>
        </w:tc>
        <w:tc>
          <w:tcPr>
            <w:tcW w:w="0" w:type="dxa"/>
            <w:vAlign w:val="bottom"/>
          </w:tcPr>
          <w:p>
            <w:pPr>
              <w:spacing w:after="0"/>
              <w:rPr>
                <w:sz w:val="1"/>
                <w:szCs w:val="1"/>
                <w:color w:val="auto"/>
              </w:rPr>
            </w:pPr>
          </w:p>
        </w:tc>
      </w:tr>
      <w:tr>
        <w:trPr>
          <w:trHeight w:val="300"/>
        </w:trPr>
        <w:tc>
          <w:tcPr>
            <w:tcW w:w="6140" w:type="dxa"/>
            <w:vAlign w:val="bottom"/>
          </w:tcPr>
          <w:p>
            <w:pPr>
              <w:ind w:left="460"/>
              <w:spacing w:after="0"/>
              <w:rPr>
                <w:sz w:val="20"/>
                <w:szCs w:val="20"/>
                <w:color w:val="auto"/>
              </w:rPr>
            </w:pPr>
            <w:r>
              <w:rPr>
                <w:rFonts w:ascii="Arial" w:cs="Arial" w:eastAsia="Arial" w:hAnsi="Arial"/>
                <w:sz w:val="18"/>
                <w:szCs w:val="18"/>
                <w:b w:val="1"/>
                <w:bCs w:val="1"/>
                <w:color w:val="auto"/>
              </w:rPr>
              <w:t>Accounts payable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2,482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1,405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300"/>
        </w:trPr>
        <w:tc>
          <w:tcPr>
            <w:tcW w:w="6140" w:type="dxa"/>
            <w:vAlign w:val="bottom"/>
          </w:tcPr>
          <w:p>
            <w:pPr>
              <w:ind w:left="460"/>
              <w:spacing w:after="0"/>
              <w:rPr>
                <w:sz w:val="20"/>
                <w:szCs w:val="20"/>
                <w:color w:val="auto"/>
              </w:rPr>
            </w:pPr>
            <w:r>
              <w:rPr>
                <w:rFonts w:ascii="Arial" w:cs="Arial" w:eastAsia="Arial" w:hAnsi="Arial"/>
                <w:sz w:val="18"/>
                <w:szCs w:val="18"/>
                <w:b w:val="1"/>
                <w:bCs w:val="1"/>
                <w:color w:val="auto"/>
              </w:rPr>
              <w:t>Accrued expenses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3,158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(26,342)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13,103</w:t>
            </w:r>
          </w:p>
        </w:tc>
        <w:tc>
          <w:tcPr>
            <w:tcW w:w="0" w:type="dxa"/>
            <w:vAlign w:val="bottom"/>
          </w:tcPr>
          <w:p>
            <w:pPr>
              <w:spacing w:after="0"/>
              <w:rPr>
                <w:sz w:val="1"/>
                <w:szCs w:val="1"/>
                <w:color w:val="auto"/>
              </w:rPr>
            </w:pPr>
          </w:p>
        </w:tc>
      </w:tr>
      <w:tr>
        <w:trPr>
          <w:trHeight w:val="300"/>
        </w:trPr>
        <w:tc>
          <w:tcPr>
            <w:tcW w:w="6140" w:type="dxa"/>
            <w:vAlign w:val="bottom"/>
          </w:tcPr>
          <w:p>
            <w:pPr>
              <w:ind w:left="460"/>
              <w:spacing w:after="0"/>
              <w:rPr>
                <w:sz w:val="20"/>
                <w:szCs w:val="20"/>
                <w:color w:val="auto"/>
              </w:rPr>
            </w:pPr>
            <w:r>
              <w:rPr>
                <w:rFonts w:ascii="Arial" w:cs="Arial" w:eastAsia="Arial" w:hAnsi="Arial"/>
                <w:sz w:val="18"/>
                <w:szCs w:val="18"/>
                <w:b w:val="1"/>
                <w:bCs w:val="1"/>
                <w:color w:val="auto"/>
              </w:rPr>
              <w:t>Deferred revenue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101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(2,108)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(10,420)</w:t>
            </w:r>
          </w:p>
        </w:tc>
        <w:tc>
          <w:tcPr>
            <w:tcW w:w="0" w:type="dxa"/>
            <w:vAlign w:val="bottom"/>
          </w:tcPr>
          <w:p>
            <w:pPr>
              <w:spacing w:after="0"/>
              <w:rPr>
                <w:sz w:val="1"/>
                <w:szCs w:val="1"/>
                <w:color w:val="auto"/>
              </w:rPr>
            </w:pPr>
          </w:p>
        </w:tc>
      </w:tr>
      <w:tr>
        <w:trPr>
          <w:trHeight w:val="300"/>
        </w:trPr>
        <w:tc>
          <w:tcPr>
            <w:tcW w:w="6140" w:type="dxa"/>
            <w:vAlign w:val="bottom"/>
          </w:tcPr>
          <w:p>
            <w:pPr>
              <w:ind w:left="460"/>
              <w:spacing w:after="0"/>
              <w:rPr>
                <w:sz w:val="20"/>
                <w:szCs w:val="20"/>
                <w:color w:val="auto"/>
              </w:rPr>
            </w:pPr>
            <w:r>
              <w:rPr>
                <w:rFonts w:ascii="Arial" w:cs="Arial" w:eastAsia="Arial" w:hAnsi="Arial"/>
                <w:sz w:val="18"/>
                <w:szCs w:val="18"/>
                <w:b w:val="1"/>
                <w:bCs w:val="1"/>
                <w:color w:val="auto"/>
              </w:rPr>
              <w:t>Operating lease liabilities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723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(11,920)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(8,759)</w:t>
            </w:r>
          </w:p>
        </w:tc>
        <w:tc>
          <w:tcPr>
            <w:tcW w:w="0" w:type="dxa"/>
            <w:vAlign w:val="bottom"/>
          </w:tcPr>
          <w:p>
            <w:pPr>
              <w:spacing w:after="0"/>
              <w:rPr>
                <w:sz w:val="1"/>
                <w:szCs w:val="1"/>
                <w:color w:val="auto"/>
              </w:rPr>
            </w:pPr>
          </w:p>
        </w:tc>
      </w:tr>
      <w:tr>
        <w:trPr>
          <w:trHeight w:val="300"/>
        </w:trPr>
        <w:tc>
          <w:tcPr>
            <w:tcW w:w="6140" w:type="dxa"/>
            <w:vAlign w:val="bottom"/>
          </w:tcPr>
          <w:p>
            <w:pPr>
              <w:ind w:left="460"/>
              <w:spacing w:after="0"/>
              <w:rPr>
                <w:sz w:val="20"/>
                <w:szCs w:val="20"/>
                <w:color w:val="auto"/>
              </w:rPr>
            </w:pPr>
            <w:r>
              <w:rPr>
                <w:rFonts w:ascii="Arial" w:cs="Arial" w:eastAsia="Arial" w:hAnsi="Arial"/>
                <w:sz w:val="18"/>
                <w:szCs w:val="18"/>
                <w:b w:val="1"/>
                <w:bCs w:val="1"/>
                <w:color w:val="auto"/>
              </w:rPr>
              <w:t>Contingent consideration liability</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(14,882)</w:t>
            </w:r>
          </w:p>
        </w:tc>
        <w:tc>
          <w:tcPr>
            <w:tcW w:w="0" w:type="dxa"/>
            <w:vAlign w:val="bottom"/>
          </w:tcPr>
          <w:p>
            <w:pPr>
              <w:spacing w:after="0"/>
              <w:rPr>
                <w:sz w:val="1"/>
                <w:szCs w:val="1"/>
                <w:color w:val="auto"/>
              </w:rPr>
            </w:pPr>
          </w:p>
        </w:tc>
      </w:tr>
      <w:tr>
        <w:trPr>
          <w:trHeight w:val="317"/>
        </w:trPr>
        <w:tc>
          <w:tcPr>
            <w:tcW w:w="6140" w:type="dxa"/>
            <w:vAlign w:val="bottom"/>
          </w:tcPr>
          <w:p>
            <w:pPr>
              <w:ind w:left="460"/>
              <w:spacing w:after="0"/>
              <w:rPr>
                <w:sz w:val="20"/>
                <w:szCs w:val="20"/>
                <w:color w:val="auto"/>
              </w:rPr>
            </w:pPr>
            <w:r>
              <w:rPr>
                <w:rFonts w:ascii="Arial" w:cs="Arial" w:eastAsia="Arial" w:hAnsi="Arial"/>
                <w:sz w:val="18"/>
                <w:szCs w:val="18"/>
                <w:b w:val="1"/>
                <w:bCs w:val="1"/>
                <w:color w:val="auto"/>
              </w:rPr>
              <w:t>Other liabilities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(1,193)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2,449</w:t>
            </w:r>
          </w:p>
        </w:tc>
        <w:tc>
          <w:tcPr>
            <w:tcW w:w="0" w:type="dxa"/>
            <w:vAlign w:val="bottom"/>
          </w:tcPr>
          <w:p>
            <w:pPr>
              <w:spacing w:after="0"/>
              <w:rPr>
                <w:sz w:val="1"/>
                <w:szCs w:val="1"/>
                <w:color w:val="auto"/>
              </w:rPr>
            </w:pPr>
          </w:p>
        </w:tc>
      </w:tr>
      <w:tr>
        <w:trPr>
          <w:trHeight w:val="280"/>
        </w:trPr>
        <w:tc>
          <w:tcPr>
            <w:tcW w:w="6140" w:type="dxa"/>
            <w:vAlign w:val="bottom"/>
          </w:tcPr>
          <w:p>
            <w:pPr>
              <w:ind w:left="820"/>
              <w:spacing w:after="0"/>
              <w:rPr>
                <w:sz w:val="20"/>
                <w:szCs w:val="20"/>
                <w:color w:val="auto"/>
              </w:rPr>
            </w:pPr>
            <w:r>
              <w:rPr>
                <w:rFonts w:ascii="Arial" w:cs="Arial" w:eastAsia="Arial" w:hAnsi="Arial"/>
                <w:sz w:val="18"/>
                <w:szCs w:val="18"/>
                <w:b w:val="1"/>
                <w:bCs w:val="1"/>
                <w:color w:val="auto"/>
              </w:rPr>
              <w:t>Net cash used in operating activities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(111,209)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(206,058)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(259,173)</w:t>
            </w:r>
          </w:p>
        </w:tc>
        <w:tc>
          <w:tcPr>
            <w:tcW w:w="0" w:type="dxa"/>
            <w:vAlign w:val="bottom"/>
          </w:tcPr>
          <w:p>
            <w:pPr>
              <w:spacing w:after="0"/>
              <w:rPr>
                <w:sz w:val="1"/>
                <w:szCs w:val="1"/>
                <w:color w:val="auto"/>
              </w:rPr>
            </w:pPr>
          </w:p>
        </w:tc>
      </w:tr>
      <w:tr>
        <w:trPr>
          <w:trHeight w:val="263"/>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Purchase of property and equipment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(2,714)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(6,188)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(8,843)</w:t>
            </w:r>
          </w:p>
        </w:tc>
        <w:tc>
          <w:tcPr>
            <w:tcW w:w="0" w:type="dxa"/>
            <w:vAlign w:val="bottom"/>
          </w:tcPr>
          <w:p>
            <w:pPr>
              <w:spacing w:after="0"/>
              <w:rPr>
                <w:sz w:val="1"/>
                <w:szCs w:val="1"/>
                <w:color w:val="auto"/>
              </w:rPr>
            </w:pPr>
          </w:p>
        </w:tc>
      </w:tr>
      <w:tr>
        <w:trPr>
          <w:trHeight w:val="300"/>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Purchase of intangible assets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(5,000)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0"/>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Cash paid for purchases of acquired entities, net of cash acquired</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300"/>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Purchase of investments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(216,911)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(498,635)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(756,567)</w:t>
            </w:r>
          </w:p>
        </w:tc>
        <w:tc>
          <w:tcPr>
            <w:tcW w:w="0" w:type="dxa"/>
            <w:vAlign w:val="bottom"/>
          </w:tcPr>
          <w:p>
            <w:pPr>
              <w:spacing w:after="0"/>
              <w:rPr>
                <w:sz w:val="1"/>
                <w:szCs w:val="1"/>
                <w:color w:val="auto"/>
              </w:rPr>
            </w:pPr>
          </w:p>
        </w:tc>
      </w:tr>
      <w:tr>
        <w:trPr>
          <w:trHeight w:val="300"/>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Sales of investments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34,856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595</w:t>
            </w:r>
          </w:p>
        </w:tc>
        <w:tc>
          <w:tcPr>
            <w:tcW w:w="0" w:type="dxa"/>
            <w:vAlign w:val="bottom"/>
          </w:tcPr>
          <w:p>
            <w:pPr>
              <w:spacing w:after="0"/>
              <w:rPr>
                <w:sz w:val="1"/>
                <w:szCs w:val="1"/>
                <w:color w:val="auto"/>
              </w:rPr>
            </w:pPr>
          </w:p>
        </w:tc>
      </w:tr>
      <w:tr>
        <w:trPr>
          <w:trHeight w:val="317"/>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Maturities of investments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340,073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593,971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769,521</w:t>
            </w:r>
          </w:p>
        </w:tc>
        <w:tc>
          <w:tcPr>
            <w:tcW w:w="0" w:type="dxa"/>
            <w:vAlign w:val="bottom"/>
          </w:tcPr>
          <w:p>
            <w:pPr>
              <w:spacing w:after="0"/>
              <w:rPr>
                <w:sz w:val="1"/>
                <w:szCs w:val="1"/>
                <w:color w:val="auto"/>
              </w:rPr>
            </w:pPr>
          </w:p>
        </w:tc>
      </w:tr>
      <w:tr>
        <w:trPr>
          <w:trHeight w:val="280"/>
        </w:trPr>
        <w:tc>
          <w:tcPr>
            <w:tcW w:w="6140" w:type="dxa"/>
            <w:vAlign w:val="bottom"/>
          </w:tcPr>
          <w:p>
            <w:pPr>
              <w:ind w:left="820"/>
              <w:spacing w:after="0"/>
              <w:rPr>
                <w:sz w:val="20"/>
                <w:szCs w:val="20"/>
                <w:color w:val="auto"/>
              </w:rPr>
            </w:pPr>
            <w:r>
              <w:rPr>
                <w:rFonts w:ascii="Arial" w:cs="Arial" w:eastAsia="Arial" w:hAnsi="Arial"/>
                <w:sz w:val="18"/>
                <w:szCs w:val="18"/>
                <w:b w:val="1"/>
                <w:bCs w:val="1"/>
                <w:color w:val="auto"/>
              </w:rPr>
              <w:t>Net cash provided by investing activities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115,448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124,004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4,604</w:t>
            </w:r>
          </w:p>
        </w:tc>
        <w:tc>
          <w:tcPr>
            <w:tcW w:w="0" w:type="dxa"/>
            <w:vAlign w:val="bottom"/>
          </w:tcPr>
          <w:p>
            <w:pPr>
              <w:spacing w:after="0"/>
              <w:rPr>
                <w:sz w:val="1"/>
                <w:szCs w:val="1"/>
                <w:color w:val="auto"/>
              </w:rPr>
            </w:pPr>
          </w:p>
        </w:tc>
      </w:tr>
      <w:tr>
        <w:trPr>
          <w:trHeight w:val="263"/>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w w:val="97"/>
              </w:rPr>
              <w:t>Proceeds from issuance of common stock under equity offerings, net of</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189,200</w:t>
            </w:r>
          </w:p>
        </w:tc>
        <w:tc>
          <w:tcPr>
            <w:tcW w:w="0" w:type="dxa"/>
            <w:vAlign w:val="bottom"/>
          </w:tcPr>
          <w:p>
            <w:pPr>
              <w:spacing w:after="0"/>
              <w:rPr>
                <w:sz w:val="1"/>
                <w:szCs w:val="1"/>
                <w:color w:val="auto"/>
              </w:rPr>
            </w:pPr>
          </w:p>
        </w:tc>
      </w:tr>
      <w:tr>
        <w:trPr>
          <w:trHeight w:val="237"/>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issuance costs</w:t>
            </w: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Proceeds from issuance of common stock from equity plans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3,428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7,703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15,319</w:t>
            </w:r>
          </w:p>
        </w:tc>
        <w:tc>
          <w:tcPr>
            <w:tcW w:w="0" w:type="dxa"/>
            <w:vAlign w:val="bottom"/>
          </w:tcPr>
          <w:p>
            <w:pPr>
              <w:spacing w:after="0"/>
              <w:rPr>
                <w:sz w:val="1"/>
                <w:szCs w:val="1"/>
                <w:color w:val="auto"/>
              </w:rPr>
            </w:pPr>
          </w:p>
        </w:tc>
      </w:tr>
      <w:tr>
        <w:trPr>
          <w:trHeight w:val="300"/>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Payment of debt issuance costs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(7,375)</w:t>
            </w:r>
          </w:p>
        </w:tc>
        <w:tc>
          <w:tcPr>
            <w:tcW w:w="0" w:type="dxa"/>
            <w:vAlign w:val="bottom"/>
          </w:tcPr>
          <w:p>
            <w:pPr>
              <w:spacing w:after="0"/>
              <w:rPr>
                <w:sz w:val="1"/>
                <w:szCs w:val="1"/>
                <w:color w:val="auto"/>
              </w:rPr>
            </w:pPr>
          </w:p>
        </w:tc>
      </w:tr>
      <w:tr>
        <w:trPr>
          <w:trHeight w:val="300"/>
        </w:trPr>
        <w:tc>
          <w:tcPr>
            <w:tcW w:w="6140" w:type="dxa"/>
            <w:vAlign w:val="bottom"/>
          </w:tcPr>
          <w:p>
            <w:pPr>
              <w:ind w:left="100"/>
              <w:spacing w:after="0"/>
              <w:rPr>
                <w:sz w:val="20"/>
                <w:szCs w:val="20"/>
                <w:color w:val="auto"/>
              </w:rPr>
            </w:pPr>
            <w:r>
              <w:rPr>
                <w:rFonts w:ascii="Arial" w:cs="Arial" w:eastAsia="Arial" w:hAnsi="Arial"/>
                <w:sz w:val="18"/>
                <w:szCs w:val="18"/>
                <w:b w:val="1"/>
                <w:bCs w:val="1"/>
                <w:color w:val="auto"/>
              </w:rPr>
              <w:t>Payment of contingent consideration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(86,411)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-8024495</wp:posOffset>
            </wp:positionV>
            <wp:extent cx="7315200" cy="83559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84">
                      <a:extLst>
                        <a:ext uri="{28A0092B-C50C-407E-A947-70E740481C1C}"/>
                      </a:extLst>
                    </a:blip>
                    <a:srcRect/>
                    <a:stretch>
                      <a:fillRect/>
                    </a:stretch>
                  </pic:blipFill>
                  <pic:spPr bwMode="auto">
                    <a:xfrm>
                      <a:off x="0" y="0"/>
                      <a:ext cx="7315200" cy="835596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18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406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186">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PACIFIC BIOSCIENCES OF CALIFORNIA, INC.</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211455</wp:posOffset>
            </wp:positionV>
            <wp:extent cx="2413000" cy="43370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87">
                      <a:extLst>
                        <a:ext uri="{28A0092B-C50C-407E-A947-70E740481C1C}"/>
                      </a:extLst>
                    </a:blip>
                    <a:srcRect/>
                    <a:stretch>
                      <a:fillRect/>
                    </a:stretch>
                  </pic:blipFill>
                  <pic:spPr bwMode="auto">
                    <a:xfrm>
                      <a:off x="0" y="0"/>
                      <a:ext cx="2413000" cy="4337050"/>
                    </a:xfrm>
                    <a:prstGeom prst="rect">
                      <a:avLst/>
                    </a:prstGeom>
                    <a:noFill/>
                  </pic:spPr>
                </pic:pic>
              </a:graphicData>
            </a:graphic>
          </wp:anchor>
        </w:drawing>
      </w:r>
    </w:p>
    <w:p>
      <w:pPr>
        <w:spacing w:after="0" w:line="369" w:lineRule="exact"/>
        <w:rPr>
          <w:sz w:val="20"/>
          <w:szCs w:val="20"/>
          <w:color w:val="auto"/>
        </w:rPr>
      </w:pPr>
    </w:p>
    <w:tbl>
      <w:tblPr>
        <w:tblLayout w:type="fixed"/>
        <w:tblInd w:w="140" w:type="dxa"/>
        <w:tblCellMar>
          <w:top w:w="0" w:type="dxa"/>
          <w:left w:w="0" w:type="dxa"/>
          <w:bottom w:w="0" w:type="dxa"/>
          <w:right w:w="0" w:type="dxa"/>
        </w:tblCellMar>
      </w:tblPr>
      <w:tr>
        <w:trPr>
          <w:trHeight w:val="237"/>
        </w:trPr>
        <w:tc>
          <w:tcPr>
            <w:tcW w:w="6040" w:type="dxa"/>
            <w:vAlign w:val="bottom"/>
          </w:tcPr>
          <w:p>
            <w:pPr>
              <w:spacing w:after="0"/>
              <w:rPr>
                <w:sz w:val="20"/>
                <w:szCs w:val="20"/>
                <w:color w:val="auto"/>
              </w:rPr>
            </w:pPr>
            <w:r>
              <w:rPr>
                <w:rFonts w:ascii="Arial" w:cs="Arial" w:eastAsia="Arial" w:hAnsi="Arial"/>
                <w:sz w:val="18"/>
                <w:szCs w:val="18"/>
                <w:b w:val="1"/>
                <w:bCs w:val="1"/>
                <w:color w:val="auto"/>
              </w:rPr>
              <w:t>Payments made in conjunction with convertible notes exchange</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(50,200)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17"/>
        </w:trPr>
        <w:tc>
          <w:tcPr>
            <w:tcW w:w="6040" w:type="dxa"/>
            <w:vAlign w:val="bottom"/>
          </w:tcPr>
          <w:p>
            <w:pPr>
              <w:spacing w:after="0"/>
              <w:rPr>
                <w:sz w:val="20"/>
                <w:szCs w:val="20"/>
                <w:color w:val="auto"/>
              </w:rPr>
            </w:pPr>
            <w:r>
              <w:rPr>
                <w:rFonts w:ascii="Arial" w:cs="Arial" w:eastAsia="Arial" w:hAnsi="Arial"/>
                <w:sz w:val="18"/>
                <w:szCs w:val="18"/>
                <w:b w:val="1"/>
                <w:bCs w:val="1"/>
                <w:color w:val="auto"/>
              </w:rPr>
              <w:t>Notes payable principal payoff</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(1,842)</w:t>
            </w:r>
          </w:p>
        </w:tc>
      </w:tr>
      <w:tr>
        <w:trPr>
          <w:trHeight w:val="280"/>
        </w:trPr>
        <w:tc>
          <w:tcPr>
            <w:tcW w:w="6040" w:type="dxa"/>
            <w:vAlign w:val="bottom"/>
          </w:tcPr>
          <w:p>
            <w:pPr>
              <w:ind w:left="7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3,428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(42,987)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108,891</w:t>
            </w:r>
          </w:p>
        </w:tc>
      </w:tr>
      <w:tr>
        <w:trPr>
          <w:trHeight w:val="263"/>
        </w:trPr>
        <w:tc>
          <w:tcPr>
            <w:tcW w:w="604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1383C6"/>
              </w:rPr>
              <w:t>7,667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(125,041)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(145,678)</w:t>
            </w:r>
          </w:p>
        </w:tc>
      </w:tr>
      <w:tr>
        <w:trPr>
          <w:trHeight w:val="317"/>
        </w:trPr>
        <w:tc>
          <w:tcPr>
            <w:tcW w:w="60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57,592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182,633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328,311</w:t>
            </w:r>
          </w:p>
        </w:tc>
      </w:tr>
      <w:tr>
        <w:trPr>
          <w:trHeight w:val="260"/>
        </w:trPr>
        <w:tc>
          <w:tcPr>
            <w:tcW w:w="60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1383C6"/>
              </w:rPr>
              <w:t>65,259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57,592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182,633</w:t>
            </w:r>
          </w:p>
        </w:tc>
      </w:tr>
      <w:tr>
        <w:trPr>
          <w:trHeight w:val="20"/>
        </w:trPr>
        <w:tc>
          <w:tcPr>
            <w:tcW w:w="6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1383C6"/>
              </w:rPr>
              <w:t>63,707</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55,370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179,911</w:t>
            </w:r>
          </w:p>
        </w:tc>
      </w:tr>
      <w:tr>
        <w:trPr>
          <w:trHeight w:val="317"/>
        </w:trPr>
        <w:tc>
          <w:tcPr>
            <w:tcW w:w="6040" w:type="dxa"/>
            <w:vAlign w:val="bottom"/>
          </w:tcPr>
          <w:p>
            <w:pPr>
              <w:spacing w:after="0"/>
              <w:rPr>
                <w:sz w:val="20"/>
                <w:szCs w:val="20"/>
                <w:color w:val="auto"/>
              </w:rPr>
            </w:pPr>
            <w:r>
              <w:rPr>
                <w:rFonts w:ascii="Arial" w:cs="Arial" w:eastAsia="Arial" w:hAnsi="Arial"/>
                <w:sz w:val="18"/>
                <w:szCs w:val="18"/>
                <w:b w:val="1"/>
                <w:bCs w:val="1"/>
                <w:color w:val="auto"/>
              </w:rPr>
              <w:t>Restricted cash at end of period</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1,552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2,722</w:t>
            </w:r>
          </w:p>
        </w:tc>
      </w:tr>
      <w:tr>
        <w:trPr>
          <w:trHeight w:val="260"/>
        </w:trPr>
        <w:tc>
          <w:tcPr>
            <w:tcW w:w="60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1383C6"/>
              </w:rPr>
              <w:t>65,259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57,592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182,633</w:t>
            </w:r>
          </w:p>
        </w:tc>
      </w:tr>
      <w:tr>
        <w:trPr>
          <w:trHeight w:val="20"/>
        </w:trPr>
        <w:tc>
          <w:tcPr>
            <w:tcW w:w="6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580"/>
          </w:cols>
          <w:pgMar w:left="1180" w:top="210" w:right="480" w:bottom="0" w:gutter="0" w:footer="0" w:header="0"/>
        </w:sectPr>
      </w:pPr>
    </w:p>
    <w:p>
      <w:pPr>
        <w:spacing w:after="0" w:line="121" w:lineRule="exact"/>
        <w:rPr>
          <w:sz w:val="20"/>
          <w:szCs w:val="20"/>
          <w:color w:val="auto"/>
        </w:rPr>
      </w:pPr>
    </w:p>
    <w:p>
      <w:pPr>
        <w:ind w:left="140" w:right="1920"/>
        <w:spacing w:after="0" w:line="400" w:lineRule="auto"/>
        <w:rPr>
          <w:sz w:val="20"/>
          <w:szCs w:val="20"/>
          <w:color w:val="auto"/>
        </w:rPr>
      </w:pPr>
      <w:r>
        <w:rPr>
          <w:rFonts w:ascii="Arial" w:cs="Arial" w:eastAsia="Arial" w:hAnsi="Arial"/>
          <w:sz w:val="18"/>
          <w:szCs w:val="18"/>
          <w:b w:val="1"/>
          <w:bCs w:val="1"/>
          <w:color w:val="auto"/>
        </w:rPr>
        <w:t>Supplemental disclosure of cash flow information Interest paid</w:t>
      </w:r>
    </w:p>
    <w:p>
      <w:pPr>
        <w:spacing w:after="0" w:line="60" w:lineRule="exact"/>
        <w:rPr>
          <w:sz w:val="20"/>
          <w:szCs w:val="20"/>
          <w:color w:val="auto"/>
        </w:rPr>
      </w:pPr>
    </w:p>
    <w:p>
      <w:pPr>
        <w:ind w:left="140" w:right="220"/>
        <w:spacing w:after="0" w:line="365" w:lineRule="auto"/>
        <w:rPr>
          <w:sz w:val="20"/>
          <w:szCs w:val="20"/>
          <w:color w:val="auto"/>
        </w:rPr>
      </w:pPr>
      <w:r>
        <w:rPr>
          <w:rFonts w:ascii="Arial" w:cs="Arial" w:eastAsia="Arial" w:hAnsi="Arial"/>
          <w:sz w:val="18"/>
          <w:szCs w:val="18"/>
          <w:b w:val="1"/>
          <w:bCs w:val="1"/>
          <w:color w:val="auto"/>
        </w:rPr>
        <w:t>Supplemental disclosure of non-cash investing and financing activities Inventory transferred to property and equipment</w:t>
      </w:r>
    </w:p>
    <w:p>
      <w:pPr>
        <w:ind w:left="140" w:right="1280"/>
        <w:spacing w:after="0" w:line="386" w:lineRule="auto"/>
        <w:rPr>
          <w:sz w:val="20"/>
          <w:szCs w:val="20"/>
          <w:color w:val="auto"/>
        </w:rPr>
      </w:pPr>
      <w:r>
        <w:rPr>
          <w:rFonts w:ascii="Arial" w:cs="Arial" w:eastAsia="Arial" w:hAnsi="Arial"/>
          <w:sz w:val="17"/>
          <w:szCs w:val="17"/>
          <w:b w:val="1"/>
          <w:bCs w:val="1"/>
          <w:color w:val="auto"/>
        </w:rPr>
        <w:t>Property and equipment transferred to inventory Right-of-use asset and liability additions and modifications</w:t>
      </w:r>
    </w:p>
    <w:p>
      <w:pPr>
        <w:spacing w:after="0" w:line="1" w:lineRule="exact"/>
        <w:rPr>
          <w:sz w:val="20"/>
          <w:szCs w:val="20"/>
          <w:color w:val="auto"/>
        </w:rPr>
      </w:pPr>
    </w:p>
    <w:p>
      <w:pPr>
        <w:ind w:left="140"/>
        <w:spacing w:after="0" w:line="401" w:lineRule="auto"/>
        <w:rPr>
          <w:sz w:val="20"/>
          <w:szCs w:val="20"/>
          <w:color w:val="auto"/>
        </w:rPr>
      </w:pPr>
      <w:r>
        <w:rPr>
          <w:rFonts w:ascii="Arial" w:cs="Arial" w:eastAsia="Arial" w:hAnsi="Arial"/>
          <w:sz w:val="16"/>
          <w:szCs w:val="16"/>
          <w:b w:val="1"/>
          <w:bCs w:val="1"/>
          <w:color w:val="auto"/>
        </w:rPr>
        <w:t>Issuance of common stock in conjunction with convertible notes exchange Issuance of common stock in acquisition of Apton and Omniome</w:t>
      </w:r>
    </w:p>
    <w:p>
      <w:pPr>
        <w:ind w:left="140" w:right="60"/>
        <w:spacing w:after="0" w:line="243" w:lineRule="auto"/>
        <w:rPr>
          <w:sz w:val="20"/>
          <w:szCs w:val="20"/>
          <w:color w:val="auto"/>
        </w:rPr>
      </w:pPr>
      <w:r>
        <w:rPr>
          <w:rFonts w:ascii="Arial" w:cs="Arial" w:eastAsia="Arial" w:hAnsi="Arial"/>
          <w:sz w:val="18"/>
          <w:szCs w:val="18"/>
          <w:b w:val="1"/>
          <w:bCs w:val="1"/>
          <w:color w:val="auto"/>
        </w:rPr>
        <w:t>Issuance of common stock in connection with Apton liquidity event bonus plan</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Convertible notes exchange</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Issuance of common stock following milestone achievement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1383C6"/>
              </w:rPr>
              <w:t>8,264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14,805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15,687</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90"/>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2,941</w:t>
            </w:r>
          </w:p>
        </w:tc>
        <w:tc>
          <w:tcPr>
            <w:tcW w:w="60" w:type="dxa"/>
            <w:vAlign w:val="bottom"/>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4,194</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5"/>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(1,620)</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(2,572)</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5"/>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29,575</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18,253</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5"/>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36,199</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5"/>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76,642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0"/>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5"/>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441,000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5"/>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1383C6"/>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84,761</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6080" w:space="100"/>
            <w:col w:w="4400"/>
          </w:cols>
          <w:pgMar w:left="1180" w:top="210" w:right="480" w:bottom="0" w:gutter="0" w:footer="0" w:header="0"/>
          <w:type w:val="continuous"/>
        </w:sectPr>
      </w:pPr>
    </w:p>
    <w:p>
      <w:pPr>
        <w:spacing w:after="0" w:line="11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See accompanying </w:t>
      </w:r>
      <w:r>
        <w:rPr>
          <w:rFonts w:ascii="Arial" w:cs="Arial" w:eastAsia="Arial" w:hAnsi="Arial"/>
          <w:sz w:val="18"/>
          <w:szCs w:val="18"/>
          <w:b w:val="1"/>
          <w:bCs w:val="1"/>
          <w:u w:val="single" w:color="auto"/>
          <w:color w:val="0000FF"/>
        </w:rPr>
        <w:t>notes</w:t>
      </w:r>
      <w:r>
        <w:rPr>
          <w:rFonts w:ascii="Arial" w:cs="Arial" w:eastAsia="Arial" w:hAnsi="Arial"/>
          <w:sz w:val="18"/>
          <w:szCs w:val="18"/>
          <w:b w:val="1"/>
          <w:bCs w:val="1"/>
          <w:color w:val="auto"/>
        </w:rPr>
        <w:t xml:space="preserve">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3883660</wp:posOffset>
                </wp:positionV>
                <wp:extent cx="7315200"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05.8pt" to="535pt,305.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3883660</wp:posOffset>
                </wp:positionV>
                <wp:extent cx="7315200" cy="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05.8pt" to="535pt,305.8pt" o:allowincell="f" strokecolor="#DF1995" strokeweight="1pt"/>
            </w:pict>
          </mc:Fallback>
        </mc:AlternateContent>
      </w:r>
    </w:p>
    <w:p>
      <w:pPr>
        <w:sectPr>
          <w:pgSz w:w="12240" w:h="15840" w:orient="portrait"/>
          <w:cols w:equalWidth="0" w:num="1">
            <w:col w:w="10580"/>
          </w:cols>
          <w:pgMar w:left="1180" w:top="210" w:right="4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18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406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189">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PACIFIC BIOSCIENCES OF CALIFORNIA, INC.</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265430</wp:posOffset>
            </wp:positionV>
            <wp:extent cx="6311900" cy="2444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190">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1. ORGANIZATION AND SIGNIFICANT ACCOUNTING POLICIES</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Business Overview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191">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We are a life science technology company that designs, develops, and manufactures advanced sequencing solutions that enable scientists and clinical researchers to improve their understanding of the genome and ultimately, resolve genetically complex problems.</w:t>
      </w:r>
    </w:p>
    <w:p>
      <w:pPr>
        <w:spacing w:after="0" w:line="70" w:lineRule="exact"/>
        <w:rPr>
          <w:sz w:val="20"/>
          <w:szCs w:val="20"/>
          <w:color w:val="auto"/>
        </w:rPr>
      </w:pPr>
    </w:p>
    <w:p>
      <w:pPr>
        <w:ind w:right="920"/>
        <w:spacing w:after="0" w:line="268" w:lineRule="auto"/>
        <w:rPr>
          <w:sz w:val="20"/>
          <w:szCs w:val="20"/>
          <w:color w:val="auto"/>
        </w:rPr>
      </w:pPr>
      <w:r>
        <w:rPr>
          <w:rFonts w:ascii="Arial" w:cs="Arial" w:eastAsia="Arial" w:hAnsi="Arial"/>
          <w:sz w:val="20"/>
          <w:szCs w:val="20"/>
          <w:b w:val="1"/>
          <w:bCs w:val="1"/>
          <w:color w:val="auto"/>
        </w:rPr>
        <w:t>Our products and technology, which include our HiFi long-read sequencing technology, address a broad set of applications including human germline sequencing, plant and animal sciences, infectious disease and microbiology, oncology, and other emerging applications.</w:t>
      </w:r>
    </w:p>
    <w:p>
      <w:pPr>
        <w:spacing w:after="0" w:line="70" w:lineRule="exact"/>
        <w:rPr>
          <w:sz w:val="20"/>
          <w:szCs w:val="20"/>
          <w:color w:val="auto"/>
        </w:rPr>
      </w:pPr>
    </w:p>
    <w:p>
      <w:pPr>
        <w:ind w:right="700"/>
        <w:spacing w:after="0" w:line="285" w:lineRule="auto"/>
        <w:rPr>
          <w:sz w:val="20"/>
          <w:szCs w:val="20"/>
          <w:color w:val="auto"/>
        </w:rPr>
      </w:pPr>
      <w:r>
        <w:rPr>
          <w:rFonts w:ascii="Arial" w:cs="Arial" w:eastAsia="Arial" w:hAnsi="Arial"/>
          <w:sz w:val="20"/>
          <w:szCs w:val="20"/>
          <w:b w:val="1"/>
          <w:bCs w:val="1"/>
          <w:color w:val="auto"/>
        </w:rPr>
        <w:t>Our focus is on creating some of the world's most advanced sequencing systems to provide our customers with the most complete and accurate view of genomes, transcriptomes, and epigenomes.</w:t>
      </w:r>
    </w:p>
    <w:p>
      <w:pPr>
        <w:spacing w:after="0" w:line="54" w:lineRule="exact"/>
        <w:rPr>
          <w:sz w:val="20"/>
          <w:szCs w:val="20"/>
          <w:color w:val="auto"/>
        </w:rPr>
      </w:pPr>
    </w:p>
    <w:p>
      <w:pPr>
        <w:ind w:right="1060"/>
        <w:spacing w:after="0" w:line="268" w:lineRule="auto"/>
        <w:rPr>
          <w:sz w:val="20"/>
          <w:szCs w:val="20"/>
          <w:color w:val="auto"/>
        </w:rPr>
      </w:pPr>
      <w:r>
        <w:rPr>
          <w:rFonts w:ascii="Arial" w:cs="Arial" w:eastAsia="Arial" w:hAnsi="Arial"/>
          <w:sz w:val="20"/>
          <w:szCs w:val="20"/>
          <w:b w:val="1"/>
          <w:bCs w:val="1"/>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7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References in this report to “PacBio,” “we,” “us,” the “Company,” and “our” refer to Pacific Biosciences of California, Inc. and its consolidated subsidiaries.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Basis of Presentation and Consolidation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19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Our consolidated financial statements have been prepared in conformity with accounting principles generally accepted in the United States, or U.S. GAAP, as set forth in the Financial Accounting Standards Board, or FASB, Accounting Standards Codification, or ASC. The consolidated financial statements include the accounts of Pacific Biosciences and our wholly owned subsidiaries. All intercompany transactions and balances have been eliminated.</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Use of Estimates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19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The preparation of financial statements in conformity with U.S. GAAP requires us to make estimates and assumptions that affect the amounts reported in the financial statements and accompanying notes to the financial statements. On an ongoing basis, we evaluate our significant estimates, including those relating to the valuation of inventory, fair value of contingent consideration, valuation of acquired intangible assets, useful lives assigned to finite-lived assets, asset impairment assessments, computation of provisions for income taxes, and valuations related to our convertible senior notes. While the extent of the potential impact of current macroeconomic conditions on our business is highly uncertain, we considered information available related to assumptions and estimates used to determine the results reported and asset valuations as of December 31, 2025. Actual results could differ materially from these estimates.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Functional Currency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19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87" w:lineRule="auto"/>
        <w:rPr>
          <w:sz w:val="20"/>
          <w:szCs w:val="20"/>
          <w:color w:val="auto"/>
        </w:rPr>
      </w:pPr>
      <w:r>
        <w:rPr>
          <w:rFonts w:ascii="Arial" w:cs="Arial" w:eastAsia="Arial" w:hAnsi="Arial"/>
          <w:sz w:val="19"/>
          <w:szCs w:val="19"/>
          <w:b w:val="1"/>
          <w:bCs w:val="1"/>
          <w:color w:val="auto"/>
        </w:rPr>
        <w:t>The U.S. dollar is the functional currency of our international operations. We remeasure foreign subsidiaries monetary assets and liabilities to the U.S. dollar and record net gains or losses from remeasurement in other income, net, on our consolidated statements of operations and comprehensive loss.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Cash, Cash Equivalents, Restricted Cash, and 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9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528955</wp:posOffset>
                </wp:positionV>
                <wp:extent cx="7315200" cy="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1.65pt" to="535pt,41.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528955</wp:posOffset>
                </wp:positionV>
                <wp:extent cx="7315200" cy="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1.65pt" to="535pt,41.6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19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54" w:lineRule="auto"/>
        <w:rPr>
          <w:sz w:val="20"/>
          <w:szCs w:val="20"/>
          <w:color w:val="auto"/>
        </w:rPr>
      </w:pPr>
      <w:r>
        <w:rPr>
          <w:rFonts w:ascii="Arial" w:cs="Arial" w:eastAsia="Arial" w:hAnsi="Arial"/>
          <w:sz w:val="20"/>
          <w:szCs w:val="20"/>
          <w:b w:val="1"/>
          <w:bCs w:val="1"/>
          <w:color w:val="auto"/>
        </w:rPr>
        <w:t>We classify our investments in debt securities as available-for-sale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income (loss) in stockholders’ equity. Realized gains and losses, expected credit losses, as well as interest income, on available-for-sale securities are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 We have the ability to hold, and do not intend to sell investments in unrealized loss positions before the recovery of their amortized cost bases.</w:t>
      </w:r>
    </w:p>
    <w:p>
      <w:pPr>
        <w:spacing w:after="0" w:line="86"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cash includes cash that is not readily available for use in the Company’s operating activities.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cash is primarily comprised of cash pledged under letters of credit.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Concentration and Other Risks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19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4" w:lineRule="auto"/>
        <w:rPr>
          <w:sz w:val="20"/>
          <w:szCs w:val="20"/>
          <w:color w:val="auto"/>
        </w:rPr>
      </w:pPr>
      <w:r>
        <w:rPr>
          <w:rFonts w:ascii="Arial" w:cs="Arial" w:eastAsia="Arial" w:hAnsi="Arial"/>
          <w:sz w:val="20"/>
          <w:szCs w:val="20"/>
          <w:b w:val="1"/>
          <w:bCs w:val="1"/>
          <w:color w:val="auto"/>
        </w:rPr>
        <w:t>Financial instruments that potentially subject us to credit risk consist principally of interest-bearing investments and trade receivables. We maintain cash, cash equivalents, and investments with various major financial institutions. The counterparties to the agreements relating to our investment securities consist of various major corporations, financial institutions, municipalities, and government agencies of high credit standing. At December 31, 2025, most of our cash was deposited with U.S. financial institutions. Our investment policy generally restricts the amount of credit exposure to any one issuer. There is no limit to the percentage of the portfolio that may be maintained in securities issued by the U.S. Treasury and U.S. Government Agencies, or other securities fully backed by U.S. Treasury or Government agencies. We have not experienced significant credit losses from financial institutions.</w:t>
      </w:r>
    </w:p>
    <w:p>
      <w:pPr>
        <w:spacing w:after="0" w:line="89" w:lineRule="exact"/>
        <w:rPr>
          <w:sz w:val="20"/>
          <w:szCs w:val="20"/>
          <w:color w:val="auto"/>
        </w:rPr>
      </w:pPr>
    </w:p>
    <w:p>
      <w:pPr>
        <w:jc w:val="both"/>
        <w:ind w:right="680"/>
        <w:spacing w:after="0" w:line="271" w:lineRule="auto"/>
        <w:rPr>
          <w:sz w:val="20"/>
          <w:szCs w:val="20"/>
          <w:color w:val="auto"/>
        </w:rPr>
      </w:pPr>
      <w:r>
        <w:rPr>
          <w:rFonts w:ascii="Arial" w:cs="Arial" w:eastAsia="Arial" w:hAnsi="Arial"/>
          <w:sz w:val="19"/>
          <w:szCs w:val="19"/>
          <w:b w:val="1"/>
          <w:bCs w:val="1"/>
          <w:color w:val="auto"/>
        </w:rPr>
        <w:t>Our trade receivables are derived from revenue to customers and distributors located in the United States and other countries. We perform credit evaluations of our customers’ financial condition and, generally, require no collateral from our customers. The allowance for credit losses is based on our assessment of the collectability of customer accounts. We regularly review our trade receivables including consideration of factors such as historical experience, the age of the accounts receivable balances, customer creditworthiness, customer industry, and current and forecasted economic conditions that may affect a customer’s ability to pay. We have not experienced any significant credit losses to date.</w:t>
      </w:r>
    </w:p>
    <w:p>
      <w:pPr>
        <w:spacing w:after="0" w:line="73"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Although we have historically not experienced significant credit losses, our exposure to credit losses may increase if our customers are adversely affected by changes in economic pressures or uncertainty associated with local or global economic recessions, or other customer-specific factors.</w:t>
      </w:r>
    </w:p>
    <w:p>
      <w:pPr>
        <w:spacing w:after="0" w:line="70"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For the years ended December 31, 2025, 2024, and 2023, no customer accounted for 10% or more of our total revenue.</w:t>
      </w:r>
    </w:p>
    <w:p>
      <w:pPr>
        <w:spacing w:after="0" w:line="58"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As of December 31, 2025 and 2024, 40% and 36% of our accounts receivable were from domestic customers, respectively. As of December 31, 2025 and 2024, no customer represented 10% or more of our net accounts receivable.</w:t>
      </w:r>
    </w:p>
    <w:p>
      <w:pPr>
        <w:spacing w:after="0" w:line="75" w:lineRule="exact"/>
        <w:rPr>
          <w:sz w:val="20"/>
          <w:szCs w:val="20"/>
          <w:color w:val="auto"/>
        </w:rPr>
      </w:pPr>
    </w:p>
    <w:p>
      <w:pPr>
        <w:jc w:val="both"/>
        <w:ind w:right="700"/>
        <w:spacing w:after="0" w:line="258" w:lineRule="auto"/>
        <w:rPr>
          <w:sz w:val="20"/>
          <w:szCs w:val="20"/>
          <w:color w:val="auto"/>
        </w:rPr>
      </w:pPr>
      <w:r>
        <w:rPr>
          <w:rFonts w:ascii="Arial" w:cs="Arial" w:eastAsia="Arial" w:hAnsi="Arial"/>
          <w:sz w:val="20"/>
          <w:szCs w:val="20"/>
          <w:b w:val="1"/>
          <w:bCs w:val="1"/>
          <w:color w:val="auto"/>
        </w:rPr>
        <w:t>We currently purchase several key parts and components used in the manufacture of our products from a limited number of suppliers. Generally, we have been able to obtain an adequate supply of such parts and components but in certain instances have incurred additional costs to secure a supply of constrained material. An extended interruption in the supply of parts and components currently obtained from our suppliers could adversely affect our business and consolidated financial statements.</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Inventory,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19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311" w:lineRule="auto"/>
        <w:rPr>
          <w:sz w:val="20"/>
          <w:szCs w:val="20"/>
          <w:color w:val="auto"/>
        </w:rPr>
      </w:pPr>
      <w:r>
        <w:rPr>
          <w:rFonts w:ascii="Arial" w:cs="Arial" w:eastAsia="Arial" w:hAnsi="Arial"/>
          <w:sz w:val="18"/>
          <w:szCs w:val="18"/>
          <w:b w:val="1"/>
          <w:bCs w:val="1"/>
          <w:color w:val="auto"/>
        </w:rPr>
        <w:t>Inventories are stated at the lower of cost or net realizable value on a first-in, first-out (“FIFO”) method. Adjustments to reduce the cost of inventory to its net realizable value, if required, are made for estimated excess or obsolete balances. Cost includes depreciation, labor, material, and overhead costs, including product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287655</wp:posOffset>
                </wp:positionV>
                <wp:extent cx="7315200" cy="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2.65pt" to="535pt,22.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287655</wp:posOffset>
                </wp:positionV>
                <wp:extent cx="7315200" cy="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2.65pt" to="535pt,22.6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19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97" w:name="page98"/>
    <w:bookmarkEnd w:id="9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and process technology costs. Determining net realizable value of inventories involves judgment, including projecting future average selling prices, sales volumes, and costs to complete products in work in process inventories.</w:t>
      </w:r>
    </w:p>
    <w:p>
      <w:pPr>
        <w:spacing w:after="0" w:line="70" w:lineRule="exact"/>
        <w:rPr>
          <w:sz w:val="20"/>
          <w:szCs w:val="20"/>
          <w:color w:val="auto"/>
        </w:rPr>
      </w:pPr>
    </w:p>
    <w:p>
      <w:pPr>
        <w:jc w:val="both"/>
        <w:ind w:right="680"/>
        <w:spacing w:after="0" w:line="254" w:lineRule="auto"/>
        <w:rPr>
          <w:sz w:val="20"/>
          <w:szCs w:val="20"/>
          <w:color w:val="auto"/>
        </w:rPr>
      </w:pPr>
      <w:r>
        <w:rPr>
          <w:rFonts w:ascii="Arial" w:cs="Arial" w:eastAsia="Arial" w:hAnsi="Arial"/>
          <w:sz w:val="20"/>
          <w:szCs w:val="20"/>
          <w:b w:val="1"/>
          <w:bCs w:val="1"/>
          <w:color w:val="auto"/>
        </w:rPr>
        <w:t>We make inventory purchases and commitments to meet future shipment schedules based on forecasted demand for our products. The business environment in which we operate is subject to rapid changes in technology and customer demand. We perform a detailed assessment of inventory each period, which includes a review of, among other factors, demand requirements, product life cycle and development plans, component cost trends, product pricing, product expiration, and quality issues. Based on our analysis, we record adjustments to inventory for potentially excess, obsolete, or impaired goods, when appropriate, to report inventory at net realizable value. Inventory adjustments may be required if actual demand, component costs, supplier arrangements, or product life cycles differ from our estimates. Any such adjustments would result in a charge to our results of operations.</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Property and Equipment,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20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76" w:lineRule="auto"/>
        <w:rPr>
          <w:sz w:val="20"/>
          <w:szCs w:val="20"/>
          <w:color w:val="auto"/>
        </w:rPr>
      </w:pPr>
      <w:r>
        <w:rPr>
          <w:rFonts w:ascii="Arial" w:cs="Arial" w:eastAsia="Arial" w:hAnsi="Arial"/>
          <w:sz w:val="19"/>
          <w:szCs w:val="19"/>
          <w:b w:val="1"/>
          <w:bCs w:val="1"/>
          <w:color w:val="auto"/>
        </w:rPr>
        <w:t>Property and equipment are stated at cost, reviewed regularly for impairment, and depreciated over the estimated useful lives of the assets, using the straight-line method. Leasehold improvements are depreciated over the shorter of the lease term or the estimated useful life of the related asset. Major improvements are capitalized, while maintenance and repairs are expensed as incurred. Transfers of assets between property and equipment, net, and inventory are transferred at standard cost and recognized at carrying value.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Estimated useful lives of the major classes of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5248275</wp:posOffset>
            </wp:positionH>
            <wp:positionV relativeFrom="paragraph">
              <wp:posOffset>107950</wp:posOffset>
            </wp:positionV>
            <wp:extent cx="1044575" cy="12827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201">
                      <a:extLst>
                        <a:ext uri="{28A0092B-C50C-407E-A947-70E740481C1C}"/>
                      </a:extLst>
                    </a:blip>
                    <a:srcRect/>
                    <a:stretch>
                      <a:fillRect/>
                    </a:stretch>
                  </pic:blipFill>
                  <pic:spPr bwMode="auto">
                    <a:xfrm>
                      <a:off x="0" y="0"/>
                      <a:ext cx="1044575" cy="1282700"/>
                    </a:xfrm>
                    <a:prstGeom prst="rect">
                      <a:avLst/>
                    </a:prstGeom>
                    <a:noFill/>
                  </pic:spPr>
                </pic:pic>
              </a:graphicData>
            </a:graphic>
          </wp:anchor>
        </w:drawing>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2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1383C6"/>
                <w:w w:val="94"/>
              </w:rPr>
              <w:t>Estimated Useful</w:t>
            </w:r>
          </w:p>
        </w:tc>
      </w:tr>
      <w:tr>
        <w:trPr>
          <w:trHeight w:val="245"/>
        </w:trPr>
        <w:tc>
          <w:tcPr>
            <w:tcW w:w="824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1383C6"/>
                <w:w w:val="91"/>
              </w:rPr>
              <w:t>Lives</w:t>
            </w:r>
          </w:p>
        </w:tc>
      </w:tr>
      <w:tr>
        <w:trPr>
          <w:trHeight w:val="263"/>
        </w:trPr>
        <w:tc>
          <w:tcPr>
            <w:tcW w:w="8240" w:type="dxa"/>
            <w:vAlign w:val="bottom"/>
          </w:tcPr>
          <w:p>
            <w:pPr>
              <w:spacing w:after="0"/>
              <w:rPr>
                <w:sz w:val="20"/>
                <w:szCs w:val="20"/>
                <w:color w:val="auto"/>
              </w:rPr>
            </w:pPr>
            <w:r>
              <w:rPr>
                <w:rFonts w:ascii="Arial" w:cs="Arial" w:eastAsia="Arial" w:hAnsi="Arial"/>
                <w:sz w:val="18"/>
                <w:szCs w:val="18"/>
                <w:b w:val="1"/>
                <w:bCs w:val="1"/>
                <w:color w:val="auto"/>
              </w:rPr>
              <w:t>Leasehold improvements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1383C6"/>
                <w:w w:val="93"/>
              </w:rPr>
              <w:t>8 years</w:t>
            </w:r>
          </w:p>
        </w:tc>
      </w:tr>
      <w:tr>
        <w:trPr>
          <w:trHeight w:val="300"/>
        </w:trPr>
        <w:tc>
          <w:tcPr>
            <w:tcW w:w="8240" w:type="dxa"/>
            <w:vAlign w:val="bottom"/>
          </w:tcPr>
          <w:p>
            <w:pPr>
              <w:spacing w:after="0"/>
              <w:rPr>
                <w:sz w:val="20"/>
                <w:szCs w:val="20"/>
                <w:color w:val="auto"/>
              </w:rPr>
            </w:pPr>
            <w:r>
              <w:rPr>
                <w:rFonts w:ascii="Arial" w:cs="Arial" w:eastAsia="Arial" w:hAnsi="Arial"/>
                <w:sz w:val="18"/>
                <w:szCs w:val="18"/>
                <w:b w:val="1"/>
                <w:bCs w:val="1"/>
                <w:color w:val="auto"/>
              </w:rPr>
              <w:t>Lab equipment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1383C6"/>
                <w:w w:val="94"/>
              </w:rPr>
              <w:t>3 to 5 years</w:t>
            </w:r>
          </w:p>
        </w:tc>
      </w:tr>
      <w:tr>
        <w:trPr>
          <w:trHeight w:val="300"/>
        </w:trPr>
        <w:tc>
          <w:tcPr>
            <w:tcW w:w="8240" w:type="dxa"/>
            <w:vAlign w:val="bottom"/>
          </w:tcPr>
          <w:p>
            <w:pPr>
              <w:spacing w:after="0"/>
              <w:rPr>
                <w:sz w:val="20"/>
                <w:szCs w:val="20"/>
                <w:color w:val="auto"/>
              </w:rPr>
            </w:pPr>
            <w:r>
              <w:rPr>
                <w:rFonts w:ascii="Arial" w:cs="Arial" w:eastAsia="Arial" w:hAnsi="Arial"/>
                <w:sz w:val="18"/>
                <w:szCs w:val="18"/>
                <w:b w:val="1"/>
                <w:bCs w:val="1"/>
                <w:color w:val="auto"/>
              </w:rPr>
              <w:t>Computer equipment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1383C6"/>
                <w:w w:val="94"/>
              </w:rPr>
              <w:t>3 to 5 years</w:t>
            </w:r>
          </w:p>
        </w:tc>
      </w:tr>
      <w:tr>
        <w:trPr>
          <w:trHeight w:val="300"/>
        </w:trPr>
        <w:tc>
          <w:tcPr>
            <w:tcW w:w="8240" w:type="dxa"/>
            <w:vAlign w:val="bottom"/>
          </w:tcPr>
          <w:p>
            <w:pPr>
              <w:spacing w:after="0"/>
              <w:rPr>
                <w:sz w:val="20"/>
                <w:szCs w:val="20"/>
                <w:color w:val="auto"/>
              </w:rPr>
            </w:pPr>
            <w:r>
              <w:rPr>
                <w:rFonts w:ascii="Arial" w:cs="Arial" w:eastAsia="Arial" w:hAnsi="Arial"/>
                <w:sz w:val="18"/>
                <w:szCs w:val="18"/>
                <w:b w:val="1"/>
                <w:bCs w:val="1"/>
                <w:color w:val="auto"/>
              </w:rPr>
              <w:t>Computer software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1383C6"/>
                <w:w w:val="93"/>
              </w:rPr>
              <w:t>3 years</w:t>
            </w:r>
          </w:p>
        </w:tc>
      </w:tr>
      <w:tr>
        <w:trPr>
          <w:trHeight w:val="300"/>
        </w:trPr>
        <w:tc>
          <w:tcPr>
            <w:tcW w:w="8240" w:type="dxa"/>
            <w:vAlign w:val="bottom"/>
          </w:tcPr>
          <w:p>
            <w:pPr>
              <w:spacing w:after="0"/>
              <w:rPr>
                <w:sz w:val="20"/>
                <w:szCs w:val="20"/>
                <w:color w:val="auto"/>
              </w:rPr>
            </w:pPr>
            <w:r>
              <w:rPr>
                <w:rFonts w:ascii="Arial" w:cs="Arial" w:eastAsia="Arial" w:hAnsi="Arial"/>
                <w:sz w:val="18"/>
                <w:szCs w:val="18"/>
                <w:b w:val="1"/>
                <w:bCs w:val="1"/>
                <w:color w:val="auto"/>
              </w:rPr>
              <w:t>Furniture and fixtures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1383C6"/>
                <w:w w:val="94"/>
              </w:rPr>
              <w:t>3 to 5 years</w:t>
            </w:r>
          </w:p>
        </w:tc>
      </w:tr>
    </w:tbl>
    <w:p>
      <w:pPr>
        <w:spacing w:after="0" w:line="33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Operating 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20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86" w:lineRule="auto"/>
        <w:rPr>
          <w:sz w:val="20"/>
          <w:szCs w:val="20"/>
          <w:color w:val="auto"/>
        </w:rPr>
      </w:pPr>
      <w:r>
        <w:rPr>
          <w:rFonts w:ascii="Arial" w:cs="Arial" w:eastAsia="Arial" w:hAnsi="Arial"/>
          <w:sz w:val="18"/>
          <w:szCs w:val="18"/>
          <w:b w:val="1"/>
          <w:bCs w:val="1"/>
          <w:color w:val="auto"/>
        </w:rPr>
        <w:t>We have various operating lease agreements for office, research and development, manufacturing and distribution facilities, including our headquarters location in Menlo Park, California. As of December 31, 2025, these leases had remaining lease terms that expire between 2026 and 2034. We record operating lease right-of-use assets and liabilities on our consolidated balance sheets for all leases with a term of more than 12 months.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Operating lease expense is recognized on a straight-line basis over the lease term, with variable lease payments, such as common area maintenance fees, recognized in the period incurred.</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Business Combinations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20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90" w:lineRule="auto"/>
        <w:rPr>
          <w:sz w:val="20"/>
          <w:szCs w:val="20"/>
          <w:color w:val="auto"/>
        </w:rPr>
      </w:pPr>
      <w:r>
        <w:rPr>
          <w:rFonts w:ascii="Arial" w:cs="Arial" w:eastAsia="Arial" w:hAnsi="Arial"/>
          <w:sz w:val="18"/>
          <w:szCs w:val="18"/>
          <w:b w:val="1"/>
          <w:bCs w:val="1"/>
          <w:color w:val="auto"/>
        </w:rPr>
        <w:t>Under the acquisition method of accounting, we allocate the fair value of the total consideration transferred to the tangible and identifiable intangible assets acquired and liabilities assumed based on their estimated fair values on the date of acquisition. These valuations require us to make estimates and assumptions, especially with respect to intangible assets. We record the excess consideration over the aggregate fair value of tangible and intangible assets, net of liabilities assumed, as goodwill. Costs that we incur to complete the business combination, such as legal and other professional fees, are expensed as they are incurred.</w:t>
      </w:r>
    </w:p>
    <w:p>
      <w:pPr>
        <w:spacing w:after="0" w:line="59" w:lineRule="exact"/>
        <w:rPr>
          <w:sz w:val="20"/>
          <w:szCs w:val="20"/>
          <w:color w:val="auto"/>
        </w:rPr>
      </w:pPr>
    </w:p>
    <w:p>
      <w:pPr>
        <w:jc w:val="both"/>
        <w:ind w:right="700"/>
        <w:spacing w:after="0" w:line="299" w:lineRule="auto"/>
        <w:rPr>
          <w:sz w:val="20"/>
          <w:szCs w:val="20"/>
          <w:color w:val="auto"/>
        </w:rPr>
      </w:pPr>
      <w:r>
        <w:rPr>
          <w:rFonts w:ascii="Arial" w:cs="Arial" w:eastAsia="Arial" w:hAnsi="Arial"/>
          <w:sz w:val="18"/>
          <w:szCs w:val="18"/>
          <w:b w:val="1"/>
          <w:bCs w:val="1"/>
          <w:color w:val="auto"/>
        </w:rPr>
        <w:t>In connection with certain acquisitions, contingent consideration can be earned by the sellers upon completion of certain future performance milestones. In these cases, a liability is recorded on the acquisition date for an estimate of the acquisition date fair value of the contingent consideration. These estimates require significant management judgment, including probabilities of achieving certain future milestones. Changes in the fair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407670</wp:posOffset>
                </wp:positionV>
                <wp:extent cx="7315200"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2.1pt" to="535pt,32.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407670</wp:posOffset>
                </wp:positionV>
                <wp:extent cx="7315200" cy="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03" o:spid="_x0000_s15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2.1pt" to="535pt,32.1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204">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98" w:name="page99"/>
    <w:bookmarkEnd w:id="9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85" w:lineRule="auto"/>
        <w:rPr>
          <w:sz w:val="20"/>
          <w:szCs w:val="20"/>
          <w:color w:val="auto"/>
        </w:rPr>
      </w:pPr>
      <w:r>
        <w:rPr>
          <w:rFonts w:ascii="Arial" w:cs="Arial" w:eastAsia="Arial" w:hAnsi="Arial"/>
          <w:sz w:val="20"/>
          <w:szCs w:val="20"/>
          <w:b w:val="1"/>
          <w:bCs w:val="1"/>
          <w:color w:val="auto"/>
        </w:rPr>
        <w:t>of the contingent consideration subsequent to the acquisition date are recognized in operating expense on our consolidated statements of operations and comprehensive loss.</w:t>
      </w:r>
    </w:p>
    <w:p>
      <w:pPr>
        <w:spacing w:after="0" w:line="54" w:lineRule="exact"/>
        <w:rPr>
          <w:sz w:val="20"/>
          <w:szCs w:val="20"/>
          <w:color w:val="auto"/>
        </w:rPr>
      </w:pPr>
    </w:p>
    <w:p>
      <w:pPr>
        <w:jc w:val="both"/>
        <w:ind w:right="700"/>
        <w:spacing w:after="0" w:line="289" w:lineRule="auto"/>
        <w:rPr>
          <w:sz w:val="20"/>
          <w:szCs w:val="20"/>
          <w:color w:val="auto"/>
        </w:rPr>
      </w:pPr>
      <w:r>
        <w:rPr>
          <w:rFonts w:ascii="Arial" w:cs="Arial" w:eastAsia="Arial" w:hAnsi="Arial"/>
          <w:sz w:val="18"/>
          <w:szCs w:val="18"/>
          <w:b w:val="1"/>
          <w:bCs w:val="1"/>
          <w:color w:val="auto"/>
        </w:rPr>
        <w:t>If the initial accounting for a business combination is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offset to goodwill. Any adjustments identified after the measurement period are recorded on our consolidated statements of operations and comprehensive loss.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Goodwill and Intangible Assets with Indefinite Lives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20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70" w:lineRule="auto"/>
        <w:rPr>
          <w:sz w:val="20"/>
          <w:szCs w:val="20"/>
          <w:color w:val="auto"/>
        </w:rPr>
      </w:pPr>
      <w:r>
        <w:rPr>
          <w:rFonts w:ascii="Arial" w:cs="Arial" w:eastAsia="Arial" w:hAnsi="Arial"/>
          <w:sz w:val="19"/>
          <w:szCs w:val="19"/>
          <w:b w:val="1"/>
          <w:bCs w:val="1"/>
          <w:color w:val="auto"/>
        </w:rPr>
        <w:t>Assets acquired, including intangible assets and capitalized in-process research and development (“IPR&amp;D”), and liabilities assumed are measured at fair value as of the acquisition date. Goodwill, which has an indefinite useful life, represents the excess of cost over fair value of the net assets acquired. Intangible assets acquired in a business combination that are used for IPR&amp;D activities are considered indefinite lived until the completion or abandonment of the associated research and development efforts. Upon reaching the end of the relevant research and development project (i.e., upon commercialization), the IPR&amp;D asset is assessed for impairment and then amortized over its estimated useful life. If the relevant research and development project is abandoned, the IPR&amp;D asset is expensed in the period of abandonment.</w:t>
      </w:r>
    </w:p>
    <w:p>
      <w:pPr>
        <w:spacing w:after="0" w:line="74" w:lineRule="exact"/>
        <w:rPr>
          <w:sz w:val="20"/>
          <w:szCs w:val="20"/>
          <w:color w:val="auto"/>
        </w:rPr>
      </w:pPr>
    </w:p>
    <w:p>
      <w:pPr>
        <w:jc w:val="both"/>
        <w:ind w:right="680"/>
        <w:spacing w:after="0" w:line="289" w:lineRule="auto"/>
        <w:rPr>
          <w:sz w:val="20"/>
          <w:szCs w:val="20"/>
          <w:color w:val="auto"/>
        </w:rPr>
      </w:pPr>
      <w:r>
        <w:rPr>
          <w:rFonts w:ascii="Arial" w:cs="Arial" w:eastAsia="Arial" w:hAnsi="Arial"/>
          <w:sz w:val="18"/>
          <w:szCs w:val="18"/>
          <w:b w:val="1"/>
          <w:bCs w:val="1"/>
          <w:color w:val="auto"/>
        </w:rPr>
        <w:t>Goodwill and IPR&amp;D are not amortized; however, they are reviewed for impairment at least annually. We perform annual impairment testing of goodwill as of the first day of the second quarter, or more frequently if indicators of impairment exist. We perform annual impairment testing of IPR&amp;D as of the first day of the third quarter, or more frequently if indicators of impairment exist. Events that would indicate impairment and trigger an interim impairment test include, but are not limited to, adverse changes in business or economic conditions, lower-than-expected performance of a product line or business, changes in strategic direction, unanticipated technological or competitive developments, loss of key personnel, and actions by governments or courts.</w:t>
      </w:r>
    </w:p>
    <w:p>
      <w:pPr>
        <w:spacing w:after="0" w:line="55" w:lineRule="exact"/>
        <w:rPr>
          <w:sz w:val="20"/>
          <w:szCs w:val="20"/>
          <w:color w:val="auto"/>
        </w:rPr>
      </w:pPr>
    </w:p>
    <w:p>
      <w:pPr>
        <w:jc w:val="both"/>
        <w:ind w:right="680"/>
        <w:spacing w:after="0" w:line="283" w:lineRule="auto"/>
        <w:rPr>
          <w:sz w:val="20"/>
          <w:szCs w:val="20"/>
          <w:color w:val="auto"/>
        </w:rPr>
      </w:pPr>
      <w:r>
        <w:rPr>
          <w:rFonts w:ascii="Arial" w:cs="Arial" w:eastAsia="Arial" w:hAnsi="Arial"/>
          <w:sz w:val="18"/>
          <w:szCs w:val="18"/>
          <w:b w:val="1"/>
          <w:bCs w:val="1"/>
          <w:color w:val="auto"/>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 of our reporting unit is less than the carrying amount, including goodwill. The qualitative factors include, but are not limited to, macroeconomic conditions, industry and market considerations, and our overall financial performance. If, after assessing the totality of these qualitative factors, we determine that it is not more likely than not that the fair value of our reporting unit is less than the carrying amount, then no additional assessment is deemed necessary. Otherwise, we proceed to compare the estimated fair value of the reporting unit with the carrying value, including goodwill. If the carrying amount of the reporting unit exceeds the fair value, we record an impairment loss based on the difference. We may elect to bypass the qualitative assessment in a period and proceed to perform the quantitative goodwill impairment test. We generally perform our impairment test using a combination of an income and a market approach to determine the fair value of goodwill. The income approach utilizes estimated discounted cash flows, while the market approach utilizes comparable company information.</w:t>
      </w:r>
    </w:p>
    <w:p>
      <w:pPr>
        <w:spacing w:after="0" w:line="67" w:lineRule="exact"/>
        <w:rPr>
          <w:sz w:val="20"/>
          <w:szCs w:val="20"/>
          <w:color w:val="auto"/>
        </w:rPr>
      </w:pPr>
    </w:p>
    <w:p>
      <w:pPr>
        <w:jc w:val="both"/>
        <w:ind w:right="680"/>
        <w:spacing w:after="0" w:line="287" w:lineRule="auto"/>
        <w:rPr>
          <w:sz w:val="20"/>
          <w:szCs w:val="20"/>
          <w:color w:val="auto"/>
        </w:rPr>
      </w:pPr>
      <w:r>
        <w:rPr>
          <w:rFonts w:ascii="Arial" w:cs="Arial" w:eastAsia="Arial" w:hAnsi="Arial"/>
          <w:sz w:val="18"/>
          <w:szCs w:val="18"/>
          <w:b w:val="1"/>
          <w:bCs w:val="1"/>
          <w:color w:val="auto"/>
        </w:rPr>
        <w:t>During the IPR&amp;D impairment review, we assess qualitative factors to determine whether it is more likely than not that the fair value of the IPR&amp;D is less than the carrying amount. The qualitative factors include, but are not limited to, macroeconomic conditions, industry-specific conditions, and company-specific conditions. If, after assessing the totality of these qualitative factors, we determine that it is not more likely than not that the fair value of the IPR&amp;D is less than the carrying amount, then no additional assessment is deemed necessary. Otherwise, we proceed to compare the estimated fair value of the IPR&amp;D with the carrying value. If the carrying amount of the IPR&amp;D exceeds the fair value, we record an impairment loss based on the difference. We may elect to bypass the qualitative assessment in a period and proceed to perform the quantitative impairment test.</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Intangible Assets and Other Finite-Lived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06">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Finite-lived intangible assets include our acquired developed technology and customer relationships. We capitalize finite-lived intangible assets and generally amortize them on a straight-line basis over the estimated useful lives. Intangible assets purchased as part of an acquisition are included in Intangible assets, net, on our consolidated balance sheets.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389890</wp:posOffset>
                </wp:positionV>
                <wp:extent cx="7315200" cy="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9" o:spid="_x0000_s15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0.7pt" to="535pt,3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389890</wp:posOffset>
                </wp:positionV>
                <wp:extent cx="7315200" cy="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10" o:spid="_x0000_s15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0.7pt" to="535pt,30.7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20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b w:val="1"/>
          <w:bCs w:val="1"/>
          <w:color w:val="auto"/>
        </w:rPr>
        <w:t>We regularly review intangible assets with finite lives and other finite-lived assets for impairment whenever events or changes in circumstances indicate the carrying amount of an asset may not be recoverable. We assess the recoverability of assets based on the estimated undiscounted future cash flows expected to result from the use and eventual disposition of the asset. If the undiscounted future cash flows are less than the carrying amount, we estimate the fair value of the assets and record an impairment loss if the carrying value exceeds the fair value. In light of the changes in circumstances that led to the recoverability assessment, we also assess the remaining estimated useful life of the assets. Factors that may indicate potential impairment include a significant decline in our stock price and market capitalization compared to net book value, significant changes in the ability of an asset to generate positive cash flows for our strategic business objectives, and the pattern of utilization of a particular asset.</w:t>
      </w:r>
    </w:p>
    <w:p>
      <w:pPr>
        <w:spacing w:after="0" w:line="71" w:lineRule="exact"/>
        <w:rPr>
          <w:sz w:val="20"/>
          <w:szCs w:val="20"/>
          <w:color w:val="auto"/>
        </w:rPr>
      </w:pPr>
    </w:p>
    <w:p>
      <w:pPr>
        <w:jc w:val="both"/>
        <w:ind w:right="700"/>
        <w:spacing w:after="0" w:line="256" w:lineRule="auto"/>
        <w:rPr>
          <w:sz w:val="20"/>
          <w:szCs w:val="20"/>
          <w:color w:val="auto"/>
        </w:rPr>
      </w:pPr>
      <w:r>
        <w:rPr>
          <w:rFonts w:ascii="Arial" w:cs="Arial" w:eastAsia="Arial" w:hAnsi="Arial"/>
          <w:sz w:val="20"/>
          <w:szCs w:val="20"/>
          <w:b w:val="1"/>
          <w:bCs w:val="1"/>
          <w:color w:val="auto"/>
        </w:rPr>
        <w:t>In order to estimate the fair values of identifiable intangible assets with finite lives and other finite-lived assets, we estimate the present value of future cash flows from those assets. The key assumptions that we use in our cash flow model are the amount and timing of estimated future cash flows to be generated by the asset over an extended period of time and a rate of return that considers the relative risk of achieving the cash flows, the time value of money, and other factors that a willing market participant would consider. Management judgment is required to estimate the amount and timing of future cash flows and the relative risk of achieving those cash flows.</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Revenue Recognition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12" o:spid="_x0000_s15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20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revenue is generated primarily from the sale of products and services. Product revenue primarily consists of sales of our instruments and related consumables; service and other revenue consist primarily of revenue earned from product maintenance agreements.</w:t>
      </w:r>
    </w:p>
    <w:p>
      <w:pPr>
        <w:spacing w:after="0" w:line="70"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is transferred to our customers, or services are performed, in an amount that reflects the consideration we expect to be entitled to in exchange for those goods or services. Invoicing typically occurs upon shipment, or delivery in the case of an instrument, and payment is typically due within 30 days from invoice. In instances where the right to payment or transfer of title is contingent upon customer acceptance of the product, revenue is deferred until the acceptance criteria has been met. Revenue from instrument service contracts is recognized as the services are rendered, typically evenly over the contract term. Revenue from development agreements generally includes upfront and milestone payments. Revenue for these agreements is recognized when each separate performance obligation is satisfied.</w:t>
      </w:r>
    </w:p>
    <w:p>
      <w:pPr>
        <w:spacing w:after="0" w:line="76"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We may enter into, or periodically modify, contracts with customers that include a combination of promised products and services, resulting in arrangements containing multiple performance obligations. We determine whether each product or service is distinct, in order to identify the performance obligations in the contract and allocate the contract transaction price among the separate performance obligations. A product or service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Therefore, instrument revenue is recognized upon transfer of control of the asset to the customer, which is generally upon delivery for sales made to our non-distributor customers and upon shipment for sales made to our distributor customers.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2005965</wp:posOffset>
                </wp:positionV>
                <wp:extent cx="7315200" cy="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7.95pt" to="535pt,157.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2005965</wp:posOffset>
                </wp:positionV>
                <wp:extent cx="7315200" cy="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15" o:spid="_x0000_s15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57.95pt" to="535pt,157.9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20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00" w:name="page101"/>
    <w:bookmarkEnd w:id="10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The consideration for contracts with multiple performance obligations is allocated between separate performance obligations based on their individual standalone selling price. We determine the best estimate of standalone selling price primarily using historical average selling prices combined with an assessment of current market conditions. If the standalone selling price is not directly observable, we rely on estimates by considering multiple factors including, but not limited to, overall market conditions, including geographic or regional specific factors, internal costs, profit objectives, pricing practices, and other observable inputs. We recognize revenues as performance obligations are satisfied by transferring control of the product or service to the customer or over the term of a product maintenance agreement with a customer. Our revenue arrangements generally do not provide a right of return. Revenue is recorded net of discounts and sales taxes collected on behalf of governmental authorities. We update the transaction price for expected consideration, subject to constraint. Where we expect, at contract inception, the timing of payments to be consistent with the transfer of goods or services or the contract duration to be one year or less, we do not adjust the transaction price for the effects of a significant financing component.</w:t>
      </w:r>
    </w:p>
    <w:p>
      <w:pPr>
        <w:spacing w:after="0" w:line="80" w:lineRule="exact"/>
        <w:rPr>
          <w:sz w:val="20"/>
          <w:szCs w:val="20"/>
          <w:color w:val="auto"/>
        </w:rPr>
      </w:pPr>
    </w:p>
    <w:p>
      <w:pPr>
        <w:jc w:val="both"/>
        <w:ind w:right="700"/>
        <w:spacing w:after="0" w:line="256" w:lineRule="auto"/>
        <w:rPr>
          <w:sz w:val="20"/>
          <w:szCs w:val="20"/>
          <w:color w:val="auto"/>
        </w:rPr>
      </w:pPr>
      <w:r>
        <w:rPr>
          <w:rFonts w:ascii="Arial" w:cs="Arial" w:eastAsia="Arial" w:hAnsi="Arial"/>
          <w:sz w:val="20"/>
          <w:szCs w:val="20"/>
          <w:b w:val="1"/>
          <w:bCs w:val="1"/>
          <w:color w:val="auto"/>
        </w:rPr>
        <w:t>Modification of existing contracts with customers could change the scope or the price of the contract, or both. When a contract modification occurs, we exercise judgment to determine if the modification should be accounted for as: (i) a separate contract, (ii) the termination of the original contract and creation of a new contract, (iii) a cumulative catch-up adjustment to the original contract, or a combination thereof. Further, contract modifications require the identification and evaluation of the performance obligations of the modified contract, allocation of revenue to the remaining performance obligations and determination of the period of recognition for each identified performance obligation.</w:t>
      </w:r>
    </w:p>
    <w:p>
      <w:pPr>
        <w:spacing w:after="0" w:line="83"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Certain of our agreements provide options to customers which can be exercised at a future date, such as the option to purchase our product at discounted prices, among others. In accounting for customer options, we determine whether an option is a material right and this may require us to exercise judgment. If a contract provides the customer an option to acquire additional goods or services at a discount that exceeds the range of discounts that we typically give for that product or service for the same class of customer, or if the option provides the customer certain additional goods or services for free, the option is considered a material right and, therefore, a performance obligation. If the standalone selling price of the option is not directly observable, an estimated standalone selling price is utilized which considers adjustments for discounts that the customer could receive without exercising the option and the likelihood that the option will be exercised.</w:t>
      </w:r>
    </w:p>
    <w:p>
      <w:pPr>
        <w:spacing w:after="0" w:line="76" w:lineRule="exact"/>
        <w:rPr>
          <w:sz w:val="20"/>
          <w:szCs w:val="20"/>
          <w:color w:val="auto"/>
        </w:rPr>
      </w:pPr>
    </w:p>
    <w:p>
      <w:pPr>
        <w:jc w:val="both"/>
        <w:ind w:right="680"/>
        <w:spacing w:after="0" w:line="262" w:lineRule="auto"/>
        <w:rPr>
          <w:sz w:val="20"/>
          <w:szCs w:val="20"/>
          <w:color w:val="auto"/>
        </w:rPr>
      </w:pPr>
      <w:r>
        <w:rPr>
          <w:rFonts w:ascii="Arial" w:cs="Arial" w:eastAsia="Arial" w:hAnsi="Arial"/>
          <w:sz w:val="20"/>
          <w:szCs w:val="20"/>
          <w:b w:val="1"/>
          <w:bCs w:val="1"/>
          <w:color w:val="auto"/>
        </w:rPr>
        <w:t>Additionally, we generally provide a one-year warranty on instruments. We accrue the cost of the assurance warranty when revenue of the instrument is recognized. Employee sales commissions are generally recorded as selling, general, and administrative expense when incurred as the amortization period for such costs, if capitalized, would have been one year or less.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Cost of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21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Cost of revenue reflects the direct cost of product components, third-party manufacturing services, and our internal manufacturing overhead and customer service infrastructure costs incurred to produce, deliver, maintain, and support our instruments, consumables, and services.</w:t>
      </w:r>
    </w:p>
    <w:p>
      <w:pPr>
        <w:spacing w:after="0" w:line="70"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Manufacturing overhead is predominantly comprised of labor and facility costs. We capitalize manufacturing overhead into inventory based on a standard cost model that approximates actual costs.</w:t>
      </w:r>
    </w:p>
    <w:p>
      <w:pPr>
        <w:spacing w:after="0" w:line="58"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Service costs include the direct costs of components used in support, repair and maintenance of customer instruments as well as the cost of personnel, materials, shipping and support infrastructure necessary to support our installed customer base.</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Research and Development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211">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b w:val="1"/>
          <w:bCs w:val="1"/>
          <w:color w:val="auto"/>
        </w:rPr>
        <w:t>Research and development expense consists primarily of expenses for personnel engaged in the development of our core technology, the design and development of our future products and current product enhancements. These expenses also include prototype-related expenditures, development equipment and supplies, partner development costs, facilities costs, and other related overhead. We expense research and development costs during the period in which the costs are incurred. We defer and capitalize non-refundable advance payments made for research and development activities until the related goods are received or the related services are rendered.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474980</wp:posOffset>
                </wp:positionV>
                <wp:extent cx="7315200" cy="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7.4pt" to="535pt,37.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474980</wp:posOffset>
                </wp:positionV>
                <wp:extent cx="7315200"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7.4pt" to="535pt,37.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21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Credit Losses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21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Trade accounts receivable</w:t>
      </w:r>
    </w:p>
    <w:p>
      <w:pPr>
        <w:spacing w:after="0" w:line="130"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The allowance for credit losses is based on our assessment of the collectability of customer accounts. We regularly review the allowance by considering factors such as the age of the accounts receivable balances, customer creditworthiness, customer industry, and current and forecasted economic conditions that may affect a customer’s ability to pay. Credit loss expense was immaterial for the years ended December 31, 2025, 2024, and 2023.</w:t>
      </w:r>
    </w:p>
    <w:p>
      <w:pPr>
        <w:spacing w:after="0" w:line="79" w:lineRule="exact"/>
        <w:rPr>
          <w:sz w:val="20"/>
          <w:szCs w:val="20"/>
          <w:color w:val="auto"/>
        </w:rPr>
      </w:pPr>
    </w:p>
    <w:p>
      <w:pPr>
        <w:jc w:val="both"/>
        <w:ind w:right="680"/>
        <w:spacing w:after="0" w:line="262" w:lineRule="auto"/>
        <w:rPr>
          <w:sz w:val="20"/>
          <w:szCs w:val="20"/>
          <w:color w:val="auto"/>
        </w:rPr>
      </w:pPr>
      <w:r>
        <w:rPr>
          <w:rFonts w:ascii="Arial" w:cs="Arial" w:eastAsia="Arial" w:hAnsi="Arial"/>
          <w:sz w:val="20"/>
          <w:szCs w:val="20"/>
          <w:b w:val="1"/>
          <w:bCs w:val="1"/>
          <w:color w:val="auto"/>
        </w:rPr>
        <w:t>Although we have historically not experienced significant credit losses, our exposure to credit losses may increase if our customers are adversely affected by changes in economic pressures or uncertainty associated with local or global economic recessions, disruptions associated with epidemics or pandemics, or other customer-specific factors.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Available-for-sale debt securities</w:t>
      </w:r>
    </w:p>
    <w:p>
      <w:pPr>
        <w:spacing w:after="0" w:line="130" w:lineRule="exact"/>
        <w:rPr>
          <w:sz w:val="20"/>
          <w:szCs w:val="20"/>
          <w:color w:val="auto"/>
        </w:rPr>
      </w:pPr>
    </w:p>
    <w:p>
      <w:pPr>
        <w:jc w:val="both"/>
        <w:ind w:right="700"/>
        <w:spacing w:after="0" w:line="287" w:lineRule="auto"/>
        <w:rPr>
          <w:sz w:val="20"/>
          <w:szCs w:val="20"/>
          <w:color w:val="auto"/>
        </w:rPr>
      </w:pPr>
      <w:r>
        <w:rPr>
          <w:rFonts w:ascii="Arial" w:cs="Arial" w:eastAsia="Arial" w:hAnsi="Arial"/>
          <w:sz w:val="18"/>
          <w:szCs w:val="18"/>
          <w:b w:val="1"/>
          <w:bCs w:val="1"/>
          <w:color w:val="auto"/>
        </w:rPr>
        <w:t>Our investment portfolio contains investments in cash deposits, money market funds, commercial paper, corporate debt securities and U.S. government and agency securities. We regularly assess whether our securities in an unrealized loss position are credit related. The credit-related portion of unrealized losses, and any subsequent improvements, are recorded in interest income. Unrealized losses that are not credit related are included in accumulated other comprehensive income (loss). The unrealized losses on our investments are mainly attributable to government securities, including U.S. government and U.S. agency bond securities, impacted by movements in market rates and not due to issuer credit risk. We have the ability to hold and do not intend to sell the investments in unrealized loss positions before the recovery of their amortized cost bases.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Income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21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71" w:lineRule="auto"/>
        <w:rPr>
          <w:sz w:val="20"/>
          <w:szCs w:val="20"/>
          <w:color w:val="auto"/>
        </w:rPr>
      </w:pPr>
      <w:r>
        <w:rPr>
          <w:rFonts w:ascii="Arial" w:cs="Arial" w:eastAsia="Arial" w:hAnsi="Arial"/>
          <w:sz w:val="19"/>
          <w:szCs w:val="19"/>
          <w:b w:val="1"/>
          <w:bCs w:val="1"/>
          <w:color w:val="auto"/>
        </w:rPr>
        <w:t>We account for income taxes under the asset and liability method, which requires, among other things, that deferred income taxes be provided for temporary differences between the tax bases of our assets and liabilities and the amounts reported in the financial statements. In addition, deferred tax assets are recorded for the future benefit of utilizing net operating losses and research and development credit carryforwards. The effect of a change in tax rates on the deferred tax assets and liabilities is recognized in the provision for income taxes in the period that includes the enactment date. A full valuation allowance is provided against our net deferred tax assets as it is more likely than not that the deferred tax assets will not be fully realized.</w:t>
      </w:r>
    </w:p>
    <w:p>
      <w:pPr>
        <w:spacing w:after="0" w:line="73"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We regularly review our positions taken relative to income taxes. To the extent our tax positions are more likely than not going to result in additional taxes, we accrue the estimated amount of tax related to such uncertain positions.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Share-Based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21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8" w:lineRule="auto"/>
        <w:rPr>
          <w:sz w:val="20"/>
          <w:szCs w:val="20"/>
          <w:color w:val="auto"/>
        </w:rPr>
      </w:pPr>
      <w:r>
        <w:rPr>
          <w:rFonts w:ascii="Arial" w:cs="Arial" w:eastAsia="Arial" w:hAnsi="Arial"/>
          <w:sz w:val="20"/>
          <w:szCs w:val="20"/>
          <w:b w:val="1"/>
          <w:bCs w:val="1"/>
          <w:color w:val="auto"/>
        </w:rPr>
        <w:t xml:space="preserve">We recognize share-based compensation expense for share-based payments, including stock options, restricted stock units, performance stock units and stock issued under our employee stock purchase plan ("ESPP") based on the grant-date fair value. We estimate the fair value of stock options and ESPP using an option-pricing model. See </w:t>
      </w:r>
      <w:r>
        <w:rPr>
          <w:rFonts w:ascii="Arial" w:cs="Arial" w:eastAsia="Arial" w:hAnsi="Arial"/>
          <w:sz w:val="20"/>
          <w:szCs w:val="20"/>
          <w:b w:val="1"/>
          <w:bCs w:val="1"/>
          <w:i w:val="1"/>
          <w:iCs w:val="1"/>
          <w:u w:val="single" w:color="auto"/>
          <w:color w:val="0000FF"/>
        </w:rPr>
        <w:t>Note 9. Stockholders’ Equity</w:t>
      </w:r>
      <w:r>
        <w:rPr>
          <w:rFonts w:ascii="Arial" w:cs="Arial" w:eastAsia="Arial" w:hAnsi="Arial"/>
          <w:sz w:val="20"/>
          <w:szCs w:val="20"/>
          <w:b w:val="1"/>
          <w:bCs w:val="1"/>
          <w:color w:val="auto"/>
        </w:rPr>
        <w:t xml:space="preserve"> for further information regarding share-based compensation.</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Other Comprehensive Income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216">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comprehensive income (loss) is comprised of unrealized gains (losses) on our investment securities.</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Shipping and Handling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21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Costs related to shipping and handling are included in cost of revenues for all periods presented.</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Earnings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21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color w:val="auto"/>
        </w:rPr>
        <w:t>Basic net loss per share is computed by dividing net loss by the weighted-average number of shares of common stock outstanding during the period. Diluted net loss per share is computed by dividing diluted net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130810</wp:posOffset>
                </wp:positionV>
                <wp:extent cx="7315200" cy="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6" o:spid="_x0000_s1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0.3pt" to="535pt,1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130810</wp:posOffset>
                </wp:positionV>
                <wp:extent cx="7315200" cy="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0.3pt" to="535pt,10.3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357"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21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by the weighted-average number of shares of common stock outstanding and potentially dilutive shares outstanding during the period. We calculate the potential dilutive effect of outstanding stock options, restricted stock units, and common stock issuable pursuant to our ESPP, using the treasury stock method. Potentially dilutive common shares issuable upon conversion of convertible senior notes are determined using the if-converted method.</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Recent Accounting Pronouncements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22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Recently Adopted Accounting Standards</w:t>
      </w:r>
    </w:p>
    <w:p>
      <w:pPr>
        <w:spacing w:after="0" w:line="130" w:lineRule="exact"/>
        <w:rPr>
          <w:sz w:val="20"/>
          <w:szCs w:val="20"/>
          <w:color w:val="auto"/>
        </w:rPr>
      </w:pPr>
    </w:p>
    <w:p>
      <w:pPr>
        <w:jc w:val="both"/>
        <w:ind w:right="680"/>
        <w:spacing w:after="0" w:line="270" w:lineRule="auto"/>
        <w:rPr>
          <w:sz w:val="20"/>
          <w:szCs w:val="20"/>
          <w:color w:val="auto"/>
        </w:rPr>
      </w:pPr>
      <w:r>
        <w:rPr>
          <w:rFonts w:ascii="Arial" w:cs="Arial" w:eastAsia="Arial" w:hAnsi="Arial"/>
          <w:sz w:val="19"/>
          <w:szCs w:val="19"/>
          <w:b w:val="1"/>
          <w:bCs w:val="1"/>
          <w:color w:val="auto"/>
        </w:rPr>
        <w:t xml:space="preserve">In December 2023, the FASB issued ASU 2023-09, </w:t>
      </w:r>
      <w:r>
        <w:rPr>
          <w:rFonts w:ascii="Arial" w:cs="Arial" w:eastAsia="Arial" w:hAnsi="Arial"/>
          <w:sz w:val="19"/>
          <w:szCs w:val="19"/>
          <w:b w:val="1"/>
          <w:bCs w:val="1"/>
          <w:i w:val="1"/>
          <w:iCs w:val="1"/>
          <w:color w:val="auto"/>
        </w:rPr>
        <w:t>Income Taxes (Topic 740): Improvements to Income Tax</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Disclosures</w:t>
      </w:r>
      <w:r>
        <w:rPr>
          <w:rFonts w:ascii="Arial" w:cs="Arial" w:eastAsia="Arial" w:hAnsi="Arial"/>
          <w:sz w:val="19"/>
          <w:szCs w:val="19"/>
          <w:b w:val="1"/>
          <w:bCs w:val="1"/>
          <w:color w:val="auto"/>
        </w:rPr>
        <w:t>. This new standard requires a company to expand its existing income tax disclosures, specifically</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 xml:space="preserve">related to the rate reconciliation and income taxes paid. The standard was effective for annual periods beginning in 2025. We adopted this ASU for our fiscal year ending December 31, 2025 and applied the amendments retrospectively to all prior periods presented in the consolidated financial statements. The adoption of this new standard resulted in incremental income tax related disclosures to the notes to the consolidated financial statements but did not have a material impact on the consolidated financial statements. Additional required disclosures have been included in </w:t>
      </w:r>
      <w:r>
        <w:rPr>
          <w:rFonts w:ascii="Arial" w:cs="Arial" w:eastAsia="Arial" w:hAnsi="Arial"/>
          <w:sz w:val="19"/>
          <w:szCs w:val="19"/>
          <w:b w:val="1"/>
          <w:bCs w:val="1"/>
          <w:i w:val="1"/>
          <w:iCs w:val="1"/>
          <w:u w:val="single" w:color="auto"/>
          <w:color w:val="0000FF"/>
        </w:rPr>
        <w:t>Note 8. Income Taxes</w:t>
      </w:r>
      <w:r>
        <w:rPr>
          <w:rFonts w:ascii="Arial" w:cs="Arial" w:eastAsia="Arial" w:hAnsi="Arial"/>
          <w:sz w:val="19"/>
          <w:szCs w:val="19"/>
          <w:b w:val="1"/>
          <w:bCs w:val="1"/>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Accounting Pronouncements Pending Adoption</w:t>
      </w:r>
    </w:p>
    <w:p>
      <w:pPr>
        <w:spacing w:after="0" w:line="130"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 xml:space="preserve">In November 2024, the FASB issued ASU 2024-03, </w:t>
      </w:r>
      <w:r>
        <w:rPr>
          <w:rFonts w:ascii="Arial" w:cs="Arial" w:eastAsia="Arial" w:hAnsi="Arial"/>
          <w:sz w:val="20"/>
          <w:szCs w:val="20"/>
          <w:b w:val="1"/>
          <w:bCs w:val="1"/>
          <w:i w:val="1"/>
          <w:iCs w:val="1"/>
          <w:color w:val="auto"/>
        </w:rPr>
        <w:t>Income Statement—Reporting Comprehensive Income—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Expense Disaggregation Disclosures (Subtopic 220-40): Disaggregation of Income Statement Expenses</w:t>
      </w:r>
      <w:r>
        <w:rPr>
          <w:rFonts w:ascii="Arial" w:cs="Arial" w:eastAsia="Arial" w:hAnsi="Arial"/>
          <w:sz w:val="20"/>
          <w:szCs w:val="20"/>
          <w:b w:val="1"/>
          <w:bCs w:val="1"/>
          <w:color w:val="auto"/>
        </w:rPr>
        <w:t>. This new</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standard requires a company to provide disaggregated disclosures, within the notes to the financial statements, of specified categories of expenses that are included in line items on the face of the income statement. The standard will be effective for us beginning in 2027, and interim periods within 2028, with early adoption permitted. The new standard is expected to be applied prospectively, but retrospective application is permitted. We are currently evaluating the impact of ASU 2024-03 on the consolidated financial statements and related disclosures.</w:t>
      </w:r>
    </w:p>
    <w:p>
      <w:pPr>
        <w:spacing w:after="0" w:line="85" w:lineRule="exact"/>
        <w:rPr>
          <w:sz w:val="20"/>
          <w:szCs w:val="20"/>
          <w:color w:val="auto"/>
        </w:rPr>
      </w:pPr>
    </w:p>
    <w:p>
      <w:pPr>
        <w:jc w:val="both"/>
        <w:ind w:right="680"/>
        <w:spacing w:after="0" w:line="271" w:lineRule="auto"/>
        <w:rPr>
          <w:sz w:val="20"/>
          <w:szCs w:val="20"/>
          <w:color w:val="auto"/>
        </w:rPr>
      </w:pPr>
      <w:r>
        <w:rPr>
          <w:rFonts w:ascii="Arial" w:cs="Arial" w:eastAsia="Arial" w:hAnsi="Arial"/>
          <w:sz w:val="19"/>
          <w:szCs w:val="19"/>
          <w:b w:val="1"/>
          <w:bCs w:val="1"/>
          <w:color w:val="auto"/>
        </w:rPr>
        <w:t xml:space="preserve">In November 2024, the FASB issued ASU 2024-04, </w:t>
      </w:r>
      <w:r>
        <w:rPr>
          <w:rFonts w:ascii="Arial" w:cs="Arial" w:eastAsia="Arial" w:hAnsi="Arial"/>
          <w:sz w:val="19"/>
          <w:szCs w:val="19"/>
          <w:b w:val="1"/>
          <w:bCs w:val="1"/>
          <w:i w:val="1"/>
          <w:iCs w:val="1"/>
          <w:color w:val="auto"/>
        </w:rPr>
        <w:t>Debt—Debt With Conversion and Other Options (Subtopic</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470-20): Induced Conversions of Convertible Debt Instruments</w:t>
      </w:r>
      <w:r>
        <w:rPr>
          <w:rFonts w:ascii="Arial" w:cs="Arial" w:eastAsia="Arial" w:hAnsi="Arial"/>
          <w:sz w:val="19"/>
          <w:szCs w:val="19"/>
          <w:b w:val="1"/>
          <w:bCs w:val="1"/>
          <w:color w:val="auto"/>
        </w:rPr>
        <w:t>. This new standard clarifies the requirements for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determining whether certain settlements of convertible debt instruments should be accounted for as an induced conversion or extinguishment of convertible debt. The standard will be effective for us beginning in the first quarter of 2026, with early adoption permitted. The new standard is expected to be applied prospectively, but retrospective application is permitted. We do not expect the adoption of this new standard to have a material impact on the consolidated financial statements and related disclosures.</w:t>
      </w:r>
    </w:p>
    <w:p>
      <w:pPr>
        <w:spacing w:after="0" w:line="73" w:lineRule="exact"/>
        <w:rPr>
          <w:sz w:val="20"/>
          <w:szCs w:val="20"/>
          <w:color w:val="auto"/>
        </w:rPr>
      </w:pPr>
    </w:p>
    <w:p>
      <w:pPr>
        <w:jc w:val="both"/>
        <w:ind w:right="700"/>
        <w:spacing w:after="0" w:line="270" w:lineRule="auto"/>
        <w:rPr>
          <w:sz w:val="20"/>
          <w:szCs w:val="20"/>
          <w:color w:val="auto"/>
        </w:rPr>
      </w:pPr>
      <w:r>
        <w:rPr>
          <w:rFonts w:ascii="Arial" w:cs="Arial" w:eastAsia="Arial" w:hAnsi="Arial"/>
          <w:sz w:val="19"/>
          <w:szCs w:val="19"/>
          <w:b w:val="1"/>
          <w:bCs w:val="1"/>
          <w:color w:val="auto"/>
        </w:rPr>
        <w:t xml:space="preserve">In September 2025, the FASB issued ASU 2025-06, </w:t>
      </w:r>
      <w:r>
        <w:rPr>
          <w:rFonts w:ascii="Arial" w:cs="Arial" w:eastAsia="Arial" w:hAnsi="Arial"/>
          <w:sz w:val="19"/>
          <w:szCs w:val="19"/>
          <w:b w:val="1"/>
          <w:bCs w:val="1"/>
          <w:i w:val="1"/>
          <w:iCs w:val="1"/>
          <w:color w:val="auto"/>
        </w:rPr>
        <w:t>Intangibles—Goodwill and Other—Internal-Use Software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(Subtopic 350-40): Targeted Improvements to the Accounting for Internal-Use Software. </w:t>
      </w:r>
      <w:r>
        <w:rPr>
          <w:rFonts w:ascii="Arial" w:cs="Arial" w:eastAsia="Arial" w:hAnsi="Arial"/>
          <w:sz w:val="19"/>
          <w:szCs w:val="19"/>
          <w:b w:val="1"/>
          <w:bCs w:val="1"/>
          <w:color w:val="auto"/>
        </w:rPr>
        <w:t>This new standard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clarifies and modernizes the recognition and disclosure framework for capitalized internal-use software costs by removing all references to project stages and introduces a more judgment-based approach. The standard also clarifies the threshold to be applied to begin capitalizing. The standard will be effective for us beginning in the first quarter of 2028, with early adoption permitted, and can be applied using a prospective, retrospective, or modified transition approach. We are currently evaluating the impact of ASU 2025-06 on the consolidated financial statements and related disclosures.</w:t>
      </w:r>
    </w:p>
    <w:p>
      <w:pPr>
        <w:spacing w:after="0" w:line="74" w:lineRule="exact"/>
        <w:rPr>
          <w:sz w:val="20"/>
          <w:szCs w:val="20"/>
          <w:color w:val="auto"/>
        </w:rPr>
      </w:pPr>
    </w:p>
    <w:p>
      <w:pPr>
        <w:jc w:val="both"/>
        <w:ind w:right="680"/>
        <w:spacing w:after="0" w:line="257" w:lineRule="auto"/>
        <w:rPr>
          <w:sz w:val="20"/>
          <w:szCs w:val="20"/>
          <w:color w:val="auto"/>
        </w:rPr>
      </w:pPr>
      <w:r>
        <w:rPr>
          <w:rFonts w:ascii="Arial" w:cs="Arial" w:eastAsia="Arial" w:hAnsi="Arial"/>
          <w:sz w:val="20"/>
          <w:szCs w:val="20"/>
          <w:b w:val="1"/>
          <w:bCs w:val="1"/>
          <w:color w:val="auto"/>
        </w:rPr>
        <w:t xml:space="preserve">In December 2025, the FASB issued ASU 2025-10, </w:t>
      </w:r>
      <w:r>
        <w:rPr>
          <w:rFonts w:ascii="Arial" w:cs="Arial" w:eastAsia="Arial" w:hAnsi="Arial"/>
          <w:sz w:val="20"/>
          <w:szCs w:val="20"/>
          <w:b w:val="1"/>
          <w:bCs w:val="1"/>
          <w:i w:val="1"/>
          <w:iCs w:val="1"/>
          <w:color w:val="auto"/>
        </w:rPr>
        <w:t>Accounting for Government Grants Received by Business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Entities</w:t>
      </w:r>
      <w:r>
        <w:rPr>
          <w:rFonts w:ascii="Arial" w:cs="Arial" w:eastAsia="Arial" w:hAnsi="Arial"/>
          <w:sz w:val="20"/>
          <w:szCs w:val="20"/>
          <w:b w:val="1"/>
          <w:bCs w:val="1"/>
          <w:color w:val="auto"/>
        </w:rPr>
        <w:t>. This new standard provides guidance on the recognition, measurement, and presentation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government grants. The standard will be effective for us beginning in the first quarter of fiscal year 2029, with early adoption permitted, and can be applied using a modified prospective, modified retrospective or full retrospective transition approach. We are currently evaluating the impact of ASU 2025-10 on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1400175</wp:posOffset>
                </wp:positionV>
                <wp:extent cx="7315200" cy="0"/>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1" o:spid="_x0000_s15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10.25pt" to="535pt,110.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1400175</wp:posOffset>
                </wp:positionV>
                <wp:extent cx="7315200" cy="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10.25pt" to="535pt,110.2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22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03" w:name="page104"/>
    <w:bookmarkEnd w:id="10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2444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222">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2. BUSINESS ACQUISITIONS</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Apton Biosystems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22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On August 2, 2023, we acquired Apton Biosystems, Inc. (“Apton”), a California-based genomics company focused on developing a high throughput short-read sequencer using highly differentiated optics and image processing, paired with novel clustering and chemistry (the “Apton acquisition”).</w:t>
      </w:r>
    </w:p>
    <w:p>
      <w:pPr>
        <w:spacing w:after="0" w:line="70" w:lineRule="exact"/>
        <w:rPr>
          <w:sz w:val="20"/>
          <w:szCs w:val="20"/>
          <w:color w:val="auto"/>
        </w:rPr>
      </w:pPr>
    </w:p>
    <w:p>
      <w:pPr>
        <w:jc w:val="both"/>
        <w:ind w:right="680"/>
        <w:spacing w:after="0" w:line="294" w:lineRule="auto"/>
        <w:rPr>
          <w:sz w:val="20"/>
          <w:szCs w:val="20"/>
          <w:color w:val="auto"/>
        </w:rPr>
      </w:pPr>
      <w:r>
        <w:rPr>
          <w:rFonts w:ascii="Arial" w:cs="Arial" w:eastAsia="Arial" w:hAnsi="Arial"/>
          <w:sz w:val="18"/>
          <w:szCs w:val="18"/>
          <w:b w:val="1"/>
          <w:bCs w:val="1"/>
          <w:color w:val="auto"/>
        </w:rPr>
        <w:t>In connection with the Apton acquisition, all outstanding equity securities of Apton were cancelled in exchange for shares of our common stock with a fair value of $76.6 million, cash of $0.2 million, and contingent consideration with an estimated fair value of $18.5 million. Excluded from consideration transferred was $1.3 million attributable to accelerated share-based compensation expense. The fair value of the 6,121,571 common shares issued was determined based on the closing market price of our common stock on the acquisition date.</w:t>
      </w:r>
    </w:p>
    <w:p>
      <w:pPr>
        <w:spacing w:after="0" w:line="52" w:lineRule="exact"/>
        <w:rPr>
          <w:sz w:val="20"/>
          <w:szCs w:val="20"/>
          <w:color w:val="auto"/>
        </w:rPr>
      </w:pPr>
    </w:p>
    <w:p>
      <w:pPr>
        <w:jc w:val="both"/>
        <w:ind w:right="680"/>
        <w:spacing w:after="0" w:line="259" w:lineRule="auto"/>
        <w:rPr>
          <w:sz w:val="20"/>
          <w:szCs w:val="20"/>
          <w:color w:val="auto"/>
        </w:rPr>
      </w:pPr>
      <w:r>
        <w:rPr>
          <w:rFonts w:ascii="Arial" w:cs="Arial" w:eastAsia="Arial" w:hAnsi="Arial"/>
          <w:sz w:val="20"/>
          <w:szCs w:val="20"/>
          <w:b w:val="1"/>
          <w:bCs w:val="1"/>
          <w:color w:val="auto"/>
        </w:rPr>
        <w:t>In connection with the Apton acquisition, contingent consideration of $25.0 million, which we may elect to pay in cash, shares of our common stock or a combination of cash and shares of our common stock, is due upon the achievement of a milestone, defined as the achievement of $50.0 million in revenue associated with Apton's technology, provided that the milestone event occurs prior to the five-year anniversary of the closing date of the acquisition.</w:t>
      </w:r>
    </w:p>
    <w:p>
      <w:pPr>
        <w:spacing w:after="0" w:line="79" w:lineRule="exact"/>
        <w:rPr>
          <w:sz w:val="20"/>
          <w:szCs w:val="20"/>
          <w:color w:val="auto"/>
        </w:rPr>
      </w:pPr>
    </w:p>
    <w:p>
      <w:pPr>
        <w:jc w:val="both"/>
        <w:ind w:right="700"/>
        <w:spacing w:after="0" w:line="257" w:lineRule="auto"/>
        <w:rPr>
          <w:sz w:val="20"/>
          <w:szCs w:val="20"/>
          <w:color w:val="auto"/>
        </w:rPr>
      </w:pPr>
      <w:r>
        <w:rPr>
          <w:rFonts w:ascii="Arial" w:cs="Arial" w:eastAsia="Arial" w:hAnsi="Arial"/>
          <w:sz w:val="20"/>
          <w:szCs w:val="20"/>
          <w:b w:val="1"/>
          <w:bCs w:val="1"/>
          <w:color w:val="auto"/>
        </w:rPr>
        <w:t>The contingent consideration is accounted for as a liability at fair value, with changes during each reporting period recognized on our consolidated statements of operations and comprehensive loss. The fair value of the contingent consideration liability is calculated, with the assistance from a third-party valuation firm, using a Monte Carlo simulation to estimate the volatility and systematic relative risk of revenues subject to sales milestone payments and discounting the associated cash payment amounts to their present values using a credit-risk-adjusted interest rate.</w:t>
      </w:r>
    </w:p>
    <w:p>
      <w:pPr>
        <w:spacing w:after="0" w:line="82"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We recognized a change in fair value of contingent consideration of $18.7 million during the year ended December 31, 2025, resulting in a contingent consideration liability of $0. This was primarily due to management's decision to cease development of the high-throughput short-read system, the associated changes in expected future revenues, and the requirement that the milestone event occur prior to the five-year anniversary of the acquisition closing date.</w:t>
      </w:r>
    </w:p>
    <w:p>
      <w:pPr>
        <w:spacing w:after="0" w:line="79" w:lineRule="exact"/>
        <w:rPr>
          <w:sz w:val="20"/>
          <w:szCs w:val="20"/>
          <w:color w:val="auto"/>
        </w:rPr>
      </w:pPr>
    </w:p>
    <w:p>
      <w:pPr>
        <w:jc w:val="both"/>
        <w:ind w:right="700"/>
        <w:spacing w:after="0" w:line="300" w:lineRule="auto"/>
        <w:rPr>
          <w:sz w:val="20"/>
          <w:szCs w:val="20"/>
          <w:color w:val="auto"/>
        </w:rPr>
      </w:pPr>
      <w:r>
        <w:rPr>
          <w:rFonts w:ascii="Arial" w:cs="Arial" w:eastAsia="Arial" w:hAnsi="Arial"/>
          <w:sz w:val="18"/>
          <w:szCs w:val="18"/>
          <w:b w:val="1"/>
          <w:bCs w:val="1"/>
          <w:color w:val="auto"/>
        </w:rPr>
        <w:t>The acquisition was accounted for as a business combination and, accordingly, the total fair value of the consideration transferred was allocated to the tangible and intangible assets acquired and liabilities assumed based on their fair values on the acquisition date. As of December 31, 2023, the major classes of assets and liabilities to which we have allocated the total fair value of the consideration transferred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5426075</wp:posOffset>
            </wp:positionH>
            <wp:positionV relativeFrom="paragraph">
              <wp:posOffset>53975</wp:posOffset>
            </wp:positionV>
            <wp:extent cx="879475" cy="15748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224">
                      <a:extLst>
                        <a:ext uri="{28A0092B-C50C-407E-A947-70E740481C1C}"/>
                      </a:extLst>
                    </a:blip>
                    <a:srcRect/>
                    <a:stretch>
                      <a:fillRect/>
                    </a:stretch>
                  </pic:blipFill>
                  <pic:spPr bwMode="auto">
                    <a:xfrm>
                      <a:off x="0" y="0"/>
                      <a:ext cx="879475" cy="1574800"/>
                    </a:xfrm>
                    <a:prstGeom prst="rect">
                      <a:avLst/>
                    </a:prstGeom>
                    <a:noFill/>
                  </pic:spPr>
                </pic:pic>
              </a:graphicData>
            </a:graphic>
          </wp:anchor>
        </w:drawing>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5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01"/>
        </w:trPr>
        <w:tc>
          <w:tcPr>
            <w:tcW w:w="85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400" w:type="dxa"/>
            <w:vAlign w:val="bottom"/>
          </w:tcPr>
          <w:p>
            <w:pPr>
              <w:jc w:val="right"/>
              <w:ind w:right="150"/>
              <w:spacing w:after="0"/>
              <w:rPr>
                <w:sz w:val="20"/>
                <w:szCs w:val="20"/>
                <w:color w:val="auto"/>
              </w:rPr>
            </w:pPr>
            <w:r>
              <w:rPr>
                <w:rFonts w:ascii="Arial" w:cs="Arial" w:eastAsia="Arial" w:hAnsi="Arial"/>
                <w:sz w:val="18"/>
                <w:szCs w:val="18"/>
                <w:b w:val="1"/>
                <w:bCs w:val="1"/>
                <w:color w:val="1383C6"/>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1383C6"/>
              </w:rPr>
              <w:t>97</w:t>
            </w:r>
          </w:p>
        </w:tc>
      </w:tr>
      <w:tr>
        <w:trPr>
          <w:trHeight w:val="300"/>
        </w:trPr>
        <w:tc>
          <w:tcPr>
            <w:tcW w:w="8540" w:type="dxa"/>
            <w:vAlign w:val="bottom"/>
          </w:tcPr>
          <w:p>
            <w:pPr>
              <w:spacing w:after="0"/>
              <w:rPr>
                <w:sz w:val="20"/>
                <w:szCs w:val="20"/>
                <w:color w:val="auto"/>
              </w:rPr>
            </w:pPr>
            <w:r>
              <w:rPr>
                <w:rFonts w:ascii="Arial" w:cs="Arial" w:eastAsia="Arial" w:hAnsi="Arial"/>
                <w:sz w:val="18"/>
                <w:szCs w:val="18"/>
                <w:b w:val="1"/>
                <w:bCs w:val="1"/>
                <w:color w:val="auto"/>
              </w:rPr>
              <w:t>In-process research and development</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1383C6"/>
              </w:rPr>
              <w:t>55,000</w:t>
            </w:r>
          </w:p>
        </w:tc>
      </w:tr>
      <w:tr>
        <w:trPr>
          <w:trHeight w:val="300"/>
        </w:trPr>
        <w:tc>
          <w:tcPr>
            <w:tcW w:w="854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1383C6"/>
              </w:rPr>
              <w:t>52,287</w:t>
            </w:r>
          </w:p>
        </w:tc>
      </w:tr>
      <w:tr>
        <w:trPr>
          <w:trHeight w:val="300"/>
        </w:trPr>
        <w:tc>
          <w:tcPr>
            <w:tcW w:w="8540" w:type="dxa"/>
            <w:vAlign w:val="bottom"/>
          </w:tcPr>
          <w:p>
            <w:pPr>
              <w:spacing w:after="0"/>
              <w:rPr>
                <w:sz w:val="20"/>
                <w:szCs w:val="20"/>
                <w:color w:val="auto"/>
              </w:rPr>
            </w:pPr>
            <w:r>
              <w:rPr>
                <w:rFonts w:ascii="Arial" w:cs="Arial" w:eastAsia="Arial" w:hAnsi="Arial"/>
                <w:sz w:val="18"/>
                <w:szCs w:val="18"/>
                <w:b w:val="1"/>
                <w:bCs w:val="1"/>
                <w:color w:val="auto"/>
              </w:rPr>
              <w:t>Other assets, current</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1383C6"/>
              </w:rPr>
              <w:t>153</w:t>
            </w:r>
          </w:p>
        </w:tc>
      </w:tr>
      <w:tr>
        <w:trPr>
          <w:trHeight w:val="300"/>
        </w:trPr>
        <w:tc>
          <w:tcPr>
            <w:tcW w:w="8540" w:type="dxa"/>
            <w:vAlign w:val="bottom"/>
          </w:tcPr>
          <w:p>
            <w:pPr>
              <w:spacing w:after="0"/>
              <w:rPr>
                <w:sz w:val="20"/>
                <w:szCs w:val="20"/>
                <w:color w:val="auto"/>
              </w:rPr>
            </w:pPr>
            <w:r>
              <w:rPr>
                <w:rFonts w:ascii="Arial" w:cs="Arial" w:eastAsia="Arial" w:hAnsi="Arial"/>
                <w:sz w:val="18"/>
                <w:szCs w:val="18"/>
                <w:b w:val="1"/>
                <w:bCs w:val="1"/>
                <w:color w:val="auto"/>
              </w:rPr>
              <w:t>Deferred income tax liability</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1383C6"/>
              </w:rPr>
              <w:t>(11,338)</w:t>
            </w:r>
          </w:p>
        </w:tc>
      </w:tr>
      <w:tr>
        <w:trPr>
          <w:trHeight w:val="317"/>
        </w:trPr>
        <w:tc>
          <w:tcPr>
            <w:tcW w:w="854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(2,191)</w:t>
            </w:r>
          </w:p>
        </w:tc>
      </w:tr>
      <w:tr>
        <w:trPr>
          <w:trHeight w:val="260"/>
        </w:trPr>
        <w:tc>
          <w:tcPr>
            <w:tcW w:w="8540" w:type="dxa"/>
            <w:vAlign w:val="bottom"/>
          </w:tcPr>
          <w:p>
            <w:pPr>
              <w:ind w:left="100"/>
              <w:spacing w:after="0"/>
              <w:rPr>
                <w:sz w:val="20"/>
                <w:szCs w:val="20"/>
                <w:color w:val="auto"/>
              </w:rPr>
            </w:pPr>
            <w:r>
              <w:rPr>
                <w:rFonts w:ascii="Arial" w:cs="Arial" w:eastAsia="Arial" w:hAnsi="Arial"/>
                <w:sz w:val="18"/>
                <w:szCs w:val="18"/>
                <w:b w:val="1"/>
                <w:bCs w:val="1"/>
                <w:color w:val="auto"/>
              </w:rPr>
              <w:t>Total consideration transferred</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83C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94,008</w:t>
            </w:r>
          </w:p>
        </w:tc>
      </w:tr>
      <w:tr>
        <w:trPr>
          <w:trHeight w:val="20"/>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b w:val="1"/>
          <w:bCs w:val="1"/>
          <w:color w:val="auto"/>
        </w:rPr>
        <w:t>We incurred costs related to the Apton acquisition of approximately $9.0 million during the year ended December 31, 2023, which are included in merger-related expenses on our consolidated statement of operations and comprehensive loss. Merger-related expenses include $2.8 million relating to a liquidity event bonus plan that was treated as a separate transaction and included the issuance of 168,621 shares of common stock that were issued with a fair value of $2.1 million based on the closing market price of our common stock on the acquisition date. As a result, the total shares issued in connection with the Apton acquisition were 6.3 million shares of common stock.</w:t>
      </w:r>
    </w:p>
    <w:p>
      <w:pPr>
        <w:spacing w:after="0" w:line="90" w:lineRule="exact"/>
        <w:rPr>
          <w:sz w:val="20"/>
          <w:szCs w:val="20"/>
          <w:color w:val="auto"/>
        </w:rPr>
      </w:pPr>
    </w:p>
    <w:p>
      <w:pPr>
        <w:jc w:val="both"/>
        <w:ind w:right="700"/>
        <w:spacing w:after="0" w:line="288" w:lineRule="auto"/>
        <w:rPr>
          <w:sz w:val="20"/>
          <w:szCs w:val="20"/>
          <w:color w:val="auto"/>
        </w:rPr>
      </w:pPr>
      <w:r>
        <w:rPr>
          <w:rFonts w:ascii="Arial" w:cs="Arial" w:eastAsia="Arial" w:hAnsi="Arial"/>
          <w:sz w:val="19"/>
          <w:szCs w:val="19"/>
          <w:b w:val="1"/>
          <w:bCs w:val="1"/>
          <w:color w:val="auto"/>
        </w:rPr>
        <w:t>The excess of the value of consideration paid over the aggregate fair value of those net assets has been recorded as goodwill. We recognized goodwill of $52.3 million, which is primarily attributable to the synergies expected to occur from the integration of Apton and is not deductible for income tax purposes.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388620</wp:posOffset>
                </wp:positionV>
                <wp:extent cx="7315200" cy="0"/>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0.6pt" to="535pt,3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388620</wp:posOffset>
                </wp:positionV>
                <wp:extent cx="7315200" cy="0"/>
                <wp:wrapNone/>
                <wp:docPr id="549" name="Shape 5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49" o:spid="_x0000_s15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0.6pt" to="535pt,30.6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22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53" w:lineRule="auto"/>
        <w:rPr>
          <w:sz w:val="20"/>
          <w:szCs w:val="20"/>
          <w:color w:val="auto"/>
        </w:rPr>
      </w:pPr>
      <w:r>
        <w:rPr>
          <w:rFonts w:ascii="Arial" w:cs="Arial" w:eastAsia="Arial" w:hAnsi="Arial"/>
          <w:sz w:val="20"/>
          <w:szCs w:val="20"/>
          <w:b w:val="1"/>
          <w:bCs w:val="1"/>
          <w:color w:val="auto"/>
        </w:rPr>
        <w:t xml:space="preserve">We allocated $55.0 million of the purchase price to acquired IPR&amp;D. The fair value of the IPR&amp;D was determined, with the assistance of a third-party valuation firm, using an income approach based on a forecast of expected future cash flows. Expected future cash flows utilize significant assumptions such as revenue projections and discount rate. We recognized a $40.0 million impairment charge during the year ended December 31, 2024 as a result of a quantitative interim impairment test. During the first quarter of 2025, 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$0 and recorded a $15.0 million impairment charge. See </w:t>
      </w:r>
      <w:r>
        <w:rPr>
          <w:rFonts w:ascii="Arial" w:cs="Arial" w:eastAsia="Arial" w:hAnsi="Arial"/>
          <w:sz w:val="20"/>
          <w:szCs w:val="20"/>
          <w:b w:val="1"/>
          <w:bCs w:val="1"/>
          <w:i w:val="1"/>
          <w:iCs w:val="1"/>
          <w:u w:val="single" w:color="auto"/>
          <w:color w:val="0000FF"/>
        </w:rPr>
        <w:t>Note 4. Balance Sheet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u w:val="single" w:color="auto"/>
          <w:color w:val="0000FF"/>
        </w:rPr>
        <w:t>Components</w:t>
      </w:r>
      <w:r>
        <w:rPr>
          <w:rFonts w:ascii="Arial" w:cs="Arial" w:eastAsia="Arial" w:hAnsi="Arial"/>
          <w:sz w:val="20"/>
          <w:szCs w:val="20"/>
          <w:b w:val="1"/>
          <w:bCs w:val="1"/>
          <w:i w:val="1"/>
          <w:iCs w:val="1"/>
          <w:color w:val="0000FF"/>
        </w:rPr>
        <w:t xml:space="preserve"> </w:t>
      </w:r>
      <w:r>
        <w:rPr>
          <w:rFonts w:ascii="Arial" w:cs="Arial" w:eastAsia="Arial" w:hAnsi="Arial"/>
          <w:sz w:val="20"/>
          <w:szCs w:val="20"/>
          <w:b w:val="1"/>
          <w:bCs w:val="1"/>
          <w:color w:val="000000"/>
        </w:rPr>
        <w:t>for further details.</w:t>
      </w:r>
    </w:p>
    <w:p>
      <w:pPr>
        <w:spacing w:after="0" w:line="93" w:lineRule="exact"/>
        <w:rPr>
          <w:sz w:val="20"/>
          <w:szCs w:val="20"/>
          <w:color w:val="auto"/>
        </w:rPr>
      </w:pPr>
    </w:p>
    <w:p>
      <w:pPr>
        <w:jc w:val="both"/>
        <w:ind w:right="680"/>
        <w:spacing w:after="0" w:line="298" w:lineRule="auto"/>
        <w:rPr>
          <w:sz w:val="20"/>
          <w:szCs w:val="20"/>
          <w:color w:val="auto"/>
        </w:rPr>
      </w:pPr>
      <w:r>
        <w:rPr>
          <w:rFonts w:ascii="Arial" w:cs="Arial" w:eastAsia="Arial" w:hAnsi="Arial"/>
          <w:sz w:val="18"/>
          <w:szCs w:val="18"/>
          <w:b w:val="1"/>
          <w:bCs w:val="1"/>
          <w:color w:val="auto"/>
        </w:rPr>
        <w:t xml:space="preserve">On January 30, 2026, we completed a disposition of assets to Illumina Cambridge Limited (the "Buyer") in accordance with the terms of an Asset Purchase Agreement (the “Asset Purchase Agreement”) (the “Asset Sale”). As consideration for the Asset Sale, Buyer paid us $50.0 million in cash and assumed certain liabilities (the “Purchase Price”). In connection with the Asset Sale, Buyer will pay at our direction 4% of the net proceeds from the Purchase Price to the former equity holders of Apton Biosystems, Inc. (“Apton”) related to the waiver of all remaining milestone obligations associated with our purchase of Apton in August 2023, which payment is expected in the first quarter of 2026. See </w:t>
      </w:r>
      <w:r>
        <w:rPr>
          <w:rFonts w:ascii="Arial" w:cs="Arial" w:eastAsia="Arial" w:hAnsi="Arial"/>
          <w:sz w:val="18"/>
          <w:szCs w:val="18"/>
          <w:b w:val="1"/>
          <w:bCs w:val="1"/>
          <w:i w:val="1"/>
          <w:iCs w:val="1"/>
          <w:u w:val="single" w:color="auto"/>
          <w:color w:val="0000FF"/>
        </w:rPr>
        <w:t>Note 12. Subsequent Events</w:t>
      </w:r>
      <w:r>
        <w:rPr>
          <w:rFonts w:ascii="Arial" w:cs="Arial" w:eastAsia="Arial" w:hAnsi="Arial"/>
          <w:sz w:val="18"/>
          <w:szCs w:val="18"/>
          <w:b w:val="1"/>
          <w:bCs w:val="1"/>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170815</wp:posOffset>
            </wp:positionV>
            <wp:extent cx="6311900" cy="2444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226">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9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3. FINANCIAL INSTRUMENTS</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Fair Value of Financial Instruments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52" name="Shape 5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52" o:spid="_x0000_s15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22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Fair value is the exchange price that would be received to sell an asset or paid to transfer a liability in an orderly transaction between market participants at the measurement date.</w:t>
      </w:r>
    </w:p>
    <w:p>
      <w:pPr>
        <w:spacing w:after="0" w:line="58"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spacing w:after="0" w:line="75" w:lineRule="exact"/>
        <w:rPr>
          <w:sz w:val="20"/>
          <w:szCs w:val="20"/>
          <w:color w:val="auto"/>
        </w:rPr>
      </w:pPr>
    </w:p>
    <w:p>
      <w:pPr>
        <w:ind w:left="720" w:hanging="370"/>
        <w:spacing w:after="0"/>
        <w:tabs>
          <w:tab w:leader="none" w:pos="720" w:val="left"/>
        </w:tabs>
        <w:numPr>
          <w:ilvl w:val="0"/>
          <w:numId w:val="38"/>
        </w:numPr>
        <w:rPr>
          <w:rFonts w:ascii="Arial" w:cs="Arial" w:eastAsia="Arial" w:hAnsi="Arial"/>
          <w:sz w:val="20"/>
          <w:szCs w:val="20"/>
          <w:b w:val="1"/>
          <w:bCs w:val="1"/>
          <w:color w:val="DF1995"/>
        </w:rPr>
      </w:pPr>
      <w:r>
        <w:rPr>
          <w:rFonts w:ascii="Arial" w:cs="Arial" w:eastAsia="Arial" w:hAnsi="Arial"/>
          <w:sz w:val="20"/>
          <w:szCs w:val="20"/>
          <w:b w:val="1"/>
          <w:bCs w:val="1"/>
          <w:color w:val="auto"/>
        </w:rPr>
        <w:t>Level 1: quoted prices in active markets for identical assets or liabilities;</w:t>
      </w:r>
    </w:p>
    <w:p>
      <w:pPr>
        <w:spacing w:after="0" w:line="130" w:lineRule="exact"/>
        <w:rPr>
          <w:rFonts w:ascii="Arial" w:cs="Arial" w:eastAsia="Arial" w:hAnsi="Arial"/>
          <w:sz w:val="20"/>
          <w:szCs w:val="20"/>
          <w:b w:val="1"/>
          <w:bCs w:val="1"/>
          <w:color w:val="DF1995"/>
        </w:rPr>
      </w:pPr>
    </w:p>
    <w:p>
      <w:pPr>
        <w:jc w:val="both"/>
        <w:ind w:left="720" w:right="700" w:hanging="370"/>
        <w:spacing w:after="0" w:line="279" w:lineRule="auto"/>
        <w:tabs>
          <w:tab w:leader="none" w:pos="720" w:val="left"/>
        </w:tabs>
        <w:numPr>
          <w:ilvl w:val="0"/>
          <w:numId w:val="38"/>
        </w:numPr>
        <w:rPr>
          <w:rFonts w:ascii="Arial" w:cs="Arial" w:eastAsia="Arial" w:hAnsi="Arial"/>
          <w:sz w:val="19"/>
          <w:szCs w:val="19"/>
          <w:b w:val="1"/>
          <w:bCs w:val="1"/>
          <w:color w:val="DF1995"/>
        </w:rPr>
      </w:pPr>
      <w:r>
        <w:rPr>
          <w:rFonts w:ascii="Arial" w:cs="Arial" w:eastAsia="Arial" w:hAnsi="Arial"/>
          <w:sz w:val="19"/>
          <w:szCs w:val="19"/>
          <w:b w:val="1"/>
          <w:bCs w:val="1"/>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64" w:lineRule="exact"/>
        <w:rPr>
          <w:rFonts w:ascii="Arial" w:cs="Arial" w:eastAsia="Arial" w:hAnsi="Arial"/>
          <w:sz w:val="19"/>
          <w:szCs w:val="19"/>
          <w:b w:val="1"/>
          <w:bCs w:val="1"/>
          <w:color w:val="DF1995"/>
        </w:rPr>
      </w:pPr>
    </w:p>
    <w:p>
      <w:pPr>
        <w:ind w:left="720" w:right="700" w:hanging="370"/>
        <w:spacing w:after="0" w:line="283" w:lineRule="auto"/>
        <w:tabs>
          <w:tab w:leader="none" w:pos="720" w:val="left"/>
        </w:tabs>
        <w:numPr>
          <w:ilvl w:val="0"/>
          <w:numId w:val="38"/>
        </w:numPr>
        <w:rPr>
          <w:rFonts w:ascii="Arial" w:cs="Arial" w:eastAsia="Arial" w:hAnsi="Arial"/>
          <w:sz w:val="20"/>
          <w:szCs w:val="20"/>
          <w:b w:val="1"/>
          <w:bCs w:val="1"/>
          <w:color w:val="DF1995"/>
        </w:rPr>
      </w:pPr>
      <w:r>
        <w:rPr>
          <w:rFonts w:ascii="Arial" w:cs="Arial" w:eastAsia="Arial" w:hAnsi="Arial"/>
          <w:sz w:val="20"/>
          <w:szCs w:val="20"/>
          <w:b w:val="1"/>
          <w:bCs w:val="1"/>
          <w:color w:val="auto"/>
        </w:rPr>
        <w:t>Level 3: unobservable inputs that are supported by little or no market activity and that are significant to the fair value of the assets or liabilities.</w:t>
      </w:r>
    </w:p>
    <w:p>
      <w:pPr>
        <w:spacing w:after="0" w:line="58" w:lineRule="exact"/>
        <w:rPr>
          <w:sz w:val="20"/>
          <w:szCs w:val="20"/>
          <w:color w:val="auto"/>
        </w:rPr>
      </w:pPr>
    </w:p>
    <w:p>
      <w:pPr>
        <w:jc w:val="both"/>
        <w:ind w:right="700"/>
        <w:spacing w:after="0" w:line="257" w:lineRule="auto"/>
        <w:rPr>
          <w:sz w:val="20"/>
          <w:szCs w:val="20"/>
          <w:color w:val="auto"/>
        </w:rPr>
      </w:pPr>
      <w:r>
        <w:rPr>
          <w:rFonts w:ascii="Arial" w:cs="Arial" w:eastAsia="Arial" w:hAnsi="Arial"/>
          <w:sz w:val="20"/>
          <w:szCs w:val="20"/>
          <w:b w:val="1"/>
          <w:bCs w:val="1"/>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82" w:lineRule="exact"/>
        <w:rPr>
          <w:sz w:val="20"/>
          <w:szCs w:val="20"/>
          <w:color w:val="auto"/>
        </w:rPr>
      </w:pPr>
    </w:p>
    <w:p>
      <w:pPr>
        <w:jc w:val="both"/>
        <w:ind w:right="700"/>
        <w:spacing w:after="0" w:line="261" w:lineRule="auto"/>
        <w:rPr>
          <w:sz w:val="20"/>
          <w:szCs w:val="20"/>
          <w:color w:val="auto"/>
        </w:rPr>
      </w:pPr>
      <w:r>
        <w:rPr>
          <w:rFonts w:ascii="Arial" w:cs="Arial" w:eastAsia="Arial" w:hAnsi="Arial"/>
          <w:sz w:val="20"/>
          <w:szCs w:val="20"/>
          <w:b w:val="1"/>
          <w:bCs w:val="1"/>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80"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76" w:lineRule="exact"/>
        <w:rPr>
          <w:sz w:val="20"/>
          <w:szCs w:val="20"/>
          <w:color w:val="auto"/>
        </w:rPr>
      </w:pPr>
    </w:p>
    <w:p>
      <w:pPr>
        <w:jc w:val="both"/>
        <w:ind w:right="700"/>
        <w:spacing w:after="0" w:line="313" w:lineRule="auto"/>
        <w:rPr>
          <w:sz w:val="20"/>
          <w:szCs w:val="20"/>
          <w:color w:val="auto"/>
        </w:rPr>
      </w:pPr>
      <w:r>
        <w:rPr>
          <w:rFonts w:ascii="Arial" w:cs="Arial" w:eastAsia="Arial" w:hAnsi="Arial"/>
          <w:sz w:val="19"/>
          <w:szCs w:val="19"/>
          <w:b w:val="1"/>
          <w:bCs w:val="1"/>
          <w:color w:val="auto"/>
        </w:rPr>
        <w:t>The carrying amount of our accounts receivable, prepaid expenses, other current assets, accounts payable, accrued expenses and other liabilities, current, approximate fair value due to their short maturities.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444500</wp:posOffset>
                </wp:positionV>
                <wp:extent cx="7315200" cy="0"/>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4" o:spid="_x0000_s15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5pt" to="535pt,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444500</wp:posOffset>
                </wp:positionV>
                <wp:extent cx="7315200" cy="0"/>
                <wp:wrapNone/>
                <wp:docPr id="555" name="Shape 5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55" o:spid="_x0000_s15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5pt" to="535pt,3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22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Assets and Liabilities Measured at Fair Value on a Recurring Basis</w:t>
      </w:r>
    </w:p>
    <w:p>
      <w:pPr>
        <w:spacing w:after="0" w:line="13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The following table sets forth the fair value of our financial assets and liabilities that were measured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59055</wp:posOffset>
            </wp:positionV>
            <wp:extent cx="4937125" cy="46037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229">
                      <a:extLst>
                        <a:ext uri="{28A0092B-C50C-407E-A947-70E740481C1C}"/>
                      </a:extLst>
                    </a:blip>
                    <a:srcRect/>
                    <a:stretch>
                      <a:fillRect/>
                    </a:stretch>
                  </pic:blipFill>
                  <pic:spPr bwMode="auto">
                    <a:xfrm>
                      <a:off x="0" y="0"/>
                      <a:ext cx="4937125" cy="4603750"/>
                    </a:xfrm>
                    <a:prstGeom prst="rect">
                      <a:avLst/>
                    </a:prstGeom>
                    <a:noFill/>
                  </pic:spPr>
                </pic:pic>
              </a:graphicData>
            </a:graphic>
          </wp:anchor>
        </w:drawing>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2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1383C6"/>
              </w:rPr>
              <w:t>December 31, 2025</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7"/>
              </w:rPr>
              <w:t>December 31, 2024</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1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83C6"/>
                <w:w w:val="91"/>
              </w:rPr>
              <w:t>Level 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83C6"/>
                <w:w w:val="91"/>
              </w:rPr>
              <w:t>Level 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1383C6"/>
              </w:rPr>
              <w:t>Level 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83C6"/>
              </w:rPr>
              <w:t>Total</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Level 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Level 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Level 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160" w:type="dxa"/>
            <w:vAlign w:val="bottom"/>
          </w:tcPr>
          <w:p>
            <w:pPr>
              <w:spacing w:after="0"/>
              <w:rPr>
                <w:sz w:val="20"/>
                <w:szCs w:val="20"/>
                <w:color w:val="auto"/>
              </w:rPr>
            </w:pPr>
            <w:r>
              <w:rPr>
                <w:rFonts w:ascii="Arial" w:cs="Arial" w:eastAsia="Arial" w:hAnsi="Arial"/>
                <w:sz w:val="18"/>
                <w:szCs w:val="18"/>
                <w:b w:val="1"/>
                <w:bCs w:val="1"/>
                <w:color w:val="auto"/>
              </w:rPr>
              <w:t>Cash and cash</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b w:val="1"/>
                <w:bCs w:val="1"/>
                <w:color w:val="auto"/>
              </w:rPr>
              <w:t>equivalents: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b w:val="1"/>
                <w:bCs w:val="1"/>
                <w:color w:val="auto"/>
              </w:rPr>
              <w:t>Cash and money market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60,496</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ind w:left="520"/>
              <w:spacing w:after="0"/>
              <w:rPr>
                <w:sz w:val="20"/>
                <w:szCs w:val="20"/>
                <w:color w:val="auto"/>
              </w:rPr>
            </w:pPr>
            <w:r>
              <w:rPr>
                <w:rFonts w:ascii="Arial" w:cs="Arial" w:eastAsia="Arial" w:hAnsi="Arial"/>
                <w:sz w:val="18"/>
                <w:szCs w:val="18"/>
                <w:b w:val="1"/>
                <w:bCs w:val="1"/>
                <w:color w:val="1383C6"/>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60,496</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55,370</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55,370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b w:val="1"/>
                <w:bCs w:val="1"/>
                <w:color w:val="auto"/>
              </w:rPr>
              <w:t>funds</w:t>
            </w:r>
          </w:p>
        </w:tc>
        <w:tc>
          <w:tcPr>
            <w:tcW w:w="1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b w:val="1"/>
                <w:bCs w:val="1"/>
                <w:color w:val="auto"/>
                <w:w w:val="93"/>
              </w:rPr>
              <w:t>U.S. government &amp; agency</w:t>
            </w: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3,211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ind w:left="52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3,211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8"/>
                <w:szCs w:val="18"/>
                <w:b w:val="1"/>
                <w:bCs w:val="1"/>
                <w:color w:val="auto"/>
              </w:rPr>
              <w:t>Total cash and cash</w:t>
            </w: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60,496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3,211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ind w:left="52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63,707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55,370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55,370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b w:val="1"/>
                <w:bCs w:val="1"/>
                <w:color w:val="auto"/>
              </w:rPr>
              <w:t>equivalents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16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160" w:type="dxa"/>
            <w:vAlign w:val="bottom"/>
          </w:tcPr>
          <w:p>
            <w:pPr>
              <w:spacing w:after="0"/>
              <w:rPr>
                <w:sz w:val="20"/>
                <w:szCs w:val="20"/>
                <w:color w:val="auto"/>
              </w:rPr>
            </w:pPr>
            <w:r>
              <w:rPr>
                <w:rFonts w:ascii="Arial" w:cs="Arial" w:eastAsia="Arial" w:hAnsi="Arial"/>
                <w:sz w:val="18"/>
                <w:szCs w:val="18"/>
                <w:b w:val="1"/>
                <w:bCs w:val="1"/>
                <w:color w:val="auto"/>
                <w:w w:val="98"/>
              </w:rPr>
              <w:t>Corporate debt securities</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1383C6"/>
              </w:rPr>
              <w:t>23,250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1383C6"/>
              </w:rPr>
              <w:t>23,250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46,905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46,905</w:t>
            </w:r>
          </w:p>
        </w:tc>
        <w:tc>
          <w:tcPr>
            <w:tcW w:w="0" w:type="dxa"/>
            <w:vAlign w:val="bottom"/>
          </w:tcPr>
          <w:p>
            <w:pPr>
              <w:spacing w:after="0"/>
              <w:rPr>
                <w:sz w:val="1"/>
                <w:szCs w:val="1"/>
                <w:color w:val="auto"/>
              </w:rPr>
            </w:pPr>
          </w:p>
        </w:tc>
      </w:tr>
      <w:tr>
        <w:trPr>
          <w:trHeight w:val="252"/>
        </w:trPr>
        <w:tc>
          <w:tcPr>
            <w:tcW w:w="2160" w:type="dxa"/>
            <w:vAlign w:val="bottom"/>
          </w:tcPr>
          <w:p>
            <w:pPr>
              <w:spacing w:after="0"/>
              <w:rPr>
                <w:sz w:val="20"/>
                <w:szCs w:val="20"/>
                <w:color w:val="auto"/>
              </w:rPr>
            </w:pPr>
            <w:r>
              <w:rPr>
                <w:rFonts w:ascii="Arial" w:cs="Arial" w:eastAsia="Arial" w:hAnsi="Arial"/>
                <w:sz w:val="18"/>
                <w:szCs w:val="18"/>
                <w:b w:val="1"/>
                <w:bCs w:val="1"/>
                <w:color w:val="auto"/>
                <w:w w:val="93"/>
              </w:rPr>
              <w:t>U.S. government &amp; agency</w:t>
            </w: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w w:val="98"/>
              </w:rPr>
              <w:t>192,549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ind w:left="52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w w:val="98"/>
              </w:rPr>
              <w:t>192,549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287,656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287,656</w:t>
            </w: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1383C6"/>
                <w:w w:val="98"/>
              </w:rPr>
              <w:t>215,799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ind w:left="52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1383C6"/>
                <w:w w:val="98"/>
              </w:rPr>
              <w:t>215,799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8"/>
              </w:rPr>
              <w:t>334,561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334,561</w:t>
            </w:r>
          </w:p>
        </w:tc>
        <w:tc>
          <w:tcPr>
            <w:tcW w:w="0" w:type="dxa"/>
            <w:vAlign w:val="bottom"/>
          </w:tcPr>
          <w:p>
            <w:pPr>
              <w:spacing w:after="0"/>
              <w:rPr>
                <w:sz w:val="1"/>
                <w:szCs w:val="1"/>
                <w:color w:val="auto"/>
              </w:rPr>
            </w:pPr>
          </w:p>
        </w:tc>
      </w:tr>
      <w:tr>
        <w:trPr>
          <w:trHeight w:val="615"/>
        </w:trPr>
        <w:tc>
          <w:tcPr>
            <w:tcW w:w="2160" w:type="dxa"/>
            <w:vAlign w:val="bottom"/>
          </w:tcPr>
          <w:p>
            <w:pPr>
              <w:spacing w:after="0"/>
              <w:rPr>
                <w:sz w:val="20"/>
                <w:szCs w:val="20"/>
                <w:color w:val="auto"/>
              </w:rPr>
            </w:pPr>
            <w:r>
              <w:rPr>
                <w:rFonts w:ascii="Arial" w:cs="Arial" w:eastAsia="Arial" w:hAnsi="Arial"/>
                <w:sz w:val="18"/>
                <w:szCs w:val="18"/>
                <w:b w:val="1"/>
                <w:bCs w:val="1"/>
                <w:color w:val="auto"/>
                <w:w w:val="95"/>
              </w:rPr>
              <w:t>Short-term restricted cash</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1383C6"/>
              </w:rPr>
              <w:t>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1383C6"/>
              </w:rPr>
              <w:t>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0" w:type="dxa"/>
            <w:vAlign w:val="bottom"/>
          </w:tcPr>
          <w:p>
            <w:pPr>
              <w:spacing w:after="0"/>
              <w:rPr>
                <w:sz w:val="1"/>
                <w:szCs w:val="1"/>
                <w:color w:val="auto"/>
              </w:rPr>
            </w:pPr>
          </w:p>
        </w:tc>
      </w:tr>
      <w:tr>
        <w:trPr>
          <w:trHeight w:val="317"/>
        </w:trPr>
        <w:tc>
          <w:tcPr>
            <w:tcW w:w="2160" w:type="dxa"/>
            <w:vAlign w:val="bottom"/>
          </w:tcPr>
          <w:p>
            <w:pPr>
              <w:spacing w:after="0"/>
              <w:rPr>
                <w:sz w:val="20"/>
                <w:szCs w:val="20"/>
                <w:color w:val="auto"/>
              </w:rPr>
            </w:pPr>
            <w:r>
              <w:rPr>
                <w:rFonts w:ascii="Arial" w:cs="Arial" w:eastAsia="Arial" w:hAnsi="Arial"/>
                <w:sz w:val="18"/>
                <w:szCs w:val="18"/>
                <w:b w:val="1"/>
                <w:bCs w:val="1"/>
                <w:color w:val="auto"/>
                <w:w w:val="96"/>
              </w:rPr>
              <w:t>Long-term restricted cash</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1,532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1,532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1,532</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8"/>
                <w:szCs w:val="18"/>
                <w:b w:val="1"/>
                <w:bCs w:val="1"/>
                <w:color w:val="auto"/>
                <w:w w:val="99"/>
              </w:rPr>
              <w:t>Total assets measured at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62,048</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w w:val="98"/>
              </w:rPr>
              <w:t>219,010</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ind w:left="520"/>
              <w:spacing w:after="0"/>
              <w:rPr>
                <w:sz w:val="20"/>
                <w:szCs w:val="20"/>
                <w:color w:val="auto"/>
              </w:rPr>
            </w:pPr>
            <w:r>
              <w:rPr>
                <w:rFonts w:ascii="Arial" w:cs="Arial" w:eastAsia="Arial" w:hAnsi="Arial"/>
                <w:sz w:val="18"/>
                <w:szCs w:val="18"/>
                <w:b w:val="1"/>
                <w:bCs w:val="1"/>
                <w:color w:val="1383C6"/>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w w:val="98"/>
              </w:rPr>
              <w:t>281,058</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57,592</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334,561</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392,153</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1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2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160" w:type="dxa"/>
            <w:vAlign w:val="bottom"/>
          </w:tcPr>
          <w:p>
            <w:pPr>
              <w:spacing w:after="0"/>
              <w:rPr>
                <w:sz w:val="20"/>
                <w:szCs w:val="20"/>
                <w:color w:val="auto"/>
              </w:rPr>
            </w:pPr>
            <w:r>
              <w:rPr>
                <w:rFonts w:ascii="Arial" w:cs="Arial" w:eastAsia="Arial" w:hAnsi="Arial"/>
                <w:sz w:val="18"/>
                <w:szCs w:val="18"/>
                <w:b w:val="1"/>
                <w:bCs w:val="1"/>
                <w:color w:val="auto"/>
                <w:w w:val="98"/>
              </w:rPr>
              <w:t>Contingent consideration</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vMerge w:val="restart"/>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vMerge w:val="restart"/>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ind w:left="520"/>
              <w:spacing w:after="0"/>
              <w:rPr>
                <w:sz w:val="20"/>
                <w:szCs w:val="20"/>
                <w:color w:val="auto"/>
              </w:rPr>
            </w:pPr>
            <w:r>
              <w:rPr>
                <w:rFonts w:ascii="Arial" w:cs="Arial" w:eastAsia="Arial" w:hAnsi="Arial"/>
                <w:sz w:val="18"/>
                <w:szCs w:val="18"/>
                <w:b w:val="1"/>
                <w:bCs w:val="1"/>
                <w:color w:val="1383C6"/>
              </w:rPr>
              <w:t>—</w:t>
            </w:r>
          </w:p>
        </w:tc>
        <w:tc>
          <w:tcPr>
            <w:tcW w:w="60" w:type="dxa"/>
            <w:vAlign w:val="bottom"/>
            <w:vMerge w:val="restart"/>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vMerge w:val="restart"/>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vMerge w:val="restart"/>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vMerge w:val="restart"/>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18,700</w:t>
            </w:r>
          </w:p>
        </w:tc>
        <w:tc>
          <w:tcPr>
            <w:tcW w:w="60" w:type="dxa"/>
            <w:vAlign w:val="bottom"/>
            <w:vMerge w:val="restart"/>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18,700</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0"/>
                <w:szCs w:val="20"/>
                <w:color w:val="auto"/>
              </w:rPr>
            </w:pPr>
            <w:r>
              <w:rPr>
                <w:rFonts w:ascii="Arial" w:cs="Arial" w:eastAsia="Arial" w:hAnsi="Arial"/>
                <w:sz w:val="18"/>
                <w:szCs w:val="18"/>
                <w:b w:val="1"/>
                <w:bCs w:val="1"/>
                <w:color w:val="auto"/>
              </w:rPr>
              <w:t>- Apton acquisition</w:t>
            </w:r>
          </w:p>
        </w:tc>
        <w:tc>
          <w:tcPr>
            <w:tcW w:w="16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8"/>
                <w:szCs w:val="18"/>
                <w:b w:val="1"/>
                <w:bCs w:val="1"/>
                <w:color w:val="auto"/>
                <w:w w:val="99"/>
              </w:rPr>
              <w:t>Total liabilities measured</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ind w:left="520"/>
              <w:spacing w:after="0"/>
              <w:rPr>
                <w:sz w:val="20"/>
                <w:szCs w:val="20"/>
                <w:color w:val="auto"/>
              </w:rPr>
            </w:pPr>
            <w:r>
              <w:rPr>
                <w:rFonts w:ascii="Arial" w:cs="Arial" w:eastAsia="Arial" w:hAnsi="Arial"/>
                <w:sz w:val="18"/>
                <w:szCs w:val="18"/>
                <w:b w:val="1"/>
                <w:bCs w:val="1"/>
                <w:color w:val="1383C6"/>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18,700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18,700</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Arial" w:cs="Arial" w:eastAsia="Arial" w:hAnsi="Arial"/>
                <w:sz w:val="18"/>
                <w:szCs w:val="18"/>
                <w:b w:val="1"/>
                <w:bCs w:val="1"/>
                <w:color w:val="auto"/>
              </w:rPr>
              <w:t>at fair value</w:t>
            </w:r>
          </w:p>
        </w:tc>
        <w:tc>
          <w:tcPr>
            <w:tcW w:w="1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For the year ended December 31, 2025, there were no transfers between Level 1, Level 2, or Level 3 assets or liabilities reported at fair value on a recurring basis and our valuation techniques did not change compared to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DF1995"/>
        </w:rPr>
        <w:t>Contingent Consideration - Apton</w:t>
      </w:r>
    </w:p>
    <w:p>
      <w:pPr>
        <w:spacing w:after="0" w:line="130" w:lineRule="exact"/>
        <w:rPr>
          <w:sz w:val="20"/>
          <w:szCs w:val="20"/>
          <w:color w:val="auto"/>
        </w:rPr>
      </w:pPr>
    </w:p>
    <w:p>
      <w:pPr>
        <w:jc w:val="both"/>
        <w:ind w:right="700"/>
        <w:spacing w:after="0" w:line="258" w:lineRule="auto"/>
        <w:rPr>
          <w:sz w:val="20"/>
          <w:szCs w:val="20"/>
          <w:color w:val="auto"/>
        </w:rPr>
      </w:pPr>
      <w:r>
        <w:rPr>
          <w:rFonts w:ascii="Arial" w:cs="Arial" w:eastAsia="Arial" w:hAnsi="Arial"/>
          <w:sz w:val="20"/>
          <w:szCs w:val="20"/>
          <w:b w:val="1"/>
          <w:bCs w:val="1"/>
          <w:color w:val="auto"/>
        </w:rPr>
        <w:t>We classify contingent consideration, which was incurred in connection with the acquisition of Apton,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spacing w:after="0" w:line="84" w:lineRule="exact"/>
        <w:rPr>
          <w:sz w:val="20"/>
          <w:szCs w:val="20"/>
          <w:color w:val="auto"/>
        </w:rPr>
      </w:pPr>
    </w:p>
    <w:p>
      <w:pPr>
        <w:jc w:val="both"/>
        <w:ind w:right="700"/>
        <w:spacing w:after="0" w:line="268" w:lineRule="auto"/>
        <w:rPr>
          <w:sz w:val="20"/>
          <w:szCs w:val="20"/>
          <w:color w:val="auto"/>
        </w:rPr>
      </w:pPr>
      <w:r>
        <w:rPr>
          <w:rFonts w:ascii="Arial" w:cs="Arial" w:eastAsia="Arial" w:hAnsi="Arial"/>
          <w:sz w:val="19"/>
          <w:szCs w:val="19"/>
          <w:b w:val="1"/>
          <w:bCs w:val="1"/>
          <w:color w:val="auto"/>
        </w:rPr>
        <w:t>We estimate the fair value of the contingent consideration liability based on the simulated revenue of the Company through the five-year anniversary of the closing date of the acquisition. The key input used in the determination of the fair value included projected revenues of the high-throughput short-read products and services leveraging Apton's technology. Primarily due to management's decision to cease development of the high-throughput short-read system, and the resulting changes in the expected future revenues, among other factors, and as the milestone event must occur prior to the five-year anniversary of the closing date of the acquisition, the estimated fair value of the contingent consideration liability is $0. An increase in the fair value of the liability may result from changes in projected revenues, including accelerated timing or higher expected amounts, and from decreases in discount rates, including the risk-free rate and the estimated subordinated credit spread for a CCC credit rating.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570230</wp:posOffset>
                </wp:positionV>
                <wp:extent cx="7315200" cy="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4.9pt" to="535pt,44.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570230</wp:posOffset>
                </wp:positionV>
                <wp:extent cx="7315200" cy="0"/>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59" o:spid="_x0000_s15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4.9pt" to="535pt,44.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230">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Changes in the estimated fair value of the contingent consideration liability related to the Apton acquisition for the year ended December 31,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5426075</wp:posOffset>
            </wp:positionH>
            <wp:positionV relativeFrom="paragraph">
              <wp:posOffset>59055</wp:posOffset>
            </wp:positionV>
            <wp:extent cx="879475" cy="8128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231">
                      <a:extLst>
                        <a:ext uri="{28A0092B-C50C-407E-A947-70E740481C1C}"/>
                      </a:extLst>
                    </a:blip>
                    <a:srcRect/>
                    <a:stretch>
                      <a:fillRect/>
                    </a:stretch>
                  </pic:blipFill>
                  <pic:spPr bwMode="auto">
                    <a:xfrm>
                      <a:off x="0" y="0"/>
                      <a:ext cx="879475" cy="812800"/>
                    </a:xfrm>
                    <a:prstGeom prst="rect">
                      <a:avLst/>
                    </a:prstGeom>
                    <a:noFill/>
                  </pic:spPr>
                </pic:pic>
              </a:graphicData>
            </a:graphic>
          </wp:anchor>
        </w:drawing>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85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1383C6"/>
              </w:rPr>
              <w:t>Level 3</w:t>
            </w:r>
          </w:p>
        </w:tc>
      </w:tr>
      <w:tr>
        <w:trPr>
          <w:trHeight w:val="263"/>
        </w:trPr>
        <w:tc>
          <w:tcPr>
            <w:tcW w:w="8540" w:type="dxa"/>
            <w:vAlign w:val="bottom"/>
          </w:tcPr>
          <w:p>
            <w:pPr>
              <w:spacing w:after="0"/>
              <w:rPr>
                <w:sz w:val="20"/>
                <w:szCs w:val="20"/>
                <w:color w:val="auto"/>
              </w:rPr>
            </w:pPr>
            <w:r>
              <w:rPr>
                <w:rFonts w:ascii="Arial" w:cs="Arial" w:eastAsia="Arial" w:hAnsi="Arial"/>
                <w:sz w:val="18"/>
                <w:szCs w:val="18"/>
                <w:b w:val="1"/>
                <w:bCs w:val="1"/>
                <w:color w:val="auto"/>
              </w:rPr>
              <w:t>Beginning balance as of December 31, 2024</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1383C6"/>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1383C6"/>
              </w:rPr>
              <w:t>18,700</w:t>
            </w:r>
          </w:p>
        </w:tc>
      </w:tr>
      <w:tr>
        <w:trPr>
          <w:trHeight w:val="317"/>
        </w:trPr>
        <w:tc>
          <w:tcPr>
            <w:tcW w:w="8540" w:type="dxa"/>
            <w:vAlign w:val="bottom"/>
          </w:tcPr>
          <w:p>
            <w:pPr>
              <w:spacing w:after="0"/>
              <w:rPr>
                <w:sz w:val="20"/>
                <w:szCs w:val="20"/>
                <w:color w:val="auto"/>
              </w:rPr>
            </w:pPr>
            <w:r>
              <w:rPr>
                <w:rFonts w:ascii="Arial" w:cs="Arial" w:eastAsia="Arial" w:hAnsi="Arial"/>
                <w:sz w:val="18"/>
                <w:szCs w:val="18"/>
                <w:b w:val="1"/>
                <w:bCs w:val="1"/>
                <w:color w:val="auto"/>
              </w:rPr>
              <w:t>Change in estimated fair value</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(18,700)</w:t>
            </w:r>
          </w:p>
        </w:tc>
      </w:tr>
      <w:tr>
        <w:trPr>
          <w:trHeight w:val="260"/>
        </w:trPr>
        <w:tc>
          <w:tcPr>
            <w:tcW w:w="8540" w:type="dxa"/>
            <w:vAlign w:val="bottom"/>
          </w:tcPr>
          <w:p>
            <w:pPr>
              <w:spacing w:after="0"/>
              <w:rPr>
                <w:sz w:val="20"/>
                <w:szCs w:val="20"/>
                <w:color w:val="auto"/>
              </w:rPr>
            </w:pPr>
            <w:r>
              <w:rPr>
                <w:rFonts w:ascii="Arial" w:cs="Arial" w:eastAsia="Arial" w:hAnsi="Arial"/>
                <w:sz w:val="18"/>
                <w:szCs w:val="18"/>
                <w:b w:val="1"/>
                <w:bCs w:val="1"/>
                <w:color w:val="auto"/>
              </w:rPr>
              <w:t>Ending balance as of December 31, 2025</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1383C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r>
      <w:tr>
        <w:trPr>
          <w:trHeight w:val="20"/>
        </w:trPr>
        <w:tc>
          <w:tcPr>
            <w:tcW w:w="8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Changes to the fair value are recorded as the change in fair value of contingent consideration on our consolidated statements of operations and comprehensive loss.</w:t>
      </w:r>
    </w:p>
    <w:p>
      <w:pPr>
        <w:spacing w:after="0" w:line="54" w:lineRule="exact"/>
        <w:rPr>
          <w:sz w:val="20"/>
          <w:szCs w:val="20"/>
          <w:color w:val="auto"/>
        </w:rPr>
      </w:pPr>
    </w:p>
    <w:p>
      <w:pPr>
        <w:jc w:val="both"/>
        <w:ind w:right="680"/>
        <w:spacing w:after="0" w:line="259" w:lineRule="auto"/>
        <w:rPr>
          <w:sz w:val="20"/>
          <w:szCs w:val="20"/>
          <w:color w:val="auto"/>
        </w:rPr>
      </w:pPr>
      <w:r>
        <w:rPr>
          <w:rFonts w:ascii="Arial" w:cs="Arial" w:eastAsia="Arial" w:hAnsi="Arial"/>
          <w:sz w:val="20"/>
          <w:szCs w:val="20"/>
          <w:b w:val="1"/>
          <w:bCs w:val="1"/>
          <w:color w:val="auto"/>
        </w:rPr>
        <w:t xml:space="preserve">On January 30, 2026, we completed a disposition of assets to Buyer in accordance with the terms of the Asset Purchase Agreement. In connection with the Asset Sale, Buyer will pay at our direction 4% of the net proceeds from the Purchase Price to the former equity holders of Apton related to the waiver of all remaining milestone obligations associated with our purchase of Apton in August 2023, which payment is expected in the first quarter of 2026. See </w:t>
      </w:r>
      <w:r>
        <w:rPr>
          <w:rFonts w:ascii="Arial" w:cs="Arial" w:eastAsia="Arial" w:hAnsi="Arial"/>
          <w:sz w:val="20"/>
          <w:szCs w:val="20"/>
          <w:b w:val="1"/>
          <w:bCs w:val="1"/>
          <w:i w:val="1"/>
          <w:iCs w:val="1"/>
          <w:u w:val="single" w:color="auto"/>
          <w:color w:val="0000FF"/>
        </w:rPr>
        <w:t>Note 12. Subsequent Events</w:t>
      </w:r>
      <w:r>
        <w:rPr>
          <w:rFonts w:ascii="Arial" w:cs="Arial" w:eastAsia="Arial" w:hAnsi="Arial"/>
          <w:sz w:val="20"/>
          <w:szCs w:val="20"/>
          <w:b w:val="1"/>
          <w:bCs w:val="1"/>
          <w:color w:val="auto"/>
        </w:rPr>
        <w:t xml:space="preserve">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DF1995"/>
        </w:rPr>
        <w:t>Contingent Consideration - Omniome</w:t>
      </w:r>
    </w:p>
    <w:p>
      <w:pPr>
        <w:spacing w:after="0" w:line="130" w:lineRule="exact"/>
        <w:rPr>
          <w:sz w:val="20"/>
          <w:szCs w:val="20"/>
          <w:color w:val="auto"/>
        </w:rPr>
      </w:pPr>
    </w:p>
    <w:p>
      <w:pPr>
        <w:jc w:val="both"/>
        <w:ind w:right="680"/>
        <w:spacing w:after="0" w:line="254" w:lineRule="auto"/>
        <w:rPr>
          <w:sz w:val="20"/>
          <w:szCs w:val="20"/>
          <w:color w:val="auto"/>
        </w:rPr>
      </w:pPr>
      <w:r>
        <w:rPr>
          <w:rFonts w:ascii="Arial" w:cs="Arial" w:eastAsia="Arial" w:hAnsi="Arial"/>
          <w:sz w:val="20"/>
          <w:szCs w:val="20"/>
          <w:b w:val="1"/>
          <w:bCs w:val="1"/>
          <w:color w:val="auto"/>
        </w:rPr>
        <w:t>On September 20, 2023, we achieved the commercial milestone in connection with the 2021 acquisition of Omniome. Consequently, former Omniome securityholders were entitled to receive as milestone consideration, among other things, an aggregate of approximately $100.9 million in cash and approximately 9.0 million shares of our common stock, representing $95.9 million divided by the volume-weighted average of the trading prices of our common stock for the twenty trading days ending with and including the trading day that was two days immediately prior to the achievement of the milestone. The $95.9 million represents the $100.0 million that was to be paid in shares of our common stock offset by $4.1 million attributable to stock options issued by PacBio in replacement of Omniome’s unvested options as part of the transaction, pursuant to the terms of the Omniome merger agreement.</w:t>
      </w:r>
    </w:p>
    <w:p>
      <w:pPr>
        <w:spacing w:after="0" w:line="89"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Following the achievement of the commercial milestone, $101.3 million of the contingent consideration, which includes certain payroll taxes, was paid during the year ended December 31, 2023. Additionally, 8,988,391 shares were issued at a value of $84.8 million to the former Omniome securityholders.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4431030</wp:posOffset>
                </wp:positionV>
                <wp:extent cx="7315200" cy="0"/>
                <wp:wrapNone/>
                <wp:docPr id="562" name="Shape 5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2" o:spid="_x0000_s15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48.9pt" to="535pt,348.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4431030</wp:posOffset>
                </wp:positionV>
                <wp:extent cx="7315200" cy="0"/>
                <wp:wrapNone/>
                <wp:docPr id="563" name="Shape 5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63" o:spid="_x0000_s15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48.9pt" to="535pt,348.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3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Cash, Cash Equivalents, Restricted Cash, and 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65" name="Shape 5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65" o:spid="_x0000_s15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23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summarizes our cash, cash equivalents, restricted cash,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107950</wp:posOffset>
            </wp:positionV>
            <wp:extent cx="3479800" cy="295592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234">
                      <a:extLst>
                        <a:ext uri="{28A0092B-C50C-407E-A947-70E740481C1C}"/>
                      </a:extLst>
                    </a:blip>
                    <a:srcRect/>
                    <a:stretch>
                      <a:fillRect/>
                    </a:stretch>
                  </pic:blipFill>
                  <pic:spPr bwMode="auto">
                    <a:xfrm>
                      <a:off x="0" y="0"/>
                      <a:ext cx="3479800" cy="2955925"/>
                    </a:xfrm>
                    <a:prstGeom prst="rect">
                      <a:avLst/>
                    </a:prstGeom>
                    <a:noFill/>
                  </pic:spPr>
                </pic:pic>
              </a:graphicData>
            </a:graphic>
          </wp:anchor>
        </w:drawing>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44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1383C6"/>
              </w:rPr>
              <w:t>December 31, 2025</w:t>
            </w: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1383C6"/>
                <w:w w:val="95"/>
              </w:rPr>
              <w:t>Amortized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1383C6"/>
                <w:w w:val="88"/>
              </w:rPr>
              <w:t>Gross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1383C6"/>
                <w:w w:val="92"/>
              </w:rPr>
              <w:t>Gross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1383C6"/>
                <w:w w:val="96"/>
              </w:rPr>
              <w:t>Fair</w:t>
            </w:r>
          </w:p>
        </w:tc>
        <w:tc>
          <w:tcPr>
            <w:tcW w:w="0" w:type="dxa"/>
            <w:vAlign w:val="bottom"/>
          </w:tcPr>
          <w:p>
            <w:pPr>
              <w:spacing w:after="0"/>
              <w:rPr>
                <w:sz w:val="1"/>
                <w:szCs w:val="1"/>
                <w:color w:val="auto"/>
              </w:rPr>
            </w:pPr>
          </w:p>
        </w:tc>
      </w:tr>
      <w:tr>
        <w:trPr>
          <w:trHeight w:val="180"/>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90"/>
              <w:spacing w:after="0" w:line="180" w:lineRule="exact"/>
              <w:rPr>
                <w:sz w:val="20"/>
                <w:szCs w:val="20"/>
                <w:color w:val="auto"/>
              </w:rPr>
            </w:pPr>
            <w:r>
              <w:rPr>
                <w:rFonts w:ascii="Arial" w:cs="Arial" w:eastAsia="Arial" w:hAnsi="Arial"/>
                <w:sz w:val="18"/>
                <w:szCs w:val="18"/>
                <w:b w:val="1"/>
                <w:bCs w:val="1"/>
                <w:color w:val="1383C6"/>
                <w:w w:val="96"/>
              </w:rPr>
              <w:t>unrealized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0"/>
              <w:spacing w:after="0" w:line="180" w:lineRule="exact"/>
              <w:rPr>
                <w:sz w:val="20"/>
                <w:szCs w:val="20"/>
                <w:color w:val="auto"/>
              </w:rPr>
            </w:pPr>
            <w:r>
              <w:rPr>
                <w:rFonts w:ascii="Arial" w:cs="Arial" w:eastAsia="Arial" w:hAnsi="Arial"/>
                <w:sz w:val="18"/>
                <w:szCs w:val="18"/>
                <w:b w:val="1"/>
                <w:bCs w:val="1"/>
                <w:color w:val="1383C6"/>
                <w:w w:val="96"/>
              </w:rPr>
              <w:t>unrealized</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1383C6"/>
                <w:w w:val="89"/>
              </w:rPr>
              <w:t>Cost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1383C6"/>
                <w:w w:val="93"/>
              </w:rPr>
              <w:t>gains</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1383C6"/>
                <w:w w:val="92"/>
              </w:rPr>
              <w:t>losses</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1383C6"/>
                <w:w w:val="95"/>
              </w:rPr>
              <w:t>Value</w:t>
            </w:r>
          </w:p>
        </w:tc>
        <w:tc>
          <w:tcPr>
            <w:tcW w:w="0" w:type="dxa"/>
            <w:vAlign w:val="bottom"/>
          </w:tcPr>
          <w:p>
            <w:pPr>
              <w:spacing w:after="0"/>
              <w:rPr>
                <w:sz w:val="1"/>
                <w:szCs w:val="1"/>
                <w:color w:val="auto"/>
              </w:rPr>
            </w:pPr>
          </w:p>
        </w:tc>
      </w:tr>
      <w:tr>
        <w:trPr>
          <w:trHeight w:val="263"/>
        </w:trPr>
        <w:tc>
          <w:tcPr>
            <w:tcW w:w="44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Arial" w:cs="Arial" w:eastAsia="Arial" w:hAnsi="Arial"/>
                <w:sz w:val="18"/>
                <w:szCs w:val="18"/>
                <w:b w:val="1"/>
                <w:bCs w:val="1"/>
                <w:color w:val="auto"/>
              </w:rPr>
              <w:t>Cash and 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60,496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1383C6"/>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60,496</w:t>
            </w:r>
          </w:p>
        </w:tc>
        <w:tc>
          <w:tcPr>
            <w:tcW w:w="0" w:type="dxa"/>
            <w:vAlign w:val="bottom"/>
          </w:tcPr>
          <w:p>
            <w:pPr>
              <w:spacing w:after="0"/>
              <w:rPr>
                <w:sz w:val="1"/>
                <w:szCs w:val="1"/>
                <w:color w:val="auto"/>
              </w:rPr>
            </w:pPr>
          </w:p>
        </w:tc>
      </w:tr>
      <w:tr>
        <w:trPr>
          <w:trHeight w:val="317"/>
        </w:trPr>
        <w:tc>
          <w:tcPr>
            <w:tcW w:w="4460" w:type="dxa"/>
            <w:vAlign w:val="bottom"/>
          </w:tcPr>
          <w:p>
            <w:pPr>
              <w:spacing w:after="0"/>
              <w:rPr>
                <w:sz w:val="20"/>
                <w:szCs w:val="20"/>
                <w:color w:val="auto"/>
              </w:rPr>
            </w:pPr>
            <w:r>
              <w:rPr>
                <w:rFonts w:ascii="Arial" w:cs="Arial" w:eastAsia="Arial" w:hAnsi="Arial"/>
                <w:sz w:val="18"/>
                <w:szCs w:val="18"/>
                <w:b w:val="1"/>
                <w:bCs w:val="1"/>
                <w:color w:val="auto"/>
              </w:rPr>
              <w:t>U.S. government &amp; agency securities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3,211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3,211</w:t>
            </w:r>
          </w:p>
        </w:tc>
        <w:tc>
          <w:tcPr>
            <w:tcW w:w="0" w:type="dxa"/>
            <w:vAlign w:val="bottom"/>
          </w:tcPr>
          <w:p>
            <w:pPr>
              <w:spacing w:after="0"/>
              <w:rPr>
                <w:sz w:val="1"/>
                <w:szCs w:val="1"/>
                <w:color w:val="auto"/>
              </w:rPr>
            </w:pPr>
          </w:p>
        </w:tc>
      </w:tr>
      <w:tr>
        <w:trPr>
          <w:trHeight w:val="263"/>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Total cash and cash equivalents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63,707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63,707</w:t>
            </w: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Arial" w:cs="Arial" w:eastAsia="Arial" w:hAnsi="Arial"/>
                <w:sz w:val="18"/>
                <w:szCs w:val="18"/>
                <w:b w:val="1"/>
                <w:bCs w:val="1"/>
                <w:color w:val="auto"/>
              </w:rPr>
              <w:t>Corporate debt securities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23,172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78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23,250</w:t>
            </w:r>
          </w:p>
        </w:tc>
        <w:tc>
          <w:tcPr>
            <w:tcW w:w="0" w:type="dxa"/>
            <w:vAlign w:val="bottom"/>
          </w:tcPr>
          <w:p>
            <w:pPr>
              <w:spacing w:after="0"/>
              <w:rPr>
                <w:sz w:val="1"/>
                <w:szCs w:val="1"/>
                <w:color w:val="auto"/>
              </w:rPr>
            </w:pPr>
          </w:p>
        </w:tc>
      </w:tr>
      <w:tr>
        <w:trPr>
          <w:trHeight w:val="317"/>
        </w:trPr>
        <w:tc>
          <w:tcPr>
            <w:tcW w:w="4460" w:type="dxa"/>
            <w:vAlign w:val="bottom"/>
          </w:tcPr>
          <w:p>
            <w:pPr>
              <w:spacing w:after="0"/>
              <w:rPr>
                <w:sz w:val="20"/>
                <w:szCs w:val="20"/>
                <w:color w:val="auto"/>
              </w:rPr>
            </w:pPr>
            <w:r>
              <w:rPr>
                <w:rFonts w:ascii="Arial" w:cs="Arial" w:eastAsia="Arial" w:hAnsi="Arial"/>
                <w:sz w:val="18"/>
                <w:szCs w:val="18"/>
                <w:b w:val="1"/>
                <w:bCs w:val="1"/>
                <w:color w:val="auto"/>
              </w:rPr>
              <w:t>U.S. government &amp; agency securities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192,170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380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192,549</w:t>
            </w:r>
          </w:p>
        </w:tc>
        <w:tc>
          <w:tcPr>
            <w:tcW w:w="0" w:type="dxa"/>
            <w:vAlign w:val="bottom"/>
          </w:tcPr>
          <w:p>
            <w:pPr>
              <w:spacing w:after="0"/>
              <w:rPr>
                <w:sz w:val="1"/>
                <w:szCs w:val="1"/>
                <w:color w:val="auto"/>
              </w:rPr>
            </w:pPr>
          </w:p>
        </w:tc>
      </w:tr>
      <w:tr>
        <w:trPr>
          <w:trHeight w:val="280"/>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Total investments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215,342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458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215,799</w:t>
            </w:r>
          </w:p>
        </w:tc>
        <w:tc>
          <w:tcPr>
            <w:tcW w:w="0" w:type="dxa"/>
            <w:vAlign w:val="bottom"/>
          </w:tcPr>
          <w:p>
            <w:pPr>
              <w:spacing w:after="0"/>
              <w:rPr>
                <w:sz w:val="1"/>
                <w:szCs w:val="1"/>
                <w:color w:val="auto"/>
              </w:rPr>
            </w:pPr>
          </w:p>
        </w:tc>
      </w:tr>
      <w:tr>
        <w:trPr>
          <w:trHeight w:val="26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Total cash, cash equivalents, and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279,049</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458</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279,506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460" w:type="dxa"/>
            <w:vAlign w:val="bottom"/>
          </w:tcPr>
          <w:p>
            <w:pPr>
              <w:spacing w:after="0"/>
              <w:rPr>
                <w:sz w:val="20"/>
                <w:szCs w:val="20"/>
                <w:color w:val="auto"/>
              </w:rPr>
            </w:pPr>
            <w:r>
              <w:rPr>
                <w:rFonts w:ascii="Arial" w:cs="Arial" w:eastAsia="Arial" w:hAnsi="Arial"/>
                <w:sz w:val="18"/>
                <w:szCs w:val="18"/>
                <w:b w:val="1"/>
                <w:bCs w:val="1"/>
                <w:color w:val="auto"/>
              </w:rPr>
              <w:t>Short-term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20</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60" w:type="dxa"/>
            <w:vAlign w:val="bottom"/>
          </w:tcPr>
          <w:p>
            <w:pPr>
              <w:spacing w:after="0"/>
              <w:rPr>
                <w:sz w:val="20"/>
                <w:szCs w:val="20"/>
                <w:color w:val="auto"/>
              </w:rPr>
            </w:pPr>
            <w:r>
              <w:rPr>
                <w:rFonts w:ascii="Arial" w:cs="Arial" w:eastAsia="Arial" w:hAnsi="Arial"/>
                <w:sz w:val="18"/>
                <w:szCs w:val="18"/>
                <w:b w:val="1"/>
                <w:bCs w:val="1"/>
                <w:color w:val="auto"/>
              </w:rPr>
              <w:t>Long-term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1,532</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0"/>
                <w:szCs w:val="20"/>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1,532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5"/>
              </w:rPr>
              <w:t>Amortized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Gross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80"/>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90"/>
              <w:spacing w:after="0" w:line="180" w:lineRule="exact"/>
              <w:rPr>
                <w:sz w:val="20"/>
                <w:szCs w:val="20"/>
                <w:color w:val="auto"/>
              </w:rPr>
            </w:pPr>
            <w:r>
              <w:rPr>
                <w:rFonts w:ascii="Arial" w:cs="Arial" w:eastAsia="Arial" w:hAnsi="Arial"/>
                <w:sz w:val="18"/>
                <w:szCs w:val="18"/>
                <w:b w:val="1"/>
                <w:bCs w:val="1"/>
                <w:color w:val="auto"/>
                <w:w w:val="96"/>
              </w:rPr>
              <w:t>unrealized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0"/>
              <w:spacing w:after="0" w:line="180" w:lineRule="exact"/>
              <w:rPr>
                <w:sz w:val="20"/>
                <w:szCs w:val="20"/>
                <w:color w:val="auto"/>
              </w:rPr>
            </w:pPr>
            <w:r>
              <w:rPr>
                <w:rFonts w:ascii="Arial" w:cs="Arial" w:eastAsia="Arial" w:hAnsi="Arial"/>
                <w:sz w:val="18"/>
                <w:szCs w:val="18"/>
                <w:b w:val="1"/>
                <w:bCs w:val="1"/>
                <w:color w:val="auto"/>
                <w:w w:val="96"/>
              </w:rPr>
              <w:t>unrealized</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Cost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gains</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losses</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63"/>
        </w:trPr>
        <w:tc>
          <w:tcPr>
            <w:tcW w:w="44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4460" w:type="dxa"/>
            <w:vAlign w:val="bottom"/>
          </w:tcPr>
          <w:p>
            <w:pPr>
              <w:spacing w:after="0"/>
              <w:rPr>
                <w:sz w:val="20"/>
                <w:szCs w:val="20"/>
                <w:color w:val="auto"/>
              </w:rPr>
            </w:pPr>
            <w:r>
              <w:rPr>
                <w:rFonts w:ascii="Arial" w:cs="Arial" w:eastAsia="Arial" w:hAnsi="Arial"/>
                <w:sz w:val="18"/>
                <w:szCs w:val="18"/>
                <w:b w:val="1"/>
                <w:bCs w:val="1"/>
                <w:color w:val="auto"/>
              </w:rPr>
              <w:t>Cash and 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55,370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55,370</w:t>
            </w:r>
          </w:p>
        </w:tc>
        <w:tc>
          <w:tcPr>
            <w:tcW w:w="0" w:type="dxa"/>
            <w:vAlign w:val="bottom"/>
          </w:tcPr>
          <w:p>
            <w:pPr>
              <w:spacing w:after="0"/>
              <w:rPr>
                <w:sz w:val="1"/>
                <w:szCs w:val="1"/>
                <w:color w:val="auto"/>
              </w:rPr>
            </w:pPr>
          </w:p>
        </w:tc>
      </w:tr>
      <w:tr>
        <w:trPr>
          <w:trHeight w:val="263"/>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Total cash and cash equivalents</w:t>
            </w:r>
          </w:p>
        </w:tc>
        <w:tc>
          <w:tcPr>
            <w:tcW w:w="1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55,370</w:t>
            </w: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55,370</w:t>
            </w: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Arial" w:cs="Arial" w:eastAsia="Arial" w:hAnsi="Arial"/>
                <w:sz w:val="18"/>
                <w:szCs w:val="18"/>
                <w:b w:val="1"/>
                <w:bCs w:val="1"/>
                <w:color w:val="auto"/>
              </w:rPr>
              <w:t>Corporate debt securities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46,746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46,905</w:t>
            </w:r>
          </w:p>
        </w:tc>
        <w:tc>
          <w:tcPr>
            <w:tcW w:w="0" w:type="dxa"/>
            <w:vAlign w:val="bottom"/>
          </w:tcPr>
          <w:p>
            <w:pPr>
              <w:spacing w:after="0"/>
              <w:rPr>
                <w:sz w:val="1"/>
                <w:szCs w:val="1"/>
                <w:color w:val="auto"/>
              </w:rPr>
            </w:pPr>
          </w:p>
        </w:tc>
      </w:tr>
      <w:tr>
        <w:trPr>
          <w:trHeight w:val="317"/>
        </w:trPr>
        <w:tc>
          <w:tcPr>
            <w:tcW w:w="4460" w:type="dxa"/>
            <w:vAlign w:val="bottom"/>
          </w:tcPr>
          <w:p>
            <w:pPr>
              <w:spacing w:after="0"/>
              <w:rPr>
                <w:sz w:val="20"/>
                <w:szCs w:val="20"/>
                <w:color w:val="auto"/>
              </w:rPr>
            </w:pPr>
            <w:r>
              <w:rPr>
                <w:rFonts w:ascii="Arial" w:cs="Arial" w:eastAsia="Arial" w:hAnsi="Arial"/>
                <w:sz w:val="18"/>
                <w:szCs w:val="18"/>
                <w:b w:val="1"/>
                <w:bCs w:val="1"/>
                <w:color w:val="auto"/>
              </w:rPr>
              <w:t>U.S. government &amp; agency securities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287,393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287,656</w:t>
            </w:r>
          </w:p>
        </w:tc>
        <w:tc>
          <w:tcPr>
            <w:tcW w:w="0" w:type="dxa"/>
            <w:vAlign w:val="bottom"/>
          </w:tcPr>
          <w:p>
            <w:pPr>
              <w:spacing w:after="0"/>
              <w:rPr>
                <w:sz w:val="1"/>
                <w:szCs w:val="1"/>
                <w:color w:val="auto"/>
              </w:rPr>
            </w:pPr>
          </w:p>
        </w:tc>
      </w:tr>
      <w:tr>
        <w:trPr>
          <w:trHeight w:val="280"/>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Total investments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334,139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334,561</w:t>
            </w:r>
          </w:p>
        </w:tc>
        <w:tc>
          <w:tcPr>
            <w:tcW w:w="0" w:type="dxa"/>
            <w:vAlign w:val="bottom"/>
          </w:tcPr>
          <w:p>
            <w:pPr>
              <w:spacing w:after="0"/>
              <w:rPr>
                <w:sz w:val="1"/>
                <w:szCs w:val="1"/>
                <w:color w:val="auto"/>
              </w:rPr>
            </w:pPr>
          </w:p>
        </w:tc>
      </w:tr>
      <w:tr>
        <w:trPr>
          <w:trHeight w:val="26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Total cash, cash equivalents, and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389,509</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389,931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460" w:type="dxa"/>
            <w:vAlign w:val="bottom"/>
          </w:tcPr>
          <w:p>
            <w:pPr>
              <w:spacing w:after="0"/>
              <w:rPr>
                <w:sz w:val="20"/>
                <w:szCs w:val="20"/>
                <w:color w:val="auto"/>
              </w:rPr>
            </w:pPr>
            <w:r>
              <w:rPr>
                <w:rFonts w:ascii="Arial" w:cs="Arial" w:eastAsia="Arial" w:hAnsi="Arial"/>
                <w:sz w:val="18"/>
                <w:szCs w:val="18"/>
                <w:b w:val="1"/>
                <w:bCs w:val="1"/>
                <w:color w:val="auto"/>
              </w:rPr>
              <w:t>Short-term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60" w:type="dxa"/>
            <w:vAlign w:val="bottom"/>
          </w:tcPr>
          <w:p>
            <w:pPr>
              <w:spacing w:after="0"/>
              <w:rPr>
                <w:sz w:val="20"/>
                <w:szCs w:val="20"/>
                <w:color w:val="auto"/>
              </w:rPr>
            </w:pPr>
            <w:r>
              <w:rPr>
                <w:rFonts w:ascii="Arial" w:cs="Arial" w:eastAsia="Arial" w:hAnsi="Arial"/>
                <w:sz w:val="18"/>
                <w:szCs w:val="18"/>
                <w:b w:val="1"/>
                <w:bCs w:val="1"/>
                <w:color w:val="auto"/>
              </w:rPr>
              <w:t>Long-term restricted cash</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1,532</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1,532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-637540</wp:posOffset>
            </wp:positionV>
            <wp:extent cx="3479800" cy="762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235">
                      <a:extLst>
                        <a:ext uri="{28A0092B-C50C-407E-A947-70E740481C1C}"/>
                      </a:extLst>
                    </a:blip>
                    <a:srcRect/>
                    <a:stretch>
                      <a:fillRect/>
                    </a:stretch>
                  </pic:blipFill>
                  <pic:spPr bwMode="auto">
                    <a:xfrm>
                      <a:off x="0" y="0"/>
                      <a:ext cx="3479800" cy="7620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-247015</wp:posOffset>
            </wp:positionV>
            <wp:extent cx="3479800" cy="762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236">
                      <a:extLst>
                        <a:ext uri="{28A0092B-C50C-407E-A947-70E740481C1C}"/>
                      </a:extLst>
                    </a:blip>
                    <a:srcRect/>
                    <a:stretch>
                      <a:fillRect/>
                    </a:stretch>
                  </pic:blipFill>
                  <pic:spPr bwMode="auto">
                    <a:xfrm>
                      <a:off x="0" y="0"/>
                      <a:ext cx="3479800" cy="7620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-56515</wp:posOffset>
            </wp:positionV>
            <wp:extent cx="3479800" cy="762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237">
                      <a:extLst>
                        <a:ext uri="{28A0092B-C50C-407E-A947-70E740481C1C}"/>
                      </a:extLst>
                    </a:blip>
                    <a:srcRect/>
                    <a:stretch>
                      <a:fillRect/>
                    </a:stretch>
                  </pic:blipFill>
                  <pic:spPr bwMode="auto">
                    <a:xfrm>
                      <a:off x="0" y="0"/>
                      <a:ext cx="3479800" cy="76200"/>
                    </a:xfrm>
                    <a:prstGeom prst="rect">
                      <a:avLst/>
                    </a:prstGeom>
                    <a:noFill/>
                  </pic:spPr>
                </pic:pic>
              </a:graphicData>
            </a:graphic>
          </wp:anchor>
        </w:drawing>
      </w:r>
    </w:p>
    <w:p>
      <w:pPr>
        <w:spacing w:after="0" w:line="170"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The following table summarizes the contractual maturities of our cash equivalents and available-for-sale investments, excluding money market funds,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5426075</wp:posOffset>
            </wp:positionH>
            <wp:positionV relativeFrom="paragraph">
              <wp:posOffset>61595</wp:posOffset>
            </wp:positionV>
            <wp:extent cx="879475" cy="8128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238">
                      <a:extLst>
                        <a:ext uri="{28A0092B-C50C-407E-A947-70E740481C1C}"/>
                      </a:extLst>
                    </a:blip>
                    <a:srcRect/>
                    <a:stretch>
                      <a:fillRect/>
                    </a:stretch>
                  </pic:blipFill>
                  <pic:spPr bwMode="auto">
                    <a:xfrm>
                      <a:off x="0" y="0"/>
                      <a:ext cx="879475" cy="812800"/>
                    </a:xfrm>
                    <a:prstGeom prst="rect">
                      <a:avLst/>
                    </a:prstGeom>
                    <a:noFill/>
                  </pic:spPr>
                </pic:pic>
              </a:graphicData>
            </a:graphic>
          </wp:anchor>
        </w:drawing>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85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1383C6"/>
                <w:w w:val="97"/>
              </w:rPr>
              <w:t>Fair Value</w:t>
            </w:r>
          </w:p>
        </w:tc>
      </w:tr>
      <w:tr>
        <w:trPr>
          <w:trHeight w:val="263"/>
        </w:trPr>
        <w:tc>
          <w:tcPr>
            <w:tcW w:w="8540" w:type="dxa"/>
            <w:vAlign w:val="bottom"/>
          </w:tcPr>
          <w:p>
            <w:pPr>
              <w:spacing w:after="0"/>
              <w:rPr>
                <w:sz w:val="20"/>
                <w:szCs w:val="20"/>
                <w:color w:val="auto"/>
              </w:rPr>
            </w:pPr>
            <w:r>
              <w:rPr>
                <w:rFonts w:ascii="Arial" w:cs="Arial" w:eastAsia="Arial" w:hAnsi="Arial"/>
                <w:sz w:val="18"/>
                <w:szCs w:val="18"/>
                <w:b w:val="1"/>
                <w:bCs w:val="1"/>
                <w:color w:val="auto"/>
              </w:rPr>
              <w:t>Due in one year or less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153,645</w:t>
            </w:r>
          </w:p>
        </w:tc>
      </w:tr>
      <w:tr>
        <w:trPr>
          <w:trHeight w:val="317"/>
        </w:trPr>
        <w:tc>
          <w:tcPr>
            <w:tcW w:w="8540" w:type="dxa"/>
            <w:vAlign w:val="bottom"/>
          </w:tcPr>
          <w:p>
            <w:pPr>
              <w:spacing w:after="0"/>
              <w:rPr>
                <w:sz w:val="20"/>
                <w:szCs w:val="20"/>
                <w:color w:val="auto"/>
              </w:rPr>
            </w:pPr>
            <w:r>
              <w:rPr>
                <w:rFonts w:ascii="Arial" w:cs="Arial" w:eastAsia="Arial" w:hAnsi="Arial"/>
                <w:sz w:val="18"/>
                <w:szCs w:val="18"/>
                <w:b w:val="1"/>
                <w:bCs w:val="1"/>
                <w:color w:val="auto"/>
              </w:rPr>
              <w:t>Due after one year through 5 years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65,365</w:t>
            </w:r>
          </w:p>
        </w:tc>
      </w:tr>
      <w:tr>
        <w:trPr>
          <w:trHeight w:val="260"/>
        </w:trPr>
        <w:tc>
          <w:tcPr>
            <w:tcW w:w="8540" w:type="dxa"/>
            <w:vAlign w:val="bottom"/>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219,010</w:t>
            </w:r>
          </w:p>
        </w:tc>
      </w:tr>
      <w:tr>
        <w:trPr>
          <w:trHeight w:val="20"/>
        </w:trPr>
        <w:tc>
          <w:tcPr>
            <w:tcW w:w="8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Actual maturities may differ from contractual maturities because issuers may have the right to call or prepay obligations without call or prepayment penalties.</w:t>
      </w:r>
    </w:p>
    <w:p>
      <w:pPr>
        <w:spacing w:after="0" w:line="58"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Investment income included in other income, net on our consolidated statements of operations and comprehensive loss was $13.1 million and $24.9 million for the years ended December 31, 2025 and 2024,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398780</wp:posOffset>
                </wp:positionV>
                <wp:extent cx="7315200" cy="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1.4pt" to="535pt,31.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398780</wp:posOffset>
                </wp:positionV>
                <wp:extent cx="7315200" cy="0"/>
                <wp:wrapNone/>
                <wp:docPr id="573" name="Shape 5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73" o:spid="_x0000_s15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1.4pt" to="535pt,31.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23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2444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240">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4. BALANCE SHEET COMPONENTS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76" name="Shape 5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76" o:spid="_x0000_s16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Inventory,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77" name="Shape 5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77" o:spid="_x0000_s16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241">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Inventory, net, consisted of the following components:</w:t>
      </w:r>
    </w:p>
    <w:p>
      <w:pPr>
        <w:spacing w:after="0" w:line="22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23495</wp:posOffset>
            </wp:positionV>
            <wp:extent cx="1746250" cy="13843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242">
                      <a:extLst>
                        <a:ext uri="{28A0092B-C50C-407E-A947-70E740481C1C}"/>
                      </a:extLst>
                    </a:blip>
                    <a:srcRect/>
                    <a:stretch>
                      <a:fillRect/>
                    </a:stretch>
                  </pic:blipFill>
                  <pic:spPr bwMode="auto">
                    <a:xfrm>
                      <a:off x="0" y="0"/>
                      <a:ext cx="1746250" cy="13843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71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63"/>
        </w:trPr>
        <w:tc>
          <w:tcPr>
            <w:tcW w:w="7180" w:type="dxa"/>
            <w:vAlign w:val="bottom"/>
          </w:tcPr>
          <w:p>
            <w:pPr>
              <w:spacing w:after="0"/>
              <w:rPr>
                <w:sz w:val="20"/>
                <w:szCs w:val="20"/>
                <w:color w:val="auto"/>
              </w:rPr>
            </w:pPr>
            <w:r>
              <w:rPr>
                <w:rFonts w:ascii="Arial" w:cs="Arial" w:eastAsia="Arial" w:hAnsi="Arial"/>
                <w:sz w:val="18"/>
                <w:szCs w:val="18"/>
                <w:b w:val="1"/>
                <w:bCs w:val="1"/>
                <w:color w:val="auto"/>
              </w:rPr>
              <w:t>Purchased materials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38,638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45,270</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Work in process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27,051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22,172</w:t>
            </w: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auto"/>
              </w:rPr>
              <w:t>Finished goods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15,709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14,081</w:t>
            </w:r>
          </w:p>
        </w:tc>
      </w:tr>
      <w:tr>
        <w:trPr>
          <w:trHeight w:val="263"/>
        </w:trPr>
        <w:tc>
          <w:tcPr>
            <w:tcW w:w="7180" w:type="dxa"/>
            <w:vAlign w:val="bottom"/>
          </w:tcPr>
          <w:p>
            <w:pPr>
              <w:ind w:left="120"/>
              <w:spacing w:after="0"/>
              <w:rPr>
                <w:sz w:val="20"/>
                <w:szCs w:val="20"/>
                <w:color w:val="auto"/>
              </w:rPr>
            </w:pPr>
            <w:r>
              <w:rPr>
                <w:rFonts w:ascii="Arial" w:cs="Arial" w:eastAsia="Arial" w:hAnsi="Arial"/>
                <w:sz w:val="18"/>
                <w:szCs w:val="18"/>
                <w:b w:val="1"/>
                <w:bCs w:val="1"/>
                <w:color w:val="auto"/>
              </w:rPr>
              <w:t>Inventory, gross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81,398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81,523</w:t>
            </w: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auto"/>
              </w:rPr>
              <w:t>Inventory reserve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(32,113)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(22,768)</w:t>
            </w:r>
          </w:p>
        </w:tc>
      </w:tr>
      <w:tr>
        <w:trPr>
          <w:trHeight w:val="260"/>
        </w:trPr>
        <w:tc>
          <w:tcPr>
            <w:tcW w:w="7180" w:type="dxa"/>
            <w:vAlign w:val="bottom"/>
          </w:tcPr>
          <w:p>
            <w:pPr>
              <w:ind w:left="120"/>
              <w:spacing w:after="0"/>
              <w:rPr>
                <w:sz w:val="20"/>
                <w:szCs w:val="20"/>
                <w:color w:val="auto"/>
              </w:rPr>
            </w:pPr>
            <w:r>
              <w:rPr>
                <w:rFonts w:ascii="Arial" w:cs="Arial" w:eastAsia="Arial" w:hAnsi="Arial"/>
                <w:sz w:val="18"/>
                <w:szCs w:val="18"/>
                <w:b w:val="1"/>
                <w:bCs w:val="1"/>
                <w:color w:val="auto"/>
              </w:rPr>
              <w:t>Inventory, net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49,285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58,755</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Property and Equipment,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80" name="Shape 5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80" o:spid="_x0000_s16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24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and equipment, net, consisted of the following components:</w:t>
      </w:r>
    </w:p>
    <w:p>
      <w:pPr>
        <w:spacing w:after="0" w:line="22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23495</wp:posOffset>
            </wp:positionV>
            <wp:extent cx="1746250" cy="19558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244">
                      <a:extLst>
                        <a:ext uri="{28A0092B-C50C-407E-A947-70E740481C1C}"/>
                      </a:extLst>
                    </a:blip>
                    <a:srcRect/>
                    <a:stretch>
                      <a:fillRect/>
                    </a:stretch>
                  </pic:blipFill>
                  <pic:spPr bwMode="auto">
                    <a:xfrm>
                      <a:off x="0" y="0"/>
                      <a:ext cx="1746250" cy="19558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71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63"/>
        </w:trPr>
        <w:tc>
          <w:tcPr>
            <w:tcW w:w="7180" w:type="dxa"/>
            <w:vAlign w:val="bottom"/>
          </w:tcPr>
          <w:p>
            <w:pPr>
              <w:spacing w:after="0"/>
              <w:rPr>
                <w:sz w:val="20"/>
                <w:szCs w:val="20"/>
                <w:color w:val="auto"/>
              </w:rPr>
            </w:pPr>
            <w:r>
              <w:rPr>
                <w:rFonts w:ascii="Arial" w:cs="Arial" w:eastAsia="Arial" w:hAnsi="Arial"/>
                <w:sz w:val="18"/>
                <w:szCs w:val="18"/>
                <w:b w:val="1"/>
                <w:bCs w:val="1"/>
                <w:color w:val="auto"/>
              </w:rPr>
              <w:t>Laboratory equipment and machinery</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47,742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47,273</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Leasehold improvements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33,837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33,770</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Computer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19,477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18,882</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Software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7,197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7,280</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Furniture and fixtures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2,954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2,972</w:t>
            </w: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auto"/>
              </w:rPr>
              <w:t>Construction in progress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5,409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2,276</w:t>
            </w:r>
          </w:p>
        </w:tc>
      </w:tr>
      <w:tr>
        <w:trPr>
          <w:trHeight w:val="263"/>
        </w:trPr>
        <w:tc>
          <w:tcPr>
            <w:tcW w:w="7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116,616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112,453</w:t>
            </w: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auto"/>
              </w:rPr>
              <w:t>Less: Accumulated depreciation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(92,470)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(81,948)</w:t>
            </w:r>
          </w:p>
        </w:tc>
      </w:tr>
      <w:tr>
        <w:trPr>
          <w:trHeight w:val="260"/>
        </w:trPr>
        <w:tc>
          <w:tcPr>
            <w:tcW w:w="7180" w:type="dxa"/>
            <w:vAlign w:val="bottom"/>
          </w:tcPr>
          <w:p>
            <w:pPr>
              <w:ind w:left="12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24,146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30,505</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Construction in progress consists of capitalizable costs that have been incurred for the construction of finite-lived assets and is primarily comprised of amounts that will be classified as lab equipment.</w:t>
      </w:r>
    </w:p>
    <w:p>
      <w:pPr>
        <w:spacing w:after="0" w:line="54"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Depreciation expense during the years ended December 31, 2025, 2024, and 2023 was $13.0 million, $13.8 million, and $11.5 million, respectively.</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Goodwill and Intangible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83" name="Shape 5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83" o:spid="_x0000_s16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24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Goodwill</w:t>
      </w:r>
    </w:p>
    <w:p>
      <w:pPr>
        <w:spacing w:after="0" w:line="130"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Goodwill is reviewed for impairment at least annually during the second quarter, or more frequently if an event occurs indicating the potential for impairment. We recognized $144.5 million of impairment charges during the year ended December 31, 2024.</w:t>
      </w:r>
    </w:p>
    <w:p>
      <w:pPr>
        <w:spacing w:after="0" w:line="75" w:lineRule="exact"/>
        <w:rPr>
          <w:sz w:val="20"/>
          <w:szCs w:val="20"/>
          <w:color w:val="auto"/>
        </w:rPr>
      </w:pPr>
    </w:p>
    <w:p>
      <w:pPr>
        <w:jc w:val="both"/>
        <w:ind w:right="680"/>
        <w:spacing w:after="0" w:line="270" w:lineRule="auto"/>
        <w:rPr>
          <w:sz w:val="20"/>
          <w:szCs w:val="20"/>
          <w:color w:val="auto"/>
        </w:rPr>
      </w:pPr>
      <w:r>
        <w:rPr>
          <w:rFonts w:ascii="Arial" w:cs="Arial" w:eastAsia="Arial" w:hAnsi="Arial"/>
          <w:sz w:val="19"/>
          <w:szCs w:val="19"/>
          <w:b w:val="1"/>
          <w:bCs w:val="1"/>
          <w:color w:val="auto"/>
        </w:rPr>
        <w:t>Based primarily on the decline in our stock price and overall market capitalization during the first quarter of 2025, driven in part by macroeconomic uncertainties, as well as our updated strategic plans and restructuring initiatives that prioritize accelerating adoption of HiFi sequencing and ceasing development of our high-throughput short-read platform, we concluded that changes to the timing and amount of expected future cash flows, among other factors, indicated that it was more likely than not that the fair value of the reporting unit was less than its carrying amount, requiring an interim goodwill impairment assessment. As a result of the quantitative interim impairment test performed as of March 31, 2025, we concluded that there was no impairment, as the estimated fair value of the entity-level reporting unit exceeded the carrying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458470</wp:posOffset>
                </wp:positionV>
                <wp:extent cx="7315200" cy="0"/>
                <wp:wrapNone/>
                <wp:docPr id="585" name="Shape 5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5" o:spid="_x0000_s16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6.1pt" to="535pt,36.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458470</wp:posOffset>
                </wp:positionV>
                <wp:extent cx="7315200" cy="0"/>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6.1pt" to="535pt,36.1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24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To determine the fair value of the entity-level reporting unit as of March 31, 2025, we performed our impairment test using a combination of an income approach and a market approach to determine the fair value of the reporting unit. The income approach utilized estimated discounted cash flows, while the market approach utilized comparable company information. Significant assumptions used in the income approach included revenue growth expectations and a selected discount rate of 12.0%. The discount rate was based on the weighted average cost of capital, determined using market, industry data, and related risk factors. The assumptions used were inherently subject to uncertainty. The assessment is a level 3 measurement due to its reliance on certain unobservable inputs and management judgment. The assessed fair value was deemed reasonable based on a market capitalization reconciliation and a supportable control premium.</w:t>
      </w:r>
    </w:p>
    <w:p>
      <w:pPr>
        <w:spacing w:after="0" w:line="76"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We performed our annual assessment for goodwill impairment in the second quarter of 2025, noting no impairment.</w:t>
      </w:r>
    </w:p>
    <w:p>
      <w:pPr>
        <w:spacing w:after="0" w:line="54"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Changes in our future operating results, cash flows, share price, market capitalization or discount rates, among others, used when conducting future goodwill impairment tests could affect the estimated implied fair value of goodwill and may result in additional impairment charges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Intangible Assets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Intangible assets include developed technology, customer relationships, and acquired IPR&amp;D.</w:t>
      </w:r>
    </w:p>
    <w:p>
      <w:pPr>
        <w:spacing w:after="0" w:line="13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As a result of the Apton acquisition in August 2023, we allocated $55.0 million of the purchase price to IPR&amp;D. During the year ended December 31, 2023, acquired IPR&amp;D of $400.0 million as a result of the Omniome acquisition in September 2021 was completed and became subject to amortization.</w:t>
      </w:r>
    </w:p>
    <w:p>
      <w:pPr>
        <w:spacing w:after="0" w:line="70"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color w:val="auto"/>
        </w:rPr>
        <w:t>IPR&amp;D is reviewed for impairment at least annually, or more frequently if an event occurs indicating the potential for impairment. We recognized a $40.0 million impairment charge during the year ended December 31, 2024.</w:t>
      </w:r>
    </w:p>
    <w:p>
      <w:pPr>
        <w:spacing w:after="0" w:line="8" w:lineRule="exact"/>
        <w:rPr>
          <w:sz w:val="20"/>
          <w:szCs w:val="20"/>
          <w:color w:val="auto"/>
        </w:rPr>
      </w:pPr>
    </w:p>
    <w:p>
      <w:pPr>
        <w:jc w:val="both"/>
        <w:ind w:right="680"/>
        <w:spacing w:after="0" w:line="266" w:lineRule="auto"/>
        <w:rPr>
          <w:sz w:val="20"/>
          <w:szCs w:val="20"/>
          <w:color w:val="auto"/>
        </w:rPr>
      </w:pPr>
      <w:r>
        <w:rPr>
          <w:rFonts w:ascii="Arial" w:cs="Arial" w:eastAsia="Arial" w:hAnsi="Arial"/>
          <w:sz w:val="19"/>
          <w:szCs w:val="19"/>
          <w:b w:val="1"/>
          <w:bCs w:val="1"/>
          <w:color w:val="auto"/>
        </w:rPr>
        <w:t>During the first quarter of 2025, 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$0 and recorded a $15.0 million impairment charge. The decline in the fair value of the IPR&amp;D to $0 as of March 31, 2025 resulted primarily from changes in the timing of expected future cash flows as compared to the fair value as of December 31, 2024, driven by the restructuring initiatives that prioritize accelerating adoption of HiFi sequencing and resulted in ceasing development of our high-throughput short-read sequencing platform. The impairment charge is included on our consolidated statements of operations and comprehensive loss for the year ended December 31, 2025. Significant estimates and assumptions used in the income approach include timing of future cash flows, revenue growth assumptions, a selected discount rate of 14.0%, and a selected obsolescence factor of 11 years. The discount rate was based primarily on the weighted average cost of capital, determined using market, peer company, industry data, and related risk factors. The assessment is a level 3 measurement due to its reliance on certain unobservable inputs and management judgment. The assumptions used were inherently subject to uncertainty.</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to IPR&amp;D during the year ended December 31, 2025 were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5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01"/>
        </w:trPr>
        <w:tc>
          <w:tcPr>
            <w:tcW w:w="8540" w:type="dxa"/>
            <w:vAlign w:val="bottom"/>
          </w:tcPr>
          <w:p>
            <w:pPr>
              <w:spacing w:after="0"/>
              <w:rPr>
                <w:sz w:val="20"/>
                <w:szCs w:val="20"/>
                <w:color w:val="auto"/>
              </w:rPr>
            </w:pPr>
            <w:r>
              <w:rPr>
                <w:rFonts w:ascii="Arial" w:cs="Arial" w:eastAsia="Arial" w:hAnsi="Arial"/>
                <w:sz w:val="18"/>
                <w:szCs w:val="18"/>
                <w:b w:val="1"/>
                <w:bCs w:val="1"/>
                <w:color w:val="auto"/>
              </w:rPr>
              <w:t>Balance as of December 31, 2024</w:t>
            </w:r>
          </w:p>
        </w:tc>
        <w:tc>
          <w:tcPr>
            <w:tcW w:w="400" w:type="dxa"/>
            <w:vAlign w:val="bottom"/>
          </w:tcPr>
          <w:p>
            <w:pPr>
              <w:jc w:val="right"/>
              <w:ind w:right="150"/>
              <w:spacing w:after="0"/>
              <w:rPr>
                <w:sz w:val="20"/>
                <w:szCs w:val="20"/>
                <w:color w:val="auto"/>
              </w:rPr>
            </w:pPr>
            <w:r>
              <w:rPr>
                <w:rFonts w:ascii="Arial" w:cs="Arial" w:eastAsia="Arial" w:hAnsi="Arial"/>
                <w:sz w:val="18"/>
                <w:szCs w:val="18"/>
                <w:b w:val="1"/>
                <w:bCs w:val="1"/>
                <w:color w:val="1383C6"/>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1383C6"/>
              </w:rPr>
              <w:t>15,000</w:t>
            </w:r>
          </w:p>
        </w:tc>
      </w:tr>
      <w:tr>
        <w:trPr>
          <w:trHeight w:val="317"/>
        </w:trPr>
        <w:tc>
          <w:tcPr>
            <w:tcW w:w="8540" w:type="dxa"/>
            <w:vAlign w:val="bottom"/>
          </w:tcPr>
          <w:p>
            <w:pPr>
              <w:spacing w:after="0"/>
              <w:rPr>
                <w:sz w:val="20"/>
                <w:szCs w:val="20"/>
                <w:color w:val="auto"/>
              </w:rPr>
            </w:pPr>
            <w:r>
              <w:rPr>
                <w:rFonts w:ascii="Arial" w:cs="Arial" w:eastAsia="Arial" w:hAnsi="Arial"/>
                <w:sz w:val="18"/>
                <w:szCs w:val="18"/>
                <w:b w:val="1"/>
                <w:bCs w:val="1"/>
                <w:color w:val="auto"/>
              </w:rPr>
              <w:t>Impairment charge</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(15,000)</w:t>
            </w:r>
          </w:p>
        </w:tc>
      </w:tr>
      <w:tr>
        <w:trPr>
          <w:trHeight w:val="260"/>
        </w:trPr>
        <w:tc>
          <w:tcPr>
            <w:tcW w:w="8540" w:type="dxa"/>
            <w:vAlign w:val="bottom"/>
          </w:tcPr>
          <w:p>
            <w:pPr>
              <w:spacing w:after="0"/>
              <w:rPr>
                <w:sz w:val="20"/>
                <w:szCs w:val="20"/>
                <w:color w:val="auto"/>
              </w:rPr>
            </w:pPr>
            <w:r>
              <w:rPr>
                <w:rFonts w:ascii="Arial" w:cs="Arial" w:eastAsia="Arial" w:hAnsi="Arial"/>
                <w:sz w:val="18"/>
                <w:szCs w:val="18"/>
                <w:b w:val="1"/>
                <w:bCs w:val="1"/>
                <w:color w:val="auto"/>
              </w:rPr>
              <w:t>Balance as of December 31, 2025</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83C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r>
      <w:tr>
        <w:trPr>
          <w:trHeight w:val="20"/>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5400675</wp:posOffset>
            </wp:positionH>
            <wp:positionV relativeFrom="paragraph">
              <wp:posOffset>-602615</wp:posOffset>
            </wp:positionV>
            <wp:extent cx="904875" cy="6223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247">
                      <a:extLst>
                        <a:ext uri="{28A0092B-C50C-407E-A947-70E740481C1C}"/>
                      </a:extLst>
                    </a:blip>
                    <a:srcRect/>
                    <a:stretch>
                      <a:fillRect/>
                    </a:stretch>
                  </pic:blipFill>
                  <pic:spPr bwMode="auto">
                    <a:xfrm>
                      <a:off x="0" y="0"/>
                      <a:ext cx="904875" cy="622300"/>
                    </a:xfrm>
                    <a:prstGeom prst="rect">
                      <a:avLst/>
                    </a:prstGeom>
                    <a:noFill/>
                  </pic:spPr>
                </pic:pic>
              </a:graphicData>
            </a:graphic>
          </wp:anchor>
        </w:drawing>
      </w:r>
    </w:p>
    <w:p>
      <w:pPr>
        <w:spacing w:after="0" w:line="170"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 xml:space="preserve">See </w:t>
      </w:r>
      <w:r>
        <w:rPr>
          <w:rFonts w:ascii="Arial" w:cs="Arial" w:eastAsia="Arial" w:hAnsi="Arial"/>
          <w:sz w:val="20"/>
          <w:szCs w:val="20"/>
          <w:b w:val="1"/>
          <w:bCs w:val="1"/>
          <w:i w:val="1"/>
          <w:iCs w:val="1"/>
          <w:u w:val="single" w:color="auto"/>
          <w:color w:val="0000FF"/>
        </w:rPr>
        <w:t>Note 6. Restructuring</w:t>
      </w:r>
      <w:r>
        <w:rPr>
          <w:rFonts w:ascii="Arial" w:cs="Arial" w:eastAsia="Arial" w:hAnsi="Arial"/>
          <w:sz w:val="20"/>
          <w:szCs w:val="20"/>
          <w:b w:val="1"/>
          <w:bCs w:val="1"/>
          <w:color w:val="auto"/>
        </w:rPr>
        <w:t xml:space="preserve"> for additional information on costs incurred in connection with our current year restructuring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1299210</wp:posOffset>
                </wp:positionV>
                <wp:extent cx="7315200" cy="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02.3pt" to="535pt,102.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1299210</wp:posOffset>
                </wp:positionV>
                <wp:extent cx="7315200" cy="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90" o:spid="_x0000_s16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02.3pt" to="535pt,102.3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tabs>
          <w:tab w:leader="none" w:pos="103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24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addition to IPR&amp;D, we had the following acquired finite-lived intangible assets as of December 31, 2025:</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Estimated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7"/>
                <w:szCs w:val="17"/>
                <w:color w:val="auto"/>
              </w:rPr>
            </w:pPr>
          </w:p>
        </w:tc>
        <w:tc>
          <w:tcPr>
            <w:tcW w:w="130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80"/>
        </w:trPr>
        <w:tc>
          <w:tcPr>
            <w:tcW w:w="446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5"/>
              </w:rPr>
              <w:t>Useful Life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0" w:lineRule="exact"/>
              <w:rPr>
                <w:sz w:val="20"/>
                <w:szCs w:val="20"/>
                <w:color w:val="auto"/>
              </w:rPr>
            </w:pPr>
            <w:r>
              <w:rPr>
                <w:rFonts w:ascii="Arial" w:cs="Arial" w:eastAsia="Arial" w:hAnsi="Arial"/>
                <w:sz w:val="18"/>
                <w:szCs w:val="18"/>
                <w:b w:val="1"/>
                <w:bCs w:val="1"/>
                <w:color w:val="auto"/>
                <w:w w:val="94"/>
              </w:rPr>
              <w:t>Carrying</w:t>
            </w:r>
          </w:p>
        </w:tc>
        <w:tc>
          <w:tcPr>
            <w:tcW w:w="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50"/>
              <w:spacing w:after="0" w:line="180" w:lineRule="exact"/>
              <w:rPr>
                <w:sz w:val="20"/>
                <w:szCs w:val="20"/>
                <w:color w:val="auto"/>
              </w:rPr>
            </w:pPr>
            <w:r>
              <w:rPr>
                <w:rFonts w:ascii="Arial" w:cs="Arial" w:eastAsia="Arial" w:hAnsi="Arial"/>
                <w:sz w:val="18"/>
                <w:szCs w:val="18"/>
                <w:b w:val="1"/>
                <w:bCs w:val="1"/>
                <w:color w:val="auto"/>
                <w:w w:val="91"/>
              </w:rPr>
              <w:t>Carrying</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except years)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 years)</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1"/>
                <w:szCs w:val="21"/>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63"/>
        </w:trPr>
        <w:tc>
          <w:tcPr>
            <w:tcW w:w="4460" w:type="dxa"/>
            <w:vAlign w:val="bottom"/>
          </w:tcPr>
          <w:p>
            <w:pPr>
              <w:spacing w:after="0"/>
              <w:rPr>
                <w:sz w:val="20"/>
                <w:szCs w:val="20"/>
                <w:color w:val="auto"/>
              </w:rPr>
            </w:pPr>
            <w:r>
              <w:rPr>
                <w:rFonts w:ascii="Arial" w:cs="Arial" w:eastAsia="Arial" w:hAnsi="Arial"/>
                <w:sz w:val="18"/>
                <w:szCs w:val="18"/>
                <w:b w:val="1"/>
                <w:bCs w:val="1"/>
                <w:color w:val="auto"/>
              </w:rPr>
              <w:t>Developed technology</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1383C6"/>
                <w:w w:val="98"/>
              </w:rPr>
              <w:t>3 to 15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383C6"/>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1383C6"/>
              </w:rPr>
              <w:t>421,179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1383C6"/>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1383C6"/>
              </w:rPr>
              <w:t>(406,055)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383C6"/>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1383C6"/>
              </w:rPr>
              <w:t>15,124</w:t>
            </w:r>
          </w:p>
        </w:tc>
        <w:tc>
          <w:tcPr>
            <w:tcW w:w="0" w:type="dxa"/>
            <w:vAlign w:val="bottom"/>
          </w:tcPr>
          <w:p>
            <w:pPr>
              <w:spacing w:after="0"/>
              <w:rPr>
                <w:sz w:val="1"/>
                <w:szCs w:val="1"/>
                <w:color w:val="auto"/>
              </w:rPr>
            </w:pPr>
          </w:p>
        </w:tc>
      </w:tr>
      <w:tr>
        <w:trPr>
          <w:trHeight w:val="317"/>
        </w:trPr>
        <w:tc>
          <w:tcPr>
            <w:tcW w:w="4460" w:type="dxa"/>
            <w:vAlign w:val="bottom"/>
          </w:tcPr>
          <w:p>
            <w:pPr>
              <w:spacing w:after="0"/>
              <w:rPr>
                <w:sz w:val="20"/>
                <w:szCs w:val="20"/>
                <w:color w:val="auto"/>
              </w:rPr>
            </w:pPr>
            <w:r>
              <w:rPr>
                <w:rFonts w:ascii="Arial" w:cs="Arial" w:eastAsia="Arial" w:hAnsi="Arial"/>
                <w:sz w:val="18"/>
                <w:szCs w:val="18"/>
                <w:b w:val="1"/>
                <w:bCs w:val="1"/>
                <w:color w:val="auto"/>
              </w:rPr>
              <w:t>Customer relationships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1383C6"/>
                <w:w w:val="99"/>
              </w:rPr>
              <w:t>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360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(360)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0" w:type="dxa"/>
            <w:vAlign w:val="bottom"/>
          </w:tcPr>
          <w:p>
            <w:pPr>
              <w:spacing w:after="0"/>
              <w:rPr>
                <w:sz w:val="1"/>
                <w:szCs w:val="1"/>
                <w:color w:val="auto"/>
              </w:rPr>
            </w:pPr>
          </w:p>
        </w:tc>
      </w:tr>
      <w:tr>
        <w:trPr>
          <w:trHeight w:val="260"/>
        </w:trPr>
        <w:tc>
          <w:tcPr>
            <w:tcW w:w="4460" w:type="dxa"/>
            <w:vAlign w:val="bottom"/>
          </w:tcPr>
          <w:p>
            <w:pPr>
              <w:ind w:left="64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383C6"/>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1383C6"/>
              </w:rPr>
              <w:t>421,539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1383C6"/>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1383C6"/>
              </w:rPr>
              <w:t>(406,415)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383C6"/>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1383C6"/>
              </w:rPr>
              <w:t>15,124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-602615</wp:posOffset>
            </wp:positionV>
            <wp:extent cx="3467100" cy="6223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249">
                      <a:extLst>
                        <a:ext uri="{28A0092B-C50C-407E-A947-70E740481C1C}"/>
                      </a:extLst>
                    </a:blip>
                    <a:srcRect/>
                    <a:stretch>
                      <a:fillRect/>
                    </a:stretch>
                  </pic:blipFill>
                  <pic:spPr bwMode="auto">
                    <a:xfrm>
                      <a:off x="0" y="0"/>
                      <a:ext cx="3467100" cy="622300"/>
                    </a:xfrm>
                    <a:prstGeom prst="rect">
                      <a:avLst/>
                    </a:prstGeom>
                    <a:noFill/>
                  </pic:spPr>
                </pic:pic>
              </a:graphicData>
            </a:graphic>
          </wp:anchor>
        </w:drawing>
      </w:r>
    </w:p>
    <w:p>
      <w:pPr>
        <w:spacing w:after="0" w:line="170"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Amortization expense of intangibles was $369.4 million, $27.4 million and $8.3 million for the years ended December 31, 2025, 2024, and 2023, respectively. For the years ended December 31, 2025, 2024, and 2023 amortization expense of intangibles in cost of revenue was $4.9 million, $9.4 million, and $2.0 million, respectively. For the years ended December 31, 2025, 2024, and 2023, amortization expense of intangibles in operating expenses was $364.5 million, $18.0 million, and $6.3 million, respectively.</w:t>
      </w:r>
    </w:p>
    <w:p>
      <w:pPr>
        <w:spacing w:after="0" w:line="79" w:lineRule="exact"/>
        <w:rPr>
          <w:sz w:val="20"/>
          <w:szCs w:val="20"/>
          <w:color w:val="auto"/>
        </w:rPr>
      </w:pPr>
    </w:p>
    <w:p>
      <w:pPr>
        <w:jc w:val="both"/>
        <w:ind w:right="680"/>
        <w:spacing w:after="0" w:line="256" w:lineRule="auto"/>
        <w:rPr>
          <w:sz w:val="20"/>
          <w:szCs w:val="20"/>
          <w:color w:val="auto"/>
        </w:rPr>
      </w:pPr>
      <w:r>
        <w:rPr>
          <w:rFonts w:ascii="Arial" w:cs="Arial" w:eastAsia="Arial" w:hAnsi="Arial"/>
          <w:sz w:val="20"/>
          <w:szCs w:val="20"/>
          <w:b w:val="1"/>
          <w:bCs w:val="1"/>
          <w:color w:val="auto"/>
        </w:rPr>
        <w:t>Amortization of acquired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finite-lived intangible assets are amortized using the straight-line method over their estimated useful lives.</w:t>
      </w:r>
    </w:p>
    <w:p>
      <w:pPr>
        <w:spacing w:after="0" w:line="83" w:lineRule="exact"/>
        <w:rPr>
          <w:sz w:val="20"/>
          <w:szCs w:val="20"/>
          <w:color w:val="auto"/>
        </w:rPr>
      </w:pPr>
    </w:p>
    <w:p>
      <w:pPr>
        <w:jc w:val="both"/>
        <w:ind w:right="680"/>
        <w:spacing w:after="0" w:line="287" w:lineRule="auto"/>
        <w:rPr>
          <w:sz w:val="20"/>
          <w:szCs w:val="20"/>
          <w:color w:val="auto"/>
        </w:rPr>
      </w:pPr>
      <w:r>
        <w:rPr>
          <w:rFonts w:ascii="Arial" w:cs="Arial" w:eastAsia="Arial" w:hAnsi="Arial"/>
          <w:sz w:val="18"/>
          <w:szCs w:val="18"/>
          <w:b w:val="1"/>
          <w:bCs w:val="1"/>
          <w:color w:val="auto"/>
        </w:rPr>
        <w:t>During the first quarter of 2025, we revised the estimated useful life of the developed technology acquired in the 2021 Omniome, Inc. ("Omniome") acquisition. This change reflects updated strategic plans and restructuring initiatives focused on accelerating HiFi sequencing adoption, leading to ceased development of our high-throughput short-read platform and revised expectations for the timing and amount of future cash flows from short-read sequencing products and services. As a result of the change in estimate, we recognized accelerated amortization of $359.3 million within amortization of acquired intangible assets in operating expenses, reflecting our revised estimate that the asset will no longer generate economic benefit. This expense had a negative impact on basic and diluted net loss per share of $1.20 for the year ended December 31, 2025.</w:t>
      </w:r>
    </w:p>
    <w:p>
      <w:pPr>
        <w:spacing w:after="0" w:line="60"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On March 7, 2025, the Company entered into an agreement to acquire certain developed technology and related intellectual property from The Chinese University of Hong Kong for a total consideration of $9.7 million. In addition, the Company entered into a license agreement for complementary developed technology during the three months ended March 31, 2025. Both the acquired technology and license are classified as intangible assets and are being amortized over an estimated useful life of three years. As of December 31, 2025, $5.0 million of these intangible assets remained unpaid. This amount is included in accrued liabilities on the condensed consolidated balance sheets and is expected to be paid in 2026.</w:t>
      </w:r>
    </w:p>
    <w:p>
      <w:pPr>
        <w:spacing w:after="0" w:line="73" w:lineRule="exact"/>
        <w:rPr>
          <w:sz w:val="20"/>
          <w:szCs w:val="20"/>
          <w:color w:val="auto"/>
        </w:rPr>
      </w:pPr>
    </w:p>
    <w:p>
      <w:pPr>
        <w:jc w:val="both"/>
        <w:ind w:right="680"/>
        <w:spacing w:after="0" w:line="285" w:lineRule="auto"/>
        <w:rPr>
          <w:sz w:val="20"/>
          <w:szCs w:val="20"/>
          <w:color w:val="auto"/>
        </w:rPr>
      </w:pPr>
      <w:r>
        <w:rPr>
          <w:rFonts w:ascii="Arial" w:cs="Arial" w:eastAsia="Arial" w:hAnsi="Arial"/>
          <w:sz w:val="20"/>
          <w:szCs w:val="20"/>
          <w:b w:val="1"/>
          <w:bCs w:val="1"/>
          <w:color w:val="auto"/>
        </w:rPr>
        <w:t>The estimated future amortization expense of acquisition-related intangible assets with finite lives is estimated as follows: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5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1"/>
        </w:trPr>
        <w:tc>
          <w:tcPr>
            <w:tcW w:w="8540" w:type="dxa"/>
            <w:vAlign w:val="bottom"/>
          </w:tcPr>
          <w:p>
            <w:pPr>
              <w:spacing w:after="0"/>
              <w:rPr>
                <w:sz w:val="20"/>
                <w:szCs w:val="20"/>
                <w:color w:val="auto"/>
              </w:rPr>
            </w:pPr>
            <w:r>
              <w:rPr>
                <w:rFonts w:ascii="Arial" w:cs="Arial" w:eastAsia="Arial" w:hAnsi="Arial"/>
                <w:sz w:val="18"/>
                <w:szCs w:val="18"/>
                <w:b w:val="1"/>
                <w:bCs w:val="1"/>
                <w:color w:val="auto"/>
              </w:rPr>
              <w:t>2026</w:t>
            </w:r>
          </w:p>
        </w:tc>
        <w:tc>
          <w:tcPr>
            <w:tcW w:w="420" w:type="dxa"/>
            <w:vAlign w:val="bottom"/>
          </w:tcPr>
          <w:p>
            <w:pPr>
              <w:jc w:val="right"/>
              <w:ind w:right="170"/>
              <w:spacing w:after="0"/>
              <w:rPr>
                <w:sz w:val="20"/>
                <w:szCs w:val="20"/>
                <w:color w:val="auto"/>
              </w:rPr>
            </w:pPr>
            <w:r>
              <w:rPr>
                <w:rFonts w:ascii="Arial" w:cs="Arial" w:eastAsia="Arial" w:hAnsi="Arial"/>
                <w:sz w:val="18"/>
                <w:szCs w:val="18"/>
                <w:b w:val="1"/>
                <w:bCs w:val="1"/>
                <w:color w:val="1383C6"/>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1383C6"/>
              </w:rPr>
              <w:t>4,079</w:t>
            </w:r>
          </w:p>
        </w:tc>
      </w:tr>
      <w:tr>
        <w:trPr>
          <w:trHeight w:val="300"/>
        </w:trPr>
        <w:tc>
          <w:tcPr>
            <w:tcW w:w="8540" w:type="dxa"/>
            <w:vAlign w:val="bottom"/>
          </w:tcPr>
          <w:p>
            <w:pPr>
              <w:spacing w:after="0"/>
              <w:rPr>
                <w:sz w:val="20"/>
                <w:szCs w:val="20"/>
                <w:color w:val="auto"/>
              </w:rPr>
            </w:pPr>
            <w:r>
              <w:rPr>
                <w:rFonts w:ascii="Arial" w:cs="Arial" w:eastAsia="Arial" w:hAnsi="Arial"/>
                <w:sz w:val="18"/>
                <w:szCs w:val="18"/>
                <w:b w:val="1"/>
                <w:bCs w:val="1"/>
                <w:color w:val="auto"/>
              </w:rPr>
              <w:t>2027</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1383C6"/>
              </w:rPr>
              <w:t>4,079</w:t>
            </w:r>
          </w:p>
        </w:tc>
      </w:tr>
      <w:tr>
        <w:trPr>
          <w:trHeight w:val="300"/>
        </w:trPr>
        <w:tc>
          <w:tcPr>
            <w:tcW w:w="8540" w:type="dxa"/>
            <w:vAlign w:val="bottom"/>
          </w:tcPr>
          <w:p>
            <w:pPr>
              <w:spacing w:after="0"/>
              <w:rPr>
                <w:sz w:val="20"/>
                <w:szCs w:val="20"/>
                <w:color w:val="auto"/>
              </w:rPr>
            </w:pPr>
            <w:r>
              <w:rPr>
                <w:rFonts w:ascii="Arial" w:cs="Arial" w:eastAsia="Arial" w:hAnsi="Arial"/>
                <w:sz w:val="18"/>
                <w:szCs w:val="18"/>
                <w:b w:val="1"/>
                <w:bCs w:val="1"/>
                <w:color w:val="auto"/>
              </w:rPr>
              <w:t>2028</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1383C6"/>
              </w:rPr>
              <w:t>1,301</w:t>
            </w:r>
          </w:p>
        </w:tc>
      </w:tr>
      <w:tr>
        <w:trPr>
          <w:trHeight w:val="300"/>
        </w:trPr>
        <w:tc>
          <w:tcPr>
            <w:tcW w:w="8540" w:type="dxa"/>
            <w:vAlign w:val="bottom"/>
          </w:tcPr>
          <w:p>
            <w:pPr>
              <w:spacing w:after="0"/>
              <w:rPr>
                <w:sz w:val="20"/>
                <w:szCs w:val="20"/>
                <w:color w:val="auto"/>
              </w:rPr>
            </w:pPr>
            <w:r>
              <w:rPr>
                <w:rFonts w:ascii="Arial" w:cs="Arial" w:eastAsia="Arial" w:hAnsi="Arial"/>
                <w:sz w:val="18"/>
                <w:szCs w:val="18"/>
                <w:b w:val="1"/>
                <w:bCs w:val="1"/>
                <w:color w:val="auto"/>
              </w:rPr>
              <w:t>2029</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1383C6"/>
              </w:rPr>
              <w:t>745</w:t>
            </w:r>
          </w:p>
        </w:tc>
      </w:tr>
      <w:tr>
        <w:trPr>
          <w:trHeight w:val="300"/>
        </w:trPr>
        <w:tc>
          <w:tcPr>
            <w:tcW w:w="8540" w:type="dxa"/>
            <w:vAlign w:val="bottom"/>
          </w:tcPr>
          <w:p>
            <w:pPr>
              <w:spacing w:after="0"/>
              <w:rPr>
                <w:sz w:val="20"/>
                <w:szCs w:val="20"/>
                <w:color w:val="auto"/>
              </w:rPr>
            </w:pPr>
            <w:r>
              <w:rPr>
                <w:rFonts w:ascii="Arial" w:cs="Arial" w:eastAsia="Arial" w:hAnsi="Arial"/>
                <w:sz w:val="18"/>
                <w:szCs w:val="18"/>
                <w:b w:val="1"/>
                <w:bCs w:val="1"/>
                <w:color w:val="auto"/>
              </w:rPr>
              <w:t>2030</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1383C6"/>
              </w:rPr>
              <w:t>745</w:t>
            </w:r>
          </w:p>
        </w:tc>
      </w:tr>
      <w:tr>
        <w:trPr>
          <w:trHeight w:val="317"/>
        </w:trPr>
        <w:tc>
          <w:tcPr>
            <w:tcW w:w="8540" w:type="dxa"/>
            <w:vAlign w:val="bottom"/>
          </w:tcPr>
          <w:p>
            <w:pPr>
              <w:spacing w:after="0"/>
              <w:rPr>
                <w:sz w:val="20"/>
                <w:szCs w:val="20"/>
                <w:color w:val="auto"/>
              </w:rPr>
            </w:pPr>
            <w:r>
              <w:rPr>
                <w:rFonts w:ascii="Arial" w:cs="Arial" w:eastAsia="Arial" w:hAnsi="Arial"/>
                <w:sz w:val="18"/>
                <w:szCs w:val="18"/>
                <w:b w:val="1"/>
                <w:bCs w:val="1"/>
                <w:color w:val="auto"/>
              </w:rPr>
              <w:t>2031 and thereafter</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4,175</w:t>
            </w:r>
          </w:p>
        </w:tc>
      </w:tr>
      <w:tr>
        <w:trPr>
          <w:trHeight w:val="260"/>
        </w:trPr>
        <w:tc>
          <w:tcPr>
            <w:tcW w:w="8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1383C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15,124</w:t>
            </w:r>
          </w:p>
        </w:tc>
      </w:tr>
      <w:tr>
        <w:trPr>
          <w:trHeight w:val="20"/>
        </w:trPr>
        <w:tc>
          <w:tcPr>
            <w:tcW w:w="8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5426075</wp:posOffset>
            </wp:positionH>
            <wp:positionV relativeFrom="paragraph">
              <wp:posOffset>-1364615</wp:posOffset>
            </wp:positionV>
            <wp:extent cx="879475" cy="13843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250">
                      <a:extLst>
                        <a:ext uri="{28A0092B-C50C-407E-A947-70E740481C1C}"/>
                      </a:extLst>
                    </a:blip>
                    <a:srcRect/>
                    <a:stretch>
                      <a:fillRect/>
                    </a:stretch>
                  </pic:blipFill>
                  <pic:spPr bwMode="auto">
                    <a:xfrm>
                      <a:off x="0" y="0"/>
                      <a:ext cx="879475" cy="13843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-520700</wp:posOffset>
                </wp:positionH>
                <wp:positionV relativeFrom="paragraph">
                  <wp:posOffset>1367790</wp:posOffset>
                </wp:positionV>
                <wp:extent cx="7315200" cy="0"/>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4" o:spid="_x0000_s16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07.7pt" to="535pt,107.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1367790</wp:posOffset>
                </wp:positionV>
                <wp:extent cx="7315200" cy="0"/>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595" o:spid="_x0000_s16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07.7pt" to="535pt,107.7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25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11" w:name="page112"/>
    <w:bookmarkEnd w:id="11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Assets Held for Sale</w:t>
      </w:r>
    </w:p>
    <w:p>
      <w:pPr>
        <w:spacing w:after="0" w:line="130" w:lineRule="exact"/>
        <w:rPr>
          <w:sz w:val="20"/>
          <w:szCs w:val="20"/>
          <w:color w:val="auto"/>
        </w:rPr>
      </w:pPr>
    </w:p>
    <w:p>
      <w:pPr>
        <w:jc w:val="both"/>
        <w:ind w:right="680"/>
        <w:spacing w:after="0" w:line="289" w:lineRule="auto"/>
        <w:rPr>
          <w:sz w:val="20"/>
          <w:szCs w:val="20"/>
          <w:color w:val="auto"/>
        </w:rPr>
      </w:pPr>
      <w:r>
        <w:rPr>
          <w:rFonts w:ascii="Arial" w:cs="Arial" w:eastAsia="Arial" w:hAnsi="Arial"/>
          <w:sz w:val="18"/>
          <w:szCs w:val="18"/>
          <w:b w:val="1"/>
          <w:bCs w:val="1"/>
          <w:color w:val="auto"/>
        </w:rPr>
        <w:t xml:space="preserve">During the fourth quarter of 2025, the Company committed to a plan to sell certain intellectual property and other assets related to our short-read DNA sequencing technology and related clustering, sequencing reagent, and detection technologies. The assets met the held-for-sale criteria under ASC 360. The carrying value of the assets was previously written down to $0 through impairment charges and accelerated amortization resulting from the change in estimated useful life recorded in the first quarter of 2025. Accordingly, no additional loss was recognized upon classification of such assets as held-for-sale. The Company completed the disposition of assets on January 30, 2026. See </w:t>
      </w:r>
      <w:r>
        <w:rPr>
          <w:rFonts w:ascii="Arial" w:cs="Arial" w:eastAsia="Arial" w:hAnsi="Arial"/>
          <w:sz w:val="18"/>
          <w:szCs w:val="18"/>
          <w:b w:val="1"/>
          <w:bCs w:val="1"/>
          <w:i w:val="1"/>
          <w:iCs w:val="1"/>
          <w:u w:val="single" w:color="auto"/>
          <w:color w:val="0000FF"/>
        </w:rPr>
        <w:t>Note 12. Subsequent Events</w:t>
      </w:r>
      <w:r>
        <w:rPr>
          <w:rFonts w:ascii="Arial" w:cs="Arial" w:eastAsia="Arial" w:hAnsi="Arial"/>
          <w:sz w:val="18"/>
          <w:szCs w:val="18"/>
          <w:b w:val="1"/>
          <w:bCs w:val="1"/>
          <w:color w:val="auto"/>
        </w:rPr>
        <w:t xml:space="preserve"> for additional information.</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Accrued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597" o:spid="_x0000_s16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25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Accrued expenses consisted of the following components:</w:t>
      </w:r>
    </w:p>
    <w:p>
      <w:pPr>
        <w:spacing w:after="0" w:line="22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23495</wp:posOffset>
            </wp:positionV>
            <wp:extent cx="1746250" cy="19558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253">
                      <a:extLst>
                        <a:ext uri="{28A0092B-C50C-407E-A947-70E740481C1C}"/>
                      </a:extLst>
                    </a:blip>
                    <a:srcRect/>
                    <a:stretch>
                      <a:fillRect/>
                    </a:stretch>
                  </pic:blipFill>
                  <pic:spPr bwMode="auto">
                    <a:xfrm>
                      <a:off x="0" y="0"/>
                      <a:ext cx="1746250" cy="19558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71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63"/>
        </w:trPr>
        <w:tc>
          <w:tcPr>
            <w:tcW w:w="7180" w:type="dxa"/>
            <w:vAlign w:val="bottom"/>
          </w:tcPr>
          <w:p>
            <w:pPr>
              <w:spacing w:after="0"/>
              <w:rPr>
                <w:sz w:val="20"/>
                <w:szCs w:val="20"/>
                <w:color w:val="auto"/>
              </w:rPr>
            </w:pPr>
            <w:r>
              <w:rPr>
                <w:rFonts w:ascii="Arial" w:cs="Arial" w:eastAsia="Arial" w:hAnsi="Arial"/>
                <w:sz w:val="18"/>
                <w:szCs w:val="18"/>
                <w:b w:val="1"/>
                <w:bCs w:val="1"/>
                <w:color w:val="auto"/>
              </w:rPr>
              <w:t>Salaries and benefits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18,254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11,706</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Accrued intangibles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5,000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Accrued interest payable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3,270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2,470</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Accrued product development costs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1,111</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Accrued professional services and legal fees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874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824</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Inventory accrual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790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1,237</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Warranty accrual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3,046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3,100</w:t>
            </w: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2,376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2,147</w:t>
            </w:r>
          </w:p>
        </w:tc>
      </w:tr>
      <w:tr>
        <w:trPr>
          <w:trHeight w:val="260"/>
        </w:trPr>
        <w:tc>
          <w:tcPr>
            <w:tcW w:w="7180" w:type="dxa"/>
            <w:vAlign w:val="bottom"/>
          </w:tcPr>
          <w:p>
            <w:pPr>
              <w:spacing w:after="0"/>
              <w:rPr>
                <w:sz w:val="20"/>
                <w:szCs w:val="20"/>
                <w:color w:val="auto"/>
              </w:rPr>
            </w:pPr>
            <w:r>
              <w:rPr>
                <w:rFonts w:ascii="Arial" w:cs="Arial" w:eastAsia="Arial" w:hAnsi="Arial"/>
                <w:sz w:val="18"/>
                <w:szCs w:val="18"/>
                <w:b w:val="1"/>
                <w:bCs w:val="1"/>
                <w:color w:val="auto"/>
              </w:rPr>
              <w:t>Accrued expenses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33,646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22,595</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Product Warranties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00" o:spid="_x0000_s16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25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Warranties are recorded as part of accrued expenses on our consolidated balance sheets and warranty expense is recorded as a component of cost of product revenue on our consolidated statements of operations and comprehensive loss. There were no material changes in estimates for the periods presented below.</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the reserve for product warranties were as follows:</w:t>
      </w:r>
    </w:p>
    <w:p>
      <w:pPr>
        <w:spacing w:after="0" w:line="226"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23495</wp:posOffset>
            </wp:positionV>
            <wp:extent cx="1746250" cy="10033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255">
                      <a:extLst>
                        <a:ext uri="{28A0092B-C50C-407E-A947-70E740481C1C}"/>
                      </a:extLst>
                    </a:blip>
                    <a:srcRect/>
                    <a:stretch>
                      <a:fillRect/>
                    </a:stretch>
                  </pic:blipFill>
                  <pic:spPr bwMode="auto">
                    <a:xfrm>
                      <a:off x="0" y="0"/>
                      <a:ext cx="1746250" cy="10033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71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63"/>
        </w:trPr>
        <w:tc>
          <w:tcPr>
            <w:tcW w:w="7180" w:type="dxa"/>
            <w:vAlign w:val="bottom"/>
          </w:tcPr>
          <w:p>
            <w:pPr>
              <w:spacing w:after="0"/>
              <w:rPr>
                <w:sz w:val="20"/>
                <w:szCs w:val="20"/>
                <w:color w:val="auto"/>
              </w:rPr>
            </w:pPr>
            <w:r>
              <w:rPr>
                <w:rFonts w:ascii="Arial" w:cs="Arial" w:eastAsia="Arial" w:hAnsi="Arial"/>
                <w:sz w:val="18"/>
                <w:szCs w:val="18"/>
                <w:b w:val="1"/>
                <w:bCs w:val="1"/>
                <w:color w:val="auto"/>
              </w:rPr>
              <w:t>Balance at beginning of period</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3,100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4,681</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Additions charged to cost of product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5,554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6,144</w:t>
            </w: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auto"/>
              </w:rPr>
              <w:t>Repairs and replacements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(5,608)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(7,725)</w:t>
            </w:r>
          </w:p>
        </w:tc>
      </w:tr>
      <w:tr>
        <w:trPr>
          <w:trHeight w:val="260"/>
        </w:trPr>
        <w:tc>
          <w:tcPr>
            <w:tcW w:w="718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3,046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3,100</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Deferred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03" o:spid="_x0000_s16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256">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58" w:lineRule="auto"/>
        <w:rPr>
          <w:sz w:val="20"/>
          <w:szCs w:val="20"/>
          <w:color w:val="auto"/>
        </w:rPr>
      </w:pPr>
      <w:r>
        <w:rPr>
          <w:rFonts w:ascii="Arial" w:cs="Arial" w:eastAsia="Arial" w:hAnsi="Arial"/>
          <w:sz w:val="20"/>
          <w:szCs w:val="20"/>
          <w:b w:val="1"/>
          <w:bCs w:val="1"/>
          <w:color w:val="auto"/>
        </w:rPr>
        <w:t>As of December 31, 2025, we had a total of $19.9 million of deferred revenue, $16.0 million of which was recorded as deferred revenue, current and $3.9 million of which was recorded as deferred revenue, non-current, which primarily relates to deferred service contract revenues and is scheduled to be recognized in the next five years. Revenue recorded in the year ended December 31, 2025 includes $12.3 million that was included in deferred revenue, current as of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518795</wp:posOffset>
                </wp:positionV>
                <wp:extent cx="7315200" cy="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0.85pt" to="535pt,4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518795</wp:posOffset>
                </wp:positionV>
                <wp:extent cx="7315200" cy="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0.85pt" to="535pt,40.8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25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Performance Obligations</w:t>
      </w:r>
    </w:p>
    <w:p>
      <w:pPr>
        <w:spacing w:after="0" w:line="130"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b w:val="1"/>
          <w:bCs w:val="1"/>
          <w:color w:val="auto"/>
        </w:rPr>
        <w:t>We regularly enter into contracts with multiple performance obligations. These contracts are believed to be firm as of the balance sheet date. However, we may allow customers to make product substitutions or certain modifications at our discretion. The timing of shipments depends on several factors, including agreed upon shipping schedules, which may span multiple quarters. Most performance obligations are generally satisfied within a year of the contract execution date. As of December 31, 2025, the aggregate amount of the transaction price allocated to remaining performance obligations was $49.2 million, of which approximately 80% is expected to be converted to revenue in 2026, approximately 16% in the following twelve months, and the remainder thereafter.</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Other Liabilities, Current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08" o:spid="_x0000_s16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25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liabilities, current, consisted of the following components:</w:t>
      </w:r>
    </w:p>
    <w:p>
      <w:pPr>
        <w:spacing w:after="0" w:line="22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23495</wp:posOffset>
            </wp:positionV>
            <wp:extent cx="1746250" cy="8128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259">
                      <a:extLst>
                        <a:ext uri="{28A0092B-C50C-407E-A947-70E740481C1C}"/>
                      </a:extLst>
                    </a:blip>
                    <a:srcRect/>
                    <a:stretch>
                      <a:fillRect/>
                    </a:stretch>
                  </pic:blipFill>
                  <pic:spPr bwMode="auto">
                    <a:xfrm>
                      <a:off x="0" y="0"/>
                      <a:ext cx="1746250" cy="8128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71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63"/>
        </w:trPr>
        <w:tc>
          <w:tcPr>
            <w:tcW w:w="7180" w:type="dxa"/>
            <w:vAlign w:val="bottom"/>
          </w:tcPr>
          <w:p>
            <w:pPr>
              <w:spacing w:after="0"/>
              <w:rPr>
                <w:sz w:val="20"/>
                <w:szCs w:val="20"/>
                <w:color w:val="auto"/>
              </w:rPr>
            </w:pPr>
            <w:r>
              <w:rPr>
                <w:rFonts w:ascii="Arial" w:cs="Arial" w:eastAsia="Arial" w:hAnsi="Arial"/>
                <w:sz w:val="18"/>
                <w:szCs w:val="18"/>
                <w:b w:val="1"/>
                <w:bCs w:val="1"/>
                <w:color w:val="auto"/>
              </w:rPr>
              <w:t>Accrued Employee Stock Purchase Plan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1,377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654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w:t>
            </w:r>
          </w:p>
        </w:tc>
      </w:tr>
      <w:tr>
        <w:trPr>
          <w:trHeight w:val="260"/>
        </w:trPr>
        <w:tc>
          <w:tcPr>
            <w:tcW w:w="7180" w:type="dxa"/>
            <w:vAlign w:val="bottom"/>
          </w:tcPr>
          <w:p>
            <w:pPr>
              <w:spacing w:after="0"/>
              <w:rPr>
                <w:sz w:val="20"/>
                <w:szCs w:val="20"/>
                <w:color w:val="auto"/>
              </w:rPr>
            </w:pPr>
            <w:r>
              <w:rPr>
                <w:rFonts w:ascii="Arial" w:cs="Arial" w:eastAsia="Arial" w:hAnsi="Arial"/>
                <w:sz w:val="18"/>
                <w:szCs w:val="18"/>
                <w:b w:val="1"/>
                <w:bCs w:val="1"/>
                <w:color w:val="auto"/>
              </w:rPr>
              <w:t>Other liabilities, current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2,031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3,224</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222250</wp:posOffset>
            </wp:positionV>
            <wp:extent cx="6311900" cy="2444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260">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5. CONVERTIBLE SENIOR NOTES</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2029 Convertible Senior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261">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b w:val="1"/>
          <w:bCs w:val="1"/>
          <w:color w:val="auto"/>
        </w:rPr>
        <w:t>On November 7, 2024, we entered into an exchange agreement with SB Northstar LP (“SBN”), a subsidiary of SoftBank Group Corp., pursuant to which we agreed to exchange the remaining approximately $459.0 million in aggregate principal amount of our previously held 1.50% Convertible Senior Notes due 2028 (the “2028 Notes”) outstanding for (i) $200.0 million aggregate principal amount of 1.50% Convertible Senior Notes due 2029 (the “2029 Notes”), (ii) 20,451,570 shares of common stock (the “Exchange Shares”) and (iii) $50.0 million of cash (the “2024 Exchange Transaction”). The Exchange Shares were issued on November 21, 2024 (the “Closing Date”). The 2029 Notes, the Exchange Shares, and shares of common stock issuable upon conversion of the 2029 Notes were subject to certain lock-up restrictions for a six-month period (the “Lock-Up Period”) beginning on the Closing Date of the 2024 Exchange Transaction.</w:t>
      </w:r>
    </w:p>
    <w:p>
      <w:pPr>
        <w:spacing w:after="0" w:line="76" w:lineRule="exact"/>
        <w:rPr>
          <w:sz w:val="20"/>
          <w:szCs w:val="20"/>
          <w:color w:val="auto"/>
        </w:rPr>
      </w:pPr>
    </w:p>
    <w:p>
      <w:pPr>
        <w:jc w:val="both"/>
        <w:ind w:right="700"/>
        <w:spacing w:after="0" w:line="284" w:lineRule="auto"/>
        <w:rPr>
          <w:sz w:val="20"/>
          <w:szCs w:val="20"/>
          <w:color w:val="auto"/>
        </w:rPr>
      </w:pPr>
      <w:r>
        <w:rPr>
          <w:rFonts w:ascii="Arial" w:cs="Arial" w:eastAsia="Arial" w:hAnsi="Arial"/>
          <w:sz w:val="18"/>
          <w:szCs w:val="18"/>
          <w:b w:val="1"/>
          <w:bCs w:val="1"/>
          <w:color w:val="auto"/>
        </w:rPr>
        <w:t>Additionally, on November 21, 2024, in connection with the issuance of the 2029 Notes, the Company and SBN entered into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w:t>
      </w:r>
    </w:p>
    <w:p>
      <w:pPr>
        <w:jc w:val="both"/>
        <w:ind w:right="680"/>
        <w:spacing w:after="0" w:line="263" w:lineRule="auto"/>
        <w:rPr>
          <w:sz w:val="20"/>
          <w:szCs w:val="20"/>
          <w:color w:val="auto"/>
        </w:rPr>
      </w:pPr>
      <w:r>
        <w:rPr>
          <w:rFonts w:ascii="Arial" w:cs="Arial" w:eastAsia="Arial" w:hAnsi="Arial"/>
          <w:sz w:val="20"/>
          <w:szCs w:val="20"/>
          <w:b w:val="1"/>
          <w:bCs w:val="1"/>
          <w:color w:val="auto"/>
        </w:rPr>
        <w:t>amount of secured indebtedness pursuant to Credit Facilities (as defined in the Letter Agreement). In addition,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spacing w:after="0" w:line="78" w:lineRule="exact"/>
        <w:rPr>
          <w:sz w:val="20"/>
          <w:szCs w:val="20"/>
          <w:color w:val="auto"/>
        </w:rPr>
      </w:pPr>
    </w:p>
    <w:p>
      <w:pPr>
        <w:jc w:val="both"/>
        <w:ind w:right="700"/>
        <w:spacing w:after="0" w:line="279" w:lineRule="auto"/>
        <w:rPr>
          <w:sz w:val="20"/>
          <w:szCs w:val="20"/>
          <w:color w:val="auto"/>
        </w:rPr>
      </w:pPr>
      <w:r>
        <w:rPr>
          <w:rFonts w:ascii="Arial" w:cs="Arial" w:eastAsia="Arial" w:hAnsi="Arial"/>
          <w:sz w:val="19"/>
          <w:szCs w:val="19"/>
          <w:b w:val="1"/>
          <w:bCs w:val="1"/>
          <w:color w:val="auto"/>
        </w:rPr>
        <w:t>Upon any conversion of the 2029 Notes, SBN will not be entitled to be issued a number of shares of the Company’s common stock which would cause SBN's beneficial ownership of common stock to exceed either 9.9% of the total number of issued and outstanding shares of common stock or 9.9% of the combined voting power of all of the securities of the Company, in each case, following such conversion.</w:t>
      </w:r>
    </w:p>
    <w:p>
      <w:pPr>
        <w:spacing w:after="0" w:line="64" w:lineRule="exact"/>
        <w:rPr>
          <w:sz w:val="20"/>
          <w:szCs w:val="20"/>
          <w:color w:val="auto"/>
        </w:rPr>
      </w:pPr>
    </w:p>
    <w:p>
      <w:pPr>
        <w:jc w:val="both"/>
        <w:ind w:right="680"/>
        <w:spacing w:after="0" w:line="259" w:lineRule="auto"/>
        <w:rPr>
          <w:sz w:val="20"/>
          <w:szCs w:val="20"/>
          <w:color w:val="auto"/>
        </w:rPr>
      </w:pPr>
      <w:r>
        <w:rPr>
          <w:rFonts w:ascii="Arial" w:cs="Arial" w:eastAsia="Arial" w:hAnsi="Arial"/>
          <w:sz w:val="20"/>
          <w:szCs w:val="20"/>
          <w:b w:val="1"/>
          <w:bCs w:val="1"/>
          <w:color w:val="auto"/>
        </w:rPr>
        <w:t>The 2029 Notes are governed by an indenture (the “2029 Indenture”) between the Company and U.S. Bank Trust Company, National Association, as trustee. The 2029 Notes bear interest at a rate of 1.50% per annum. Interest on the 2029 Notes is payable semi-annually in arrears on February 15 and August 15, commencing on February 15, 2025. The 2029 Notes will mature on August 15, 2029, subject to earlier conversion, redemption or repurchase.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358140</wp:posOffset>
                </wp:positionV>
                <wp:extent cx="7315200" cy="0"/>
                <wp:wrapNone/>
                <wp:docPr id="614" name="Shape 6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4" o:spid="_x0000_s16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8.2pt" to="535pt,28.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358140</wp:posOffset>
                </wp:positionV>
                <wp:extent cx="7315200" cy="0"/>
                <wp:wrapNone/>
                <wp:docPr id="615" name="Shape 6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15" o:spid="_x0000_s16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8.2pt" to="535pt,28.2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26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70" w:lineRule="auto"/>
        <w:rPr>
          <w:sz w:val="20"/>
          <w:szCs w:val="20"/>
          <w:color w:val="auto"/>
        </w:rPr>
      </w:pPr>
      <w:r>
        <w:rPr>
          <w:rFonts w:ascii="Arial" w:cs="Arial" w:eastAsia="Arial" w:hAnsi="Arial"/>
          <w:sz w:val="19"/>
          <w:szCs w:val="19"/>
          <w:b w:val="1"/>
          <w:bCs w:val="1"/>
          <w:color w:val="auto"/>
        </w:rPr>
        <w:t>The 2029 Notes are convertible at the option of the holder at any time from the expiration of the Lock-Up Period until the second scheduled trading day prior to the maturity date, including in connection with a redemption by the Company. The 2029 Notes are convertible into shares of our common stock based on an initial conversion rate of 204.5157 shares of common stock per $1,000 principal amount of the 2029 Notes (which is equal to an initial conversion price of approximately $4.89 per share of common stock), in each case subject to customary anti-dilution and other adjustments as a result of certain extraordinary transactions. Upon conversion of the 2029 Notes, we may elect to settle such conversion obligation in cash, shares of our common stock, or a combination of cash and shares of our common stock.</w:t>
      </w:r>
    </w:p>
    <w:p>
      <w:pPr>
        <w:spacing w:after="0" w:line="74" w:lineRule="exact"/>
        <w:rPr>
          <w:sz w:val="20"/>
          <w:szCs w:val="20"/>
          <w:color w:val="auto"/>
        </w:rPr>
      </w:pPr>
    </w:p>
    <w:p>
      <w:pPr>
        <w:jc w:val="both"/>
        <w:ind w:right="680"/>
        <w:spacing w:after="0" w:line="256" w:lineRule="auto"/>
        <w:rPr>
          <w:sz w:val="20"/>
          <w:szCs w:val="20"/>
          <w:color w:val="auto"/>
        </w:rPr>
      </w:pPr>
      <w:r>
        <w:rPr>
          <w:rFonts w:ascii="Arial" w:cs="Arial" w:eastAsia="Arial" w:hAnsi="Arial"/>
          <w:sz w:val="20"/>
          <w:szCs w:val="20"/>
          <w:b w:val="1"/>
          <w:bCs w:val="1"/>
          <w:color w:val="auto"/>
        </w:rPr>
        <w:t>On or after August 20, 2027, and prior to the 31st scheduled trading day immediately preceding the maturity date, the 2029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2029 Notes, plus accrued and unpaid interest up to, but excluding, the redemption date.</w:t>
      </w:r>
    </w:p>
    <w:p>
      <w:pPr>
        <w:spacing w:after="0" w:line="83"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Upon the occurrence of a Fundamental Change (as defined in the 2029 Indenture), the holders of the 2029 Notes may require that we repurchase all or part of the principal amount of the 2029 Notes at a purchase price of par plus unpaid interest up to, but excluding, the maturity date.</w:t>
      </w:r>
    </w:p>
    <w:p>
      <w:pPr>
        <w:spacing w:after="0" w:line="7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The 2029 Notes are subject to certain debt and lien covenants as well as springing guarantees, in each case, the terms of which are set forth in a second letter agreement between the Company and SBN entered into in connection with the Indenture.</w:t>
      </w:r>
    </w:p>
    <w:p>
      <w:pPr>
        <w:spacing w:after="0" w:line="7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The 2029 Indenture includes customary “events of default,” which may result in the acceleration of the maturity of the 2029 Notes under the 2029 Indenture. The 2029 Indenture also includes customary covenants for convertible notes of this type.</w:t>
      </w:r>
    </w:p>
    <w:p>
      <w:pPr>
        <w:spacing w:after="0" w:line="70" w:lineRule="exact"/>
        <w:rPr>
          <w:sz w:val="20"/>
          <w:szCs w:val="20"/>
          <w:color w:val="auto"/>
        </w:rPr>
      </w:pPr>
    </w:p>
    <w:p>
      <w:pPr>
        <w:jc w:val="both"/>
        <w:ind w:right="680"/>
        <w:spacing w:after="0" w:line="250" w:lineRule="auto"/>
        <w:rPr>
          <w:sz w:val="20"/>
          <w:szCs w:val="20"/>
          <w:color w:val="auto"/>
        </w:rPr>
      </w:pPr>
      <w:r>
        <w:rPr>
          <w:rFonts w:ascii="Arial" w:cs="Arial" w:eastAsia="Arial" w:hAnsi="Arial"/>
          <w:sz w:val="19"/>
          <w:szCs w:val="19"/>
          <w:b w:val="1"/>
          <w:bCs w:val="1"/>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2029 Notes at a rate equal to (i) 0.25% per annum of the principal amount of the 2029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2029 Notes outstanding for each day from, and including, the 181</w:t>
      </w:r>
      <w:r>
        <w:rPr>
          <w:rFonts w:ascii="Arial" w:cs="Arial" w:eastAsia="Arial" w:hAnsi="Arial"/>
          <w:sz w:val="24"/>
          <w:szCs w:val="24"/>
          <w:b w:val="1"/>
          <w:bCs w:val="1"/>
          <w:color w:val="auto"/>
          <w:vertAlign w:val="superscript"/>
        </w:rPr>
        <w:t>st</w:t>
      </w:r>
      <w:r>
        <w:rPr>
          <w:rFonts w:ascii="Arial" w:cs="Arial" w:eastAsia="Arial" w:hAnsi="Arial"/>
          <w:sz w:val="19"/>
          <w:szCs w:val="19"/>
          <w:b w:val="1"/>
          <w:bCs w:val="1"/>
          <w:color w:val="auto"/>
        </w:rPr>
        <w:t xml:space="preserve"> calendar day to, and including, the 360</w:t>
      </w:r>
      <w:r>
        <w:rPr>
          <w:rFonts w:ascii="Arial" w:cs="Arial" w:eastAsia="Arial" w:hAnsi="Arial"/>
          <w:sz w:val="24"/>
          <w:szCs w:val="24"/>
          <w:b w:val="1"/>
          <w:bCs w:val="1"/>
          <w:color w:val="auto"/>
          <w:vertAlign w:val="superscript"/>
        </w:rPr>
        <w:t>th</w:t>
      </w:r>
      <w:r>
        <w:rPr>
          <w:rFonts w:ascii="Arial" w:cs="Arial" w:eastAsia="Arial" w:hAnsi="Arial"/>
          <w:sz w:val="19"/>
          <w:szCs w:val="19"/>
          <w:b w:val="1"/>
          <w:bCs w:val="1"/>
          <w:color w:val="auto"/>
        </w:rPr>
        <w:t xml:space="preserve"> calendar day after the occurrence of such an event of default during which such event of default is continuing (or, if earlier, the date on which such event of default is cured or waived as provided for in the 2029 Indenture). On the 361</w:t>
      </w:r>
      <w:r>
        <w:rPr>
          <w:rFonts w:ascii="Arial" w:cs="Arial" w:eastAsia="Arial" w:hAnsi="Arial"/>
          <w:sz w:val="24"/>
          <w:szCs w:val="24"/>
          <w:b w:val="1"/>
          <w:bCs w:val="1"/>
          <w:color w:val="auto"/>
          <w:vertAlign w:val="superscript"/>
        </w:rPr>
        <w:t>st</w:t>
      </w:r>
      <w:r>
        <w:rPr>
          <w:rFonts w:ascii="Arial" w:cs="Arial" w:eastAsia="Arial" w:hAnsi="Arial"/>
          <w:sz w:val="19"/>
          <w:szCs w:val="19"/>
          <w:b w:val="1"/>
          <w:bCs w:val="1"/>
          <w:color w:val="auto"/>
        </w:rPr>
        <w:t xml:space="preserve"> day after such event of default (if the event of default relating to our failure to comply with its obligations is not cured or waived prior to such 361</w:t>
      </w:r>
      <w:r>
        <w:rPr>
          <w:rFonts w:ascii="Arial" w:cs="Arial" w:eastAsia="Arial" w:hAnsi="Arial"/>
          <w:sz w:val="24"/>
          <w:szCs w:val="24"/>
          <w:b w:val="1"/>
          <w:bCs w:val="1"/>
          <w:color w:val="auto"/>
          <w:vertAlign w:val="superscript"/>
        </w:rPr>
        <w:t>st</w:t>
      </w:r>
      <w:r>
        <w:rPr>
          <w:rFonts w:ascii="Arial" w:cs="Arial" w:eastAsia="Arial" w:hAnsi="Arial"/>
          <w:sz w:val="19"/>
          <w:szCs w:val="19"/>
          <w:b w:val="1"/>
          <w:bCs w:val="1"/>
          <w:color w:val="auto"/>
        </w:rPr>
        <w:t xml:space="preserve"> day), the 2029 Notes shall be subject to acceleration as provided for in the 2029 Indenture.</w:t>
      </w:r>
    </w:p>
    <w:p>
      <w:pPr>
        <w:spacing w:after="0" w:line="89"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The 2029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2029 Notes is not accounted for as an embedded derivative because it is considered to be indexed to our common stock, and the 2029 Notes were not issued at a substantial premium; therefore, the 2029 Notes are accounted for in their entirety as a liability. Because we may elect to settle any conversions entirely in shares, and because settlement in shares is the default settlement method, the liability is classified as non-current.</w:t>
      </w:r>
    </w:p>
    <w:p>
      <w:pPr>
        <w:spacing w:after="0" w:line="80" w:lineRule="exact"/>
        <w:rPr>
          <w:sz w:val="20"/>
          <w:szCs w:val="20"/>
          <w:color w:val="auto"/>
        </w:rPr>
      </w:pPr>
    </w:p>
    <w:p>
      <w:pPr>
        <w:jc w:val="both"/>
        <w:ind w:right="680"/>
        <w:spacing w:after="0" w:line="261" w:lineRule="auto"/>
        <w:rPr>
          <w:sz w:val="20"/>
          <w:szCs w:val="20"/>
          <w:color w:val="auto"/>
        </w:rPr>
      </w:pPr>
      <w:r>
        <w:rPr>
          <w:rFonts w:ascii="Arial" w:cs="Arial" w:eastAsia="Arial" w:hAnsi="Arial"/>
          <w:sz w:val="20"/>
          <w:szCs w:val="20"/>
          <w:b w:val="1"/>
          <w:bCs w:val="1"/>
          <w:color w:val="auto"/>
        </w:rPr>
        <w:t xml:space="preserve">The requirement to repurchase the 2029 Notes, including unpaid interest to the maturity date in the event of a Fundamental Change, is considered a put option for certain periods requiring bifurcation under ASC 815 – </w:t>
      </w:r>
      <w:r>
        <w:rPr>
          <w:rFonts w:ascii="Arial" w:cs="Arial" w:eastAsia="Arial" w:hAnsi="Arial"/>
          <w:sz w:val="20"/>
          <w:szCs w:val="20"/>
          <w:b w:val="1"/>
          <w:bCs w:val="1"/>
          <w:i w:val="1"/>
          <w:iCs w:val="1"/>
          <w:color w:val="auto"/>
        </w:rPr>
        <w:t xml:space="preserve">Derivatives and Hedging. </w:t>
      </w:r>
      <w:r>
        <w:rPr>
          <w:rFonts w:ascii="Arial" w:cs="Arial" w:eastAsia="Arial" w:hAnsi="Arial"/>
          <w:sz w:val="20"/>
          <w:szCs w:val="20"/>
          <w:b w:val="1"/>
          <w:bCs w:val="1"/>
          <w:color w:val="auto"/>
        </w:rPr>
        <w:t>However, given the low probability of such a Fundamental Change occurring during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applicable periods, the value of the embedded derivative is immaterial.</w:t>
      </w:r>
    </w:p>
    <w:p>
      <w:pPr>
        <w:spacing w:after="0" w:line="80"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421005</wp:posOffset>
                </wp:positionV>
                <wp:extent cx="7315200" cy="0"/>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7" o:spid="_x0000_s1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3.15pt" to="535pt,33.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421005</wp:posOffset>
                </wp:positionV>
                <wp:extent cx="7315200" cy="0"/>
                <wp:wrapNone/>
                <wp:docPr id="618" name="Shape 6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18" o:spid="_x0000_s16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3.15pt" to="535pt,33.1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263">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680"/>
        <w:spacing w:after="0" w:line="270" w:lineRule="auto"/>
        <w:rPr>
          <w:sz w:val="20"/>
          <w:szCs w:val="20"/>
          <w:color w:val="auto"/>
        </w:rPr>
      </w:pPr>
      <w:r>
        <w:rPr>
          <w:rFonts w:ascii="Arial" w:cs="Arial" w:eastAsia="Arial" w:hAnsi="Arial"/>
          <w:sz w:val="19"/>
          <w:szCs w:val="19"/>
          <w:b w:val="1"/>
          <w:bCs w:val="1"/>
          <w:color w:val="auto"/>
        </w:rPr>
        <w:t xml:space="preserve">The exchange qualified as a troubled debt restructuring under ASC 470-60 – </w:t>
      </w:r>
      <w:r>
        <w:rPr>
          <w:rFonts w:ascii="Arial" w:cs="Arial" w:eastAsia="Arial" w:hAnsi="Arial"/>
          <w:sz w:val="19"/>
          <w:szCs w:val="19"/>
          <w:b w:val="1"/>
          <w:bCs w:val="1"/>
          <w:i w:val="1"/>
          <w:iCs w:val="1"/>
          <w:color w:val="auto"/>
        </w:rPr>
        <w:t>Troubled Debt Restructurings by</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Debtors</w:t>
      </w:r>
      <w:r>
        <w:rPr>
          <w:rFonts w:ascii="Arial" w:cs="Arial" w:eastAsia="Arial" w:hAnsi="Arial"/>
          <w:sz w:val="19"/>
          <w:szCs w:val="19"/>
          <w:b w:val="1"/>
          <w:bCs w:val="1"/>
          <w:color w:val="auto"/>
        </w:rPr>
        <w:t>. Since the undiscounted cash flows of the 2029 Notes were less than the carrying amount of the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exchanged 2028 Notes, the carrying value of the 2029 Notes was determined based on the total undiscounted cash flows. As a result, no interest expense will be recognized for the 2029 Notes. The Company recorded a gain on debt restructuring of $154.4 million, which resulted in a decrease of basic net loss per share of $0.56, during the year ended December 31, 2024 in our consolidated statements of operations and comprehensive loss. The gain was calculated as the difference between the carrying amount of the old debt and the carrying amount of the new debt, adjusted for debt issuance costs.</w:t>
      </w:r>
    </w:p>
    <w:p>
      <w:pPr>
        <w:spacing w:after="0" w:line="74"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We incurred issuance costs related to the 2029 Notes of approximately $3.1 million, including $0.2 million of lender fees, which were recorded as a reduction to the gain on debt restructuring in our consolidated statements of operations and comprehensive loss. We also paid accrued but unpaid interest of $1.8 million on the 2028 Notes in connection with the 2024 Exchange Transaction.</w:t>
      </w:r>
    </w:p>
    <w:p>
      <w:pPr>
        <w:spacing w:after="0" w:line="76" w:lineRule="exact"/>
        <w:rPr>
          <w:sz w:val="20"/>
          <w:szCs w:val="20"/>
          <w:color w:val="auto"/>
        </w:rPr>
      </w:pPr>
    </w:p>
    <w:p>
      <w:pPr>
        <w:jc w:val="both"/>
        <w:ind w:right="680"/>
        <w:spacing w:after="0" w:line="262" w:lineRule="auto"/>
        <w:rPr>
          <w:sz w:val="20"/>
          <w:szCs w:val="20"/>
          <w:color w:val="auto"/>
        </w:rPr>
      </w:pPr>
      <w:r>
        <w:rPr>
          <w:rFonts w:ascii="Arial" w:cs="Arial" w:eastAsia="Arial" w:hAnsi="Arial"/>
          <w:sz w:val="20"/>
          <w:szCs w:val="20"/>
          <w:b w:val="1"/>
          <w:bCs w:val="1"/>
          <w:color w:val="auto"/>
        </w:rPr>
        <w:t>We did not receive any cash proceeds from the 2024 Exchange Transaction. In exchange for issuing the 2029 Notes, Exchange Shares and paying $50.0 million of cash pursuant to the 2024 Exchange Transaction, we received and cancelled the exchanged 2028 Notes. Following the closing of the 2024 Exchange Transaction, no amounts were outstanding on the 2028 Notes.</w:t>
      </w:r>
    </w:p>
    <w:p>
      <w:pPr>
        <w:spacing w:after="0" w:line="76"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The carrying amount of the liability for the 2029 Notes as of December 31, 2025 is $212.0 million, of which $209.0 million is included as convertible senior notes, net, non-current, and $3.0 million is included as accrued expenses on our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to the 2029 Notes during the year ended December 31, 2025 were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5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01"/>
        </w:trPr>
        <w:tc>
          <w:tcPr>
            <w:tcW w:w="8540" w:type="dxa"/>
            <w:vAlign w:val="bottom"/>
          </w:tcPr>
          <w:p>
            <w:pPr>
              <w:spacing w:after="0"/>
              <w:rPr>
                <w:sz w:val="20"/>
                <w:szCs w:val="20"/>
                <w:color w:val="auto"/>
              </w:rPr>
            </w:pPr>
            <w:r>
              <w:rPr>
                <w:rFonts w:ascii="Arial" w:cs="Arial" w:eastAsia="Arial" w:hAnsi="Arial"/>
                <w:sz w:val="18"/>
                <w:szCs w:val="18"/>
                <w:b w:val="1"/>
                <w:bCs w:val="1"/>
                <w:color w:val="auto"/>
              </w:rPr>
              <w:t>Carrying amount as of December 31, 2024</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1383C6"/>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1383C6"/>
              </w:rPr>
              <w:t>214,200</w:t>
            </w:r>
          </w:p>
        </w:tc>
      </w:tr>
      <w:tr>
        <w:trPr>
          <w:trHeight w:val="317"/>
        </w:trPr>
        <w:tc>
          <w:tcPr>
            <w:tcW w:w="8540" w:type="dxa"/>
            <w:vAlign w:val="bottom"/>
          </w:tcPr>
          <w:p>
            <w:pPr>
              <w:spacing w:after="0"/>
              <w:rPr>
                <w:sz w:val="20"/>
                <w:szCs w:val="20"/>
                <w:color w:val="auto"/>
              </w:rPr>
            </w:pPr>
            <w:r>
              <w:rPr>
                <w:rFonts w:ascii="Arial" w:cs="Arial" w:eastAsia="Arial" w:hAnsi="Arial"/>
                <w:sz w:val="18"/>
                <w:szCs w:val="18"/>
                <w:b w:val="1"/>
                <w:bCs w:val="1"/>
                <w:color w:val="auto"/>
              </w:rPr>
              <w:t>Contractual interest expense</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(2,200)</w:t>
            </w:r>
          </w:p>
        </w:tc>
      </w:tr>
      <w:tr>
        <w:trPr>
          <w:trHeight w:val="260"/>
        </w:trPr>
        <w:tc>
          <w:tcPr>
            <w:tcW w:w="8540" w:type="dxa"/>
            <w:vAlign w:val="bottom"/>
          </w:tcPr>
          <w:p>
            <w:pPr>
              <w:spacing w:after="0"/>
              <w:rPr>
                <w:sz w:val="20"/>
                <w:szCs w:val="20"/>
                <w:color w:val="auto"/>
              </w:rPr>
            </w:pPr>
            <w:r>
              <w:rPr>
                <w:rFonts w:ascii="Arial" w:cs="Arial" w:eastAsia="Arial" w:hAnsi="Arial"/>
                <w:sz w:val="18"/>
                <w:szCs w:val="18"/>
                <w:b w:val="1"/>
                <w:bCs w:val="1"/>
                <w:color w:val="auto"/>
              </w:rPr>
              <w:t>Carrying amount as of December 31, 2025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83C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212,000</w:t>
            </w:r>
          </w:p>
        </w:tc>
      </w:tr>
      <w:tr>
        <w:trPr>
          <w:trHeight w:val="20"/>
        </w:trPr>
        <w:tc>
          <w:tcPr>
            <w:tcW w:w="8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5426075</wp:posOffset>
            </wp:positionH>
            <wp:positionV relativeFrom="paragraph">
              <wp:posOffset>-602615</wp:posOffset>
            </wp:positionV>
            <wp:extent cx="879475" cy="6223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264">
                      <a:extLst>
                        <a:ext uri="{28A0092B-C50C-407E-A947-70E740481C1C}"/>
                      </a:extLst>
                    </a:blip>
                    <a:srcRect/>
                    <a:stretch>
                      <a:fillRect/>
                    </a:stretch>
                  </pic:blipFill>
                  <pic:spPr bwMode="auto">
                    <a:xfrm>
                      <a:off x="0" y="0"/>
                      <a:ext cx="879475" cy="622300"/>
                    </a:xfrm>
                    <a:prstGeom prst="rect">
                      <a:avLst/>
                    </a:prstGeom>
                    <a:noFill/>
                  </pic:spPr>
                </pic:pic>
              </a:graphicData>
            </a:graphic>
          </wp:anchor>
        </w:drawing>
      </w:r>
    </w:p>
    <w:p>
      <w:pPr>
        <w:spacing w:after="0" w:line="11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As of December 31, 2025, the estimated fair value (Level 2) of the 2029 Notes was $183.5 million. The fair value of the 2029 Notes is estimated using a binomial lattice model that is primarily affected by the trading price of our common stock, market interest rates and volatility.</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2030 Convertible Senior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265">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73" w:lineRule="auto"/>
        <w:rPr>
          <w:sz w:val="20"/>
          <w:szCs w:val="20"/>
          <w:color w:val="auto"/>
        </w:rPr>
      </w:pPr>
      <w:r>
        <w:rPr>
          <w:rFonts w:ascii="Arial" w:cs="Arial" w:eastAsia="Arial" w:hAnsi="Arial"/>
          <w:sz w:val="19"/>
          <w:szCs w:val="19"/>
          <w:b w:val="1"/>
          <w:bCs w:val="1"/>
          <w:color w:val="auto"/>
        </w:rPr>
        <w:t>In June 2023, we entered into a privately negotiated exchange agreement with a holder of our outstanding 2028 Notes, pursuant to which we issued $441.0 million in aggregate principal amount of our 1.375% Convertible Senior Notes due 2030 (the “2030 Notes” and together with the 2029 Notes, the “Notes”) in exchange for $441.0 million principal amount of the 2028 Notes (the “2023 Exchange Transaction”), pursuant to exemptions from registration under the Securities Act of 1933, as amended (the “Securities Act”), and the rules and regulations thereunder. The 2030 Notes were issued on June 30, 2023.</w:t>
      </w:r>
    </w:p>
    <w:p>
      <w:pPr>
        <w:spacing w:after="0" w:line="69" w:lineRule="exact"/>
        <w:rPr>
          <w:sz w:val="20"/>
          <w:szCs w:val="20"/>
          <w:color w:val="auto"/>
        </w:rPr>
      </w:pPr>
    </w:p>
    <w:p>
      <w:pPr>
        <w:jc w:val="both"/>
        <w:ind w:right="680"/>
        <w:spacing w:after="0" w:line="258" w:lineRule="auto"/>
        <w:rPr>
          <w:sz w:val="20"/>
          <w:szCs w:val="20"/>
          <w:color w:val="auto"/>
        </w:rPr>
      </w:pPr>
      <w:r>
        <w:rPr>
          <w:rFonts w:ascii="Arial" w:cs="Arial" w:eastAsia="Arial" w:hAnsi="Arial"/>
          <w:sz w:val="20"/>
          <w:szCs w:val="20"/>
          <w:b w:val="1"/>
          <w:bCs w:val="1"/>
          <w:color w:val="auto"/>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spacing w:after="0" w:line="84" w:lineRule="exact"/>
        <w:rPr>
          <w:sz w:val="20"/>
          <w:szCs w:val="20"/>
          <w:color w:val="auto"/>
        </w:rPr>
      </w:pPr>
    </w:p>
    <w:p>
      <w:pPr>
        <w:jc w:val="both"/>
        <w:ind w:right="700"/>
        <w:spacing w:after="0" w:line="255" w:lineRule="auto"/>
        <w:rPr>
          <w:sz w:val="20"/>
          <w:szCs w:val="20"/>
          <w:color w:val="auto"/>
        </w:rPr>
      </w:pPr>
      <w:r>
        <w:rPr>
          <w:rFonts w:ascii="Arial" w:cs="Arial" w:eastAsia="Arial" w:hAnsi="Arial"/>
          <w:sz w:val="20"/>
          <w:szCs w:val="20"/>
          <w:b w:val="1"/>
          <w:bCs w:val="1"/>
          <w:color w:val="auto"/>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approximately $21.50 per share of common stock), in each case subject to customary anti-dilution and other adjustments as a result of certain extraordinary transactions. Upon conversion of the 2030 Notes, we may elect to settle such conversion obligation in cash, shares of our common stock, or a combination of cash and shares of our common stock.</w:t>
      </w:r>
    </w:p>
    <w:p>
      <w:pPr>
        <w:spacing w:after="0" w:line="85" w:lineRule="exact"/>
        <w:rPr>
          <w:sz w:val="20"/>
          <w:szCs w:val="20"/>
          <w:color w:val="auto"/>
        </w:rPr>
      </w:pPr>
    </w:p>
    <w:p>
      <w:pPr>
        <w:jc w:val="both"/>
        <w:ind w:right="700"/>
        <w:spacing w:after="0" w:line="311" w:lineRule="auto"/>
        <w:rPr>
          <w:sz w:val="20"/>
          <w:szCs w:val="20"/>
          <w:color w:val="auto"/>
        </w:rPr>
      </w:pPr>
      <w:r>
        <w:rPr>
          <w:rFonts w:ascii="Arial" w:cs="Arial" w:eastAsia="Arial" w:hAnsi="Arial"/>
          <w:sz w:val="18"/>
          <w:szCs w:val="18"/>
          <w:b w:val="1"/>
          <w:bCs w:val="1"/>
          <w:color w:val="auto"/>
        </w:rPr>
        <w:t>On or after June 20, 2028, and prior to the 31st scheduled trading day immediately preceding the maturity date, the 2030 Notes will be redeemable by the Company in the event that the closing sale price of our common stock has been at least 150% of the conversion price then in effect for at least 20 trading days (whether or not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249555</wp:posOffset>
                </wp:positionV>
                <wp:extent cx="7315200" cy="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3" o:spid="_x0000_s16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65pt" to="535pt,19.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249555</wp:posOffset>
                </wp:positionV>
                <wp:extent cx="7315200" cy="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9.65pt" to="535pt,19.6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44"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26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spacing w:after="0" w:line="76" w:lineRule="exact"/>
        <w:rPr>
          <w:sz w:val="20"/>
          <w:szCs w:val="20"/>
          <w:color w:val="auto"/>
        </w:rPr>
      </w:pPr>
    </w:p>
    <w:p>
      <w:pPr>
        <w:jc w:val="both"/>
        <w:ind w:right="680"/>
        <w:spacing w:after="0" w:line="259" w:lineRule="auto"/>
        <w:rPr>
          <w:sz w:val="20"/>
          <w:szCs w:val="20"/>
          <w:color w:val="auto"/>
        </w:rPr>
      </w:pPr>
      <w:r>
        <w:rPr>
          <w:rFonts w:ascii="Arial" w:cs="Arial" w:eastAsia="Arial" w:hAnsi="Arial"/>
          <w:sz w:val="20"/>
          <w:szCs w:val="20"/>
          <w:b w:val="1"/>
          <w:bCs w:val="1"/>
          <w:color w:val="auto"/>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spacing w:after="0" w:line="79"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The 2030 Indenture includes customary “events of default,” which may result in the acceleration of the maturity of the 2030 Notes under the 2030 Indenture. The 2030 Indenture also includes customary covenants for convertible notes of this type.</w:t>
      </w:r>
    </w:p>
    <w:p>
      <w:pPr>
        <w:spacing w:after="0" w:line="70"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2030 Indenture). On the 361st day after such event of default (if the event of default relating to our failure to comply with its obligations is not cured or waived prior to such 361st day), the 2030 Notes shall be subject to acceleration as provided for in the 2030 Indenture.</w:t>
      </w:r>
    </w:p>
    <w:p>
      <w:pPr>
        <w:spacing w:after="0" w:line="72"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w:t>
      </w:r>
    </w:p>
    <w:p>
      <w:pPr>
        <w:spacing w:after="0" w:line="71" w:lineRule="exact"/>
        <w:rPr>
          <w:sz w:val="20"/>
          <w:szCs w:val="20"/>
          <w:color w:val="auto"/>
        </w:rPr>
      </w:pPr>
    </w:p>
    <w:p>
      <w:pPr>
        <w:jc w:val="both"/>
        <w:ind w:right="680"/>
        <w:spacing w:after="0" w:line="262" w:lineRule="auto"/>
        <w:rPr>
          <w:sz w:val="20"/>
          <w:szCs w:val="20"/>
          <w:color w:val="auto"/>
        </w:rPr>
      </w:pPr>
      <w:r>
        <w:rPr>
          <w:rFonts w:ascii="Arial" w:cs="Arial" w:eastAsia="Arial" w:hAnsi="Arial"/>
          <w:sz w:val="20"/>
          <w:szCs w:val="20"/>
          <w:b w:val="1"/>
          <w:bCs w:val="1"/>
          <w:color w:val="auto"/>
        </w:rPr>
        <w:t xml:space="preserve">The requirement to repurchase the 2030 Notes, including unpaid interest to the maturity date in the event of a Fundamental Change, is considered a put option for certain periods requiring bifurcation under ASC 815 – </w:t>
      </w:r>
      <w:r>
        <w:rPr>
          <w:rFonts w:ascii="Arial" w:cs="Arial" w:eastAsia="Arial" w:hAnsi="Arial"/>
          <w:sz w:val="20"/>
          <w:szCs w:val="20"/>
          <w:b w:val="1"/>
          <w:bCs w:val="1"/>
          <w:i w:val="1"/>
          <w:iCs w:val="1"/>
          <w:color w:val="auto"/>
        </w:rPr>
        <w:t xml:space="preserve">Derivatives and Hedging. </w:t>
      </w:r>
      <w:r>
        <w:rPr>
          <w:rFonts w:ascii="Arial" w:cs="Arial" w:eastAsia="Arial" w:hAnsi="Arial"/>
          <w:sz w:val="20"/>
          <w:szCs w:val="20"/>
          <w:b w:val="1"/>
          <w:bCs w:val="1"/>
          <w:color w:val="auto"/>
        </w:rPr>
        <w:t>However, given the low probability of such a Fundamental Change occurring during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applicable periods, the value of the embedded derivative is immaterial.</w:t>
      </w:r>
    </w:p>
    <w:p>
      <w:pPr>
        <w:spacing w:after="0" w:line="76"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75" w:lineRule="exact"/>
        <w:rPr>
          <w:sz w:val="20"/>
          <w:szCs w:val="20"/>
          <w:color w:val="auto"/>
        </w:rPr>
      </w:pPr>
    </w:p>
    <w:p>
      <w:pPr>
        <w:jc w:val="both"/>
        <w:ind w:right="700"/>
        <w:spacing w:after="0" w:line="294" w:lineRule="auto"/>
        <w:rPr>
          <w:sz w:val="20"/>
          <w:szCs w:val="20"/>
          <w:color w:val="auto"/>
        </w:rPr>
      </w:pPr>
      <w:r>
        <w:rPr>
          <w:rFonts w:ascii="Arial" w:cs="Arial" w:eastAsia="Arial" w:hAnsi="Arial"/>
          <w:sz w:val="18"/>
          <w:szCs w:val="18"/>
          <w:b w:val="1"/>
          <w:bCs w:val="1"/>
          <w:color w:val="auto"/>
        </w:rPr>
        <w:t>The 2023 Exchange Transaction was accounted for as an extinguishment driven by the change in fair value of the embedded conversion option. We recorded a loss on extinguishment of debt of approximately $2.0 million in connection with the 2023 Exchange Transaction during the year ended December 31, 2023, which represents the difference between the fair value and the principal amount of the 2030 Notes of the debt at the modification date, plus unamortized debt issuance costs of $1.5 million related to the respective portion of the 2028 Notes.</w:t>
      </w:r>
    </w:p>
    <w:p>
      <w:pPr>
        <w:spacing w:after="0" w:line="52" w:lineRule="exact"/>
        <w:rPr>
          <w:sz w:val="20"/>
          <w:szCs w:val="20"/>
          <w:color w:val="auto"/>
        </w:rPr>
      </w:pPr>
    </w:p>
    <w:p>
      <w:pPr>
        <w:jc w:val="both"/>
        <w:ind w:right="700"/>
        <w:spacing w:after="0" w:line="275" w:lineRule="auto"/>
        <w:rPr>
          <w:sz w:val="20"/>
          <w:szCs w:val="20"/>
          <w:color w:val="auto"/>
        </w:rPr>
      </w:pPr>
      <w:r>
        <w:rPr>
          <w:rFonts w:ascii="Arial" w:cs="Arial" w:eastAsia="Arial" w:hAnsi="Arial"/>
          <w:sz w:val="19"/>
          <w:szCs w:val="19"/>
          <w:b w:val="1"/>
          <w:bCs w:val="1"/>
          <w:color w:val="auto"/>
        </w:rPr>
        <w:t>We incurred issuance costs related to the 2030 Notes of approximately $7.3 million, which were recorded as debt issuance costs and are presented as a reduction to the 2030 Notes on our consolidated balance sheets. The debt issuance costs are amortized to interest expense using the effective interest method over the term of the 2030 Notes, resulting in an effective interest rate of 1.6%. We also paid accrued but unpaid interest of $2.5 million on the 2028 Notes in connection with the 2023 Exchange Transaction on June 30, 2023.</w:t>
      </w:r>
    </w:p>
    <w:p>
      <w:pPr>
        <w:spacing w:after="0" w:line="68" w:lineRule="exact"/>
        <w:rPr>
          <w:sz w:val="20"/>
          <w:szCs w:val="20"/>
          <w:color w:val="auto"/>
        </w:rPr>
      </w:pPr>
    </w:p>
    <w:p>
      <w:pPr>
        <w:jc w:val="both"/>
        <w:ind w:right="680"/>
        <w:spacing w:after="0" w:line="313" w:lineRule="auto"/>
        <w:rPr>
          <w:sz w:val="20"/>
          <w:szCs w:val="20"/>
          <w:color w:val="auto"/>
        </w:rPr>
      </w:pPr>
      <w:r>
        <w:rPr>
          <w:rFonts w:ascii="Arial" w:cs="Arial" w:eastAsia="Arial" w:hAnsi="Arial"/>
          <w:sz w:val="19"/>
          <w:szCs w:val="19"/>
          <w:b w:val="1"/>
          <w:bCs w:val="1"/>
          <w:color w:val="auto"/>
        </w:rPr>
        <w:t>We did not receive any cash proceeds from the 2023 Exchange Transaction. In exchange for issuing the 2030 Notes pursuant to the 2023 Exchange Transaction, we received and cancelled the exchanged 2028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316230</wp:posOffset>
                </wp:positionV>
                <wp:extent cx="7315200" cy="0"/>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6" o:spid="_x0000_s16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4.9pt" to="535pt,24.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316230</wp:posOffset>
                </wp:positionV>
                <wp:extent cx="7315200" cy="0"/>
                <wp:wrapNone/>
                <wp:docPr id="627" name="Shape 6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27" o:spid="_x0000_s16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4.9pt" to="535pt,24.9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26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Following the closing of the 2023 Exchange Transaction, $459.0 million in aggregate principal amount of 2028 Notes remained outstanding with terms unchanged.</w:t>
      </w:r>
    </w:p>
    <w:p>
      <w:pPr>
        <w:spacing w:after="0" w:line="54"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The net carrying amount of the liability for the 2030 Notes is included as convertible senior notes, net, non-current on our consolidated balance sheets as follows:</w:t>
      </w:r>
    </w:p>
    <w:p>
      <w:pPr>
        <w:spacing w:after="0" w:line="134"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23495</wp:posOffset>
            </wp:positionV>
            <wp:extent cx="1870075" cy="9556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268">
                      <a:extLst>
                        <a:ext uri="{28A0092B-C50C-407E-A947-70E740481C1C}"/>
                      </a:extLst>
                    </a:blip>
                    <a:srcRect/>
                    <a:stretch>
                      <a:fillRect/>
                    </a:stretch>
                  </pic:blipFill>
                  <pic:spPr bwMode="auto">
                    <a:xfrm>
                      <a:off x="0" y="0"/>
                      <a:ext cx="1870075" cy="955675"/>
                    </a:xfrm>
                    <a:prstGeom prst="rect">
                      <a:avLst/>
                    </a:prstGeom>
                    <a:noFill/>
                  </pic:spPr>
                </pic:pic>
              </a:graphicData>
            </a:graphic>
          </wp:anchor>
        </w:drawing>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69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48"/>
        </w:trPr>
        <w:tc>
          <w:tcPr>
            <w:tcW w:w="698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441,000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441,000</w:t>
            </w:r>
          </w:p>
        </w:tc>
      </w:tr>
      <w:tr>
        <w:trPr>
          <w:trHeight w:val="285"/>
        </w:trPr>
        <w:tc>
          <w:tcPr>
            <w:tcW w:w="6980" w:type="dxa"/>
            <w:vAlign w:val="bottom"/>
          </w:tcPr>
          <w:p>
            <w:pPr>
              <w:spacing w:after="0"/>
              <w:rPr>
                <w:sz w:val="20"/>
                <w:szCs w:val="20"/>
                <w:color w:val="auto"/>
              </w:rPr>
            </w:pPr>
            <w:r>
              <w:rPr>
                <w:rFonts w:ascii="Arial" w:cs="Arial" w:eastAsia="Arial" w:hAnsi="Arial"/>
                <w:sz w:val="18"/>
                <w:szCs w:val="18"/>
                <w:b w:val="1"/>
                <w:bCs w:val="1"/>
                <w:color w:val="auto"/>
              </w:rPr>
              <w:t>Unamortized debt premium</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379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453</w:t>
            </w:r>
          </w:p>
        </w:tc>
      </w:tr>
      <w:tr>
        <w:trPr>
          <w:trHeight w:val="302"/>
        </w:trPr>
        <w:tc>
          <w:tcPr>
            <w:tcW w:w="6980" w:type="dxa"/>
            <w:vAlign w:val="bottom"/>
          </w:tcPr>
          <w:p>
            <w:pPr>
              <w:spacing w:after="0"/>
              <w:rPr>
                <w:sz w:val="20"/>
                <w:szCs w:val="20"/>
                <w:color w:val="auto"/>
              </w:rPr>
            </w:pPr>
            <w:r>
              <w:rPr>
                <w:rFonts w:ascii="Arial" w:cs="Arial" w:eastAsia="Arial" w:hAnsi="Arial"/>
                <w:sz w:val="18"/>
                <w:szCs w:val="18"/>
                <w:b w:val="1"/>
                <w:bCs w:val="1"/>
                <w:color w:val="auto"/>
              </w:rPr>
              <w:t>Unamortized debt issuance costs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(4,997)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(5,959)</w:t>
            </w:r>
          </w:p>
        </w:tc>
      </w:tr>
      <w:tr>
        <w:trPr>
          <w:trHeight w:val="245"/>
        </w:trPr>
        <w:tc>
          <w:tcPr>
            <w:tcW w:w="6980" w:type="dxa"/>
            <w:vAlign w:val="bottom"/>
          </w:tcPr>
          <w:p>
            <w:pPr>
              <w:spacing w:after="0"/>
              <w:rPr>
                <w:sz w:val="20"/>
                <w:szCs w:val="20"/>
                <w:color w:val="auto"/>
              </w:rPr>
            </w:pPr>
            <w:r>
              <w:rPr>
                <w:rFonts w:ascii="Arial" w:cs="Arial" w:eastAsia="Arial" w:hAnsi="Arial"/>
                <w:sz w:val="18"/>
                <w:szCs w:val="18"/>
                <w:b w:val="1"/>
                <w:bCs w:val="1"/>
                <w:color w:val="auto"/>
              </w:rPr>
              <w:t>Net carrying amount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1383C6"/>
              </w:rPr>
              <w:t>436,382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435,494</w:t>
            </w:r>
          </w:p>
        </w:tc>
      </w:tr>
      <w:tr>
        <w:trPr>
          <w:trHeight w:val="20"/>
        </w:trPr>
        <w:tc>
          <w:tcPr>
            <w:tcW w:w="6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expense for the 2030 Notes for the years ended December 31, 2025, 2024, and 2023 was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Borders>
              <w:bottom w:val="single" w:sz="8" w:color="auto"/>
            </w:tcBorders>
          </w:tcPr>
          <w:p>
            <w:pPr>
              <w:spacing w:after="0"/>
              <w:rPr>
                <w:sz w:val="22"/>
                <w:szCs w:val="22"/>
                <w:color w:val="auto"/>
              </w:rPr>
            </w:pPr>
          </w:p>
        </w:tc>
      </w:tr>
      <w:tr>
        <w:trPr>
          <w:trHeight w:val="265"/>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48"/>
        </w:trPr>
        <w:tc>
          <w:tcPr>
            <w:tcW w:w="5820" w:type="dxa"/>
            <w:vAlign w:val="bottom"/>
          </w:tcPr>
          <w:p>
            <w:pPr>
              <w:spacing w:after="0"/>
              <w:rPr>
                <w:sz w:val="20"/>
                <w:szCs w:val="20"/>
                <w:color w:val="auto"/>
              </w:rPr>
            </w:pPr>
            <w:r>
              <w:rPr>
                <w:rFonts w:ascii="Arial" w:cs="Arial" w:eastAsia="Arial" w:hAnsi="Arial"/>
                <w:sz w:val="18"/>
                <w:szCs w:val="18"/>
                <w:b w:val="1"/>
                <w:bCs w:val="1"/>
                <w:color w:val="auto"/>
              </w:rPr>
              <w:t>Contractual interest expense</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6,064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6,081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3,032</w:t>
            </w:r>
          </w:p>
        </w:tc>
      </w:tr>
      <w:tr>
        <w:trPr>
          <w:trHeight w:val="302"/>
        </w:trPr>
        <w:tc>
          <w:tcPr>
            <w:tcW w:w="5820" w:type="dxa"/>
            <w:vAlign w:val="bottom"/>
          </w:tcPr>
          <w:p>
            <w:pPr>
              <w:spacing w:after="0"/>
              <w:rPr>
                <w:sz w:val="20"/>
                <w:szCs w:val="20"/>
                <w:color w:val="auto"/>
              </w:rPr>
            </w:pPr>
            <w:r>
              <w:rPr>
                <w:rFonts w:ascii="Arial" w:cs="Arial" w:eastAsia="Arial" w:hAnsi="Arial"/>
                <w:sz w:val="18"/>
                <w:szCs w:val="18"/>
                <w:b w:val="1"/>
                <w:bCs w:val="1"/>
                <w:color w:val="auto"/>
              </w:rPr>
              <w:t>Amortization of debt issuance costs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961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w:t>
            </w:r>
          </w:p>
        </w:tc>
      </w:tr>
      <w:tr>
        <w:trPr>
          <w:trHeight w:val="245"/>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interest expense</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7,025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7,031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3,495</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-755015</wp:posOffset>
            </wp:positionV>
            <wp:extent cx="2613025" cy="7747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269">
                      <a:extLst>
                        <a:ext uri="{28A0092B-C50C-407E-A947-70E740481C1C}"/>
                      </a:extLst>
                    </a:blip>
                    <a:srcRect/>
                    <a:stretch>
                      <a:fillRect/>
                    </a:stretch>
                  </pic:blipFill>
                  <pic:spPr bwMode="auto">
                    <a:xfrm>
                      <a:off x="0" y="0"/>
                      <a:ext cx="2613025" cy="774700"/>
                    </a:xfrm>
                    <a:prstGeom prst="rect">
                      <a:avLst/>
                    </a:prstGeom>
                    <a:noFill/>
                  </pic:spPr>
                </pic:pic>
              </a:graphicData>
            </a:graphic>
          </wp:anchor>
        </w:drawing>
      </w:r>
    </w:p>
    <w:p>
      <w:pPr>
        <w:spacing w:after="0" w:line="11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As of December 31, 2025, the estimated fair value (Level 2) of the 2030 Notes was $317.0 million. The fair value of the 2030 Notes is estimated using a binomial lattice model that is primarily affected by the trading price of our common stock, market interest rates and volatility.</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2028 Convertible Senior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31" o:spid="_x0000_s16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27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On February 9, 2021, we entered into an investment agreement with SBN relating to the issuance and sale to SBN of $900.0 million in aggregate principal amount of the 2028 Notes. The 2028 Notes were issued on February 16, 2021 and bore interest at a rate of 1.50% per annum. As discussed above, in June 2023 we completed an exchange of $441.0 million in aggregate principal amount of our 2028 Notes for $441.0 million aggregate principal amount of the 2030 Notes, leaving approximately $459.0 million in aggregate principal amount of 2028 Notes outstanding. Also as discussed above, in November 2024 we completed an exchange of the remaining $459.0 million in aggregate principal amount of the 2028 Notes outstanding for (i) $200.0 million aggregate principal amount of the 2029 Notes, (ii) the Exchange Shares and (iii) $50.0 million of cash. As of December 31, 2024 no amounts were outstanding on the 2028 Notes.</w:t>
      </w:r>
    </w:p>
    <w:p>
      <w:pPr>
        <w:spacing w:after="0" w:line="76" w:lineRule="exact"/>
        <w:rPr>
          <w:sz w:val="20"/>
          <w:szCs w:val="20"/>
          <w:color w:val="auto"/>
        </w:rPr>
      </w:pPr>
    </w:p>
    <w:p>
      <w:pPr>
        <w:jc w:val="both"/>
        <w:ind w:right="680"/>
        <w:spacing w:after="0" w:line="273" w:lineRule="auto"/>
        <w:rPr>
          <w:sz w:val="20"/>
          <w:szCs w:val="20"/>
          <w:color w:val="auto"/>
        </w:rPr>
      </w:pPr>
      <w:r>
        <w:rPr>
          <w:rFonts w:ascii="Arial" w:cs="Arial" w:eastAsia="Arial" w:hAnsi="Arial"/>
          <w:sz w:val="19"/>
          <w:szCs w:val="19"/>
          <w:b w:val="1"/>
          <w:bCs w:val="1"/>
          <w:color w:val="auto"/>
        </w:rPr>
        <w:t>We incurred issuance costs related to the 2028 Notes of approximately $4.5 million, which were recorded as debt issuance costs and are presented as a reduction to the 2028 Notes on our consolidated balance sheets. The debt issuance costs were amortized to interest expense using the effective interest method over the term of the 2028 Notes, resulting in an effective interest rate of 1.6%. In connection with the 2024 Exchange Transaction, the remaining unamortized debt issuance costs related to the 2028 Notes of $1.1 million were extinguished by offsetting the carrying amount of the convertible senior notes.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expense for the 2028 Notes was as follows for the years ended December 31, 2025, 2024, and 2023:</w:t>
      </w:r>
    </w:p>
    <w:p>
      <w:pPr>
        <w:spacing w:after="0" w:line="23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23495</wp:posOffset>
            </wp:positionV>
            <wp:extent cx="2613025" cy="8128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271">
                      <a:extLst>
                        <a:ext uri="{28A0092B-C50C-407E-A947-70E740481C1C}"/>
                      </a:extLst>
                    </a:blip>
                    <a:srcRect/>
                    <a:stretch>
                      <a:fillRect/>
                    </a:stretch>
                  </pic:blipFill>
                  <pic:spPr bwMode="auto">
                    <a:xfrm>
                      <a:off x="0" y="0"/>
                      <a:ext cx="2613025" cy="8128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Contractual interest expense</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ind w:left="780"/>
              <w:spacing w:after="0"/>
              <w:rPr>
                <w:sz w:val="20"/>
                <w:szCs w:val="20"/>
                <w:color w:val="auto"/>
              </w:rPr>
            </w:pPr>
            <w:r>
              <w:rPr>
                <w:rFonts w:ascii="Arial" w:cs="Arial" w:eastAsia="Arial" w:hAnsi="Arial"/>
                <w:sz w:val="18"/>
                <w:szCs w:val="18"/>
                <w:b w:val="1"/>
                <w:bCs w:val="1"/>
                <w:color w:val="1383C6"/>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6,139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10,133</w:t>
            </w:r>
          </w:p>
        </w:tc>
      </w:tr>
      <w:tr>
        <w:trPr>
          <w:trHeight w:val="317"/>
        </w:trPr>
        <w:tc>
          <w:tcPr>
            <w:tcW w:w="5820" w:type="dxa"/>
            <w:vAlign w:val="bottom"/>
          </w:tcPr>
          <w:p>
            <w:pPr>
              <w:spacing w:after="0"/>
              <w:rPr>
                <w:sz w:val="20"/>
                <w:szCs w:val="20"/>
                <w:color w:val="auto"/>
              </w:rPr>
            </w:pPr>
            <w:r>
              <w:rPr>
                <w:rFonts w:ascii="Arial" w:cs="Arial" w:eastAsia="Arial" w:hAnsi="Arial"/>
                <w:sz w:val="18"/>
                <w:szCs w:val="18"/>
                <w:b w:val="1"/>
                <w:bCs w:val="1"/>
                <w:color w:val="auto"/>
              </w:rPr>
              <w:t>Amortization of debt issuance costs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w:t>
            </w:r>
          </w:p>
        </w:tc>
      </w:tr>
      <w:tr>
        <w:trPr>
          <w:trHeight w:val="260"/>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interest expense</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ind w:left="780"/>
              <w:spacing w:after="0"/>
              <w:rPr>
                <w:sz w:val="20"/>
                <w:szCs w:val="20"/>
                <w:color w:val="auto"/>
              </w:rPr>
            </w:pPr>
            <w:r>
              <w:rPr>
                <w:rFonts w:ascii="Arial" w:cs="Arial" w:eastAsia="Arial" w:hAnsi="Arial"/>
                <w:sz w:val="18"/>
                <w:szCs w:val="18"/>
                <w:b w:val="1"/>
                <w:bCs w:val="1"/>
                <w:color w:val="1383C6"/>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6,428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10,605</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1231265</wp:posOffset>
                </wp:positionV>
                <wp:extent cx="7315200" cy="0"/>
                <wp:wrapNone/>
                <wp:docPr id="634" name="Shape 6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4" o:spid="_x0000_s16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6.95pt" to="535pt,9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1231265</wp:posOffset>
                </wp:positionV>
                <wp:extent cx="7315200" cy="0"/>
                <wp:wrapNone/>
                <wp:docPr id="635" name="Shape 6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35" o:spid="_x0000_s16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6.95pt" to="535pt,96.9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27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17" w:name="page118"/>
    <w:bookmarkEnd w:id="11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2444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273">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6. RESTRUCTURING</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2025 Restructuring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38" name="Shape 6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38" o:spid="_x0000_s16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27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8" w:lineRule="auto"/>
        <w:rPr>
          <w:sz w:val="20"/>
          <w:szCs w:val="20"/>
          <w:color w:val="auto"/>
        </w:rPr>
      </w:pPr>
      <w:r>
        <w:rPr>
          <w:rFonts w:ascii="Arial" w:cs="Arial" w:eastAsia="Arial" w:hAnsi="Arial"/>
          <w:sz w:val="19"/>
          <w:szCs w:val="19"/>
          <w:b w:val="1"/>
          <w:bCs w:val="1"/>
          <w:color w:val="auto"/>
        </w:rPr>
        <w:t>During the year ended December 31, 2025, we implemented an expense reduction initiative aimed at lowering our annualized run-rate operating expenses. These actions, which included workforce reductions and other cost-saving measures, were part of a broader strategic shift to prioritize the adoption of HiFi sequencing.</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summary of the pre-tax restructuring charges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107950</wp:posOffset>
            </wp:positionV>
            <wp:extent cx="1450975" cy="927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275">
                      <a:extLst>
                        <a:ext uri="{28A0092B-C50C-407E-A947-70E740481C1C}"/>
                      </a:extLst>
                    </a:blip>
                    <a:srcRect/>
                    <a:stretch>
                      <a:fillRect/>
                    </a:stretch>
                  </pic:blipFill>
                  <pic:spPr bwMode="auto">
                    <a:xfrm>
                      <a:off x="0" y="0"/>
                      <a:ext cx="1450975" cy="927100"/>
                    </a:xfrm>
                    <a:prstGeom prst="rect">
                      <a:avLst/>
                    </a:prstGeom>
                    <a:noFill/>
                  </pic:spPr>
                </pic:pic>
              </a:graphicData>
            </a:graphic>
          </wp:anchor>
        </w:drawing>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jc w:val="right"/>
              <w:ind w:right="550"/>
              <w:spacing w:after="0"/>
              <w:rPr>
                <w:sz w:val="20"/>
                <w:szCs w:val="20"/>
                <w:color w:val="auto"/>
              </w:rPr>
            </w:pPr>
            <w:r>
              <w:rPr>
                <w:rFonts w:ascii="Arial" w:cs="Arial" w:eastAsia="Arial" w:hAnsi="Arial"/>
                <w:sz w:val="18"/>
                <w:szCs w:val="18"/>
                <w:b w:val="1"/>
                <w:bCs w:val="1"/>
                <w:color w:val="1383C6"/>
              </w:rPr>
              <w:t>Year Ended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Cumulative amount</w:t>
            </w:r>
          </w:p>
        </w:tc>
      </w:tr>
      <w:tr>
        <w:trPr>
          <w:trHeight w:val="245"/>
        </w:trPr>
        <w:tc>
          <w:tcPr>
            <w:tcW w:w="52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1383C6"/>
              </w:rPr>
              <w:t>December 31, 2025</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incurred to date</w:t>
            </w:r>
          </w:p>
        </w:tc>
      </w:tr>
      <w:tr>
        <w:trPr>
          <w:trHeight w:val="263"/>
        </w:trPr>
        <w:tc>
          <w:tcPr>
            <w:tcW w:w="5280" w:type="dxa"/>
            <w:vAlign w:val="bottom"/>
          </w:tcPr>
          <w:p>
            <w:pPr>
              <w:spacing w:after="0"/>
              <w:rPr>
                <w:sz w:val="20"/>
                <w:szCs w:val="20"/>
                <w:color w:val="auto"/>
              </w:rPr>
            </w:pPr>
            <w:r>
              <w:rPr>
                <w:rFonts w:ascii="Arial" w:cs="Arial" w:eastAsia="Arial" w:hAnsi="Arial"/>
                <w:sz w:val="18"/>
                <w:szCs w:val="18"/>
                <w:b w:val="1"/>
                <w:bCs w:val="1"/>
                <w:color w:val="auto"/>
              </w:rPr>
              <w:t>Employee separation costs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1383C6"/>
              </w:rPr>
              <w:t>4,787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4,787</w:t>
            </w:r>
          </w:p>
        </w:tc>
      </w:tr>
      <w:tr>
        <w:trPr>
          <w:trHeight w:val="317"/>
        </w:trPr>
        <w:tc>
          <w:tcPr>
            <w:tcW w:w="5280" w:type="dxa"/>
            <w:vAlign w:val="bottom"/>
          </w:tcPr>
          <w:p>
            <w:pPr>
              <w:spacing w:after="0"/>
              <w:rPr>
                <w:sz w:val="20"/>
                <w:szCs w:val="20"/>
                <w:color w:val="auto"/>
              </w:rPr>
            </w:pPr>
            <w:r>
              <w:rPr>
                <w:rFonts w:ascii="Arial" w:cs="Arial" w:eastAsia="Arial" w:hAnsi="Arial"/>
                <w:sz w:val="18"/>
                <w:szCs w:val="18"/>
                <w:b w:val="1"/>
                <w:bCs w:val="1"/>
                <w:color w:val="auto"/>
              </w:rPr>
              <w:t>Other costs</w:t>
            </w: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1,076</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w:t>
            </w:r>
          </w:p>
        </w:tc>
      </w:tr>
      <w:tr>
        <w:trPr>
          <w:trHeight w:val="260"/>
        </w:trPr>
        <w:tc>
          <w:tcPr>
            <w:tcW w:w="5280" w:type="dxa"/>
            <w:vAlign w:val="bottom"/>
          </w:tcPr>
          <w:p>
            <w:pPr>
              <w:ind w:left="240"/>
              <w:spacing w:after="0" w:line="259" w:lineRule="exact"/>
              <w:rPr>
                <w:sz w:val="20"/>
                <w:szCs w:val="20"/>
                <w:color w:val="auto"/>
              </w:rPr>
            </w:pPr>
            <w:r>
              <w:rPr>
                <w:rFonts w:ascii="Arial" w:cs="Arial" w:eastAsia="Arial" w:hAnsi="Arial"/>
                <w:sz w:val="18"/>
                <w:szCs w:val="18"/>
                <w:b w:val="1"/>
                <w:bCs w:val="1"/>
                <w:color w:val="auto"/>
              </w:rPr>
              <w:t xml:space="preserve">Total restructuring charges </w:t>
            </w:r>
            <w:r>
              <w:rPr>
                <w:rFonts w:ascii="Arial" w:cs="Arial" w:eastAsia="Arial" w:hAnsi="Arial"/>
                <w:sz w:val="23"/>
                <w:szCs w:val="23"/>
                <w:b w:val="1"/>
                <w:bCs w:val="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1383C6"/>
              </w:rPr>
              <w:t>5,863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5,863</w:t>
            </w: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4854575</wp:posOffset>
            </wp:positionH>
            <wp:positionV relativeFrom="paragraph">
              <wp:posOffset>-56515</wp:posOffset>
            </wp:positionV>
            <wp:extent cx="1450975" cy="762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276">
                      <a:extLst>
                        <a:ext uri="{28A0092B-C50C-407E-A947-70E740481C1C}"/>
                      </a:extLst>
                    </a:blip>
                    <a:srcRect/>
                    <a:stretch>
                      <a:fillRect/>
                    </a:stretch>
                  </pic:blipFill>
                  <pic:spPr bwMode="auto">
                    <a:xfrm>
                      <a:off x="0" y="0"/>
                      <a:ext cx="1450975" cy="76200"/>
                    </a:xfrm>
                    <a:prstGeom prst="rect">
                      <a:avLst/>
                    </a:prstGeom>
                    <a:noFill/>
                  </pic:spPr>
                </pic:pic>
              </a:graphicData>
            </a:graphic>
          </wp:anchor>
        </w:drawing>
      </w:r>
    </w:p>
    <w:p>
      <w:pPr>
        <w:spacing w:after="0" w:line="122" w:lineRule="exact"/>
        <w:rPr>
          <w:sz w:val="20"/>
          <w:szCs w:val="20"/>
          <w:color w:val="auto"/>
        </w:rPr>
      </w:pPr>
    </w:p>
    <w:p>
      <w:pPr>
        <w:ind w:left="620" w:right="700" w:hanging="180"/>
        <w:spacing w:after="0" w:line="227" w:lineRule="auto"/>
        <w:tabs>
          <w:tab w:leader="none" w:pos="616" w:val="left"/>
        </w:tabs>
        <w:numPr>
          <w:ilvl w:val="0"/>
          <w:numId w:val="39"/>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Cumulative charges incurred to date include $3.8 million in sales, general and administrative expense and $2.1 million in research and development expense.</w:t>
      </w:r>
    </w:p>
    <w:p>
      <w:pPr>
        <w:spacing w:after="0" w:line="150" w:lineRule="exact"/>
        <w:rPr>
          <w:sz w:val="20"/>
          <w:szCs w:val="20"/>
          <w:color w:val="auto"/>
        </w:rPr>
      </w:pPr>
    </w:p>
    <w:p>
      <w:pPr>
        <w:jc w:val="both"/>
        <w:ind w:right="700"/>
        <w:spacing w:after="0" w:line="288" w:lineRule="auto"/>
        <w:rPr>
          <w:sz w:val="20"/>
          <w:szCs w:val="20"/>
          <w:color w:val="auto"/>
        </w:rPr>
      </w:pPr>
      <w:r>
        <w:rPr>
          <w:rFonts w:ascii="Arial" w:cs="Arial" w:eastAsia="Arial" w:hAnsi="Arial"/>
          <w:sz w:val="19"/>
          <w:szCs w:val="19"/>
          <w:b w:val="1"/>
          <w:bCs w:val="1"/>
          <w:color w:val="auto"/>
        </w:rPr>
        <w:t>Charges included employee separation costs comprised of approximately $2.5 million related to salaries, wages and other employee benefits paid to terminated employees pursuant to the Worker Adjustment and Retraining Notification ("WARN") Act and approximately $2.3 million of severance costs.</w:t>
      </w:r>
    </w:p>
    <w:p>
      <w:pPr>
        <w:spacing w:after="0" w:line="53"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Charges included in other costs are primarily related to legal expenses incurred in connection with employee separation matters.</w:t>
      </w:r>
    </w:p>
    <w:p>
      <w:pPr>
        <w:spacing w:after="0" w:line="54" w:lineRule="exact"/>
        <w:rPr>
          <w:sz w:val="20"/>
          <w:szCs w:val="20"/>
          <w:color w:val="auto"/>
        </w:rPr>
      </w:pPr>
    </w:p>
    <w:p>
      <w:pPr>
        <w:jc w:val="both"/>
        <w:ind w:right="680"/>
        <w:spacing w:after="0" w:line="271" w:lineRule="auto"/>
        <w:rPr>
          <w:sz w:val="20"/>
          <w:szCs w:val="20"/>
          <w:color w:val="auto"/>
        </w:rPr>
      </w:pPr>
      <w:r>
        <w:rPr>
          <w:rFonts w:ascii="Arial" w:cs="Arial" w:eastAsia="Arial" w:hAnsi="Arial"/>
          <w:sz w:val="19"/>
          <w:szCs w:val="19"/>
          <w:b w:val="1"/>
          <w:bCs w:val="1"/>
          <w:color w:val="auto"/>
        </w:rPr>
        <w:t xml:space="preserve">In connection with the restructuring and strategic shift, we incurred an additional $389.9 million in costs. These primarily include $359.3 million of accelerated amortization of certain intangible assets, $15.0 million of IPR&amp;D impairment charges, charges of $8.1 million related to excess inventory due to decreased external demand, $3.9 million for estimated losses on purchase commitments tied to anticipated future excess inventory included in cost of revenue, and $3.1 million of accelerated depreciation of fixed assets. See </w:t>
      </w:r>
      <w:r>
        <w:rPr>
          <w:rFonts w:ascii="Arial" w:cs="Arial" w:eastAsia="Arial" w:hAnsi="Arial"/>
          <w:sz w:val="19"/>
          <w:szCs w:val="19"/>
          <w:b w:val="1"/>
          <w:bCs w:val="1"/>
          <w:i w:val="1"/>
          <w:iCs w:val="1"/>
          <w:u w:val="single" w:color="auto"/>
          <w:color w:val="0000FF"/>
        </w:rPr>
        <w:t>Note 4. Balance Sheet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u w:val="single" w:color="auto"/>
          <w:color w:val="0000FF"/>
        </w:rPr>
        <w:t>Components</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for additional information on the IPR&amp;D impairment assessment and the change in estimated</w:t>
      </w:r>
      <w:r>
        <w:rPr>
          <w:rFonts w:ascii="Arial" w:cs="Arial" w:eastAsia="Arial" w:hAnsi="Arial"/>
          <w:sz w:val="19"/>
          <w:szCs w:val="19"/>
          <w:b w:val="1"/>
          <w:bCs w:val="1"/>
          <w:i w:val="1"/>
          <w:iCs w:val="1"/>
          <w:color w:val="0000FF"/>
        </w:rPr>
        <w:t xml:space="preserve"> </w:t>
      </w:r>
      <w:r>
        <w:rPr>
          <w:rFonts w:ascii="Arial" w:cs="Arial" w:eastAsia="Arial" w:hAnsi="Arial"/>
          <w:sz w:val="19"/>
          <w:szCs w:val="19"/>
          <w:b w:val="1"/>
          <w:bCs w:val="1"/>
          <w:color w:val="000000"/>
        </w:rPr>
        <w:t>useful life of the intangible asset and accelerated amortization.</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summary of the liabilities related to the restructuring is as follows:</w:t>
      </w:r>
    </w:p>
    <w:p>
      <w:pPr>
        <w:spacing w:after="0" w:line="16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Employee</w:t>
      </w:r>
    </w:p>
    <w:tbl>
      <w:tblPr>
        <w:tblLayout w:type="fixed"/>
        <w:tblInd w:w="4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excluding non-cash activities)</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Separation Costs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8"/>
                <w:szCs w:val="18"/>
                <w:b w:val="1"/>
                <w:bCs w:val="1"/>
                <w:color w:val="auto"/>
                <w:w w:val="98"/>
              </w:rPr>
              <w:t>Other Costs</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9"/>
        </w:trPr>
        <w:tc>
          <w:tcPr>
            <w:tcW w:w="4700" w:type="dxa"/>
            <w:vAlign w:val="bottom"/>
          </w:tcPr>
          <w:p>
            <w:pPr>
              <w:spacing w:after="0"/>
              <w:rPr>
                <w:sz w:val="20"/>
                <w:szCs w:val="20"/>
                <w:color w:val="auto"/>
              </w:rPr>
            </w:pPr>
            <w:r>
              <w:rPr>
                <w:rFonts w:ascii="Arial" w:cs="Arial" w:eastAsia="Arial" w:hAnsi="Arial"/>
                <w:sz w:val="18"/>
                <w:szCs w:val="18"/>
                <w:b w:val="1"/>
                <w:bCs w:val="1"/>
                <w:color w:val="auto"/>
              </w:rPr>
              <w:t>Expense recorded in YTD 2025</w:t>
            </w:r>
          </w:p>
        </w:tc>
        <w:tc>
          <w:tcPr>
            <w:tcW w:w="560" w:type="dxa"/>
            <w:vAlign w:val="bottom"/>
          </w:tcPr>
          <w:p>
            <w:pPr>
              <w:jc w:val="right"/>
              <w:ind w:right="283"/>
              <w:spacing w:after="0"/>
              <w:rPr>
                <w:sz w:val="20"/>
                <w:szCs w:val="20"/>
                <w:color w:val="auto"/>
              </w:rPr>
            </w:pPr>
            <w:r>
              <w:rPr>
                <w:rFonts w:ascii="Arial" w:cs="Arial" w:eastAsia="Arial" w:hAnsi="Arial"/>
                <w:sz w:val="20"/>
                <w:szCs w:val="20"/>
                <w:b w:val="1"/>
                <w:bCs w:val="1"/>
                <w:color w:val="1383C6"/>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1383C6"/>
              </w:rPr>
              <w:t>4,787</w:t>
            </w:r>
          </w:p>
        </w:tc>
        <w:tc>
          <w:tcPr>
            <w:tcW w:w="400" w:type="dxa"/>
            <w:vAlign w:val="bottom"/>
            <w:gridSpan w:val="2"/>
          </w:tcPr>
          <w:p>
            <w:pPr>
              <w:jc w:val="right"/>
              <w:spacing w:after="0"/>
              <w:rPr>
                <w:sz w:val="20"/>
                <w:szCs w:val="20"/>
                <w:color w:val="auto"/>
              </w:rPr>
            </w:pPr>
            <w:r>
              <w:rPr>
                <w:rFonts w:ascii="Arial" w:cs="Arial" w:eastAsia="Arial" w:hAnsi="Arial"/>
                <w:sz w:val="20"/>
                <w:szCs w:val="20"/>
                <w:b w:val="1"/>
                <w:bCs w:val="1"/>
                <w:color w:val="1383C6"/>
              </w:rPr>
              <w:t>$</w:t>
            </w:r>
          </w:p>
        </w:tc>
        <w:tc>
          <w:tcPr>
            <w:tcW w:w="1360" w:type="dxa"/>
            <w:vAlign w:val="bottom"/>
          </w:tcPr>
          <w:p>
            <w:pPr>
              <w:jc w:val="right"/>
              <w:spacing w:after="0"/>
              <w:rPr>
                <w:sz w:val="20"/>
                <w:szCs w:val="20"/>
                <w:color w:val="auto"/>
              </w:rPr>
            </w:pPr>
            <w:r>
              <w:rPr>
                <w:rFonts w:ascii="Arial" w:cs="Arial" w:eastAsia="Arial" w:hAnsi="Arial"/>
                <w:sz w:val="20"/>
                <w:szCs w:val="20"/>
                <w:b w:val="1"/>
                <w:bCs w:val="1"/>
                <w:color w:val="1383C6"/>
              </w:rPr>
              <w:t>1,076</w:t>
            </w:r>
          </w:p>
        </w:tc>
        <w:tc>
          <w:tcPr>
            <w:tcW w:w="5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1383C6"/>
              </w:rPr>
              <w:t>$</w:t>
            </w:r>
          </w:p>
        </w:tc>
        <w:tc>
          <w:tcPr>
            <w:tcW w:w="1240" w:type="dxa"/>
            <w:vAlign w:val="bottom"/>
          </w:tcPr>
          <w:p>
            <w:pPr>
              <w:jc w:val="right"/>
              <w:ind w:right="2"/>
              <w:spacing w:after="0"/>
              <w:rPr>
                <w:sz w:val="20"/>
                <w:szCs w:val="20"/>
                <w:color w:val="auto"/>
              </w:rPr>
            </w:pPr>
            <w:r>
              <w:rPr>
                <w:rFonts w:ascii="Arial" w:cs="Arial" w:eastAsia="Arial" w:hAnsi="Arial"/>
                <w:sz w:val="20"/>
                <w:szCs w:val="20"/>
                <w:b w:val="1"/>
                <w:bCs w:val="1"/>
                <w:color w:val="1383C6"/>
              </w:rPr>
              <w:t>5,863</w:t>
            </w:r>
          </w:p>
        </w:tc>
        <w:tc>
          <w:tcPr>
            <w:tcW w:w="0" w:type="dxa"/>
            <w:vAlign w:val="bottom"/>
          </w:tcPr>
          <w:p>
            <w:pPr>
              <w:spacing w:after="0"/>
              <w:rPr>
                <w:sz w:val="1"/>
                <w:szCs w:val="1"/>
                <w:color w:val="auto"/>
              </w:rPr>
            </w:pPr>
          </w:p>
        </w:tc>
      </w:tr>
      <w:tr>
        <w:trPr>
          <w:trHeight w:val="331"/>
        </w:trPr>
        <w:tc>
          <w:tcPr>
            <w:tcW w:w="4700" w:type="dxa"/>
            <w:vAlign w:val="bottom"/>
          </w:tcPr>
          <w:p>
            <w:pPr>
              <w:spacing w:after="0"/>
              <w:rPr>
                <w:sz w:val="20"/>
                <w:szCs w:val="20"/>
                <w:color w:val="auto"/>
              </w:rPr>
            </w:pPr>
            <w:r>
              <w:rPr>
                <w:rFonts w:ascii="Arial" w:cs="Arial" w:eastAsia="Arial" w:hAnsi="Arial"/>
                <w:sz w:val="18"/>
                <w:szCs w:val="18"/>
                <w:b w:val="1"/>
                <w:bCs w:val="1"/>
                <w:color w:val="auto"/>
              </w:rPr>
              <w:t>Cash paid during YTD 2025</w:t>
            </w: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1383C6"/>
              </w:rPr>
              <w:t>(4,787)</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1383C6"/>
              </w:rPr>
              <w:t>(687)</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1383C6"/>
              </w:rPr>
              <w:t>(5,474)</w:t>
            </w: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b w:val="1"/>
                <w:bCs w:val="1"/>
                <w:color w:val="auto"/>
              </w:rPr>
              <w:t>Amount recorded in current liabilities</w:t>
            </w:r>
          </w:p>
        </w:tc>
        <w:tc>
          <w:tcPr>
            <w:tcW w:w="560" w:type="dxa"/>
            <w:vAlign w:val="bottom"/>
            <w:vMerge w:val="restart"/>
          </w:tcPr>
          <w:p>
            <w:pPr>
              <w:jc w:val="right"/>
              <w:ind w:right="283"/>
              <w:spacing w:after="0"/>
              <w:rPr>
                <w:sz w:val="20"/>
                <w:szCs w:val="20"/>
                <w:color w:val="auto"/>
              </w:rPr>
            </w:pPr>
            <w:r>
              <w:rPr>
                <w:rFonts w:ascii="Arial" w:cs="Arial" w:eastAsia="Arial" w:hAnsi="Arial"/>
                <w:sz w:val="20"/>
                <w:szCs w:val="20"/>
                <w:b w:val="1"/>
                <w:bCs w:val="1"/>
                <w:color w:val="1383C6"/>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b w:val="1"/>
                <w:bCs w:val="1"/>
                <w:color w:val="1383C6"/>
              </w:rPr>
              <w:t>—</w:t>
            </w:r>
          </w:p>
        </w:tc>
        <w:tc>
          <w:tcPr>
            <w:tcW w:w="160" w:type="dxa"/>
            <w:vAlign w:val="bottom"/>
            <w:vMerge w:val="restart"/>
          </w:tcPr>
          <w:p>
            <w:pPr>
              <w:spacing w:after="0"/>
              <w:rPr>
                <w:sz w:val="18"/>
                <w:szCs w:val="18"/>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b w:val="1"/>
                <w:bCs w:val="1"/>
                <w:color w:val="1383C6"/>
              </w:rPr>
              <w:t>$</w:t>
            </w:r>
          </w:p>
        </w:tc>
        <w:tc>
          <w:tcPr>
            <w:tcW w:w="1360" w:type="dxa"/>
            <w:vAlign w:val="bottom"/>
            <w:vMerge w:val="restart"/>
          </w:tcPr>
          <w:p>
            <w:pPr>
              <w:jc w:val="right"/>
              <w:spacing w:after="0"/>
              <w:rPr>
                <w:sz w:val="20"/>
                <w:szCs w:val="20"/>
                <w:color w:val="auto"/>
              </w:rPr>
            </w:pPr>
            <w:r>
              <w:rPr>
                <w:rFonts w:ascii="Arial" w:cs="Arial" w:eastAsia="Arial" w:hAnsi="Arial"/>
                <w:sz w:val="20"/>
                <w:szCs w:val="20"/>
                <w:b w:val="1"/>
                <w:bCs w:val="1"/>
                <w:color w:val="1383C6"/>
              </w:rPr>
              <w:t>389</w:t>
            </w:r>
          </w:p>
        </w:tc>
        <w:tc>
          <w:tcPr>
            <w:tcW w:w="160" w:type="dxa"/>
            <w:vAlign w:val="bottom"/>
            <w:vMerge w:val="restart"/>
          </w:tcPr>
          <w:p>
            <w:pPr>
              <w:spacing w:after="0"/>
              <w:rPr>
                <w:sz w:val="18"/>
                <w:szCs w:val="18"/>
                <w:color w:val="auto"/>
              </w:rPr>
            </w:pPr>
          </w:p>
        </w:tc>
        <w:tc>
          <w:tcPr>
            <w:tcW w:w="38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1383C6"/>
              </w:rPr>
              <w:t>$</w:t>
            </w:r>
          </w:p>
        </w:tc>
        <w:tc>
          <w:tcPr>
            <w:tcW w:w="1240" w:type="dxa"/>
            <w:vAlign w:val="bottom"/>
            <w:vMerge w:val="restart"/>
          </w:tcPr>
          <w:p>
            <w:pPr>
              <w:jc w:val="right"/>
              <w:ind w:right="2"/>
              <w:spacing w:after="0"/>
              <w:rPr>
                <w:sz w:val="20"/>
                <w:szCs w:val="20"/>
                <w:color w:val="auto"/>
              </w:rPr>
            </w:pPr>
            <w:r>
              <w:rPr>
                <w:rFonts w:ascii="Arial" w:cs="Arial" w:eastAsia="Arial" w:hAnsi="Arial"/>
                <w:sz w:val="20"/>
                <w:szCs w:val="20"/>
                <w:b w:val="1"/>
                <w:bCs w:val="1"/>
                <w:color w:val="1383C6"/>
              </w:rPr>
              <w:t>389</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color w:val="auto"/>
              </w:rPr>
              <w:t>as of December 31, 2025</w:t>
            </w:r>
          </w:p>
        </w:tc>
        <w:tc>
          <w:tcPr>
            <w:tcW w:w="56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4700" w:type="dxa"/>
            <w:vAlign w:val="bottom"/>
          </w:tcPr>
          <w:p>
            <w:pPr>
              <w:spacing w:after="0"/>
              <w:rPr>
                <w:sz w:val="20"/>
                <w:szCs w:val="20"/>
                <w:color w:val="auto"/>
              </w:rPr>
            </w:pPr>
            <w:r>
              <w:rPr>
                <w:rFonts w:ascii="Arial" w:cs="Arial" w:eastAsia="Arial" w:hAnsi="Arial"/>
                <w:sz w:val="18"/>
                <w:szCs w:val="18"/>
                <w:b w:val="1"/>
                <w:bCs w:val="1"/>
                <w:color w:val="auto"/>
              </w:rPr>
              <w:t>Estimated total restructuring costs to still be incurred</w:t>
            </w:r>
          </w:p>
        </w:tc>
        <w:tc>
          <w:tcPr>
            <w:tcW w:w="560" w:type="dxa"/>
            <w:vAlign w:val="bottom"/>
          </w:tcPr>
          <w:p>
            <w:pPr>
              <w:jc w:val="right"/>
              <w:ind w:right="283"/>
              <w:spacing w:after="0"/>
              <w:rPr>
                <w:sz w:val="20"/>
                <w:szCs w:val="20"/>
                <w:color w:val="auto"/>
              </w:rPr>
            </w:pPr>
            <w:r>
              <w:rPr>
                <w:rFonts w:ascii="Arial" w:cs="Arial" w:eastAsia="Arial" w:hAnsi="Arial"/>
                <w:sz w:val="20"/>
                <w:szCs w:val="20"/>
                <w:b w:val="1"/>
                <w:bCs w:val="1"/>
                <w:color w:val="1383C6"/>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1383C6"/>
              </w:rPr>
              <w:t>—</w:t>
            </w:r>
          </w:p>
        </w:tc>
        <w:tc>
          <w:tcPr>
            <w:tcW w:w="400" w:type="dxa"/>
            <w:vAlign w:val="bottom"/>
            <w:gridSpan w:val="2"/>
          </w:tcPr>
          <w:p>
            <w:pPr>
              <w:jc w:val="right"/>
              <w:spacing w:after="0"/>
              <w:rPr>
                <w:sz w:val="20"/>
                <w:szCs w:val="20"/>
                <w:color w:val="auto"/>
              </w:rPr>
            </w:pPr>
            <w:r>
              <w:rPr>
                <w:rFonts w:ascii="Arial" w:cs="Arial" w:eastAsia="Arial" w:hAnsi="Arial"/>
                <w:sz w:val="20"/>
                <w:szCs w:val="20"/>
                <w:b w:val="1"/>
                <w:bCs w:val="1"/>
                <w:color w:val="1383C6"/>
              </w:rPr>
              <w:t>$</w:t>
            </w:r>
          </w:p>
        </w:tc>
        <w:tc>
          <w:tcPr>
            <w:tcW w:w="1360" w:type="dxa"/>
            <w:vAlign w:val="bottom"/>
          </w:tcPr>
          <w:p>
            <w:pPr>
              <w:jc w:val="right"/>
              <w:spacing w:after="0"/>
              <w:rPr>
                <w:sz w:val="20"/>
                <w:szCs w:val="20"/>
                <w:color w:val="auto"/>
              </w:rPr>
            </w:pPr>
            <w:r>
              <w:rPr>
                <w:rFonts w:ascii="Arial" w:cs="Arial" w:eastAsia="Arial" w:hAnsi="Arial"/>
                <w:sz w:val="20"/>
                <w:szCs w:val="20"/>
                <w:b w:val="1"/>
                <w:bCs w:val="1"/>
                <w:color w:val="1383C6"/>
              </w:rPr>
              <w:t>—</w:t>
            </w:r>
          </w:p>
        </w:tc>
        <w:tc>
          <w:tcPr>
            <w:tcW w:w="5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1383C6"/>
              </w:rPr>
              <w:t>$</w:t>
            </w:r>
          </w:p>
        </w:tc>
        <w:tc>
          <w:tcPr>
            <w:tcW w:w="1240" w:type="dxa"/>
            <w:vAlign w:val="bottom"/>
          </w:tcPr>
          <w:p>
            <w:pPr>
              <w:jc w:val="right"/>
              <w:ind w:right="2"/>
              <w:spacing w:after="0"/>
              <w:rPr>
                <w:sz w:val="20"/>
                <w:szCs w:val="20"/>
                <w:color w:val="auto"/>
              </w:rPr>
            </w:pPr>
            <w:r>
              <w:rPr>
                <w:rFonts w:ascii="Arial" w:cs="Arial" w:eastAsia="Arial" w:hAnsi="Arial"/>
                <w:sz w:val="20"/>
                <w:szCs w:val="20"/>
                <w:b w:val="1"/>
                <w:bCs w:val="1"/>
                <w:color w:val="1383C6"/>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-1097915</wp:posOffset>
            </wp:positionV>
            <wp:extent cx="3317875" cy="11176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277">
                      <a:extLst>
                        <a:ext uri="{28A0092B-C50C-407E-A947-70E740481C1C}"/>
                      </a:extLst>
                    </a:blip>
                    <a:srcRect/>
                    <a:stretch>
                      <a:fillRect/>
                    </a:stretch>
                  </pic:blipFill>
                  <pic:spPr bwMode="auto">
                    <a:xfrm>
                      <a:off x="0" y="0"/>
                      <a:ext cx="3317875" cy="11176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-520700</wp:posOffset>
                </wp:positionH>
                <wp:positionV relativeFrom="paragraph">
                  <wp:posOffset>2568575</wp:posOffset>
                </wp:positionV>
                <wp:extent cx="7315200" cy="0"/>
                <wp:wrapNone/>
                <wp:docPr id="643" name="Shape 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3" o:spid="_x0000_s16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02.25pt" to="535pt,202.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2568575</wp:posOffset>
                </wp:positionV>
                <wp:extent cx="7315200" cy="0"/>
                <wp:wrapNone/>
                <wp:docPr id="644" name="Shape 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44" o:spid="_x0000_s16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02.25pt" to="535pt,202.2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27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2024 Restructuring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46" name="Shape 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46" o:spid="_x0000_s16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27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During the year ended December 31, 2024, we implemented an expense reduction initiative that included workforce reductions, the closing of our San Diego office, and other actions to reduce annualized run-rate operating expenses.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summary of the pre-tax restructuring charges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107950</wp:posOffset>
            </wp:positionV>
            <wp:extent cx="1450975" cy="927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280">
                      <a:extLst>
                        <a:ext uri="{28A0092B-C50C-407E-A947-70E740481C1C}"/>
                      </a:extLst>
                    </a:blip>
                    <a:srcRect/>
                    <a:stretch>
                      <a:fillRect/>
                    </a:stretch>
                  </pic:blipFill>
                  <pic:spPr bwMode="auto">
                    <a:xfrm>
                      <a:off x="0" y="0"/>
                      <a:ext cx="1450975" cy="927100"/>
                    </a:xfrm>
                    <a:prstGeom prst="rect">
                      <a:avLst/>
                    </a:prstGeom>
                    <a:noFill/>
                  </pic:spPr>
                </pic:pic>
              </a:graphicData>
            </a:graphic>
          </wp:anchor>
        </w:drawing>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7"/>
                <w:szCs w:val="17"/>
                <w:color w:val="auto"/>
              </w:rPr>
            </w:pPr>
          </w:p>
        </w:tc>
        <w:tc>
          <w:tcPr>
            <w:tcW w:w="1980" w:type="dxa"/>
            <w:vAlign w:val="bottom"/>
          </w:tcPr>
          <w:p>
            <w:pPr>
              <w:jc w:val="right"/>
              <w:ind w:right="550"/>
              <w:spacing w:after="0"/>
              <w:rPr>
                <w:sz w:val="20"/>
                <w:szCs w:val="20"/>
                <w:color w:val="auto"/>
              </w:rPr>
            </w:pPr>
            <w:r>
              <w:rPr>
                <w:rFonts w:ascii="Arial" w:cs="Arial" w:eastAsia="Arial" w:hAnsi="Arial"/>
                <w:sz w:val="18"/>
                <w:szCs w:val="18"/>
                <w:b w:val="1"/>
                <w:bCs w:val="1"/>
                <w:color w:val="1383C6"/>
              </w:rPr>
              <w:t>Year Ended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Cumulative amount</w:t>
            </w:r>
          </w:p>
        </w:tc>
        <w:tc>
          <w:tcPr>
            <w:tcW w:w="0" w:type="dxa"/>
            <w:vAlign w:val="bottom"/>
          </w:tcPr>
          <w:p>
            <w:pPr>
              <w:spacing w:after="0"/>
              <w:rPr>
                <w:sz w:val="1"/>
                <w:szCs w:val="1"/>
                <w:color w:val="auto"/>
              </w:rPr>
            </w:pPr>
          </w:p>
        </w:tc>
      </w:tr>
      <w:tr>
        <w:trPr>
          <w:trHeight w:val="245"/>
        </w:trPr>
        <w:tc>
          <w:tcPr>
            <w:tcW w:w="528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1383C6"/>
              </w:rPr>
              <w:t>December 31, 2025</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incurred to date</w:t>
            </w: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0"/>
                <w:szCs w:val="20"/>
                <w:color w:val="auto"/>
              </w:rPr>
            </w:pPr>
            <w:r>
              <w:rPr>
                <w:rFonts w:ascii="Arial" w:cs="Arial" w:eastAsia="Arial" w:hAnsi="Arial"/>
                <w:sz w:val="18"/>
                <w:szCs w:val="18"/>
                <w:b w:val="1"/>
                <w:bCs w:val="1"/>
                <w:color w:val="auto"/>
              </w:rPr>
              <w:t>Employee separation costs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10,008</w:t>
            </w:r>
          </w:p>
        </w:tc>
        <w:tc>
          <w:tcPr>
            <w:tcW w:w="0" w:type="dxa"/>
            <w:vAlign w:val="bottom"/>
          </w:tcPr>
          <w:p>
            <w:pPr>
              <w:spacing w:after="0"/>
              <w:rPr>
                <w:sz w:val="1"/>
                <w:szCs w:val="1"/>
                <w:color w:val="auto"/>
              </w:rPr>
            </w:pPr>
          </w:p>
        </w:tc>
      </w:tr>
      <w:tr>
        <w:trPr>
          <w:trHeight w:val="317"/>
        </w:trPr>
        <w:tc>
          <w:tcPr>
            <w:tcW w:w="5280" w:type="dxa"/>
            <w:vAlign w:val="bottom"/>
          </w:tcPr>
          <w:p>
            <w:pPr>
              <w:spacing w:after="0"/>
              <w:rPr>
                <w:sz w:val="20"/>
                <w:szCs w:val="20"/>
                <w:color w:val="auto"/>
              </w:rPr>
            </w:pPr>
            <w:r>
              <w:rPr>
                <w:rFonts w:ascii="Arial" w:cs="Arial" w:eastAsia="Arial" w:hAnsi="Arial"/>
                <w:sz w:val="18"/>
                <w:szCs w:val="18"/>
                <w:b w:val="1"/>
                <w:bCs w:val="1"/>
                <w:color w:val="auto"/>
              </w:rPr>
              <w:t>Other costs</w:t>
            </w: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888</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16,102</w:t>
            </w:r>
          </w:p>
        </w:tc>
        <w:tc>
          <w:tcPr>
            <w:tcW w:w="0" w:type="dxa"/>
            <w:vAlign w:val="bottom"/>
          </w:tcPr>
          <w:p>
            <w:pPr>
              <w:spacing w:after="0"/>
              <w:rPr>
                <w:sz w:val="1"/>
                <w:szCs w:val="1"/>
                <w:color w:val="auto"/>
              </w:rPr>
            </w:pPr>
          </w:p>
        </w:tc>
      </w:tr>
      <w:tr>
        <w:trPr>
          <w:trHeight w:val="260"/>
        </w:trPr>
        <w:tc>
          <w:tcPr>
            <w:tcW w:w="5280" w:type="dxa"/>
            <w:vAlign w:val="bottom"/>
          </w:tcPr>
          <w:p>
            <w:pPr>
              <w:ind w:left="240"/>
              <w:spacing w:after="0" w:line="259" w:lineRule="exact"/>
              <w:rPr>
                <w:sz w:val="20"/>
                <w:szCs w:val="20"/>
                <w:color w:val="auto"/>
              </w:rPr>
            </w:pPr>
            <w:r>
              <w:rPr>
                <w:rFonts w:ascii="Arial" w:cs="Arial" w:eastAsia="Arial" w:hAnsi="Arial"/>
                <w:sz w:val="18"/>
                <w:szCs w:val="18"/>
                <w:b w:val="1"/>
                <w:bCs w:val="1"/>
                <w:color w:val="auto"/>
              </w:rPr>
              <w:t>Total restructuring charges</w:t>
            </w:r>
            <w:r>
              <w:rPr>
                <w:rFonts w:ascii="Arial" w:cs="Arial" w:eastAsia="Arial" w:hAnsi="Arial"/>
                <w:sz w:val="23"/>
                <w:szCs w:val="23"/>
                <w:b w:val="1"/>
                <w:bCs w:val="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1383C6"/>
              </w:rPr>
              <w:t>888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26,110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4854575</wp:posOffset>
            </wp:positionH>
            <wp:positionV relativeFrom="paragraph">
              <wp:posOffset>-56515</wp:posOffset>
            </wp:positionV>
            <wp:extent cx="1450975" cy="762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281">
                      <a:extLst>
                        <a:ext uri="{28A0092B-C50C-407E-A947-70E740481C1C}"/>
                      </a:extLst>
                    </a:blip>
                    <a:srcRect/>
                    <a:stretch>
                      <a:fillRect/>
                    </a:stretch>
                  </pic:blipFill>
                  <pic:spPr bwMode="auto">
                    <a:xfrm>
                      <a:off x="0" y="0"/>
                      <a:ext cx="1450975" cy="76200"/>
                    </a:xfrm>
                    <a:prstGeom prst="rect">
                      <a:avLst/>
                    </a:prstGeom>
                    <a:noFill/>
                  </pic:spPr>
                </pic:pic>
              </a:graphicData>
            </a:graphic>
          </wp:anchor>
        </w:drawing>
      </w:r>
    </w:p>
    <w:p>
      <w:pPr>
        <w:spacing w:after="0" w:line="122" w:lineRule="exact"/>
        <w:rPr>
          <w:sz w:val="20"/>
          <w:szCs w:val="20"/>
          <w:color w:val="auto"/>
        </w:rPr>
      </w:pPr>
    </w:p>
    <w:p>
      <w:pPr>
        <w:ind w:left="620" w:right="700" w:hanging="180"/>
        <w:spacing w:after="0"/>
        <w:tabs>
          <w:tab w:leader="none" w:pos="610" w:val="left"/>
        </w:tabs>
        <w:numPr>
          <w:ilvl w:val="0"/>
          <w:numId w:val="40"/>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Cumulative charges incurred to date include $15.8 million in sales, general and administrative expense; $5.9 million in research and development expense; and $4.4 million in cost of revenue.</w:t>
      </w:r>
    </w:p>
    <w:p>
      <w:pPr>
        <w:spacing w:after="0" w:line="15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Cumulative charges incurred to date include employee separation costs comprised of approximately $5.5 million related to salaries, wages and other employee benefits paid to terminated employees pursuant to the WARN Act and approximately $4.5 million of severance costs.</w:t>
      </w:r>
    </w:p>
    <w:p>
      <w:pPr>
        <w:spacing w:after="0" w:line="70" w:lineRule="exact"/>
        <w:rPr>
          <w:sz w:val="20"/>
          <w:szCs w:val="20"/>
          <w:color w:val="auto"/>
        </w:rPr>
      </w:pPr>
    </w:p>
    <w:p>
      <w:pPr>
        <w:jc w:val="both"/>
        <w:ind w:right="680"/>
        <w:spacing w:after="0" w:line="268" w:lineRule="auto"/>
        <w:rPr>
          <w:sz w:val="20"/>
          <w:szCs w:val="20"/>
          <w:color w:val="auto"/>
        </w:rPr>
      </w:pPr>
      <w:r>
        <w:rPr>
          <w:rFonts w:ascii="Arial" w:cs="Arial" w:eastAsia="Arial" w:hAnsi="Arial"/>
          <w:sz w:val="19"/>
          <w:szCs w:val="19"/>
          <w:b w:val="1"/>
          <w:bCs w:val="1"/>
          <w:color w:val="auto"/>
        </w:rPr>
        <w:t>Other costs in cumulative charges incurred to date are primarily related to accelerated amortization and depreciation of $8.1 million for the right-of-use asset, leasehold improvements, and furniture and fixtures relating to the abandonment of the San Diego office. We also incurred cumulative charges to date for excess inventory of $3.6 million primarily relating to a decrease in internal demand resulting from the expense reduction initiatives which were recognized in cost of product revenues. The accelerated amortization and depreciation, which was recognized in sales, general and administrative expense, was determined as a result of the Company's change in estimate pertaining to its remaining useful life of the San Diego office utilizing the estimated date on which it planned to abandon the San Diego office. The lease liability pertaining to the San Diego office was also remeasured during the year ended December 31, 2024 resulting in a reduction in the operating lease liability balance of $4.4 million, which was offset against the right-of-use asset on our consolidated balance sheets. We exited our San Diego office in September 2024.</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summary of the liabilities related to the restructuring is as 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64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Other Costs</w:t>
            </w:r>
          </w:p>
        </w:tc>
        <w:tc>
          <w:tcPr>
            <w:tcW w:w="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63"/>
        </w:trPr>
        <w:tc>
          <w:tcPr>
            <w:tcW w:w="6480" w:type="dxa"/>
            <w:vAlign w:val="bottom"/>
          </w:tcPr>
          <w:p>
            <w:pPr>
              <w:spacing w:after="0"/>
              <w:rPr>
                <w:sz w:val="20"/>
                <w:szCs w:val="20"/>
                <w:color w:val="auto"/>
              </w:rPr>
            </w:pPr>
            <w:r>
              <w:rPr>
                <w:rFonts w:ascii="Arial" w:cs="Arial" w:eastAsia="Arial" w:hAnsi="Arial"/>
                <w:sz w:val="18"/>
                <w:szCs w:val="18"/>
                <w:b w:val="1"/>
                <w:bCs w:val="1"/>
                <w:color w:val="auto"/>
              </w:rPr>
              <w:t>Amount recorded in current liabilities as of December 31, 2024</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1383C6"/>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1383C6"/>
              </w:rPr>
              <w:t>170</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1383C6"/>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1383C6"/>
              </w:rPr>
              <w:t>170</w:t>
            </w:r>
          </w:p>
        </w:tc>
      </w:tr>
      <w:tr>
        <w:trPr>
          <w:trHeight w:val="300"/>
        </w:trPr>
        <w:tc>
          <w:tcPr>
            <w:tcW w:w="6480" w:type="dxa"/>
            <w:vAlign w:val="bottom"/>
          </w:tcPr>
          <w:p>
            <w:pPr>
              <w:spacing w:after="0"/>
              <w:rPr>
                <w:sz w:val="20"/>
                <w:szCs w:val="20"/>
                <w:color w:val="auto"/>
              </w:rPr>
            </w:pPr>
            <w:r>
              <w:rPr>
                <w:rFonts w:ascii="Arial" w:cs="Arial" w:eastAsia="Arial" w:hAnsi="Arial"/>
                <w:sz w:val="18"/>
                <w:szCs w:val="18"/>
                <w:b w:val="1"/>
                <w:bCs w:val="1"/>
                <w:color w:val="auto"/>
              </w:rPr>
              <w:t>Additional expense recorded</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1383C6"/>
              </w:rPr>
              <w:t>888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1383C6"/>
              </w:rPr>
              <w:t>888</w:t>
            </w:r>
          </w:p>
        </w:tc>
      </w:tr>
      <w:tr>
        <w:trPr>
          <w:trHeight w:val="317"/>
        </w:trPr>
        <w:tc>
          <w:tcPr>
            <w:tcW w:w="6480" w:type="dxa"/>
            <w:vAlign w:val="bottom"/>
          </w:tcPr>
          <w:p>
            <w:pPr>
              <w:spacing w:after="0"/>
              <w:rPr>
                <w:sz w:val="20"/>
                <w:szCs w:val="20"/>
                <w:color w:val="auto"/>
              </w:rPr>
            </w:pPr>
            <w:r>
              <w:rPr>
                <w:rFonts w:ascii="Arial" w:cs="Arial" w:eastAsia="Arial" w:hAnsi="Arial"/>
                <w:sz w:val="18"/>
                <w:szCs w:val="18"/>
                <w:b w:val="1"/>
                <w:bCs w:val="1"/>
                <w:color w:val="auto"/>
              </w:rPr>
              <w:t>Cash payments</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(1,058)</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(1,058)</w:t>
            </w:r>
          </w:p>
        </w:tc>
      </w:tr>
      <w:tr>
        <w:trPr>
          <w:trHeight w:val="260"/>
        </w:trPr>
        <w:tc>
          <w:tcPr>
            <w:tcW w:w="6480" w:type="dxa"/>
            <w:vAlign w:val="bottom"/>
          </w:tcPr>
          <w:p>
            <w:pPr>
              <w:spacing w:after="0"/>
              <w:rPr>
                <w:sz w:val="20"/>
                <w:szCs w:val="20"/>
                <w:color w:val="auto"/>
              </w:rPr>
            </w:pPr>
            <w:r>
              <w:rPr>
                <w:rFonts w:ascii="Arial" w:cs="Arial" w:eastAsia="Arial" w:hAnsi="Arial"/>
                <w:sz w:val="18"/>
                <w:szCs w:val="18"/>
                <w:b w:val="1"/>
                <w:bCs w:val="1"/>
                <w:color w:val="auto"/>
              </w:rPr>
              <w:t>Amount recorded in current liabilities as of December 31, 2025</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1383C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160" w:type="dxa"/>
            <w:vAlign w:val="bottom"/>
          </w:tcPr>
          <w:p>
            <w:pPr>
              <w:spacing w:after="0"/>
              <w:rPr>
                <w:sz w:val="22"/>
                <w:szCs w:val="22"/>
                <w:color w:val="auto"/>
              </w:rPr>
            </w:pP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83C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35"/>
        </w:trPr>
        <w:tc>
          <w:tcPr>
            <w:tcW w:w="6480" w:type="dxa"/>
            <w:vAlign w:val="bottom"/>
          </w:tcPr>
          <w:p>
            <w:pPr>
              <w:spacing w:after="0"/>
              <w:rPr>
                <w:sz w:val="20"/>
                <w:szCs w:val="20"/>
                <w:color w:val="auto"/>
              </w:rPr>
            </w:pPr>
            <w:r>
              <w:rPr>
                <w:rFonts w:ascii="Arial" w:cs="Arial" w:eastAsia="Arial" w:hAnsi="Arial"/>
                <w:sz w:val="18"/>
                <w:szCs w:val="18"/>
                <w:b w:val="1"/>
                <w:bCs w:val="1"/>
                <w:color w:val="auto"/>
              </w:rPr>
              <w:t>Estimated total restructuring costs to still be incurred</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1383C6"/>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1383C6"/>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1383C6"/>
              </w:rPr>
              <w:t>—</w:t>
            </w:r>
          </w:p>
        </w:tc>
      </w:tr>
      <w:tr>
        <w:trPr>
          <w:trHeight w:val="20"/>
        </w:trPr>
        <w:tc>
          <w:tcPr>
            <w:tcW w:w="6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-1107440</wp:posOffset>
            </wp:positionV>
            <wp:extent cx="2193925" cy="112712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282">
                      <a:extLst>
                        <a:ext uri="{28A0092B-C50C-407E-A947-70E740481C1C}"/>
                      </a:extLst>
                    </a:blip>
                    <a:srcRect/>
                    <a:stretch>
                      <a:fillRect/>
                    </a:stretch>
                  </pic:blipFill>
                  <pic:spPr bwMode="auto">
                    <a:xfrm>
                      <a:off x="0" y="0"/>
                      <a:ext cx="2193925" cy="1127125"/>
                    </a:xfrm>
                    <a:prstGeom prst="rect">
                      <a:avLst/>
                    </a:prstGeom>
                    <a:noFill/>
                  </pic:spPr>
                </pic:pic>
              </a:graphicData>
            </a:graphic>
          </wp:anchor>
        </w:drawing>
      </w:r>
    </w:p>
    <w:p>
      <w:pPr>
        <w:spacing w:after="0" w:line="170"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The table above excludes noncash activities and amounts incurred relating to the San Diego office lease liability. The ending balance of the San Diego office lease liability as of December 31, 2025 is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175895</wp:posOffset>
            </wp:positionV>
            <wp:extent cx="6311900" cy="2444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283">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7. COMMITMENTS AND CONTINGENCIES</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52" name="Shape 6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52" o:spid="_x0000_s16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28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70" w:lineRule="auto"/>
        <w:rPr>
          <w:sz w:val="20"/>
          <w:szCs w:val="20"/>
          <w:color w:val="auto"/>
        </w:rPr>
      </w:pPr>
      <w:r>
        <w:rPr>
          <w:rFonts w:ascii="Arial" w:cs="Arial" w:eastAsia="Arial" w:hAnsi="Arial"/>
          <w:sz w:val="19"/>
          <w:szCs w:val="19"/>
          <w:b w:val="1"/>
          <w:bCs w:val="1"/>
          <w:color w:val="auto"/>
        </w:rPr>
        <w:t>We record operating lease right-of-use assets and liabilities on our consolidated balance sheets for all leases with a term of more than 12 months.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All of our leases are operating leases. Lease payments comprise the base rent per the term of the lease. Lease expense for these leases is recognized on a straight-line basis over the lease term, with variable lease payments, such as common area maintenance fees, recognized in the period those payments are incurred.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220980</wp:posOffset>
                </wp:positionV>
                <wp:extent cx="7315200" cy="0"/>
                <wp:wrapNone/>
                <wp:docPr id="654" name="Shape 6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4" o:spid="_x0000_s16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4pt" to="535pt,17.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220980</wp:posOffset>
                </wp:positionV>
                <wp:extent cx="7315200" cy="0"/>
                <wp:wrapNone/>
                <wp:docPr id="655" name="Shape 6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55" o:spid="_x0000_s16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4pt" to="535pt,17.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99"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28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19" w:name="page120"/>
    <w:bookmarkEnd w:id="11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We often have options to renew lease terms for buildings.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w:t>
      </w:r>
    </w:p>
    <w:p>
      <w:pPr>
        <w:spacing w:after="0" w:line="76" w:lineRule="exact"/>
        <w:rPr>
          <w:sz w:val="20"/>
          <w:szCs w:val="20"/>
          <w:color w:val="auto"/>
        </w:rPr>
      </w:pPr>
    </w:p>
    <w:p>
      <w:pPr>
        <w:jc w:val="both"/>
        <w:ind w:right="700"/>
        <w:spacing w:after="0" w:line="271" w:lineRule="auto"/>
        <w:rPr>
          <w:sz w:val="20"/>
          <w:szCs w:val="20"/>
          <w:color w:val="auto"/>
        </w:rPr>
      </w:pPr>
      <w:r>
        <w:rPr>
          <w:rFonts w:ascii="Arial" w:cs="Arial" w:eastAsia="Arial" w:hAnsi="Arial"/>
          <w:sz w:val="19"/>
          <w:szCs w:val="19"/>
          <w:b w:val="1"/>
          <w:bCs w:val="1"/>
          <w:color w:val="auto"/>
        </w:rPr>
        <w:t>On March 7, 2025, we amended our existing lease covering our corporate headquarters, as well as our research and development, manufacturing, and distribution facilities in Menlo Park, California. The lease amendment extends the term to April 30, 2034. We will pay approximately $97.7 million in base rent over the life of the amended lease and receive base rent abatement of approximately $11.6 million for the period beginning on March 1, 2025 and ending on July 31, 2026. We are also entitled to a tenant improvement allowance of $7.2 million. The lease amendment increased our operating lease right-of-use assets and operating lease liabilities by $29.6 million on our condensed consolidated balance sheets.</w:t>
      </w:r>
    </w:p>
    <w:p>
      <w:pPr>
        <w:sectPr>
          <w:pgSz w:w="12240" w:h="15840" w:orient="portrait"/>
          <w:cols w:equalWidth="0" w:num="1">
            <w:col w:w="10580"/>
          </w:cols>
          <w:pgMar w:left="1180" w:top="210" w:right="480" w:bottom="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the maturities of our operating lease liabilities were as follows: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 thousands)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2026</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2027</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2028</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2029</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2030</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Thereafter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undiscounted operating lease payments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Less: imputed interest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Present value of operating lease liabilities</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Sheet Classification: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 liabilities, current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 liabilities, non-current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42" w:hanging="742"/>
        <w:spacing w:after="0"/>
        <w:tabs>
          <w:tab w:leader="none" w:pos="742" w:val="left"/>
        </w:tabs>
        <w:numPr>
          <w:ilvl w:val="0"/>
          <w:numId w:val="41"/>
        </w:numPr>
        <w:rPr>
          <w:rFonts w:ascii="Arial" w:cs="Arial" w:eastAsia="Arial" w:hAnsi="Arial"/>
          <w:sz w:val="18"/>
          <w:szCs w:val="18"/>
          <w:b w:val="1"/>
          <w:bCs w:val="1"/>
          <w:color w:val="1383C6"/>
        </w:rPr>
      </w:pPr>
      <w:r>
        <w:rPr>
          <w:rFonts w:ascii="Arial" w:cs="Arial" w:eastAsia="Arial" w:hAnsi="Arial"/>
          <w:sz w:val="18"/>
          <w:szCs w:val="18"/>
          <w:b w:val="1"/>
          <w:bCs w:val="1"/>
          <w:color w:val="1383C6"/>
        </w:rPr>
        <w:t>3,960</w:t>
      </w:r>
    </w:p>
    <w:p>
      <w:pPr>
        <w:spacing w:after="0" w:line="93" w:lineRule="exact"/>
        <w:rPr>
          <w:rFonts w:ascii="Arial" w:cs="Arial" w:eastAsia="Arial" w:hAnsi="Arial"/>
          <w:sz w:val="18"/>
          <w:szCs w:val="18"/>
          <w:b w:val="1"/>
          <w:bCs w:val="1"/>
          <w:color w:val="1383C6"/>
        </w:rPr>
      </w:pPr>
    </w:p>
    <w:p>
      <w:pPr>
        <w:ind w:left="742"/>
        <w:spacing w:after="0"/>
        <w:rPr>
          <w:rFonts w:ascii="Arial" w:cs="Arial" w:eastAsia="Arial" w:hAnsi="Arial"/>
          <w:sz w:val="18"/>
          <w:szCs w:val="18"/>
          <w:b w:val="1"/>
          <w:bCs w:val="1"/>
          <w:color w:val="1383C6"/>
        </w:rPr>
      </w:pPr>
      <w:r>
        <w:rPr>
          <w:rFonts w:ascii="Arial" w:cs="Arial" w:eastAsia="Arial" w:hAnsi="Arial"/>
          <w:sz w:val="18"/>
          <w:szCs w:val="18"/>
          <w:b w:val="1"/>
          <w:bCs w:val="1"/>
          <w:color w:val="1383C6"/>
        </w:rPr>
        <w:t>9,165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-356870</wp:posOffset>
            </wp:positionV>
            <wp:extent cx="879475" cy="17653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286">
                      <a:extLst>
                        <a:ext uri="{28A0092B-C50C-407E-A947-70E740481C1C}"/>
                      </a:extLst>
                    </a:blip>
                    <a:srcRect/>
                    <a:stretch>
                      <a:fillRect/>
                    </a:stretch>
                  </pic:blipFill>
                  <pic:spPr bwMode="auto">
                    <a:xfrm>
                      <a:off x="0" y="0"/>
                      <a:ext cx="879475" cy="1765300"/>
                    </a:xfrm>
                    <a:prstGeom prst="rect">
                      <a:avLst/>
                    </a:prstGeom>
                    <a:noFill/>
                  </pic:spPr>
                </pic:pic>
              </a:graphicData>
            </a:graphic>
          </wp:anchor>
        </w:drawing>
      </w:r>
    </w:p>
    <w:p>
      <w:pPr>
        <w:spacing w:after="0" w:line="73" w:lineRule="exact"/>
        <w:rPr>
          <w:sz w:val="20"/>
          <w:szCs w:val="20"/>
          <w:color w:val="auto"/>
        </w:rPr>
      </w:pPr>
    </w:p>
    <w:p>
      <w:pPr>
        <w:jc w:val="center"/>
        <w:ind w:right="138"/>
        <w:spacing w:after="0"/>
        <w:rPr>
          <w:sz w:val="20"/>
          <w:szCs w:val="20"/>
          <w:color w:val="auto"/>
        </w:rPr>
      </w:pPr>
      <w:r>
        <w:rPr>
          <w:rFonts w:ascii="Arial" w:cs="Arial" w:eastAsia="Arial" w:hAnsi="Arial"/>
          <w:sz w:val="18"/>
          <w:szCs w:val="18"/>
          <w:b w:val="1"/>
          <w:bCs w:val="1"/>
          <w:color w:val="1383C6"/>
        </w:rPr>
        <w:t>12,389</w:t>
      </w:r>
    </w:p>
    <w:p>
      <w:pPr>
        <w:spacing w:after="0" w:line="93" w:lineRule="exact"/>
        <w:rPr>
          <w:sz w:val="20"/>
          <w:szCs w:val="20"/>
          <w:color w:val="auto"/>
        </w:rPr>
      </w:pPr>
    </w:p>
    <w:p>
      <w:pPr>
        <w:jc w:val="center"/>
        <w:ind w:right="138"/>
        <w:spacing w:after="0"/>
        <w:rPr>
          <w:sz w:val="20"/>
          <w:szCs w:val="20"/>
          <w:color w:val="auto"/>
        </w:rPr>
      </w:pPr>
      <w:r>
        <w:rPr>
          <w:rFonts w:ascii="Arial" w:cs="Arial" w:eastAsia="Arial" w:hAnsi="Arial"/>
          <w:sz w:val="18"/>
          <w:szCs w:val="18"/>
          <w:b w:val="1"/>
          <w:bCs w:val="1"/>
          <w:color w:val="1383C6"/>
        </w:rPr>
        <w:t>12,761</w:t>
      </w:r>
    </w:p>
    <w:p>
      <w:pPr>
        <w:spacing w:after="0" w:line="93" w:lineRule="exact"/>
        <w:rPr>
          <w:sz w:val="20"/>
          <w:szCs w:val="20"/>
          <w:color w:val="auto"/>
        </w:rPr>
      </w:pPr>
    </w:p>
    <w:p>
      <w:pPr>
        <w:jc w:val="center"/>
        <w:ind w:right="138"/>
        <w:spacing w:after="0"/>
        <w:rPr>
          <w:sz w:val="20"/>
          <w:szCs w:val="20"/>
          <w:color w:val="auto"/>
        </w:rPr>
      </w:pPr>
      <w:r>
        <w:rPr>
          <w:rFonts w:ascii="Arial" w:cs="Arial" w:eastAsia="Arial" w:hAnsi="Arial"/>
          <w:sz w:val="18"/>
          <w:szCs w:val="18"/>
          <w:b w:val="1"/>
          <w:bCs w:val="1"/>
          <w:color w:val="1383C6"/>
        </w:rPr>
        <w:t>13,144</w:t>
      </w:r>
    </w:p>
    <w:p>
      <w:pPr>
        <w:spacing w:after="0" w:line="93" w:lineRule="exact"/>
        <w:rPr>
          <w:sz w:val="20"/>
          <w:szCs w:val="20"/>
          <w:color w:val="auto"/>
        </w:rPr>
      </w:pPr>
    </w:p>
    <w:p>
      <w:pPr>
        <w:jc w:val="center"/>
        <w:ind w:right="138"/>
        <w:spacing w:after="0"/>
        <w:rPr>
          <w:sz w:val="20"/>
          <w:szCs w:val="20"/>
          <w:color w:val="auto"/>
        </w:rPr>
      </w:pPr>
      <w:r>
        <w:rPr>
          <w:rFonts w:ascii="Arial" w:cs="Arial" w:eastAsia="Arial" w:hAnsi="Arial"/>
          <w:sz w:val="18"/>
          <w:szCs w:val="18"/>
          <w:b w:val="1"/>
          <w:bCs w:val="1"/>
          <w:color w:val="1383C6"/>
        </w:rPr>
        <w:t>46,752</w:t>
      </w:r>
    </w:p>
    <w:p>
      <w:pPr>
        <w:spacing w:after="0" w:line="93" w:lineRule="exact"/>
        <w:rPr>
          <w:sz w:val="20"/>
          <w:szCs w:val="20"/>
          <w:color w:val="auto"/>
        </w:rPr>
      </w:pPr>
    </w:p>
    <w:p>
      <w:pPr>
        <w:jc w:val="center"/>
        <w:ind w:right="138"/>
        <w:spacing w:after="0"/>
        <w:rPr>
          <w:sz w:val="20"/>
          <w:szCs w:val="20"/>
          <w:color w:val="auto"/>
        </w:rPr>
      </w:pPr>
      <w:r>
        <w:rPr>
          <w:rFonts w:ascii="Arial" w:cs="Arial" w:eastAsia="Arial" w:hAnsi="Arial"/>
          <w:sz w:val="18"/>
          <w:szCs w:val="18"/>
          <w:b w:val="1"/>
          <w:bCs w:val="1"/>
          <w:color w:val="1383C6"/>
        </w:rPr>
        <w:t>98,171</w:t>
      </w:r>
    </w:p>
    <w:p>
      <w:pPr>
        <w:spacing w:after="0" w:line="93" w:lineRule="exact"/>
        <w:rPr>
          <w:sz w:val="20"/>
          <w:szCs w:val="20"/>
          <w:color w:val="auto"/>
        </w:rPr>
      </w:pPr>
    </w:p>
    <w:p>
      <w:pPr>
        <w:jc w:val="center"/>
        <w:ind w:right="118"/>
        <w:spacing w:after="0"/>
        <w:rPr>
          <w:sz w:val="20"/>
          <w:szCs w:val="20"/>
          <w:color w:val="auto"/>
        </w:rPr>
      </w:pPr>
      <w:r>
        <w:rPr>
          <w:rFonts w:ascii="Arial" w:cs="Arial" w:eastAsia="Arial" w:hAnsi="Arial"/>
          <w:sz w:val="17"/>
          <w:szCs w:val="17"/>
          <w:b w:val="1"/>
          <w:bCs w:val="1"/>
          <w:color w:val="1383C6"/>
        </w:rPr>
        <w:t>(41,131)</w:t>
      </w:r>
    </w:p>
    <w:p>
      <w:pPr>
        <w:spacing w:after="0" w:line="105" w:lineRule="exact"/>
        <w:rPr>
          <w:sz w:val="20"/>
          <w:szCs w:val="20"/>
          <w:color w:val="auto"/>
        </w:rPr>
      </w:pPr>
    </w:p>
    <w:p>
      <w:pPr>
        <w:ind w:left="642" w:hanging="642"/>
        <w:spacing w:after="0"/>
        <w:tabs>
          <w:tab w:leader="none" w:pos="642" w:val="left"/>
        </w:tabs>
        <w:numPr>
          <w:ilvl w:val="0"/>
          <w:numId w:val="42"/>
        </w:numPr>
        <w:rPr>
          <w:rFonts w:ascii="Arial" w:cs="Arial" w:eastAsia="Arial" w:hAnsi="Arial"/>
          <w:sz w:val="18"/>
          <w:szCs w:val="18"/>
          <w:b w:val="1"/>
          <w:bCs w:val="1"/>
          <w:color w:val="1383C6"/>
        </w:rPr>
      </w:pPr>
      <w:r>
        <w:rPr>
          <w:rFonts w:ascii="Arial" w:cs="Arial" w:eastAsia="Arial" w:hAnsi="Arial"/>
          <w:sz w:val="18"/>
          <w:szCs w:val="18"/>
          <w:b w:val="1"/>
          <w:bCs w:val="1"/>
          <w:color w:val="1383C6"/>
        </w:rPr>
        <w:t>57,040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414020</wp:posOffset>
            </wp:positionV>
            <wp:extent cx="879475" cy="6223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287">
                      <a:extLst>
                        <a:ext uri="{28A0092B-C50C-407E-A947-70E740481C1C}"/>
                      </a:extLst>
                    </a:blip>
                    <a:srcRect/>
                    <a:stretch>
                      <a:fillRect/>
                    </a:stretch>
                  </pic:blipFill>
                  <pic:spPr bwMode="auto">
                    <a:xfrm>
                      <a:off x="0" y="0"/>
                      <a:ext cx="879475" cy="62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62" w:hanging="862"/>
        <w:spacing w:after="0"/>
        <w:tabs>
          <w:tab w:leader="none" w:pos="862" w:val="left"/>
        </w:tabs>
        <w:numPr>
          <w:ilvl w:val="0"/>
          <w:numId w:val="43"/>
        </w:numPr>
        <w:rPr>
          <w:rFonts w:ascii="Arial" w:cs="Arial" w:eastAsia="Arial" w:hAnsi="Arial"/>
          <w:sz w:val="18"/>
          <w:szCs w:val="18"/>
          <w:b w:val="1"/>
          <w:bCs w:val="1"/>
          <w:color w:val="1383C6"/>
        </w:rPr>
      </w:pPr>
      <w:r>
        <w:rPr>
          <w:rFonts w:ascii="Arial" w:cs="Arial" w:eastAsia="Arial" w:hAnsi="Arial"/>
          <w:sz w:val="18"/>
          <w:szCs w:val="18"/>
          <w:b w:val="1"/>
          <w:bCs w:val="1"/>
          <w:color w:val="1383C6"/>
        </w:rPr>
        <w:t>448</w:t>
      </w:r>
    </w:p>
    <w:p>
      <w:pPr>
        <w:spacing w:after="0" w:line="93" w:lineRule="exact"/>
        <w:rPr>
          <w:rFonts w:ascii="Arial" w:cs="Arial" w:eastAsia="Arial" w:hAnsi="Arial"/>
          <w:sz w:val="18"/>
          <w:szCs w:val="18"/>
          <w:b w:val="1"/>
          <w:bCs w:val="1"/>
          <w:color w:val="1383C6"/>
        </w:rPr>
      </w:pPr>
    </w:p>
    <w:p>
      <w:pPr>
        <w:ind w:left="642"/>
        <w:spacing w:after="0"/>
        <w:rPr>
          <w:rFonts w:ascii="Arial" w:cs="Arial" w:eastAsia="Arial" w:hAnsi="Arial"/>
          <w:sz w:val="18"/>
          <w:szCs w:val="18"/>
          <w:b w:val="1"/>
          <w:bCs w:val="1"/>
          <w:color w:val="1383C6"/>
        </w:rPr>
      </w:pPr>
      <w:r>
        <w:rPr>
          <w:rFonts w:ascii="Arial" w:cs="Arial" w:eastAsia="Arial" w:hAnsi="Arial"/>
          <w:sz w:val="18"/>
          <w:szCs w:val="18"/>
          <w:b w:val="1"/>
          <w:bCs w:val="1"/>
          <w:color w:val="1383C6"/>
        </w:rPr>
        <w:t>56,592</w:t>
      </w:r>
    </w:p>
    <w:p>
      <w:pPr>
        <w:spacing w:after="0" w:line="93" w:lineRule="exact"/>
        <w:rPr>
          <w:sz w:val="20"/>
          <w:szCs w:val="20"/>
          <w:color w:val="auto"/>
        </w:rPr>
      </w:pPr>
    </w:p>
    <w:p>
      <w:pPr>
        <w:ind w:left="642" w:hanging="642"/>
        <w:spacing w:after="0"/>
        <w:tabs>
          <w:tab w:leader="none" w:pos="642" w:val="left"/>
        </w:tabs>
        <w:numPr>
          <w:ilvl w:val="0"/>
          <w:numId w:val="44"/>
        </w:numPr>
        <w:rPr>
          <w:rFonts w:ascii="Arial" w:cs="Arial" w:eastAsia="Arial" w:hAnsi="Arial"/>
          <w:sz w:val="18"/>
          <w:szCs w:val="18"/>
          <w:b w:val="1"/>
          <w:bCs w:val="1"/>
          <w:color w:val="1383C6"/>
        </w:rPr>
      </w:pPr>
      <w:r>
        <w:rPr>
          <w:rFonts w:ascii="Arial" w:cs="Arial" w:eastAsia="Arial" w:hAnsi="Arial"/>
          <w:sz w:val="18"/>
          <w:szCs w:val="18"/>
          <w:b w:val="1"/>
          <w:bCs w:val="1"/>
          <w:color w:val="1383C6"/>
        </w:rPr>
        <w:t>57,040</w:t>
      </w:r>
    </w:p>
    <w:p>
      <w:pPr>
        <w:spacing w:after="0" w:line="200" w:lineRule="exact"/>
        <w:rPr>
          <w:sz w:val="20"/>
          <w:szCs w:val="20"/>
          <w:color w:val="auto"/>
        </w:rPr>
      </w:pPr>
    </w:p>
    <w:p>
      <w:pPr>
        <w:sectPr>
          <w:pgSz w:w="12240" w:h="15840" w:orient="portrait"/>
          <w:cols w:equalWidth="0" w:num="2">
            <w:col w:w="7918" w:space="720"/>
            <w:col w:w="1942"/>
          </w:cols>
          <w:pgMar w:left="1180" w:top="210" w:right="480" w:bottom="0" w:gutter="0" w:footer="0" w:header="0"/>
          <w:type w:val="continuous"/>
        </w:sectPr>
      </w:pPr>
    </w:p>
    <w:p>
      <w:pPr>
        <w:spacing w:after="0" w:line="17"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We use our incremental borrowing rate to determine the present value of lease payments, as the implicit rates in our leases are not readily determinable. The weighted-average discount rate used to measure our operating lease liabilities was 10.2%. The weighted-average remaining lease term for our operating leases as of December 31, 2025 was 8.2 years.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Cash Flows</w:t>
      </w:r>
    </w:p>
    <w:p>
      <w:pPr>
        <w:spacing w:after="0" w:line="130"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Cash paid for amounts included in the present value of operating lease liabilities was $4.8 million and $14.2 million for the years ended December 31, 2025 and 2024, respectively, and were included in operating cash flows.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Operating Lease Costs</w:t>
      </w:r>
    </w:p>
    <w:p>
      <w:pPr>
        <w:spacing w:after="0" w:line="130"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Operating lease costs were $9.3 million and $14.5 million for the years ended December 31, 2025 and 2024, respectively.</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Contingencies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59" name="Shape 6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59" o:spid="_x0000_s16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28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75" w:lineRule="exact"/>
        <w:rPr>
          <w:sz w:val="20"/>
          <w:szCs w:val="20"/>
          <w:color w:val="auto"/>
        </w:rPr>
      </w:pPr>
    </w:p>
    <w:p>
      <w:pPr>
        <w:jc w:val="both"/>
        <w:ind w:right="700"/>
        <w:spacing w:after="0" w:line="300" w:lineRule="auto"/>
        <w:rPr>
          <w:sz w:val="20"/>
          <w:szCs w:val="20"/>
          <w:color w:val="auto"/>
        </w:rPr>
      </w:pPr>
      <w:r>
        <w:rPr>
          <w:rFonts w:ascii="Arial" w:cs="Arial" w:eastAsia="Arial" w:hAnsi="Arial"/>
          <w:sz w:val="18"/>
          <w:szCs w:val="18"/>
          <w:b w:val="1"/>
          <w:bCs w:val="1"/>
          <w:color w:val="auto"/>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360680</wp:posOffset>
                </wp:positionV>
                <wp:extent cx="7315200" cy="0"/>
                <wp:wrapNone/>
                <wp:docPr id="661" name="Shape 6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1" o:spid="_x0000_s16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8.4pt" to="535pt,28.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360680</wp:posOffset>
                </wp:positionV>
                <wp:extent cx="7315200" cy="0"/>
                <wp:wrapNone/>
                <wp:docPr id="662" name="Shape 6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62" o:spid="_x0000_s16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8.4pt" to="535pt,28.4pt" o:allowincell="f" strokecolor="#DF1995" strokeweight="1pt"/>
            </w:pict>
          </mc:Fallback>
        </mc:AlternateContent>
      </w:r>
    </w:p>
    <w:p>
      <w:pPr>
        <w:sectPr>
          <w:pgSz w:w="12240" w:h="15840" w:orient="portrait"/>
          <w:cols w:equalWidth="0" w:num="1">
            <w:col w:w="10580"/>
          </w:cols>
          <w:pgMar w:left="1180" w:top="210" w:right="4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28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Please see subsection titled </w:t>
      </w:r>
      <w:r>
        <w:rPr>
          <w:rFonts w:ascii="Arial" w:cs="Arial" w:eastAsia="Arial" w:hAnsi="Arial"/>
          <w:sz w:val="20"/>
          <w:szCs w:val="20"/>
          <w:b w:val="1"/>
          <w:bCs w:val="1"/>
          <w:i w:val="1"/>
          <w:iCs w:val="1"/>
          <w:u w:val="single" w:color="auto"/>
          <w:color w:val="0000FF"/>
        </w:rPr>
        <w:t>Legal Proceedings</w:t>
      </w:r>
      <w:r>
        <w:rPr>
          <w:rFonts w:ascii="Arial" w:cs="Arial" w:eastAsia="Arial" w:hAnsi="Arial"/>
          <w:sz w:val="20"/>
          <w:szCs w:val="20"/>
          <w:b w:val="1"/>
          <w:bCs w:val="1"/>
          <w:color w:val="auto"/>
        </w:rPr>
        <w:t>, in Part I, Item 3 of this Annual Report on Form 10-K.</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Indemnification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64" name="Shape 6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64" o:spid="_x0000_s16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29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December 31, 2025.</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Purchase Commitments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66" name="Shape 6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66" o:spid="_x0000_s16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291">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In the normal course of business, we enter into agreements to purchase goods or services or license intellectual property, certain of which are not cancellable without penalty. For those agreements with variable terms, we do not estimate the total obligation beyond any minimum quantities or pricing as of the reporting date. Licensing agreements under which we commit to ongoing minimum royalty payments, some of which are subject to adjustment, may be terminated under certain circumstances.</w:t>
      </w:r>
    </w:p>
    <w:p>
      <w:pPr>
        <w:spacing w:after="0" w:line="79" w:lineRule="exact"/>
        <w:rPr>
          <w:sz w:val="20"/>
          <w:szCs w:val="20"/>
          <w:color w:val="auto"/>
        </w:rPr>
      </w:pPr>
    </w:p>
    <w:p>
      <w:pPr>
        <w:jc w:val="both"/>
        <w:ind w:right="680"/>
        <w:spacing w:after="0" w:line="291" w:lineRule="auto"/>
        <w:rPr>
          <w:sz w:val="20"/>
          <w:szCs w:val="20"/>
          <w:color w:val="auto"/>
        </w:rPr>
      </w:pPr>
      <w:r>
        <w:rPr>
          <w:rFonts w:ascii="Arial" w:cs="Arial" w:eastAsia="Arial" w:hAnsi="Arial"/>
          <w:sz w:val="18"/>
          <w:szCs w:val="18"/>
          <w:b w:val="1"/>
          <w:bCs w:val="1"/>
          <w:color w:val="auto"/>
        </w:rPr>
        <w:t>Our purchase orders and contractual obligations are approximately $71.3 million as of December 31, 2025, which consist of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54"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b w:val="1"/>
          <w:bCs w:val="1"/>
          <w:color w:val="auto"/>
        </w:rPr>
        <w:t>We recognized a loss on purchase commitment of $4.2 million for the year ended December 31, 2025, which was recorded as part of accrued expenses on our consolidated balance sheet and is included in the aforementioned purchase orders and contractual obligations amount. The purchase commitment loss is based on our estimate of future excess inventory under supply agreements with third-party vendors for which we do not expect to have related sales.</w:t>
      </w:r>
    </w:p>
    <w:p>
      <w:pPr>
        <w:spacing w:after="0" w:line="79" w:lineRule="exact"/>
        <w:rPr>
          <w:sz w:val="20"/>
          <w:szCs w:val="20"/>
          <w:color w:val="auto"/>
        </w:rPr>
      </w:pPr>
    </w:p>
    <w:p>
      <w:pPr>
        <w:jc w:val="both"/>
        <w:ind w:right="700"/>
        <w:spacing w:after="0" w:line="258" w:lineRule="auto"/>
        <w:rPr>
          <w:sz w:val="20"/>
          <w:szCs w:val="20"/>
          <w:color w:val="auto"/>
        </w:rPr>
      </w:pPr>
      <w:r>
        <w:rPr>
          <w:rFonts w:ascii="Arial" w:cs="Arial" w:eastAsia="Arial" w:hAnsi="Arial"/>
          <w:sz w:val="20"/>
          <w:szCs w:val="20"/>
          <w:b w:val="1"/>
          <w:bCs w:val="1"/>
          <w:color w:val="auto"/>
        </w:rPr>
        <w:t>We have a long-term supply agreement, which was most recently amended in September 2025 (the “Supply Agreement”), for the purchase of certain products with a semiconductor manufacturer (“Supplier”). The Supply Agreement provides for minimum purchase commitments through 2031 in exchange for guaranteed capacity at Supplier. We are responsible for providing certain materials to allow our Supplier to perform its obligations under the contract.</w:t>
      </w:r>
    </w:p>
    <w:p>
      <w:pPr>
        <w:spacing w:after="0" w:line="84" w:lineRule="exact"/>
        <w:rPr>
          <w:sz w:val="20"/>
          <w:szCs w:val="20"/>
          <w:color w:val="auto"/>
        </w:rPr>
      </w:pPr>
    </w:p>
    <w:p>
      <w:pPr>
        <w:jc w:val="both"/>
        <w:ind w:right="700"/>
        <w:spacing w:after="0" w:line="279" w:lineRule="auto"/>
        <w:rPr>
          <w:sz w:val="20"/>
          <w:szCs w:val="20"/>
          <w:color w:val="auto"/>
        </w:rPr>
      </w:pPr>
      <w:r>
        <w:rPr>
          <w:rFonts w:ascii="Arial" w:cs="Arial" w:eastAsia="Arial" w:hAnsi="Arial"/>
          <w:sz w:val="19"/>
          <w:szCs w:val="19"/>
          <w:b w:val="1"/>
          <w:bCs w:val="1"/>
          <w:color w:val="auto"/>
        </w:rPr>
        <w:t>We paid our Supplier deposits totaling $15.0 million (the “Deposit”), of which $4.0 million and $3.0 million was refunded to us during the years ended December 31, 2025 and 2024, respectively. As of December 31, 2025, $8.0 million related to the Deposit was included in other long-term assets on our consolidated balance sheets, as we believe it is probable the minimum volume purchase commitment level will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180340</wp:posOffset>
            </wp:positionV>
            <wp:extent cx="6311900" cy="2444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292">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31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8. INCOME TAXES</w:t>
      </w:r>
    </w:p>
    <w:p>
      <w:pPr>
        <w:spacing w:after="0" w:line="225" w:lineRule="exact"/>
        <w:rPr>
          <w:sz w:val="20"/>
          <w:szCs w:val="20"/>
          <w:color w:val="auto"/>
        </w:rPr>
      </w:pPr>
    </w:p>
    <w:p>
      <w:pPr>
        <w:jc w:val="both"/>
        <w:ind w:right="700"/>
        <w:spacing w:after="0" w:line="294" w:lineRule="auto"/>
        <w:rPr>
          <w:sz w:val="20"/>
          <w:szCs w:val="20"/>
          <w:color w:val="auto"/>
        </w:rPr>
      </w:pPr>
      <w:r>
        <w:rPr>
          <w:rFonts w:ascii="Arial" w:cs="Arial" w:eastAsia="Arial" w:hAnsi="Arial"/>
          <w:sz w:val="18"/>
          <w:szCs w:val="18"/>
          <w:b w:val="1"/>
          <w:bCs w:val="1"/>
          <w:color w:val="auto"/>
        </w:rPr>
        <w:t>We are subject to income taxes both in the United States and certain foreign jurisdictions in which we operate, and we use estimates in determining our provisions for income taxes. Significant management judgement is required in determining our provision for income taxes, deferred tax assets and liabilities, and valuation allowances recorded against net deferred tax assets in accordance with U.S. GAAP. These estimates and judgements occur in the calculation of tax credits, benefits, and deductions, and in the calculation of certain tax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282575</wp:posOffset>
                </wp:positionV>
                <wp:extent cx="7315200" cy="0"/>
                <wp:wrapNone/>
                <wp:docPr id="669" name="Shape 6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9" o:spid="_x0000_s16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2.25pt" to="535pt,22.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282575</wp:posOffset>
                </wp:positionV>
                <wp:extent cx="7315200" cy="0"/>
                <wp:wrapNone/>
                <wp:docPr id="670" name="Shape 6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70" o:spid="_x0000_s16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2.25pt" to="535pt,22.2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293">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to our tax provision in the current or subsequent period.</w:t>
      </w:r>
    </w:p>
    <w:p>
      <w:pPr>
        <w:spacing w:after="0" w:line="76" w:lineRule="exact"/>
        <w:rPr>
          <w:sz w:val="20"/>
          <w:szCs w:val="20"/>
          <w:color w:val="auto"/>
        </w:rPr>
      </w:pPr>
    </w:p>
    <w:p>
      <w:pPr>
        <w:jc w:val="both"/>
        <w:ind w:right="680"/>
        <w:spacing w:after="0" w:line="256" w:lineRule="auto"/>
        <w:rPr>
          <w:sz w:val="20"/>
          <w:szCs w:val="20"/>
          <w:color w:val="auto"/>
        </w:rPr>
      </w:pPr>
      <w:r>
        <w:rPr>
          <w:rFonts w:ascii="Arial" w:cs="Arial" w:eastAsia="Arial" w:hAnsi="Arial"/>
          <w:sz w:val="20"/>
          <w:szCs w:val="20"/>
          <w:b w:val="1"/>
          <w:bCs w:val="1"/>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of being realized upon ultimate settlement. As of each balance sheet date, unresolved uncertain tax positions must be reassessed, and we will determine whether the factors underlying the sustainability assertion have changed and the amount of the recognized tax benefit is still appropriate.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account for Global Intangible Low-taxed Income as a period cost.</w:t>
      </w:r>
    </w:p>
    <w:p>
      <w:pPr>
        <w:spacing w:after="0" w:line="13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During the years ended December 31, 2025, 2024, and 2023 income/(loss) before taxes from U.S. operations were ($547.5) million, ($311.0) million, and ($318.9) million, respectively, and income/(loss) before taxes from foreign operations was $1.4 million, $1.5 million, and $0.7 million, respectively.</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Income Tax Provision (Benefit)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72" name="Shape 6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72" o:spid="_x0000_s16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29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provision (benefit) consists of the following:</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23495</wp:posOffset>
            </wp:positionV>
            <wp:extent cx="2574925" cy="20637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295">
                      <a:extLst>
                        <a:ext uri="{28A0092B-C50C-407E-A947-70E740481C1C}"/>
                      </a:extLst>
                    </a:blip>
                    <a:srcRect/>
                    <a:stretch>
                      <a:fillRect/>
                    </a:stretch>
                  </pic:blipFill>
                  <pic:spPr bwMode="auto">
                    <a:xfrm>
                      <a:off x="0" y="0"/>
                      <a:ext cx="2574925" cy="206375"/>
                    </a:xfrm>
                    <a:prstGeom prst="rect">
                      <a:avLst/>
                    </a:prstGeom>
                    <a:noFill/>
                  </pic:spPr>
                </pic:pic>
              </a:graphicData>
            </a:graphic>
          </wp:anchor>
        </w:drawing>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Current tax provision (benefit):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300"/>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US Federal</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00"/>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US State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17"/>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864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3"/>
        </w:trPr>
        <w:tc>
          <w:tcPr>
            <w:tcW w:w="5820" w:type="dxa"/>
            <w:vAlign w:val="bottom"/>
          </w:tcPr>
          <w:p>
            <w:pPr>
              <w:ind w:left="240"/>
              <w:spacing w:after="0"/>
              <w:rPr>
                <w:sz w:val="20"/>
                <w:szCs w:val="20"/>
                <w:color w:val="auto"/>
              </w:rPr>
            </w:pPr>
            <w:r>
              <w:rPr>
                <w:rFonts w:ascii="Arial" w:cs="Arial" w:eastAsia="Arial" w:hAnsi="Arial"/>
                <w:sz w:val="18"/>
                <w:szCs w:val="18"/>
                <w:b w:val="1"/>
                <w:bCs w:val="1"/>
                <w:color w:val="auto"/>
              </w:rPr>
              <w:t>Total current tax provision (benefit)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864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615"/>
        </w:trPr>
        <w:tc>
          <w:tcPr>
            <w:tcW w:w="5820" w:type="dxa"/>
            <w:vAlign w:val="bottom"/>
          </w:tcPr>
          <w:p>
            <w:pPr>
              <w:spacing w:after="0"/>
              <w:rPr>
                <w:sz w:val="20"/>
                <w:szCs w:val="20"/>
                <w:color w:val="auto"/>
              </w:rPr>
            </w:pPr>
            <w:r>
              <w:rPr>
                <w:rFonts w:ascii="Arial" w:cs="Arial" w:eastAsia="Arial" w:hAnsi="Arial"/>
                <w:sz w:val="18"/>
                <w:szCs w:val="18"/>
                <w:b w:val="1"/>
                <w:bCs w:val="1"/>
                <w:color w:val="auto"/>
              </w:rPr>
              <w:t>Deferred tax expense (benefit):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US Federal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(9,956)</w:t>
            </w:r>
          </w:p>
        </w:tc>
      </w:tr>
      <w:tr>
        <w:trPr>
          <w:trHeight w:val="300"/>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US State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(1,468)</w:t>
            </w:r>
          </w:p>
        </w:tc>
      </w:tr>
      <w:tr>
        <w:trPr>
          <w:trHeight w:val="317"/>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3"/>
        </w:trPr>
        <w:tc>
          <w:tcPr>
            <w:tcW w:w="5820" w:type="dxa"/>
            <w:vAlign w:val="bottom"/>
          </w:tcPr>
          <w:p>
            <w:pPr>
              <w:ind w:left="240"/>
              <w:spacing w:after="0"/>
              <w:rPr>
                <w:sz w:val="20"/>
                <w:szCs w:val="20"/>
                <w:color w:val="auto"/>
              </w:rPr>
            </w:pPr>
            <w:r>
              <w:rPr>
                <w:rFonts w:ascii="Arial" w:cs="Arial" w:eastAsia="Arial" w:hAnsi="Arial"/>
                <w:sz w:val="18"/>
                <w:szCs w:val="18"/>
                <w:b w:val="1"/>
                <w:bCs w:val="1"/>
                <w:color w:val="auto"/>
              </w:rPr>
              <w:t>Total deferred tax provision (benefit)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(546)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(11,424)</w:t>
            </w:r>
          </w:p>
        </w:tc>
      </w:tr>
      <w:tr>
        <w:trPr>
          <w:trHeight w:val="615"/>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income tax provision (benefit)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US Federal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(9,956)</w:t>
            </w:r>
          </w:p>
        </w:tc>
      </w:tr>
      <w:tr>
        <w:trPr>
          <w:trHeight w:val="300"/>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US State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(1,468)</w:t>
            </w:r>
          </w:p>
        </w:tc>
      </w:tr>
      <w:tr>
        <w:trPr>
          <w:trHeight w:val="317"/>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864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0"/>
        </w:trPr>
        <w:tc>
          <w:tcPr>
            <w:tcW w:w="5820" w:type="dxa"/>
            <w:vAlign w:val="bottom"/>
          </w:tcPr>
          <w:p>
            <w:pPr>
              <w:ind w:left="240"/>
              <w:spacing w:after="0"/>
              <w:rPr>
                <w:sz w:val="20"/>
                <w:szCs w:val="20"/>
                <w:color w:val="auto"/>
              </w:rPr>
            </w:pPr>
            <w:r>
              <w:rPr>
                <w:rFonts w:ascii="Arial" w:cs="Arial" w:eastAsia="Arial" w:hAnsi="Arial"/>
                <w:sz w:val="18"/>
                <w:szCs w:val="18"/>
                <w:b w:val="1"/>
                <w:bCs w:val="1"/>
                <w:color w:val="auto"/>
              </w:rPr>
              <w:t>Total income tax provision (benefit)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318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(11,424)</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-3098165</wp:posOffset>
            </wp:positionV>
            <wp:extent cx="2613025" cy="31178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296">
                      <a:extLst>
                        <a:ext uri="{28A0092B-C50C-407E-A947-70E740481C1C}"/>
                      </a:extLst>
                    </a:blip>
                    <a:srcRect/>
                    <a:stretch>
                      <a:fillRect/>
                    </a:stretch>
                  </pic:blipFill>
                  <pic:spPr bwMode="auto">
                    <a:xfrm>
                      <a:off x="0" y="0"/>
                      <a:ext cx="2613025" cy="31178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-520700</wp:posOffset>
                </wp:positionH>
                <wp:positionV relativeFrom="paragraph">
                  <wp:posOffset>2244090</wp:posOffset>
                </wp:positionV>
                <wp:extent cx="7315200" cy="0"/>
                <wp:wrapNone/>
                <wp:docPr id="676" name="Shape 6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6" o:spid="_x0000_s17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6.7pt" to="535pt,17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2244090</wp:posOffset>
                </wp:positionV>
                <wp:extent cx="7315200" cy="0"/>
                <wp:wrapNone/>
                <wp:docPr id="677" name="Shape 6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77" o:spid="_x0000_s17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76.7pt" to="535pt,176.7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9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22" w:name="page123"/>
    <w:bookmarkEnd w:id="12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right="700"/>
        <w:spacing w:after="0" w:line="285" w:lineRule="auto"/>
        <w:rPr>
          <w:sz w:val="20"/>
          <w:szCs w:val="20"/>
          <w:color w:val="auto"/>
        </w:rPr>
      </w:pPr>
      <w:r>
        <w:rPr>
          <w:rFonts w:ascii="Arial" w:cs="Arial" w:eastAsia="Arial" w:hAnsi="Arial"/>
          <w:sz w:val="20"/>
          <w:szCs w:val="20"/>
          <w:b w:val="1"/>
          <w:bCs w:val="1"/>
          <w:color w:val="auto"/>
        </w:rPr>
        <w:t>Income tax provision (benefit) related to continuing operations differ from the amounts computed by applying the statutory income tax rate of 21% to pretax loss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3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2025</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14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83C6"/>
                <w:w w:val="97"/>
              </w:rPr>
              <w:t>Amount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1383C6"/>
                <w:w w:val="93"/>
              </w:rPr>
              <w:t>Percent</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Amount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Amount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Percent</w:t>
            </w:r>
          </w:p>
        </w:tc>
        <w:tc>
          <w:tcPr>
            <w:tcW w:w="0" w:type="dxa"/>
            <w:vAlign w:val="bottom"/>
          </w:tcPr>
          <w:p>
            <w:pPr>
              <w:spacing w:after="0"/>
              <w:rPr>
                <w:sz w:val="1"/>
                <w:szCs w:val="1"/>
                <w:color w:val="auto"/>
              </w:rPr>
            </w:pPr>
          </w:p>
        </w:tc>
      </w:tr>
      <w:tr>
        <w:trPr>
          <w:trHeight w:val="263"/>
        </w:trPr>
        <w:tc>
          <w:tcPr>
            <w:tcW w:w="3140" w:type="dxa"/>
            <w:vAlign w:val="bottom"/>
          </w:tcPr>
          <w:p>
            <w:pPr>
              <w:spacing w:after="0"/>
              <w:rPr>
                <w:sz w:val="20"/>
                <w:szCs w:val="20"/>
                <w:color w:val="auto"/>
              </w:rPr>
            </w:pPr>
            <w:r>
              <w:rPr>
                <w:rFonts w:ascii="Arial" w:cs="Arial" w:eastAsia="Arial" w:hAnsi="Arial"/>
                <w:sz w:val="18"/>
                <w:szCs w:val="18"/>
                <w:b w:val="1"/>
                <w:bCs w:val="1"/>
                <w:color w:val="auto"/>
              </w:rPr>
              <w:t>At statutory tax rate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1383C6"/>
              </w:rPr>
              <w:t>(114,672)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1383C6"/>
              </w:rPr>
              <w:t>21.0 %</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(65,002)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21.0 %</w:t>
            </w:r>
          </w:p>
        </w:tc>
        <w:tc>
          <w:tcPr>
            <w:tcW w:w="1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(66,807)</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21.0 %</w:t>
            </w:r>
          </w:p>
        </w:tc>
        <w:tc>
          <w:tcPr>
            <w:tcW w:w="0" w:type="dxa"/>
            <w:vAlign w:val="bottom"/>
          </w:tcPr>
          <w:p>
            <w:pPr>
              <w:spacing w:after="0"/>
              <w:rPr>
                <w:sz w:val="1"/>
                <w:szCs w:val="1"/>
                <w:color w:val="auto"/>
              </w:rPr>
            </w:pPr>
          </w:p>
        </w:tc>
      </w:tr>
      <w:tr>
        <w:trPr>
          <w:trHeight w:val="252"/>
        </w:trPr>
        <w:tc>
          <w:tcPr>
            <w:tcW w:w="3140" w:type="dxa"/>
            <w:vAlign w:val="bottom"/>
          </w:tcPr>
          <w:p>
            <w:pPr>
              <w:spacing w:after="0"/>
              <w:rPr>
                <w:sz w:val="20"/>
                <w:szCs w:val="20"/>
                <w:color w:val="auto"/>
              </w:rPr>
            </w:pPr>
            <w:r>
              <w:rPr>
                <w:rFonts w:ascii="Arial" w:cs="Arial" w:eastAsia="Arial" w:hAnsi="Arial"/>
                <w:sz w:val="18"/>
                <w:szCs w:val="18"/>
                <w:b w:val="1"/>
                <w:bCs w:val="1"/>
                <w:color w:val="auto"/>
              </w:rPr>
              <w:t>State and local income taxes, net of</w:t>
            </w:r>
          </w:p>
        </w:tc>
        <w:tc>
          <w:tcPr>
            <w:tcW w:w="180" w:type="dxa"/>
            <w:vAlign w:val="bottom"/>
          </w:tcPr>
          <w:p>
            <w:pPr>
              <w:spacing w:after="0"/>
              <w:rPr>
                <w:sz w:val="21"/>
                <w:szCs w:val="21"/>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1383C6"/>
              </w:rPr>
              <w:t>(741)</w:t>
            </w:r>
          </w:p>
        </w:tc>
        <w:tc>
          <w:tcPr>
            <w:tcW w:w="8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1383C6"/>
              </w:rPr>
              <w:t>0.1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(1,100)</w:t>
            </w: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0.4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(2,250)</w:t>
            </w:r>
          </w:p>
        </w:tc>
        <w:tc>
          <w:tcPr>
            <w:tcW w:w="8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8"/>
                <w:szCs w:val="18"/>
                <w:b w:val="1"/>
                <w:bCs w:val="1"/>
                <w:color w:val="auto"/>
              </w:rPr>
              <w:t>federal income tax effect</w:t>
            </w:r>
          </w:p>
        </w:tc>
        <w:tc>
          <w:tcPr>
            <w:tcW w:w="1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3140" w:type="dxa"/>
            <w:vAlign w:val="bottom"/>
          </w:tcPr>
          <w:p>
            <w:pPr>
              <w:spacing w:after="0"/>
              <w:rPr>
                <w:sz w:val="20"/>
                <w:szCs w:val="20"/>
                <w:color w:val="auto"/>
              </w:rPr>
            </w:pPr>
            <w:r>
              <w:rPr>
                <w:rFonts w:ascii="Arial" w:cs="Arial" w:eastAsia="Arial" w:hAnsi="Arial"/>
                <w:sz w:val="18"/>
                <w:szCs w:val="18"/>
                <w:b w:val="1"/>
                <w:bCs w:val="1"/>
                <w:color w:val="auto"/>
              </w:rPr>
              <w:t>Tax credits: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40" w:type="dxa"/>
            <w:vAlign w:val="bottom"/>
          </w:tcPr>
          <w:p>
            <w:pPr>
              <w:ind w:left="120"/>
              <w:spacing w:after="0"/>
              <w:rPr>
                <w:sz w:val="20"/>
                <w:szCs w:val="20"/>
                <w:color w:val="auto"/>
              </w:rPr>
            </w:pPr>
            <w:r>
              <w:rPr>
                <w:rFonts w:ascii="Arial" w:cs="Arial" w:eastAsia="Arial" w:hAnsi="Arial"/>
                <w:sz w:val="18"/>
                <w:szCs w:val="18"/>
                <w:b w:val="1"/>
                <w:bCs w:val="1"/>
                <w:color w:val="auto"/>
              </w:rPr>
              <w:t>R&amp;D credit</w:t>
            </w:r>
          </w:p>
        </w:tc>
        <w:tc>
          <w:tcPr>
            <w:tcW w:w="18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1383C6"/>
              </w:rPr>
              <w:t>(1,654)</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1383C6"/>
              </w:rPr>
              <w:t>0.3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(6,677)</w:t>
            </w: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(7,596)</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300"/>
        </w:trPr>
        <w:tc>
          <w:tcPr>
            <w:tcW w:w="3140" w:type="dxa"/>
            <w:vAlign w:val="bottom"/>
          </w:tcPr>
          <w:p>
            <w:pPr>
              <w:spacing w:after="0"/>
              <w:rPr>
                <w:sz w:val="20"/>
                <w:szCs w:val="20"/>
                <w:color w:val="auto"/>
              </w:rPr>
            </w:pPr>
            <w:r>
              <w:rPr>
                <w:rFonts w:ascii="Arial" w:cs="Arial" w:eastAsia="Arial" w:hAnsi="Arial"/>
                <w:sz w:val="18"/>
                <w:szCs w:val="18"/>
                <w:b w:val="1"/>
                <w:bCs w:val="1"/>
                <w:color w:val="auto"/>
              </w:rPr>
              <w:t>Nontaxable or nondeductible items: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40" w:type="dxa"/>
            <w:vAlign w:val="bottom"/>
          </w:tcPr>
          <w:p>
            <w:pPr>
              <w:ind w:left="120"/>
              <w:spacing w:after="0"/>
              <w:rPr>
                <w:sz w:val="20"/>
                <w:szCs w:val="20"/>
                <w:color w:val="auto"/>
              </w:rPr>
            </w:pPr>
            <w:r>
              <w:rPr>
                <w:rFonts w:ascii="Arial" w:cs="Arial" w:eastAsia="Arial" w:hAnsi="Arial"/>
                <w:sz w:val="18"/>
                <w:szCs w:val="18"/>
                <w:b w:val="1"/>
                <w:bCs w:val="1"/>
                <w:color w:val="auto"/>
              </w:rPr>
              <w:t>Stock compensation</w:t>
            </w:r>
          </w:p>
        </w:tc>
        <w:tc>
          <w:tcPr>
            <w:tcW w:w="18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1383C6"/>
              </w:rPr>
              <w:t>9,845</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1383C6"/>
              </w:rPr>
              <w:t>(1.8)</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10,526</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5,851</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300"/>
        </w:trPr>
        <w:tc>
          <w:tcPr>
            <w:tcW w:w="3140" w:type="dxa"/>
            <w:vAlign w:val="bottom"/>
          </w:tcPr>
          <w:p>
            <w:pPr>
              <w:ind w:left="120"/>
              <w:spacing w:after="0"/>
              <w:rPr>
                <w:sz w:val="20"/>
                <w:szCs w:val="20"/>
                <w:color w:val="auto"/>
              </w:rPr>
            </w:pPr>
            <w:r>
              <w:rPr>
                <w:rFonts w:ascii="Arial" w:cs="Arial" w:eastAsia="Arial" w:hAnsi="Arial"/>
                <w:sz w:val="18"/>
                <w:szCs w:val="18"/>
                <w:b w:val="1"/>
                <w:bCs w:val="1"/>
                <w:color w:val="auto"/>
              </w:rPr>
              <w:t>Goodwill impairment</w:t>
            </w:r>
          </w:p>
        </w:tc>
        <w:tc>
          <w:tcPr>
            <w:tcW w:w="18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1383C6"/>
              </w:rPr>
              <w: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1383C6"/>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30,345</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(9.8)</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0"/>
        </w:trPr>
        <w:tc>
          <w:tcPr>
            <w:tcW w:w="3140" w:type="dxa"/>
            <w:vAlign w:val="bottom"/>
          </w:tcPr>
          <w:p>
            <w:pPr>
              <w:ind w:left="12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1383C6"/>
              </w:rPr>
              <w:t>(3,515)</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1383C6"/>
              </w:rPr>
              <w:t>0.6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793</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(0.3)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1,513</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300"/>
        </w:trPr>
        <w:tc>
          <w:tcPr>
            <w:tcW w:w="3140" w:type="dxa"/>
            <w:vAlign w:val="bottom"/>
          </w:tcPr>
          <w:p>
            <w:pPr>
              <w:spacing w:after="0"/>
              <w:rPr>
                <w:sz w:val="20"/>
                <w:szCs w:val="20"/>
                <w:color w:val="auto"/>
              </w:rPr>
            </w:pPr>
            <w:r>
              <w:rPr>
                <w:rFonts w:ascii="Arial" w:cs="Arial" w:eastAsia="Arial" w:hAnsi="Arial"/>
                <w:sz w:val="18"/>
                <w:szCs w:val="18"/>
                <w:b w:val="1"/>
                <w:bCs w:val="1"/>
                <w:color w:val="auto"/>
              </w:rPr>
              <w:t>Effect of cross-border tax laws</w:t>
            </w:r>
          </w:p>
        </w:tc>
        <w:tc>
          <w:tcPr>
            <w:tcW w:w="18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1383C6"/>
              </w:rPr>
              <w:t>367</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1383C6"/>
              </w:rPr>
              <w:t>(0.1)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405</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0"/>
        </w:trPr>
        <w:tc>
          <w:tcPr>
            <w:tcW w:w="3140" w:type="dxa"/>
            <w:vAlign w:val="bottom"/>
          </w:tcPr>
          <w:p>
            <w:pPr>
              <w:spacing w:after="0"/>
              <w:rPr>
                <w:sz w:val="20"/>
                <w:szCs w:val="20"/>
                <w:color w:val="auto"/>
              </w:rPr>
            </w:pPr>
            <w:r>
              <w:rPr>
                <w:rFonts w:ascii="Arial" w:cs="Arial" w:eastAsia="Arial" w:hAnsi="Arial"/>
                <w:sz w:val="18"/>
                <w:szCs w:val="18"/>
                <w:b w:val="1"/>
                <w:bCs w:val="1"/>
                <w:color w:val="auto"/>
              </w:rPr>
              <w:t>Changes in valuation allowance</w:t>
            </w:r>
          </w:p>
        </w:tc>
        <w:tc>
          <w:tcPr>
            <w:tcW w:w="18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1383C6"/>
              </w:rPr>
              <w:t>107,803</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1383C6"/>
              </w:rPr>
              <w:t>(19.7)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27,394</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(8.9)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55,413</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300"/>
        </w:trPr>
        <w:tc>
          <w:tcPr>
            <w:tcW w:w="314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1383C6"/>
              </w:rPr>
              <w:t>781</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1383C6"/>
              </w:rPr>
              <w:t>(0.1)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291</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1</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0"/>
        </w:trPr>
        <w:tc>
          <w:tcPr>
            <w:tcW w:w="3140" w:type="dxa"/>
            <w:vAlign w:val="bottom"/>
          </w:tcPr>
          <w:p>
            <w:pPr>
              <w:spacing w:after="0"/>
              <w:rPr>
                <w:sz w:val="20"/>
                <w:szCs w:val="20"/>
                <w:color w:val="auto"/>
              </w:rPr>
            </w:pPr>
            <w:r>
              <w:rPr>
                <w:rFonts w:ascii="Arial" w:cs="Arial" w:eastAsia="Arial" w:hAnsi="Arial"/>
                <w:sz w:val="18"/>
                <w:szCs w:val="18"/>
                <w:b w:val="1"/>
                <w:bCs w:val="1"/>
                <w:color w:val="auto"/>
              </w:rPr>
              <w:t>Foreign tax effects</w:t>
            </w:r>
          </w:p>
        </w:tc>
        <w:tc>
          <w:tcPr>
            <w:tcW w:w="18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1383C6"/>
              </w:rPr>
              <w:t>557</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1383C6"/>
              </w:rPr>
              <w:t>(0.1)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219</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362</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317"/>
        </w:trPr>
        <w:tc>
          <w:tcPr>
            <w:tcW w:w="3140" w:type="dxa"/>
            <w:vAlign w:val="bottom"/>
          </w:tcPr>
          <w:p>
            <w:pPr>
              <w:spacing w:after="0"/>
              <w:rPr>
                <w:sz w:val="20"/>
                <w:szCs w:val="20"/>
                <w:color w:val="auto"/>
              </w:rPr>
            </w:pPr>
            <w:r>
              <w:rPr>
                <w:rFonts w:ascii="Arial" w:cs="Arial" w:eastAsia="Arial" w:hAnsi="Arial"/>
                <w:sz w:val="18"/>
                <w:szCs w:val="18"/>
                <w:b w:val="1"/>
                <w:bCs w:val="1"/>
                <w:color w:val="auto"/>
                <w:w w:val="96"/>
              </w:rPr>
              <w:t>Changes in unrecognized tax benefits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1383C6"/>
              </w:rPr>
              <w:t>1,547</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1383C6"/>
              </w:rPr>
              <w:t>(0.3)</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3,122</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2,095</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60"/>
        </w:trPr>
        <w:tc>
          <w:tcPr>
            <w:tcW w:w="3140" w:type="dxa"/>
            <w:vAlign w:val="bottom"/>
          </w:tcPr>
          <w:p>
            <w:pPr>
              <w:spacing w:after="0"/>
              <w:rPr>
                <w:sz w:val="20"/>
                <w:szCs w:val="20"/>
                <w:color w:val="auto"/>
              </w:rPr>
            </w:pPr>
            <w:r>
              <w:rPr>
                <w:rFonts w:ascii="Arial" w:cs="Arial" w:eastAsia="Arial" w:hAnsi="Arial"/>
                <w:sz w:val="18"/>
                <w:szCs w:val="18"/>
                <w:b w:val="1"/>
                <w:bCs w:val="1"/>
                <w:color w:val="auto"/>
              </w:rPr>
              <w:t>Total effective tax rate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1383C6"/>
              </w:rPr>
              <w:t>318</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1383C6"/>
              </w:rPr>
              <w:t>(0.1)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316</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(11,424)</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-3193415</wp:posOffset>
            </wp:positionV>
            <wp:extent cx="4318000" cy="3213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298">
                      <a:extLst>
                        <a:ext uri="{28A0092B-C50C-407E-A947-70E740481C1C}"/>
                      </a:extLst>
                    </a:blip>
                    <a:srcRect/>
                    <a:stretch>
                      <a:fillRect/>
                    </a:stretch>
                  </pic:blipFill>
                  <pic:spPr bwMode="auto">
                    <a:xfrm>
                      <a:off x="0" y="0"/>
                      <a:ext cx="4318000" cy="3213100"/>
                    </a:xfrm>
                    <a:prstGeom prst="rect">
                      <a:avLst/>
                    </a:prstGeom>
                    <a:noFill/>
                  </pic:spPr>
                </pic:pic>
              </a:graphicData>
            </a:graphic>
          </wp:anchor>
        </w:drawing>
      </w:r>
    </w:p>
    <w:p>
      <w:pPr>
        <w:spacing w:after="0" w:line="17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For the years ended December 31, 2025, 2024 and 2023, state and local income taxes in California and Massachusetts comprise the majority of the state and local income taxes, net of federal effect category.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4878070</wp:posOffset>
                </wp:positionV>
                <wp:extent cx="7315200" cy="0"/>
                <wp:wrapNone/>
                <wp:docPr id="680" name="Shape 6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0" o:spid="_x0000_s17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84.1pt" to="535pt,38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4878070</wp:posOffset>
                </wp:positionV>
                <wp:extent cx="7315200" cy="0"/>
                <wp:wrapNone/>
                <wp:docPr id="681" name="Shape 6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81" o:spid="_x0000_s17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84.1pt" to="535pt,384.1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9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Deferred Tax Assets and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83" name="Shape 6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83" o:spid="_x0000_s17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30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our deferred tax assets for federal and state income taxes are as follows:</w:t>
      </w:r>
    </w:p>
    <w:p>
      <w:pPr>
        <w:spacing w:after="0" w:line="17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23495</wp:posOffset>
            </wp:positionV>
            <wp:extent cx="1746250" cy="36703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301">
                      <a:extLst>
                        <a:ext uri="{28A0092B-C50C-407E-A947-70E740481C1C}"/>
                      </a:extLst>
                    </a:blip>
                    <a:srcRect/>
                    <a:stretch>
                      <a:fillRect/>
                    </a:stretch>
                  </pic:blipFill>
                  <pic:spPr bwMode="auto">
                    <a:xfrm>
                      <a:off x="0" y="0"/>
                      <a:ext cx="1746250" cy="36703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71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63"/>
        </w:trPr>
        <w:tc>
          <w:tcPr>
            <w:tcW w:w="718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Net operating loss carryforwards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466,004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434,122</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Research and development credits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93,752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91,416</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Fixed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1,446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Capitalized research and experimental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68,647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73,281</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Accruals and reserves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14,077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10,506</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Cancellation of indebtedness income and interest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18,473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20,424</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Share-based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14,778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18,195</w:t>
            </w: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auto"/>
              </w:rPr>
              <w:t>Operating lease liability</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13,199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5,618</w:t>
            </w:r>
          </w:p>
        </w:tc>
      </w:tr>
      <w:tr>
        <w:trPr>
          <w:trHeight w:val="263"/>
        </w:trPr>
        <w:tc>
          <w:tcPr>
            <w:tcW w:w="7180" w:type="dxa"/>
            <w:vAlign w:val="bottom"/>
          </w:tcPr>
          <w:p>
            <w:pPr>
              <w:spacing w:after="0"/>
              <w:rPr>
                <w:sz w:val="20"/>
                <w:szCs w:val="20"/>
                <w:color w:val="auto"/>
              </w:rPr>
            </w:pPr>
            <w:r>
              <w:rPr>
                <w:rFonts w:ascii="Arial" w:cs="Arial" w:eastAsia="Arial" w:hAnsi="Arial"/>
                <w:sz w:val="18"/>
                <w:szCs w:val="18"/>
                <w:b w:val="1"/>
                <w:bCs w:val="1"/>
                <w:color w:val="auto"/>
              </w:rPr>
              <w:t>Total deferred tax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690,376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653,562</w:t>
            </w: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auto"/>
              </w:rPr>
              <w:t>Less: Valuation allowance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(678,952)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(558,794)</w:t>
            </w:r>
          </w:p>
        </w:tc>
      </w:tr>
      <w:tr>
        <w:trPr>
          <w:trHeight w:val="263"/>
        </w:trPr>
        <w:tc>
          <w:tcPr>
            <w:tcW w:w="7180" w:type="dxa"/>
            <w:vAlign w:val="bottom"/>
          </w:tcPr>
          <w:p>
            <w:pPr>
              <w:ind w:left="100"/>
              <w:spacing w:after="0"/>
              <w:rPr>
                <w:sz w:val="20"/>
                <w:szCs w:val="20"/>
                <w:color w:val="auto"/>
              </w:rPr>
            </w:pPr>
            <w:r>
              <w:rPr>
                <w:rFonts w:ascii="Arial" w:cs="Arial" w:eastAsia="Arial" w:hAnsi="Arial"/>
                <w:sz w:val="18"/>
                <w:szCs w:val="18"/>
                <w:b w:val="1"/>
                <w:bCs w:val="1"/>
                <w:color w:val="auto"/>
              </w:rPr>
              <w:t>Total deferred tax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11,424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94,768</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Intangibles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(1,810)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(91,504)</w:t>
            </w: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auto"/>
              </w:rPr>
              <w:t>Fixed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(261)</w:t>
            </w: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auto"/>
              </w:rPr>
              <w:t>Operating lease right-of-use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(9,614)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(3,549)</w:t>
            </w:r>
          </w:p>
        </w:tc>
      </w:tr>
      <w:tr>
        <w:trPr>
          <w:trHeight w:val="280"/>
        </w:trPr>
        <w:tc>
          <w:tcPr>
            <w:tcW w:w="7180" w:type="dxa"/>
            <w:vAlign w:val="bottom"/>
          </w:tcPr>
          <w:p>
            <w:pPr>
              <w:ind w:left="100"/>
              <w:spacing w:after="0"/>
              <w:rPr>
                <w:sz w:val="20"/>
                <w:szCs w:val="20"/>
                <w:color w:val="auto"/>
              </w:rPr>
            </w:pPr>
            <w:r>
              <w:rPr>
                <w:rFonts w:ascii="Arial" w:cs="Arial" w:eastAsia="Arial" w:hAnsi="Arial"/>
                <w:sz w:val="18"/>
                <w:szCs w:val="18"/>
                <w:b w:val="1"/>
                <w:bCs w:val="1"/>
                <w:color w:val="auto"/>
              </w:rPr>
              <w:t>Total deferred tax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(11,424)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(95,314)</w:t>
            </w:r>
          </w:p>
        </w:tc>
      </w:tr>
      <w:tr>
        <w:trPr>
          <w:trHeight w:val="260"/>
        </w:trPr>
        <w:tc>
          <w:tcPr>
            <w:tcW w:w="7180" w:type="dxa"/>
            <w:vAlign w:val="bottom"/>
          </w:tcPr>
          <w:p>
            <w:pPr>
              <w:ind w:left="180"/>
              <w:spacing w:after="0"/>
              <w:rPr>
                <w:sz w:val="20"/>
                <w:szCs w:val="20"/>
                <w:color w:val="auto"/>
              </w:rPr>
            </w:pPr>
            <w:r>
              <w:rPr>
                <w:rFonts w:ascii="Arial" w:cs="Arial" w:eastAsia="Arial" w:hAnsi="Arial"/>
                <w:sz w:val="18"/>
                <w:szCs w:val="18"/>
                <w:b w:val="1"/>
                <w:bCs w:val="1"/>
                <w:color w:val="auto"/>
              </w:rPr>
              <w:t>Deferred tax liabilities, net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(546)</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At December 31, 2025, we maintained a valuation allowance against our net deferred tax assets which totaled $679.0 million, including net operating loss carryforwards and research and development credits of $466.0 million and $93.8 million, respectively.</w:t>
      </w:r>
    </w:p>
    <w:p>
      <w:pPr>
        <w:spacing w:after="0" w:line="70" w:lineRule="exact"/>
        <w:rPr>
          <w:sz w:val="20"/>
          <w:szCs w:val="20"/>
          <w:color w:val="auto"/>
        </w:rPr>
      </w:pPr>
    </w:p>
    <w:p>
      <w:pPr>
        <w:jc w:val="both"/>
        <w:ind w:right="700"/>
        <w:spacing w:after="0" w:line="254" w:lineRule="auto"/>
        <w:rPr>
          <w:sz w:val="20"/>
          <w:szCs w:val="20"/>
          <w:color w:val="auto"/>
        </w:rPr>
      </w:pPr>
      <w:r>
        <w:rPr>
          <w:rFonts w:ascii="Arial" w:cs="Arial" w:eastAsia="Arial" w:hAnsi="Arial"/>
          <w:sz w:val="20"/>
          <w:szCs w:val="20"/>
          <w:b w:val="1"/>
          <w:bCs w:val="1"/>
          <w:color w:val="auto"/>
        </w:rPr>
        <w:t>A valuation allowance is recorded when it is more likely than not that all or some portion of the deferred income tax assets will not be realized. We regularly assess the need for a valuation allowance against our deferred income tax assets by considering both positive and negative evidence related to whether it is more likely than not that our deferred income tax assets will be realized. In evaluating our ability to recover our deferred income tax assets within the jurisdiction from which they arise, we consider all available positive and negative evidence, including scheduled reversals of deferred income tax liabilities, projected future taxable income, tax-planning strategies, and results of recent operations. We maintain a valuation allowance on the net deferred tax assets of our U.S. entities as we have concluded that it is more likely than not that we will not realize our deferred tax assets.</w:t>
      </w:r>
    </w:p>
    <w:p>
      <w:pPr>
        <w:spacing w:after="0" w:line="89" w:lineRule="exact"/>
        <w:rPr>
          <w:sz w:val="20"/>
          <w:szCs w:val="20"/>
          <w:color w:val="auto"/>
        </w:rPr>
      </w:pPr>
    </w:p>
    <w:p>
      <w:pPr>
        <w:jc w:val="both"/>
        <w:ind w:right="680"/>
        <w:spacing w:after="0" w:line="257" w:lineRule="auto"/>
        <w:rPr>
          <w:sz w:val="20"/>
          <w:szCs w:val="20"/>
          <w:color w:val="auto"/>
        </w:rPr>
      </w:pPr>
      <w:r>
        <w:rPr>
          <w:rFonts w:ascii="Arial" w:cs="Arial" w:eastAsia="Arial" w:hAnsi="Arial"/>
          <w:sz w:val="20"/>
          <w:szCs w:val="20"/>
          <w:b w:val="1"/>
          <w:bCs w:val="1"/>
          <w:color w:val="auto"/>
        </w:rPr>
        <w:t>For the year ended December 31, 2025, the Company's valuation allowance increased to $679.0 million, primarily because of an increase in our net operating losses and credits that were fully offset by a valuation allowance. For the year ended December 31, 2024, the Company's valuation allowance increased to $558.8 million, primarily because of an increase in our credits and capitalized research and experimental expenses that were fully offset by a valuation allowance. The change in valuation allowance of $120.2 million was charged to continuing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1222375</wp:posOffset>
                </wp:positionV>
                <wp:extent cx="7315200" cy="0"/>
                <wp:wrapNone/>
                <wp:docPr id="686" name="Shape 6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6" o:spid="_x0000_s17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6.25pt" to="535pt,96.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1222375</wp:posOffset>
                </wp:positionV>
                <wp:extent cx="7315200" cy="0"/>
                <wp:wrapNone/>
                <wp:docPr id="687" name="Shape 6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87" o:spid="_x0000_s17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6.25pt" to="535pt,96.2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30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Net Operating Loss and Tax Credit Carryforwards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89" name="Shape 6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89" o:spid="_x0000_s17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30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6" w:lineRule="auto"/>
        <w:rPr>
          <w:sz w:val="20"/>
          <w:szCs w:val="20"/>
          <w:color w:val="auto"/>
        </w:rPr>
      </w:pPr>
      <w:r>
        <w:rPr>
          <w:rFonts w:ascii="Arial" w:cs="Arial" w:eastAsia="Arial" w:hAnsi="Arial"/>
          <w:sz w:val="20"/>
          <w:szCs w:val="20"/>
          <w:b w:val="1"/>
          <w:bCs w:val="1"/>
          <w:color w:val="auto"/>
        </w:rPr>
        <w:t>As of December 31, 2025, we had a net operating loss carryforward for federal income tax purposes of approximately $1,844.8 million, of which $779.3 million is subject to annual expirations beginning in 2026. We had a total state net operating loss carryforward of approximately $1,222.9 million, which is subject to annual expirations. Utilization of some of the federal and state net operating loss and credit carryforwards are subject to annual limitations due to the “change in ownership” provisions of the Internal Revenue Code of 1986 and similar state provisions. The annual limitations may result in the expiration of net operating losses and credits before utilization.</w:t>
      </w:r>
    </w:p>
    <w:p>
      <w:pPr>
        <w:spacing w:after="0" w:line="83"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We have federal credits of approximately $66.1 million, a portion of which will begin to expire in 2026 if not utilized and state research credits of approximately $57.3 million, which have no expiration date. These tax credits are subject to the same limitations discussed above.</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Unrecognized Tax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91" name="Shape 6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91" o:spid="_x0000_s17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30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As of December 31, 2025, our total unrecognized tax benefit was $19.2 million. A reconciliation of the beginning and ending unrecognized tax benefit balance is as follows: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5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1"/>
        </w:trPr>
        <w:tc>
          <w:tcPr>
            <w:tcW w:w="8540" w:type="dxa"/>
            <w:vAlign w:val="bottom"/>
          </w:tcPr>
          <w:p>
            <w:pPr>
              <w:spacing w:after="0"/>
              <w:rPr>
                <w:sz w:val="20"/>
                <w:szCs w:val="20"/>
                <w:color w:val="auto"/>
              </w:rPr>
            </w:pPr>
            <w:r>
              <w:rPr>
                <w:rFonts w:ascii="Arial" w:cs="Arial" w:eastAsia="Arial" w:hAnsi="Arial"/>
                <w:sz w:val="18"/>
                <w:szCs w:val="18"/>
                <w:b w:val="1"/>
                <w:bCs w:val="1"/>
                <w:color w:val="auto"/>
              </w:rPr>
              <w:t>Balance as of December 31, 2022</w:t>
            </w:r>
          </w:p>
        </w:tc>
        <w:tc>
          <w:tcPr>
            <w:tcW w:w="4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10,410</w:t>
            </w:r>
          </w:p>
        </w:tc>
      </w:tr>
      <w:tr>
        <w:trPr>
          <w:trHeight w:val="300"/>
        </w:trPr>
        <w:tc>
          <w:tcPr>
            <w:tcW w:w="8540" w:type="dxa"/>
            <w:vAlign w:val="bottom"/>
          </w:tcPr>
          <w:p>
            <w:pPr>
              <w:ind w:left="360"/>
              <w:spacing w:after="0"/>
              <w:rPr>
                <w:sz w:val="20"/>
                <w:szCs w:val="20"/>
                <w:color w:val="auto"/>
              </w:rPr>
            </w:pPr>
            <w:r>
              <w:rPr>
                <w:rFonts w:ascii="Arial" w:cs="Arial" w:eastAsia="Arial" w:hAnsi="Arial"/>
                <w:sz w:val="18"/>
                <w:szCs w:val="18"/>
                <w:b w:val="1"/>
                <w:bCs w:val="1"/>
                <w:color w:val="auto"/>
              </w:rPr>
              <w:t>Increase in balance related to tax positions taken in prior year</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2,044</w:t>
            </w:r>
          </w:p>
        </w:tc>
      </w:tr>
      <w:tr>
        <w:trPr>
          <w:trHeight w:val="317"/>
        </w:trPr>
        <w:tc>
          <w:tcPr>
            <w:tcW w:w="8540" w:type="dxa"/>
            <w:vAlign w:val="bottom"/>
          </w:tcPr>
          <w:p>
            <w:pPr>
              <w:ind w:left="360"/>
              <w:spacing w:after="0"/>
              <w:rPr>
                <w:sz w:val="20"/>
                <w:szCs w:val="20"/>
                <w:color w:val="auto"/>
              </w:rPr>
            </w:pPr>
            <w:r>
              <w:rPr>
                <w:rFonts w:ascii="Arial" w:cs="Arial" w:eastAsia="Arial" w:hAnsi="Arial"/>
                <w:sz w:val="18"/>
                <w:szCs w:val="18"/>
                <w:b w:val="1"/>
                <w:bCs w:val="1"/>
                <w:color w:val="auto"/>
              </w:rPr>
              <w:t>Increase in balance related to tax positions taken during current year</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2,100</w:t>
            </w:r>
          </w:p>
        </w:tc>
      </w:tr>
      <w:tr>
        <w:trPr>
          <w:trHeight w:val="263"/>
        </w:trPr>
        <w:tc>
          <w:tcPr>
            <w:tcW w:w="8540" w:type="dxa"/>
            <w:vAlign w:val="bottom"/>
          </w:tcPr>
          <w:p>
            <w:pPr>
              <w:spacing w:after="0"/>
              <w:rPr>
                <w:sz w:val="20"/>
                <w:szCs w:val="20"/>
                <w:color w:val="auto"/>
              </w:rPr>
            </w:pPr>
            <w:r>
              <w:rPr>
                <w:rFonts w:ascii="Arial" w:cs="Arial" w:eastAsia="Arial" w:hAnsi="Arial"/>
                <w:sz w:val="18"/>
                <w:szCs w:val="18"/>
                <w:b w:val="1"/>
                <w:bCs w:val="1"/>
                <w:color w:val="auto"/>
              </w:rPr>
              <w:t>Balance as of December 31, 2023</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14,554</w:t>
            </w:r>
          </w:p>
        </w:tc>
      </w:tr>
      <w:tr>
        <w:trPr>
          <w:trHeight w:val="300"/>
        </w:trPr>
        <w:tc>
          <w:tcPr>
            <w:tcW w:w="8540" w:type="dxa"/>
            <w:vAlign w:val="bottom"/>
          </w:tcPr>
          <w:p>
            <w:pPr>
              <w:ind w:left="360"/>
              <w:spacing w:after="0"/>
              <w:rPr>
                <w:sz w:val="20"/>
                <w:szCs w:val="20"/>
                <w:color w:val="auto"/>
              </w:rPr>
            </w:pPr>
            <w:r>
              <w:rPr>
                <w:rFonts w:ascii="Arial" w:cs="Arial" w:eastAsia="Arial" w:hAnsi="Arial"/>
                <w:sz w:val="18"/>
                <w:szCs w:val="18"/>
                <w:b w:val="1"/>
                <w:bCs w:val="1"/>
                <w:color w:val="auto"/>
              </w:rPr>
              <w:t>Decrease in balance related to tax positions taken in prior year</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17"/>
        </w:trPr>
        <w:tc>
          <w:tcPr>
            <w:tcW w:w="8540" w:type="dxa"/>
            <w:vAlign w:val="bottom"/>
          </w:tcPr>
          <w:p>
            <w:pPr>
              <w:ind w:left="360"/>
              <w:spacing w:after="0"/>
              <w:rPr>
                <w:sz w:val="20"/>
                <w:szCs w:val="20"/>
                <w:color w:val="auto"/>
              </w:rPr>
            </w:pPr>
            <w:r>
              <w:rPr>
                <w:rFonts w:ascii="Arial" w:cs="Arial" w:eastAsia="Arial" w:hAnsi="Arial"/>
                <w:sz w:val="18"/>
                <w:szCs w:val="18"/>
                <w:b w:val="1"/>
                <w:bCs w:val="1"/>
                <w:color w:val="auto"/>
              </w:rPr>
              <w:t>Increase in balance related to tax positions taken during current year</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3,128</w:t>
            </w:r>
          </w:p>
        </w:tc>
      </w:tr>
      <w:tr>
        <w:trPr>
          <w:trHeight w:val="263"/>
        </w:trPr>
        <w:tc>
          <w:tcPr>
            <w:tcW w:w="8540" w:type="dxa"/>
            <w:vAlign w:val="bottom"/>
          </w:tcPr>
          <w:p>
            <w:pPr>
              <w:spacing w:after="0"/>
              <w:rPr>
                <w:sz w:val="20"/>
                <w:szCs w:val="20"/>
                <w:color w:val="auto"/>
              </w:rPr>
            </w:pPr>
            <w:r>
              <w:rPr>
                <w:rFonts w:ascii="Arial" w:cs="Arial" w:eastAsia="Arial" w:hAnsi="Arial"/>
                <w:sz w:val="18"/>
                <w:szCs w:val="18"/>
                <w:b w:val="1"/>
                <w:bCs w:val="1"/>
                <w:color w:val="auto"/>
              </w:rPr>
              <w:t>Balance as of December 31, 2024</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17,676</w:t>
            </w:r>
          </w:p>
        </w:tc>
      </w:tr>
      <w:tr>
        <w:trPr>
          <w:trHeight w:val="300"/>
        </w:trPr>
        <w:tc>
          <w:tcPr>
            <w:tcW w:w="8540" w:type="dxa"/>
            <w:vAlign w:val="bottom"/>
          </w:tcPr>
          <w:p>
            <w:pPr>
              <w:ind w:left="360"/>
              <w:spacing w:after="0"/>
              <w:rPr>
                <w:sz w:val="20"/>
                <w:szCs w:val="20"/>
                <w:color w:val="auto"/>
              </w:rPr>
            </w:pPr>
            <w:r>
              <w:rPr>
                <w:rFonts w:ascii="Arial" w:cs="Arial" w:eastAsia="Arial" w:hAnsi="Arial"/>
                <w:sz w:val="18"/>
                <w:szCs w:val="18"/>
                <w:b w:val="1"/>
                <w:bCs w:val="1"/>
                <w:color w:val="1383C6"/>
              </w:rPr>
              <w:t>Decrease in balance related to tax positions taken in prior year</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1383C6"/>
              </w:rPr>
              <w:t>(14)</w:t>
            </w:r>
          </w:p>
        </w:tc>
      </w:tr>
      <w:tr>
        <w:trPr>
          <w:trHeight w:val="317"/>
        </w:trPr>
        <w:tc>
          <w:tcPr>
            <w:tcW w:w="8540" w:type="dxa"/>
            <w:vAlign w:val="bottom"/>
          </w:tcPr>
          <w:p>
            <w:pPr>
              <w:ind w:left="360"/>
              <w:spacing w:after="0"/>
              <w:rPr>
                <w:sz w:val="20"/>
                <w:szCs w:val="20"/>
                <w:color w:val="auto"/>
              </w:rPr>
            </w:pPr>
            <w:r>
              <w:rPr>
                <w:rFonts w:ascii="Arial" w:cs="Arial" w:eastAsia="Arial" w:hAnsi="Arial"/>
                <w:sz w:val="18"/>
                <w:szCs w:val="18"/>
                <w:b w:val="1"/>
                <w:bCs w:val="1"/>
                <w:color w:val="1383C6"/>
              </w:rPr>
              <w:t>Increase in balance related to tax positions taken during current year</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1,562</w:t>
            </w:r>
          </w:p>
        </w:tc>
      </w:tr>
      <w:tr>
        <w:trPr>
          <w:trHeight w:val="260"/>
        </w:trPr>
        <w:tc>
          <w:tcPr>
            <w:tcW w:w="8540" w:type="dxa"/>
            <w:vAlign w:val="bottom"/>
          </w:tcPr>
          <w:p>
            <w:pPr>
              <w:spacing w:after="0"/>
              <w:rPr>
                <w:sz w:val="20"/>
                <w:szCs w:val="20"/>
                <w:color w:val="auto"/>
              </w:rPr>
            </w:pPr>
            <w:r>
              <w:rPr>
                <w:rFonts w:ascii="Arial" w:cs="Arial" w:eastAsia="Arial" w:hAnsi="Arial"/>
                <w:sz w:val="18"/>
                <w:szCs w:val="18"/>
                <w:b w:val="1"/>
                <w:bCs w:val="1"/>
                <w:color w:val="1383C6"/>
              </w:rPr>
              <w:t>Balance as of December 31, 2025</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1383C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19,224</w:t>
            </w:r>
          </w:p>
        </w:tc>
      </w:tr>
      <w:tr>
        <w:trPr>
          <w:trHeight w:val="20"/>
        </w:trPr>
        <w:tc>
          <w:tcPr>
            <w:tcW w:w="8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305">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110" w:lineRule="exact"/>
        <w:rPr>
          <w:sz w:val="20"/>
          <w:szCs w:val="20"/>
          <w:color w:val="auto"/>
        </w:rPr>
      </w:pPr>
    </w:p>
    <w:p>
      <w:pPr>
        <w:jc w:val="both"/>
        <w:ind w:right="680"/>
        <w:spacing w:after="0" w:line="254" w:lineRule="auto"/>
        <w:rPr>
          <w:sz w:val="20"/>
          <w:szCs w:val="20"/>
          <w:color w:val="auto"/>
        </w:rPr>
      </w:pPr>
      <w:r>
        <w:rPr>
          <w:rFonts w:ascii="Arial" w:cs="Arial" w:eastAsia="Arial" w:hAnsi="Arial"/>
          <w:sz w:val="20"/>
          <w:szCs w:val="20"/>
          <w:b w:val="1"/>
          <w:bCs w:val="1"/>
          <w:color w:val="auto"/>
        </w:rPr>
        <w:t>Our practice is to recognize interest and/or penalties related to income tax matters in income tax expense. As of December 31, 2025 and 2024, we had no accrued interest or penalties due to our net operating losses available to offset any tax adjustment. If total unrecognized tax benefits were realized in the future, it would not result in any tax benefit as we currently have a full valuation allowance. We file U.S. federal and various state income tax returns. For U.S. federal and state income tax purposes, the statute of limitations currently remains open for the years ending December 31, 2022 to present and December 31, 2021 to present, respectively. In addition, all of the net operating losses and research and development credit carryforwards that may be utilized in future years may be subject to examination. We are not currently under examination by income tax authorities in any jurisdiction.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2707005</wp:posOffset>
                </wp:positionV>
                <wp:extent cx="7315200" cy="0"/>
                <wp:wrapNone/>
                <wp:docPr id="694" name="Shape 6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4" o:spid="_x0000_s17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3.15pt" to="535pt,213.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2707005</wp:posOffset>
                </wp:positionV>
                <wp:extent cx="7315200" cy="0"/>
                <wp:wrapNone/>
                <wp:docPr id="695" name="Shape 6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695" o:spid="_x0000_s17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3.15pt" to="535pt,213.1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30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Income Taxes Paid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697" name="Shape 6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697" o:spid="_x0000_s17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307">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 paid net of refunds received exceeding 5% of the annual total by jurisdiction:</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23495</wp:posOffset>
            </wp:positionV>
            <wp:extent cx="2613025" cy="27368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308">
                      <a:extLst>
                        <a:ext uri="{28A0092B-C50C-407E-A947-70E740481C1C}"/>
                      </a:extLst>
                    </a:blip>
                    <a:srcRect/>
                    <a:stretch>
                      <a:fillRect/>
                    </a:stretch>
                  </pic:blipFill>
                  <pic:spPr bwMode="auto">
                    <a:xfrm>
                      <a:off x="0" y="0"/>
                      <a:ext cx="2613025" cy="2736850"/>
                    </a:xfrm>
                    <a:prstGeom prst="rect">
                      <a:avLst/>
                    </a:prstGeom>
                    <a:noFill/>
                  </pic:spPr>
                </pic:pic>
              </a:graphicData>
            </a:graphic>
          </wp:anchor>
        </w:drawing>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48"/>
        </w:trPr>
        <w:tc>
          <w:tcPr>
            <w:tcW w:w="5820" w:type="dxa"/>
            <w:vAlign w:val="bottom"/>
          </w:tcPr>
          <w:p>
            <w:pPr>
              <w:spacing w:after="0"/>
              <w:rPr>
                <w:sz w:val="20"/>
                <w:szCs w:val="20"/>
                <w:color w:val="auto"/>
              </w:rPr>
            </w:pPr>
            <w:r>
              <w:rPr>
                <w:rFonts w:ascii="Arial" w:cs="Arial" w:eastAsia="Arial" w:hAnsi="Arial"/>
                <w:sz w:val="18"/>
                <w:szCs w:val="18"/>
                <w:b w:val="1"/>
                <w:bCs w:val="1"/>
                <w:color w:val="auto"/>
              </w:rPr>
              <w:t>U.S. Federal</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5"/>
        </w:trPr>
        <w:tc>
          <w:tcPr>
            <w:tcW w:w="5820" w:type="dxa"/>
            <w:vAlign w:val="bottom"/>
          </w:tcPr>
          <w:p>
            <w:pPr>
              <w:spacing w:after="0"/>
              <w:rPr>
                <w:sz w:val="20"/>
                <w:szCs w:val="20"/>
                <w:color w:val="auto"/>
              </w:rPr>
            </w:pPr>
            <w:r>
              <w:rPr>
                <w:rFonts w:ascii="Arial" w:cs="Arial" w:eastAsia="Arial" w:hAnsi="Arial"/>
                <w:sz w:val="18"/>
                <w:szCs w:val="18"/>
                <w:b w:val="1"/>
                <w:bCs w:val="1"/>
                <w:color w:val="auto"/>
              </w:rPr>
              <w:t>U.S. State and Local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5"/>
        </w:trPr>
        <w:tc>
          <w:tcPr>
            <w:tcW w:w="5820" w:type="dxa"/>
            <w:vAlign w:val="bottom"/>
          </w:tcPr>
          <w:p>
            <w:pPr>
              <w:spacing w:after="0"/>
              <w:rPr>
                <w:sz w:val="20"/>
                <w:szCs w:val="20"/>
                <w:color w:val="auto"/>
              </w:rPr>
            </w:pPr>
            <w:r>
              <w:rPr>
                <w:rFonts w:ascii="Arial" w:cs="Arial" w:eastAsia="Arial" w:hAnsi="Arial"/>
                <w:sz w:val="18"/>
                <w:szCs w:val="18"/>
                <w:b w:val="1"/>
                <w:bCs w:val="1"/>
                <w:color w:val="auto"/>
              </w:rPr>
              <w:t>Foreign: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Canada</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285"/>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China</w:t>
            </w:r>
          </w:p>
        </w:tc>
        <w:tc>
          <w:tcPr>
            <w:tcW w:w="30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15"/>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Germany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52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r>
        <w:trPr>
          <w:trHeight w:val="315"/>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Japan</w:t>
            </w:r>
          </w:p>
        </w:tc>
        <w:tc>
          <w:tcPr>
            <w:tcW w:w="30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15"/>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Netherlands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88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r>
      <w:tr>
        <w:trPr>
          <w:trHeight w:val="315"/>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Taiwan</w:t>
            </w:r>
          </w:p>
        </w:tc>
        <w:tc>
          <w:tcPr>
            <w:tcW w:w="30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15"/>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United Kingdom</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277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332"/>
        </w:trPr>
        <w:tc>
          <w:tcPr>
            <w:tcW w:w="5820" w:type="dxa"/>
            <w:vAlign w:val="bottom"/>
          </w:tcPr>
          <w:p>
            <w:pPr>
              <w:ind w:left="120"/>
              <w:spacing w:after="0"/>
              <w:rPr>
                <w:sz w:val="20"/>
                <w:szCs w:val="20"/>
                <w:color w:val="auto"/>
              </w:rPr>
            </w:pPr>
            <w:r>
              <w:rPr>
                <w:rFonts w:ascii="Arial" w:cs="Arial" w:eastAsia="Arial" w:hAnsi="Arial"/>
                <w:sz w:val="18"/>
                <w:szCs w:val="18"/>
                <w:b w:val="1"/>
                <w:bCs w:val="1"/>
                <w:color w:val="auto"/>
              </w:rPr>
              <w:t>Other foreign jurisdictions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r>
      <w:tr>
        <w:trPr>
          <w:trHeight w:val="295"/>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481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r>
      <w:tr>
        <w:trPr>
          <w:trHeight w:val="275"/>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income taxes paid</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481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140</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Income tax paid net of refunds received did not exceed 5% of the annual total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213360</wp:posOffset>
            </wp:positionV>
            <wp:extent cx="6311900" cy="2444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309">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9. STOCKHOLDERS' EQUITY</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Common and Preferred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01" name="Shape 7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01" o:spid="_x0000_s17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31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2" w:lineRule="auto"/>
        <w:rPr>
          <w:sz w:val="20"/>
          <w:szCs w:val="20"/>
          <w:color w:val="auto"/>
        </w:rPr>
      </w:pPr>
      <w:r>
        <w:rPr>
          <w:rFonts w:ascii="Arial" w:cs="Arial" w:eastAsia="Arial" w:hAnsi="Arial"/>
          <w:sz w:val="20"/>
          <w:szCs w:val="20"/>
          <w:b w:val="1"/>
          <w:bCs w:val="1"/>
          <w:color w:val="auto"/>
        </w:rPr>
        <w:t>Our Certificate of Incorporation, as amended and restated in 2010 in connection with the closing of our initial public offering, authorizes us to issue 1,000,000,000 shares of $0.001 par value common stock and 50,000,000 shares of $0.001 par value preferred stock. As of December 31, 2025 and 2024, there were no shares of preferred stock issued or outstanding.</w:t>
      </w:r>
    </w:p>
    <w:p>
      <w:pPr>
        <w:spacing w:after="0" w:line="76" w:lineRule="exact"/>
        <w:rPr>
          <w:sz w:val="20"/>
          <w:szCs w:val="20"/>
          <w:color w:val="auto"/>
        </w:rPr>
      </w:pPr>
    </w:p>
    <w:p>
      <w:pPr>
        <w:jc w:val="both"/>
        <w:ind w:right="700"/>
        <w:spacing w:after="0" w:line="313" w:lineRule="auto"/>
        <w:rPr>
          <w:sz w:val="20"/>
          <w:szCs w:val="20"/>
          <w:color w:val="auto"/>
        </w:rPr>
      </w:pPr>
      <w:r>
        <w:rPr>
          <w:rFonts w:ascii="Arial" w:cs="Arial" w:eastAsia="Arial" w:hAnsi="Arial"/>
          <w:sz w:val="19"/>
          <w:szCs w:val="19"/>
          <w:b w:val="1"/>
          <w:bCs w:val="1"/>
          <w:color w:val="auto"/>
        </w:rPr>
        <w:t>Common stockholders are entitled to dividends when and if declared by our board of directors. There have been no dividends declared to date. The holder of each share of common stock is entitled to one vote.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Underwritten Public Equity Offerings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03" name="Shape 7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03" o:spid="_x0000_s17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311">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54" w:lineRule="auto"/>
        <w:rPr>
          <w:sz w:val="20"/>
          <w:szCs w:val="20"/>
          <w:color w:val="auto"/>
        </w:rPr>
      </w:pPr>
      <w:r>
        <w:rPr>
          <w:rFonts w:ascii="Arial" w:cs="Arial" w:eastAsia="Arial" w:hAnsi="Arial"/>
          <w:sz w:val="20"/>
          <w:szCs w:val="20"/>
          <w:b w:val="1"/>
          <w:bCs w:val="1"/>
          <w:color w:val="auto"/>
        </w:rPr>
        <w:t>In January 2023, we entered into an underwriting agreement, relating to the public offering of 17.5 million shares of our common stock, $0.001 par value per share, at a price to the public of $10.00 per share. Under the terms of the underwriting agreement, we also granted the underwriters a 30-day option to purchase up to an additional 2.6 million shares of our common stock, which was subsequently exercised in full, and the offering, including the sale of shares of common stock subject to the underwriters' option, closed in January 2023. In total, we sold 20.1 million shares of our common stock. We paid a commission equal to 5.75% of the gross proceeds from the sale of shares of our common stock. The total net proceeds to us from the offering after deducting the underwriting discount were approximately $189.7 million, excluding approximately $0.5 million of offering expenses.</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Equity Plans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05" name="Shape 7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05" o:spid="_x0000_s17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312">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94" w:lineRule="auto"/>
        <w:rPr>
          <w:sz w:val="20"/>
          <w:szCs w:val="20"/>
          <w:color w:val="auto"/>
        </w:rPr>
      </w:pPr>
      <w:r>
        <w:rPr>
          <w:rFonts w:ascii="Arial" w:cs="Arial" w:eastAsia="Arial" w:hAnsi="Arial"/>
          <w:sz w:val="18"/>
          <w:szCs w:val="18"/>
          <w:b w:val="1"/>
          <w:bCs w:val="1"/>
          <w:color w:val="auto"/>
        </w:rPr>
        <w:t>The 2020 Equity Incentive Plan (the “2020 Plan”), the 2020 Inducement Equity Incentive Plan (the “Inducement Plan”), and the 2021 adopted Omniome Equity Incentive Plan of Pacific Biosciences of California, Inc. (the “Omniome Plan”) allow for the issuance of stock options, restricted units and awards, and performance-based awards. The 2010 Employee Stock Purchase Plan (the “ESPP”) allows eligible employees to acquire common stock at a discounted price through payroll deductions during designated offering periods.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398780</wp:posOffset>
                </wp:positionV>
                <wp:extent cx="7315200" cy="0"/>
                <wp:wrapNone/>
                <wp:docPr id="707" name="Shape 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7" o:spid="_x0000_s17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1.4pt" to="535pt,31.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398780</wp:posOffset>
                </wp:positionV>
                <wp:extent cx="7315200" cy="0"/>
                <wp:wrapNone/>
                <wp:docPr id="708" name="Shape 7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08" o:spid="_x0000_s17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1.4pt" to="535pt,31.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313">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26" w:name="page127"/>
    <w:bookmarkEnd w:id="12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color w:val="auto"/>
        </w:rPr>
        <w:t>On June 18, 2024, our stockholders approved an amendment to the 2020 Plan, and we reserved an additional 20.0 million shares of our common stock for issuance pursuant to equity awards granted under the 2020 Plan.</w:t>
      </w:r>
    </w:p>
    <w:p>
      <w:pPr>
        <w:spacing w:after="0" w:line="8"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color w:val="auto"/>
        </w:rPr>
        <w:t>On June 4, 2025, our stockholders approved an amendment to the 2020 Plan, and we reserved an additional 23.0 million shares of our common stock for issuance pursuant to equity awards granted under the 2020 Plan.</w:t>
      </w:r>
    </w:p>
    <w:p>
      <w:pPr>
        <w:spacing w:after="0" w:line="8" w:lineRule="exact"/>
        <w:rPr>
          <w:sz w:val="20"/>
          <w:szCs w:val="20"/>
          <w:color w:val="auto"/>
        </w:rPr>
      </w:pPr>
    </w:p>
    <w:p>
      <w:pPr>
        <w:jc w:val="both"/>
        <w:ind w:right="700"/>
        <w:spacing w:after="0" w:line="311" w:lineRule="auto"/>
        <w:rPr>
          <w:sz w:val="20"/>
          <w:szCs w:val="20"/>
          <w:color w:val="auto"/>
        </w:rPr>
      </w:pPr>
      <w:r>
        <w:rPr>
          <w:rFonts w:ascii="Arial" w:cs="Arial" w:eastAsia="Arial" w:hAnsi="Arial"/>
          <w:sz w:val="18"/>
          <w:szCs w:val="18"/>
          <w:b w:val="1"/>
          <w:bCs w:val="1"/>
          <w:color w:val="auto"/>
        </w:rPr>
        <w:t>As of December 31, 2025, we had 38.6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Stock Options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10" name="Shape 7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10" o:spid="_x0000_s17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31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summarizes stock option activity for time-based awards: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Weighted-</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10"/>
              <w:spacing w:after="0" w:line="180" w:lineRule="exact"/>
              <w:rPr>
                <w:sz w:val="20"/>
                <w:szCs w:val="20"/>
                <w:color w:val="auto"/>
              </w:rPr>
            </w:pPr>
            <w:r>
              <w:rPr>
                <w:rFonts w:ascii="Arial" w:cs="Arial" w:eastAsia="Arial" w:hAnsi="Arial"/>
                <w:sz w:val="18"/>
                <w:szCs w:val="18"/>
                <w:b w:val="1"/>
                <w:bCs w:val="1"/>
                <w:color w:val="auto"/>
                <w:w w:val="93"/>
              </w:rPr>
              <w:t>average</w:t>
            </w:r>
          </w:p>
        </w:tc>
        <w:tc>
          <w:tcPr>
            <w:tcW w:w="0" w:type="dxa"/>
            <w:vAlign w:val="bottom"/>
          </w:tcPr>
          <w:p>
            <w:pPr>
              <w:spacing w:after="0"/>
              <w:rPr>
                <w:sz w:val="1"/>
                <w:szCs w:val="1"/>
                <w:color w:val="auto"/>
              </w:rPr>
            </w:pPr>
          </w:p>
        </w:tc>
      </w:tr>
      <w:tr>
        <w:trPr>
          <w:trHeight w:val="245"/>
        </w:trPr>
        <w:tc>
          <w:tcPr>
            <w:tcW w:w="7180" w:type="dxa"/>
            <w:vAlign w:val="bottom"/>
          </w:tcPr>
          <w:p>
            <w:pPr>
              <w:spacing w:after="0"/>
              <w:rPr>
                <w:sz w:val="20"/>
                <w:szCs w:val="20"/>
                <w:color w:val="auto"/>
              </w:rPr>
            </w:pPr>
            <w:r>
              <w:rPr>
                <w:rFonts w:ascii="Arial" w:cs="Arial" w:eastAsia="Arial" w:hAnsi="Arial"/>
                <w:sz w:val="16"/>
                <w:szCs w:val="16"/>
                <w:b w:val="1"/>
                <w:bCs w:val="1"/>
                <w:i w:val="1"/>
                <w:iCs w:val="1"/>
                <w:color w:val="auto"/>
              </w:rPr>
              <w:t>(Shares in thousands)</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of shares</w:t>
            </w:r>
          </w:p>
        </w:tc>
        <w:tc>
          <w:tcPr>
            <w:tcW w:w="60" w:type="dxa"/>
            <w:vAlign w:val="bottom"/>
          </w:tcPr>
          <w:p>
            <w:pPr>
              <w:spacing w:after="0"/>
              <w:rPr>
                <w:sz w:val="21"/>
                <w:szCs w:val="21"/>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exercise price</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0"/>
                <w:szCs w:val="20"/>
                <w:color w:val="auto"/>
              </w:rPr>
            </w:pPr>
            <w:r>
              <w:rPr>
                <w:rFonts w:ascii="Arial" w:cs="Arial" w:eastAsia="Arial" w:hAnsi="Arial"/>
                <w:sz w:val="18"/>
                <w:szCs w:val="18"/>
                <w:b w:val="1"/>
                <w:bCs w:val="1"/>
                <w:color w:val="auto"/>
              </w:rPr>
              <w:t>Outstanding at December 31, 2024</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10,509</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11.09</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1383C6"/>
              </w:rPr>
              <w:t>Granted</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8,290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1.22</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1383C6"/>
              </w:rPr>
              <w:t>Exercised</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Arial" w:cs="Arial" w:eastAsia="Arial" w:hAnsi="Arial"/>
                <w:sz w:val="18"/>
                <w:szCs w:val="18"/>
                <w:b w:val="1"/>
                <w:bCs w:val="1"/>
                <w:color w:val="1383C6"/>
              </w:rPr>
              <w:t>Canceled</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(2,823)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8.54</w:t>
            </w:r>
          </w:p>
        </w:tc>
        <w:tc>
          <w:tcPr>
            <w:tcW w:w="0" w:type="dxa"/>
            <w:vAlign w:val="bottom"/>
          </w:tcPr>
          <w:p>
            <w:pPr>
              <w:spacing w:after="0"/>
              <w:rPr>
                <w:sz w:val="1"/>
                <w:szCs w:val="1"/>
                <w:color w:val="auto"/>
              </w:rPr>
            </w:pPr>
          </w:p>
        </w:tc>
      </w:tr>
      <w:tr>
        <w:trPr>
          <w:trHeight w:val="317"/>
        </w:trPr>
        <w:tc>
          <w:tcPr>
            <w:tcW w:w="7180" w:type="dxa"/>
            <w:vAlign w:val="bottom"/>
          </w:tcPr>
          <w:p>
            <w:pPr>
              <w:spacing w:after="0"/>
              <w:rPr>
                <w:sz w:val="20"/>
                <w:szCs w:val="20"/>
                <w:color w:val="auto"/>
              </w:rPr>
            </w:pPr>
            <w:r>
              <w:rPr>
                <w:rFonts w:ascii="Arial" w:cs="Arial" w:eastAsia="Arial" w:hAnsi="Arial"/>
                <w:sz w:val="18"/>
                <w:szCs w:val="18"/>
                <w:b w:val="1"/>
                <w:bCs w:val="1"/>
                <w:color w:val="1383C6"/>
              </w:rPr>
              <w:t>Expired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(467)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7.15</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Arial" w:cs="Arial" w:eastAsia="Arial" w:hAnsi="Arial"/>
                <w:sz w:val="18"/>
                <w:szCs w:val="18"/>
                <w:b w:val="1"/>
                <w:bCs w:val="1"/>
                <w:color w:val="1383C6"/>
              </w:rPr>
              <w:t>Outstanding at December 31, 2025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15,509</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1383C6"/>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6.40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1900" cy="10033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315">
                      <a:extLst>
                        <a:ext uri="{28A0092B-C50C-407E-A947-70E740481C1C}"/>
                      </a:extLst>
                    </a:blip>
                    <a:srcRect/>
                    <a:stretch>
                      <a:fillRect/>
                    </a:stretch>
                  </pic:blipFill>
                  <pic:spPr bwMode="auto">
                    <a:xfrm>
                      <a:off x="0" y="0"/>
                      <a:ext cx="6311900" cy="1003300"/>
                    </a:xfrm>
                    <a:prstGeom prst="rect">
                      <a:avLst/>
                    </a:prstGeom>
                    <a:noFill/>
                  </pic:spPr>
                </pic:pic>
              </a:graphicData>
            </a:graphic>
          </wp:anchor>
        </w:drawing>
      </w:r>
    </w:p>
    <w:p>
      <w:pPr>
        <w:spacing w:after="0" w:line="17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The aggregate intrinsic value of the outstanding options presented in the table above as of December 31, 2025, totaled $5.1 million, and had a weighted-average remaining contractual life of 6.9 years.</w:t>
      </w:r>
    </w:p>
    <w:p>
      <w:pPr>
        <w:spacing w:after="0" w:line="54" w:lineRule="exact"/>
        <w:rPr>
          <w:sz w:val="20"/>
          <w:szCs w:val="20"/>
          <w:color w:val="auto"/>
        </w:rPr>
      </w:pPr>
    </w:p>
    <w:p>
      <w:pPr>
        <w:jc w:val="both"/>
        <w:ind w:right="700"/>
        <w:spacing w:after="0" w:line="276" w:lineRule="auto"/>
        <w:rPr>
          <w:sz w:val="20"/>
          <w:szCs w:val="20"/>
          <w:color w:val="auto"/>
        </w:rPr>
      </w:pPr>
      <w:r>
        <w:rPr>
          <w:rFonts w:ascii="Arial" w:cs="Arial" w:eastAsia="Arial" w:hAnsi="Arial"/>
          <w:sz w:val="19"/>
          <w:szCs w:val="19"/>
          <w:b w:val="1"/>
          <w:bCs w:val="1"/>
          <w:color w:val="auto"/>
        </w:rPr>
        <w:t>The aggregate intrinsic value of outstanding options represents the total pre-tax intrinsic value (i.e. the difference between $1.87, our closing stock price on the last trading day of our fourth quarter of 2025, and the option exercise price multiplied by the number of in-the-money options) that would have been received by the option holders had all option holders exercised their options on December 31, 2025. The aggregate intrinsic value changes at each reporting date based on the fair market value of our common stock.</w:t>
      </w:r>
    </w:p>
    <w:p>
      <w:pPr>
        <w:spacing w:after="0" w:line="64"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The vested and exercisable options as of December 31, 2025, totaled 9,817,500 shares, had an aggregate intrinsic value that was $1.5 million, a weighted-average exercise price per share of $9.28, and a weighted-average remaining contractual life of 5.6 years.</w:t>
      </w:r>
    </w:p>
    <w:p>
      <w:pPr>
        <w:spacing w:after="0" w:line="70"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The vested and expected to vest options as of December 31, 2025, totaled 15,136,547 shares, had an aggregate intrinsic value of $4.7 million, a weighted-average exercise price per share of $6.63, and a weighted-average remaining contractual life of 6.8 years.</w:t>
      </w:r>
    </w:p>
    <w:p>
      <w:pPr>
        <w:spacing w:after="0" w:line="70" w:lineRule="exact"/>
        <w:rPr>
          <w:sz w:val="20"/>
          <w:szCs w:val="20"/>
          <w:color w:val="auto"/>
        </w:rPr>
      </w:pPr>
    </w:p>
    <w:p>
      <w:pPr>
        <w:jc w:val="both"/>
        <w:ind w:right="700"/>
        <w:spacing w:after="0" w:line="258" w:lineRule="auto"/>
        <w:rPr>
          <w:sz w:val="20"/>
          <w:szCs w:val="20"/>
          <w:color w:val="auto"/>
        </w:rPr>
      </w:pPr>
      <w:r>
        <w:rPr>
          <w:rFonts w:ascii="Arial" w:cs="Arial" w:eastAsia="Arial" w:hAnsi="Arial"/>
          <w:sz w:val="20"/>
          <w:szCs w:val="20"/>
          <w:b w:val="1"/>
          <w:bCs w:val="1"/>
          <w:color w:val="auto"/>
        </w:rPr>
        <w:t>There were no stock options exercised during the year ended December 31, 2025. The total intrinsic value of stock options exercised during the years ended December 31, 2024 and 2023 was $0.8 million, and $8.8 million, respectively. The total intrinsic value of options exercised represents the difference between our closing stock price on the exercise date and the option exercise price, multiplied by the number of in-the-money options exercised.</w:t>
      </w:r>
    </w:p>
    <w:p>
      <w:pPr>
        <w:spacing w:after="0" w:line="84" w:lineRule="exact"/>
        <w:rPr>
          <w:sz w:val="20"/>
          <w:szCs w:val="20"/>
          <w:color w:val="auto"/>
        </w:rPr>
      </w:pPr>
    </w:p>
    <w:p>
      <w:pPr>
        <w:jc w:val="both"/>
        <w:ind w:right="680"/>
        <w:spacing w:after="0" w:line="283" w:lineRule="auto"/>
        <w:rPr>
          <w:sz w:val="20"/>
          <w:szCs w:val="20"/>
          <w:color w:val="auto"/>
        </w:rPr>
      </w:pPr>
      <w:r>
        <w:rPr>
          <w:rFonts w:ascii="Arial" w:cs="Arial" w:eastAsia="Arial" w:hAnsi="Arial"/>
          <w:sz w:val="20"/>
          <w:szCs w:val="20"/>
          <w:b w:val="1"/>
          <w:bCs w:val="1"/>
          <w:color w:val="auto"/>
        </w:rPr>
        <w:t>The weighted-average grant-date fair value of all options granted was $0.90 in 2025, $1.40 in 2024, and $7.32 in 2023, each determined by the Black-Scholes option valuation method.</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Restricted Stock Units ("RSU") and Performance Stock Units ("PSU")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13" name="Shape 7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13" o:spid="_x0000_s17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316">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We have awarded both Restricted Stock Units ("RSUs") and Performance Stock Units ("PSUs"). Each RSU represents the right to receive one share of our common stock upon meeting the required service-based vesting conditions. RSUs typically vest over two to four years, with equal annual installments.</w:t>
      </w:r>
    </w:p>
    <w:p>
      <w:pPr>
        <w:spacing w:after="0" w:line="75" w:lineRule="exact"/>
        <w:rPr>
          <w:sz w:val="20"/>
          <w:szCs w:val="20"/>
          <w:color w:val="auto"/>
        </w:rPr>
      </w:pPr>
    </w:p>
    <w:p>
      <w:pPr>
        <w:jc w:val="both"/>
        <w:ind w:right="680"/>
        <w:spacing w:after="0" w:line="279" w:lineRule="auto"/>
        <w:rPr>
          <w:sz w:val="20"/>
          <w:szCs w:val="20"/>
          <w:color w:val="auto"/>
        </w:rPr>
      </w:pPr>
      <w:r>
        <w:rPr>
          <w:rFonts w:ascii="Arial" w:cs="Arial" w:eastAsia="Arial" w:hAnsi="Arial"/>
          <w:sz w:val="19"/>
          <w:szCs w:val="19"/>
          <w:b w:val="1"/>
          <w:bCs w:val="1"/>
          <w:color w:val="auto"/>
        </w:rPr>
        <w:t>In 2023, PSUs were granted and are based on performance against predefined revenue targets and require continued employment throughout the vesting period. These PSUs become issuable after the third year of the performance period. Achieving the maximum revenue goal allows up to 200% of the target PSU shares to become eligible for vesting, while failing to meet the minimum revenue goal results in no shares vesting.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433070</wp:posOffset>
                </wp:positionV>
                <wp:extent cx="7315200" cy="0"/>
                <wp:wrapNone/>
                <wp:docPr id="715" name="Shape 7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5" o:spid="_x0000_s17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4.1pt" to="535pt,3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433070</wp:posOffset>
                </wp:positionV>
                <wp:extent cx="7315200" cy="0"/>
                <wp:wrapNone/>
                <wp:docPr id="716" name="Shape 7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16" o:spid="_x0000_s17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4.1pt" to="535pt,34.1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31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summarizes the time-based RSU and PSU activity:</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5"/>
              </w:rPr>
              <w:t>Weighted-average grant date fair</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00"/>
              <w:spacing w:after="0" w:line="200" w:lineRule="exact"/>
              <w:rPr>
                <w:sz w:val="20"/>
                <w:szCs w:val="20"/>
                <w:color w:val="auto"/>
              </w:rPr>
            </w:pPr>
            <w:r>
              <w:rPr>
                <w:rFonts w:ascii="Arial" w:cs="Arial" w:eastAsia="Arial" w:hAnsi="Arial"/>
                <w:sz w:val="18"/>
                <w:szCs w:val="18"/>
                <w:b w:val="1"/>
                <w:bCs w:val="1"/>
                <w:color w:val="auto"/>
              </w:rPr>
              <w:t>value</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Restricted</w:t>
            </w:r>
          </w:p>
        </w:tc>
        <w:tc>
          <w:tcPr>
            <w:tcW w:w="60" w:type="dxa"/>
            <w:vAlign w:val="bottom"/>
          </w:tcPr>
          <w:p>
            <w:pPr>
              <w:spacing w:after="0"/>
              <w:rPr>
                <w:sz w:val="18"/>
                <w:szCs w:val="18"/>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Performance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4"/>
              </w:rPr>
              <w:t>Stock Units</w:t>
            </w:r>
          </w:p>
        </w:tc>
        <w:tc>
          <w:tcPr>
            <w:tcW w:w="60" w:type="dxa"/>
            <w:vAlign w:val="bottom"/>
          </w:tcPr>
          <w:p>
            <w:pPr>
              <w:spacing w:after="0"/>
              <w:rPr>
                <w:sz w:val="15"/>
                <w:szCs w:val="15"/>
                <w:color w:val="auto"/>
              </w:rPr>
            </w:pPr>
          </w:p>
        </w:tc>
        <w:tc>
          <w:tcPr>
            <w:tcW w:w="1380" w:type="dxa"/>
            <w:vAlign w:val="bottom"/>
            <w:gridSpan w:val="2"/>
          </w:tcPr>
          <w:p>
            <w:pPr>
              <w:jc w:val="center"/>
              <w:ind w:right="60"/>
              <w:spacing w:after="0" w:line="180" w:lineRule="exact"/>
              <w:rPr>
                <w:sz w:val="20"/>
                <w:szCs w:val="20"/>
                <w:color w:val="auto"/>
              </w:rPr>
            </w:pPr>
            <w:r>
              <w:rPr>
                <w:rFonts w:ascii="Arial" w:cs="Arial" w:eastAsia="Arial" w:hAnsi="Arial"/>
                <w:sz w:val="18"/>
                <w:szCs w:val="18"/>
                <w:b w:val="1"/>
                <w:bCs w:val="1"/>
                <w:color w:val="auto"/>
                <w:w w:val="92"/>
              </w:rPr>
              <w:t>Stock Units</w:t>
            </w:r>
          </w:p>
        </w:tc>
        <w:tc>
          <w:tcPr>
            <w:tcW w:w="160" w:type="dxa"/>
            <w:vAlign w:val="bottom"/>
          </w:tcPr>
          <w:p>
            <w:pPr>
              <w:spacing w:after="0"/>
              <w:rPr>
                <w:sz w:val="15"/>
                <w:szCs w:val="15"/>
                <w:color w:val="auto"/>
              </w:rPr>
            </w:pPr>
          </w:p>
        </w:tc>
        <w:tc>
          <w:tcPr>
            <w:tcW w:w="13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RSU</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PSU</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0"/>
                <w:szCs w:val="20"/>
                <w:color w:val="auto"/>
              </w:rPr>
            </w:pPr>
            <w:r>
              <w:rPr>
                <w:rFonts w:ascii="Arial" w:cs="Arial" w:eastAsia="Arial" w:hAnsi="Arial"/>
                <w:sz w:val="16"/>
                <w:szCs w:val="16"/>
                <w:b w:val="1"/>
                <w:bCs w:val="1"/>
                <w:i w:val="1"/>
                <w:iCs w:val="1"/>
                <w:color w:val="auto"/>
              </w:rPr>
              <w:t>(Shares in thousands)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(RSUs)</w:t>
            </w:r>
          </w:p>
        </w:tc>
        <w:tc>
          <w:tcPr>
            <w:tcW w:w="6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(PSUs)</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0"/>
                <w:szCs w:val="20"/>
                <w:color w:val="auto"/>
              </w:rPr>
            </w:pPr>
            <w:r>
              <w:rPr>
                <w:rFonts w:ascii="Arial" w:cs="Arial" w:eastAsia="Arial" w:hAnsi="Arial"/>
                <w:sz w:val="18"/>
                <w:szCs w:val="18"/>
                <w:b w:val="1"/>
                <w:bCs w:val="1"/>
                <w:color w:val="auto"/>
              </w:rPr>
              <w:t>Outstanding at December 31, 2024</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14,211</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392</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9.43</w:t>
            </w:r>
          </w:p>
        </w:tc>
        <w:tc>
          <w:tcPr>
            <w:tcW w:w="0" w:type="dxa"/>
            <w:vAlign w:val="bottom"/>
          </w:tcPr>
          <w:p>
            <w:pPr>
              <w:spacing w:after="0"/>
              <w:rPr>
                <w:sz w:val="1"/>
                <w:szCs w:val="1"/>
                <w:color w:val="auto"/>
              </w:rPr>
            </w:pPr>
          </w:p>
        </w:tc>
      </w:tr>
      <w:tr>
        <w:trPr>
          <w:trHeight w:val="300"/>
        </w:trPr>
        <w:tc>
          <w:tcPr>
            <w:tcW w:w="4060" w:type="dxa"/>
            <w:vAlign w:val="bottom"/>
          </w:tcPr>
          <w:p>
            <w:pPr>
              <w:spacing w:after="0"/>
              <w:rPr>
                <w:sz w:val="20"/>
                <w:szCs w:val="20"/>
                <w:color w:val="auto"/>
              </w:rPr>
            </w:pPr>
            <w:r>
              <w:rPr>
                <w:rFonts w:ascii="Arial" w:cs="Arial" w:eastAsia="Arial" w:hAnsi="Arial"/>
                <w:sz w:val="18"/>
                <w:szCs w:val="18"/>
                <w:b w:val="1"/>
                <w:bCs w:val="1"/>
                <w:color w:val="1383C6"/>
              </w:rPr>
              <w:t>Granted</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11,997</w:t>
            </w:r>
          </w:p>
        </w:tc>
        <w:tc>
          <w:tcPr>
            <w:tcW w:w="60" w:type="dxa"/>
            <w:vAlign w:val="bottom"/>
          </w:tcPr>
          <w:p>
            <w:pPr>
              <w:spacing w:after="0"/>
              <w:rPr>
                <w:sz w:val="24"/>
                <w:szCs w:val="24"/>
                <w:color w:val="auto"/>
              </w:rPr>
            </w:pPr>
          </w:p>
        </w:tc>
        <w:tc>
          <w:tcPr>
            <w:tcW w:w="1380" w:type="dxa"/>
            <w:vAlign w:val="bottom"/>
            <w:gridSpan w:val="2"/>
          </w:tcPr>
          <w:p>
            <w:pPr>
              <w:ind w:left="1100"/>
              <w:spacing w:after="0"/>
              <w:rPr>
                <w:sz w:val="20"/>
                <w:szCs w:val="20"/>
                <w:color w:val="auto"/>
              </w:rPr>
            </w:pPr>
            <w:r>
              <w:rPr>
                <w:rFonts w:ascii="Arial" w:cs="Arial" w:eastAsia="Arial" w:hAnsi="Arial"/>
                <w:sz w:val="18"/>
                <w:szCs w:val="18"/>
                <w:b w:val="1"/>
                <w:bCs w:val="1"/>
                <w:color w:val="1383C6"/>
              </w:rPr>
              <w:t>—</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1383C6"/>
              </w:rPr>
              <w:t>1.26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0" w:type="dxa"/>
            <w:vAlign w:val="bottom"/>
          </w:tcPr>
          <w:p>
            <w:pPr>
              <w:spacing w:after="0"/>
              <w:rPr>
                <w:sz w:val="1"/>
                <w:szCs w:val="1"/>
                <w:color w:val="auto"/>
              </w:rPr>
            </w:pPr>
          </w:p>
        </w:tc>
      </w:tr>
      <w:tr>
        <w:trPr>
          <w:trHeight w:val="300"/>
        </w:trPr>
        <w:tc>
          <w:tcPr>
            <w:tcW w:w="4060" w:type="dxa"/>
            <w:vAlign w:val="bottom"/>
          </w:tcPr>
          <w:p>
            <w:pPr>
              <w:spacing w:after="0"/>
              <w:rPr>
                <w:sz w:val="20"/>
                <w:szCs w:val="20"/>
                <w:color w:val="auto"/>
              </w:rPr>
            </w:pPr>
            <w:r>
              <w:rPr>
                <w:rFonts w:ascii="Arial" w:cs="Arial" w:eastAsia="Arial" w:hAnsi="Arial"/>
                <w:sz w:val="18"/>
                <w:szCs w:val="18"/>
                <w:b w:val="1"/>
                <w:bCs w:val="1"/>
                <w:color w:val="1383C6"/>
              </w:rPr>
              <w:t>Vested</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(4,435)</w:t>
            </w:r>
          </w:p>
        </w:tc>
        <w:tc>
          <w:tcPr>
            <w:tcW w:w="60" w:type="dxa"/>
            <w:vAlign w:val="bottom"/>
          </w:tcPr>
          <w:p>
            <w:pPr>
              <w:spacing w:after="0"/>
              <w:rPr>
                <w:sz w:val="24"/>
                <w:szCs w:val="24"/>
                <w:color w:val="auto"/>
              </w:rPr>
            </w:pPr>
          </w:p>
        </w:tc>
        <w:tc>
          <w:tcPr>
            <w:tcW w:w="1380" w:type="dxa"/>
            <w:vAlign w:val="bottom"/>
            <w:gridSpan w:val="2"/>
          </w:tcPr>
          <w:p>
            <w:pPr>
              <w:ind w:left="1100"/>
              <w:spacing w:after="0"/>
              <w:rPr>
                <w:sz w:val="20"/>
                <w:szCs w:val="20"/>
                <w:color w:val="auto"/>
              </w:rPr>
            </w:pPr>
            <w:r>
              <w:rPr>
                <w:rFonts w:ascii="Arial" w:cs="Arial" w:eastAsia="Arial" w:hAnsi="Arial"/>
                <w:sz w:val="18"/>
                <w:szCs w:val="18"/>
                <w:b w:val="1"/>
                <w:bCs w:val="1"/>
                <w:color w:val="1383C6"/>
              </w:rPr>
              <w:t>—</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1383C6"/>
              </w:rPr>
              <w:t>9.49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0" w:type="dxa"/>
            <w:vAlign w:val="bottom"/>
          </w:tcPr>
          <w:p>
            <w:pPr>
              <w:spacing w:after="0"/>
              <w:rPr>
                <w:sz w:val="1"/>
                <w:szCs w:val="1"/>
                <w:color w:val="auto"/>
              </w:rPr>
            </w:pPr>
          </w:p>
        </w:tc>
      </w:tr>
      <w:tr>
        <w:trPr>
          <w:trHeight w:val="317"/>
        </w:trPr>
        <w:tc>
          <w:tcPr>
            <w:tcW w:w="4060" w:type="dxa"/>
            <w:vAlign w:val="bottom"/>
          </w:tcPr>
          <w:p>
            <w:pPr>
              <w:spacing w:after="0"/>
              <w:rPr>
                <w:sz w:val="20"/>
                <w:szCs w:val="20"/>
                <w:color w:val="auto"/>
              </w:rPr>
            </w:pPr>
            <w:r>
              <w:rPr>
                <w:rFonts w:ascii="Arial" w:cs="Arial" w:eastAsia="Arial" w:hAnsi="Arial"/>
                <w:sz w:val="18"/>
                <w:szCs w:val="18"/>
                <w:b w:val="1"/>
                <w:bCs w:val="1"/>
                <w:color w:val="1383C6"/>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(4,222)</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4.00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0" w:type="dxa"/>
            <w:vAlign w:val="bottom"/>
          </w:tcPr>
          <w:p>
            <w:pPr>
              <w:spacing w:after="0"/>
              <w:rPr>
                <w:sz w:val="1"/>
                <w:szCs w:val="1"/>
                <w:color w:val="auto"/>
              </w:rPr>
            </w:pPr>
          </w:p>
        </w:tc>
      </w:tr>
      <w:tr>
        <w:trPr>
          <w:trHeight w:val="260"/>
        </w:trPr>
        <w:tc>
          <w:tcPr>
            <w:tcW w:w="4060" w:type="dxa"/>
            <w:vAlign w:val="bottom"/>
          </w:tcPr>
          <w:p>
            <w:pPr>
              <w:spacing w:after="0"/>
              <w:rPr>
                <w:sz w:val="20"/>
                <w:szCs w:val="20"/>
                <w:color w:val="auto"/>
              </w:rPr>
            </w:pPr>
            <w:r>
              <w:rPr>
                <w:rFonts w:ascii="Arial" w:cs="Arial" w:eastAsia="Arial" w:hAnsi="Arial"/>
                <w:sz w:val="18"/>
                <w:szCs w:val="18"/>
                <w:b w:val="1"/>
                <w:bCs w:val="1"/>
                <w:color w:val="1383C6"/>
              </w:rPr>
              <w:t>Outstanding at December 31, 2025</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17,551</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1383C6"/>
              </w:rPr>
              <w:t>392</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1383C6"/>
              </w:rPr>
              <w:t>3.50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1383C6"/>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383C6"/>
              </w:rPr>
              <w:t>9.43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318">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110"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The total fair value of shares vested related to RSUs during the years ended December 31, 2025, 2024, and 2023 was $42.1 million, $47.2 million, and $39.3 million, respectively, based on the grant date fair value of each RSU award.</w:t>
      </w:r>
    </w:p>
    <w:p>
      <w:pPr>
        <w:spacing w:after="0" w:line="70"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The weighted-average grant-date fair value of all RSUs granted was $1.26 in 2025, $5.02 in 2024, and $9.65 in 2023.</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Employee Stock Purchase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19" name="Shape 7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19" o:spid="_x0000_s17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31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86" w:lineRule="auto"/>
        <w:rPr>
          <w:sz w:val="20"/>
          <w:szCs w:val="20"/>
          <w:color w:val="auto"/>
        </w:rPr>
      </w:pPr>
      <w:r>
        <w:rPr>
          <w:rFonts w:ascii="Arial" w:cs="Arial" w:eastAsia="Arial" w:hAnsi="Arial"/>
          <w:sz w:val="18"/>
          <w:szCs w:val="18"/>
          <w:b w:val="1"/>
          <w:bCs w:val="1"/>
          <w:color w:val="auto"/>
        </w:rPr>
        <w:t>As of December 31, 2025, a total of 37.5 million shares of our common stock have been reserved for issuance under the ESPP, which allows eligible employees to acquire common stock at a discounted price through payroll deductions during designated offering periods. Each offering period typically consists of four purchase periods, each lasting approximately six months. Shares are purchased at the lower of 85% of the fair market value of the common stock at either the beginning of the offering period or the end of the purchase period. If the stock price at the end of a purchase period is lower than at the start of the offering period, the existing offering period will be reset, and a new offering period will begin. The ESPP provides for an annual increase to the shares available for issuance at the beginning of each fiscal year equal to the lesser of 2% of the common shares then outstanding, 4,000,000 shares, or an amount determined by the ESPP’s administrator.</w:t>
      </w:r>
    </w:p>
    <w:p>
      <w:pPr>
        <w:spacing w:after="0" w:line="6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For the years ended December 31, 2025, 2024, and 2023, 3,102,930 shares, 1,906,529 shares, and 1,735,058 shares of common stock were purchased under the ESPP, respectively. As of December 31, 2025, 15.2 million shares of our common stock remain available for issuance under our ESPP.</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Share-based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21" name="Shape 7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21" o:spid="_x0000_s17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32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summarizes share-based compensation expense:</w:t>
      </w:r>
    </w:p>
    <w:p>
      <w:pPr>
        <w:spacing w:after="0" w:line="226"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23495</wp:posOffset>
            </wp:positionV>
            <wp:extent cx="2613025" cy="10033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321">
                      <a:extLst>
                        <a:ext uri="{28A0092B-C50C-407E-A947-70E740481C1C}"/>
                      </a:extLst>
                    </a:blip>
                    <a:srcRect/>
                    <a:stretch>
                      <a:fillRect/>
                    </a:stretch>
                  </pic:blipFill>
                  <pic:spPr bwMode="auto">
                    <a:xfrm>
                      <a:off x="0" y="0"/>
                      <a:ext cx="2613025" cy="10033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Cost of revenue</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3,847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5,691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5,399</w:t>
            </w: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11,173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19,172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22,435</w:t>
            </w:r>
          </w:p>
        </w:tc>
      </w:tr>
      <w:tr>
        <w:trPr>
          <w:trHeight w:val="317"/>
        </w:trPr>
        <w:tc>
          <w:tcPr>
            <w:tcW w:w="5820" w:type="dxa"/>
            <w:vAlign w:val="bottom"/>
          </w:tcPr>
          <w:p>
            <w:pPr>
              <w:spacing w:after="0"/>
              <w:rPr>
                <w:sz w:val="20"/>
                <w:szCs w:val="20"/>
                <w:color w:val="auto"/>
              </w:rPr>
            </w:pPr>
            <w:r>
              <w:rPr>
                <w:rFonts w:ascii="Arial" w:cs="Arial" w:eastAsia="Arial" w:hAnsi="Arial"/>
                <w:sz w:val="18"/>
                <w:szCs w:val="18"/>
                <w:b w:val="1"/>
                <w:bCs w:val="1"/>
                <w:color w:val="auto"/>
              </w:rPr>
              <w:t>Sales, general and administrative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26,648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46,173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44,284</w:t>
            </w:r>
          </w:p>
        </w:tc>
      </w:tr>
      <w:tr>
        <w:trPr>
          <w:trHeight w:val="26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Total share-based compensation</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41,668</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71,036</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72,118</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As of December 31, 2025 and 2024, $0.4 million and $0.6 million of share-based compensation cost was capitalized in inventory, net, on our consolidated balance sheets, respectively.</w:t>
      </w:r>
    </w:p>
    <w:p>
      <w:pPr>
        <w:spacing w:after="0" w:line="58" w:lineRule="exact"/>
        <w:rPr>
          <w:sz w:val="20"/>
          <w:szCs w:val="20"/>
          <w:color w:val="auto"/>
        </w:rPr>
      </w:pPr>
    </w:p>
    <w:p>
      <w:pPr>
        <w:jc w:val="both"/>
        <w:ind w:right="700"/>
        <w:spacing w:after="0" w:line="261" w:lineRule="auto"/>
        <w:rPr>
          <w:sz w:val="20"/>
          <w:szCs w:val="20"/>
          <w:color w:val="auto"/>
        </w:rPr>
      </w:pPr>
      <w:r>
        <w:rPr>
          <w:rFonts w:ascii="Arial" w:cs="Arial" w:eastAsia="Arial" w:hAnsi="Arial"/>
          <w:sz w:val="20"/>
          <w:szCs w:val="20"/>
          <w:b w:val="1"/>
          <w:bCs w:val="1"/>
          <w:color w:val="auto"/>
        </w:rPr>
        <w:t>We estimate forfeitures related to our share-based compensation plans. The estimated forfeiture rate is based on historical data, trends, and other relevant factors, such as employee turnover rates and expectations about future forfeitures. The estimated forfeiture rate is reviewed periodically and adjusted as necessary to reflect changes in these factors.</w:t>
      </w:r>
    </w:p>
    <w:p>
      <w:pPr>
        <w:spacing w:after="0" w:line="80" w:lineRule="exact"/>
        <w:rPr>
          <w:sz w:val="20"/>
          <w:szCs w:val="20"/>
          <w:color w:val="auto"/>
        </w:rPr>
      </w:pPr>
    </w:p>
    <w:p>
      <w:pPr>
        <w:jc w:val="both"/>
        <w:ind w:right="680"/>
        <w:spacing w:after="0" w:line="288" w:lineRule="auto"/>
        <w:rPr>
          <w:sz w:val="20"/>
          <w:szCs w:val="20"/>
          <w:color w:val="auto"/>
        </w:rPr>
      </w:pPr>
      <w:r>
        <w:rPr>
          <w:rFonts w:ascii="Arial" w:cs="Arial" w:eastAsia="Arial" w:hAnsi="Arial"/>
          <w:sz w:val="19"/>
          <w:szCs w:val="19"/>
          <w:b w:val="1"/>
          <w:bCs w:val="1"/>
          <w:color w:val="auto"/>
        </w:rPr>
        <w:t>The tax benefit of share-based compensation expense was immaterial for the years ended December 31, 2025, 2024, and 2023 due to a valuation allowance on the net deferred tax assets of our U.S. entities, for which we have concluded that it is more likely than not that we will not realize our deferred tax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363220</wp:posOffset>
                </wp:positionV>
                <wp:extent cx="7315200" cy="0"/>
                <wp:wrapNone/>
                <wp:docPr id="724" name="Shape 7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4" o:spid="_x0000_s17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8.6pt" to="535pt,28.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363220</wp:posOffset>
                </wp:positionV>
                <wp:extent cx="7315200" cy="0"/>
                <wp:wrapNone/>
                <wp:docPr id="725" name="Shape 7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25" o:spid="_x0000_s17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8.6pt" to="535pt,28.6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32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28" w:name="page129"/>
    <w:bookmarkEnd w:id="12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Determining Fair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27" name="Shape 7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27" o:spid="_x0000_s17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32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56" w:lineRule="auto"/>
        <w:rPr>
          <w:sz w:val="20"/>
          <w:szCs w:val="20"/>
          <w:color w:val="auto"/>
        </w:rPr>
      </w:pPr>
      <w:r>
        <w:rPr>
          <w:rFonts w:ascii="Arial" w:cs="Arial" w:eastAsia="Arial" w:hAnsi="Arial"/>
          <w:sz w:val="20"/>
          <w:szCs w:val="20"/>
          <w:b w:val="1"/>
          <w:bCs w:val="1"/>
          <w:color w:val="auto"/>
        </w:rPr>
        <w:t>We estimate the fair value of share options granted using the Black-Scholes valuation method and a single option award approach. This fair value is then amortized on a straight-line basis over the requisite service periods of the awards, which is generally the vesting period. The fair market value of RSU awards granted is the closing price of our shares on the date of grant and is generally recognized as compensation expense on a straight-line basis over the respective vesting period. For shares purchased under the ESPP, we estimate the grant-date fair value, and the resulting share-based compensation expense, using the Black-Scholes option-pricing model.</w:t>
      </w:r>
    </w:p>
    <w:p>
      <w:pPr>
        <w:spacing w:after="0" w:line="83" w:lineRule="exact"/>
        <w:rPr>
          <w:sz w:val="20"/>
          <w:szCs w:val="20"/>
          <w:color w:val="auto"/>
        </w:rPr>
      </w:pPr>
    </w:p>
    <w:p>
      <w:pPr>
        <w:jc w:val="both"/>
        <w:ind w:left="720" w:right="680" w:hanging="370"/>
        <w:spacing w:after="0" w:line="311" w:lineRule="auto"/>
        <w:tabs>
          <w:tab w:leader="none" w:pos="720" w:val="left"/>
        </w:tabs>
        <w:numPr>
          <w:ilvl w:val="0"/>
          <w:numId w:val="45"/>
        </w:numPr>
        <w:rPr>
          <w:rFonts w:ascii="Arial" w:cs="Arial" w:eastAsia="Arial" w:hAnsi="Arial"/>
          <w:sz w:val="18"/>
          <w:szCs w:val="18"/>
          <w:b w:val="1"/>
          <w:bCs w:val="1"/>
          <w:color w:val="DF1995"/>
        </w:rPr>
      </w:pPr>
      <w:r>
        <w:rPr>
          <w:rFonts w:ascii="Arial" w:cs="Arial" w:eastAsia="Arial" w:hAnsi="Arial"/>
          <w:sz w:val="18"/>
          <w:szCs w:val="18"/>
          <w:b w:val="1"/>
          <w:bCs w:val="1"/>
          <w:color w:val="auto"/>
        </w:rPr>
        <w:t>Expected Term – The expected term used in the Black-Scholes valuation method represents the period that the stock options are expected to be outstanding and is determined based on historical experience of similar awards, considering the contractual terms of the stock options and vesting schedules.</w:t>
      </w:r>
    </w:p>
    <w:p>
      <w:pPr>
        <w:spacing w:after="0" w:line="35" w:lineRule="exact"/>
        <w:rPr>
          <w:rFonts w:ascii="Arial" w:cs="Arial" w:eastAsia="Arial" w:hAnsi="Arial"/>
          <w:sz w:val="18"/>
          <w:szCs w:val="18"/>
          <w:b w:val="1"/>
          <w:bCs w:val="1"/>
          <w:color w:val="DF1995"/>
        </w:rPr>
      </w:pPr>
    </w:p>
    <w:p>
      <w:pPr>
        <w:ind w:left="720" w:right="700" w:hanging="370"/>
        <w:spacing w:after="0" w:line="285" w:lineRule="auto"/>
        <w:tabs>
          <w:tab w:leader="none" w:pos="720" w:val="left"/>
        </w:tabs>
        <w:numPr>
          <w:ilvl w:val="0"/>
          <w:numId w:val="45"/>
        </w:numPr>
        <w:rPr>
          <w:rFonts w:ascii="Arial" w:cs="Arial" w:eastAsia="Arial" w:hAnsi="Arial"/>
          <w:sz w:val="20"/>
          <w:szCs w:val="20"/>
          <w:b w:val="1"/>
          <w:bCs w:val="1"/>
          <w:color w:val="DF1995"/>
        </w:rPr>
      </w:pPr>
      <w:r>
        <w:rPr>
          <w:rFonts w:ascii="Arial" w:cs="Arial" w:eastAsia="Arial" w:hAnsi="Arial"/>
          <w:sz w:val="20"/>
          <w:szCs w:val="20"/>
          <w:b w:val="1"/>
          <w:bCs w:val="1"/>
          <w:color w:val="auto"/>
        </w:rPr>
        <w:t>Expected Volatility – The expected volatility used in the Black-Scholes valuation method is derived from the implied volatility related to our share price over the expected term.</w:t>
      </w:r>
    </w:p>
    <w:p>
      <w:pPr>
        <w:spacing w:after="0" w:line="53"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45"/>
        </w:numPr>
        <w:rPr>
          <w:rFonts w:ascii="Arial" w:cs="Arial" w:eastAsia="Arial" w:hAnsi="Arial"/>
          <w:sz w:val="20"/>
          <w:szCs w:val="20"/>
          <w:b w:val="1"/>
          <w:bCs w:val="1"/>
          <w:color w:val="DF1995"/>
        </w:rPr>
      </w:pPr>
      <w:r>
        <w:rPr>
          <w:rFonts w:ascii="Arial" w:cs="Arial" w:eastAsia="Arial" w:hAnsi="Arial"/>
          <w:sz w:val="20"/>
          <w:szCs w:val="20"/>
          <w:b w:val="1"/>
          <w:bCs w:val="1"/>
          <w:color w:val="auto"/>
        </w:rPr>
        <w:t>Expected Dividend – We have never paid dividends on our shares and, accordingly, the dividend yield percentage is zero for all periods.</w:t>
      </w:r>
    </w:p>
    <w:p>
      <w:pPr>
        <w:spacing w:after="0" w:line="53" w:lineRule="exact"/>
        <w:rPr>
          <w:rFonts w:ascii="Arial" w:cs="Arial" w:eastAsia="Arial" w:hAnsi="Arial"/>
          <w:sz w:val="20"/>
          <w:szCs w:val="20"/>
          <w:b w:val="1"/>
          <w:bCs w:val="1"/>
          <w:color w:val="DF1995"/>
        </w:rPr>
      </w:pPr>
    </w:p>
    <w:p>
      <w:pPr>
        <w:jc w:val="both"/>
        <w:ind w:left="720" w:right="700" w:hanging="370"/>
        <w:spacing w:after="0" w:line="268" w:lineRule="auto"/>
        <w:tabs>
          <w:tab w:leader="none" w:pos="720" w:val="left"/>
        </w:tabs>
        <w:numPr>
          <w:ilvl w:val="0"/>
          <w:numId w:val="45"/>
        </w:numPr>
        <w:rPr>
          <w:rFonts w:ascii="Arial" w:cs="Arial" w:eastAsia="Arial" w:hAnsi="Arial"/>
          <w:sz w:val="20"/>
          <w:szCs w:val="20"/>
          <w:b w:val="1"/>
          <w:bCs w:val="1"/>
          <w:color w:val="DF1995"/>
        </w:rPr>
      </w:pPr>
      <w:r>
        <w:rPr>
          <w:rFonts w:ascii="Arial" w:cs="Arial" w:eastAsia="Arial" w:hAnsi="Arial"/>
          <w:sz w:val="20"/>
          <w:szCs w:val="20"/>
          <w:b w:val="1"/>
          <w:bCs w:val="1"/>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Stock Options</w:t>
      </w:r>
    </w:p>
    <w:p>
      <w:pPr>
        <w:spacing w:after="0" w:line="130" w:lineRule="exact"/>
        <w:rPr>
          <w:sz w:val="20"/>
          <w:szCs w:val="20"/>
          <w:color w:val="auto"/>
        </w:rPr>
      </w:pPr>
    </w:p>
    <w:p>
      <w:pPr>
        <w:ind w:right="700"/>
        <w:spacing w:after="0" w:line="285" w:lineRule="auto"/>
        <w:rPr>
          <w:sz w:val="20"/>
          <w:szCs w:val="20"/>
          <w:color w:val="auto"/>
        </w:rPr>
      </w:pPr>
      <w:r>
        <w:rPr>
          <w:rFonts w:ascii="Arial" w:cs="Arial" w:eastAsia="Arial" w:hAnsi="Arial"/>
          <w:sz w:val="20"/>
          <w:szCs w:val="20"/>
          <w:b w:val="1"/>
          <w:bCs w:val="1"/>
          <w:color w:val="auto"/>
        </w:rPr>
        <w:t>When determining the current share prices underlying the stock options for calculating the grant-date fair value, we reference observable market prices of similar or identical instruments in active markets.</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fair value of employee stock options was estimated using the following weighted-average assumptions: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7"/>
          </w:tcPr>
          <w:p>
            <w:pPr>
              <w:jc w:val="center"/>
              <w:ind w:right="130"/>
              <w:spacing w:after="0"/>
              <w:rPr>
                <w:sz w:val="20"/>
                <w:szCs w:val="20"/>
                <w:color w:val="auto"/>
              </w:rPr>
            </w:pPr>
            <w:r>
              <w:rPr>
                <w:rFonts w:ascii="Arial" w:cs="Arial" w:eastAsia="Arial" w:hAnsi="Arial"/>
                <w:sz w:val="18"/>
                <w:szCs w:val="18"/>
                <w:b w:val="1"/>
                <w:bCs w:val="1"/>
                <w:color w:val="auto"/>
                <w:w w:val="94"/>
              </w:rPr>
              <w:t>Years Ended December 31,</w:t>
            </w:r>
          </w:p>
        </w:tc>
      </w:tr>
      <w:tr>
        <w:trPr>
          <w:trHeight w:val="280"/>
        </w:trPr>
        <w:tc>
          <w:tcPr>
            <w:tcW w:w="5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2023</w:t>
            </w: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Expected term in years</w:t>
            </w:r>
          </w:p>
        </w:tc>
        <w:tc>
          <w:tcPr>
            <w:tcW w:w="200" w:type="dxa"/>
            <w:vAlign w:val="bottom"/>
          </w:tcPr>
          <w:p>
            <w:pPr>
              <w:spacing w:after="0"/>
              <w:rPr>
                <w:sz w:val="22"/>
                <w:szCs w:val="22"/>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1383C6"/>
              </w:rPr>
              <w:t>4.9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rPr>
              <w:t>4.9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4.9</w:t>
            </w: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Expected volatility</w:t>
            </w:r>
          </w:p>
        </w:tc>
        <w:tc>
          <w:tcPr>
            <w:tcW w:w="200" w:type="dxa"/>
            <w:vAlign w:val="bottom"/>
          </w:tcPr>
          <w:p>
            <w:pPr>
              <w:spacing w:after="0"/>
              <w:rPr>
                <w:sz w:val="24"/>
                <w:szCs w:val="24"/>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1383C6"/>
                <w:w w:val="93"/>
              </w:rPr>
              <w:t>95% - 96%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81% - 93%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77% - 78%</w:t>
            </w: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Risk-free interest rate</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1383C6"/>
                <w:w w:val="96"/>
              </w:rPr>
              <w:t>3.89% – 4.29%</w:t>
            </w:r>
          </w:p>
        </w:tc>
        <w:tc>
          <w:tcPr>
            <w:tcW w:w="6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3.48% – 4.32%</w:t>
            </w:r>
          </w:p>
        </w:tc>
        <w:tc>
          <w:tcPr>
            <w:tcW w:w="6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3.73% – 4.60%</w:t>
            </w: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Dividend yield</w:t>
            </w:r>
          </w:p>
        </w:tc>
        <w:tc>
          <w:tcPr>
            <w:tcW w:w="20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77"/>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Weighted-average grant date fair value per share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1383C6"/>
              </w:rPr>
              <w:t>0.90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-1137920</wp:posOffset>
            </wp:positionV>
            <wp:extent cx="854075" cy="1168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324">
                      <a:extLst>
                        <a:ext uri="{28A0092B-C50C-407E-A947-70E740481C1C}"/>
                      </a:extLst>
                    </a:blip>
                    <a:srcRect/>
                    <a:stretch>
                      <a:fillRect/>
                    </a:stretch>
                  </pic:blipFill>
                  <pic:spPr bwMode="auto">
                    <a:xfrm>
                      <a:off x="0" y="0"/>
                      <a:ext cx="854075" cy="1168400"/>
                    </a:xfrm>
                    <a:prstGeom prst="rect">
                      <a:avLst/>
                    </a:prstGeom>
                    <a:noFill/>
                  </pic:spPr>
                </pic:pic>
              </a:graphicData>
            </a:graphic>
          </wp:anchor>
        </w:drawing>
      </w:r>
    </w:p>
    <w:p>
      <w:pPr>
        <w:spacing w:after="0" w:line="167" w:lineRule="exact"/>
        <w:rPr>
          <w:sz w:val="20"/>
          <w:szCs w:val="20"/>
          <w:color w:val="auto"/>
        </w:rPr>
      </w:pPr>
    </w:p>
    <w:p>
      <w:pPr>
        <w:jc w:val="both"/>
        <w:ind w:right="700"/>
        <w:spacing w:after="0" w:line="313" w:lineRule="auto"/>
        <w:rPr>
          <w:sz w:val="20"/>
          <w:szCs w:val="20"/>
          <w:color w:val="auto"/>
        </w:rPr>
      </w:pPr>
      <w:r>
        <w:rPr>
          <w:rFonts w:ascii="Arial" w:cs="Arial" w:eastAsia="Arial" w:hAnsi="Arial"/>
          <w:sz w:val="19"/>
          <w:szCs w:val="19"/>
          <w:b w:val="1"/>
          <w:bCs w:val="1"/>
          <w:color w:val="auto"/>
        </w:rPr>
        <w:t>There were no stock options exercised during the year ended December 31, 2025. Cash received from option exercises for the years ended December 31, 2024 and 2023 was $1.6 million and $6.5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DF1995"/>
        </w:rPr>
        <w:t>ESPP</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fair value of shares to be issued under the ESPP was estimated using the following assumptions: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7"/>
          </w:tcPr>
          <w:p>
            <w:pPr>
              <w:jc w:val="center"/>
              <w:ind w:left="30"/>
              <w:spacing w:after="0"/>
              <w:rPr>
                <w:sz w:val="20"/>
                <w:szCs w:val="20"/>
                <w:color w:val="auto"/>
              </w:rPr>
            </w:pPr>
            <w:r>
              <w:rPr>
                <w:rFonts w:ascii="Arial" w:cs="Arial" w:eastAsia="Arial" w:hAnsi="Arial"/>
                <w:sz w:val="18"/>
                <w:szCs w:val="18"/>
                <w:b w:val="1"/>
                <w:bCs w:val="1"/>
                <w:color w:val="auto"/>
                <w:w w:val="94"/>
              </w:rPr>
              <w:t>Years Ended December 31,</w:t>
            </w:r>
          </w:p>
        </w:tc>
        <w:tc>
          <w:tcPr>
            <w:tcW w:w="720" w:type="dxa"/>
            <w:vAlign w:val="bottom"/>
            <w:tcBorders>
              <w:bottom w:val="single" w:sz="8" w:color="auto"/>
            </w:tcBorders>
          </w:tcPr>
          <w:p>
            <w:pPr>
              <w:spacing w:after="0"/>
              <w:rPr>
                <w:sz w:val="22"/>
                <w:szCs w:val="22"/>
                <w:color w:val="auto"/>
              </w:rPr>
            </w:pPr>
          </w:p>
        </w:tc>
      </w:tr>
      <w:tr>
        <w:trPr>
          <w:trHeight w:val="280"/>
        </w:trPr>
        <w:tc>
          <w:tcPr>
            <w:tcW w:w="582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Expected term in years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1383C6"/>
              </w:rPr>
              <w:t>0.5</w:t>
            </w:r>
          </w:p>
        </w:tc>
        <w:tc>
          <w:tcPr>
            <w:tcW w:w="720" w:type="dxa"/>
            <w:vAlign w:val="bottom"/>
          </w:tcPr>
          <w:p>
            <w:pPr>
              <w:ind w:left="40"/>
              <w:spacing w:after="0"/>
              <w:rPr>
                <w:sz w:val="20"/>
                <w:szCs w:val="20"/>
                <w:color w:val="auto"/>
              </w:rPr>
            </w:pPr>
            <w:r>
              <w:rPr>
                <w:rFonts w:ascii="Arial" w:cs="Arial" w:eastAsia="Arial" w:hAnsi="Arial"/>
                <w:sz w:val="18"/>
                <w:szCs w:val="18"/>
                <w:b w:val="1"/>
                <w:bCs w:val="1"/>
                <w:color w:val="1383C6"/>
              </w:rPr>
              <w:t>- 2.0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0.5 - 2.0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- 2.0</w:t>
            </w: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1383C6"/>
              </w:rPr>
              <w:t>101%</w:t>
            </w:r>
          </w:p>
        </w:tc>
        <w:tc>
          <w:tcPr>
            <w:tcW w:w="720" w:type="dxa"/>
            <w:vAlign w:val="bottom"/>
          </w:tcPr>
          <w:p>
            <w:pPr>
              <w:ind w:left="40"/>
              <w:spacing w:after="0"/>
              <w:rPr>
                <w:sz w:val="20"/>
                <w:szCs w:val="20"/>
                <w:color w:val="auto"/>
              </w:rPr>
            </w:pPr>
            <w:r>
              <w:rPr>
                <w:rFonts w:ascii="Arial" w:cs="Arial" w:eastAsia="Arial" w:hAnsi="Arial"/>
                <w:sz w:val="18"/>
                <w:szCs w:val="18"/>
                <w:b w:val="1"/>
                <w:bCs w:val="1"/>
                <w:color w:val="1383C6"/>
              </w:rPr>
              <w:t>- 113%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81% - 118%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- 97%</w:t>
            </w: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Risk-free interest rate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1383C6"/>
              </w:rPr>
              <w:t>3.7%</w:t>
            </w:r>
          </w:p>
        </w:tc>
        <w:tc>
          <w:tcPr>
            <w:tcW w:w="720" w:type="dxa"/>
            <w:vAlign w:val="bottom"/>
          </w:tcPr>
          <w:p>
            <w:pPr>
              <w:ind w:left="40"/>
              <w:spacing w:after="0"/>
              <w:rPr>
                <w:sz w:val="20"/>
                <w:szCs w:val="20"/>
                <w:color w:val="auto"/>
              </w:rPr>
            </w:pPr>
            <w:r>
              <w:rPr>
                <w:rFonts w:ascii="Arial" w:cs="Arial" w:eastAsia="Arial" w:hAnsi="Arial"/>
                <w:sz w:val="18"/>
                <w:szCs w:val="18"/>
                <w:b w:val="1"/>
                <w:bCs w:val="1"/>
                <w:color w:val="1383C6"/>
              </w:rPr>
              <w:t>- 4.3%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3.9% - 5.3%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2"/>
              </w:rPr>
              <w:t>4.9%</w:t>
            </w: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- 5.5%</w:t>
            </w: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Dividend yield</w:t>
            </w:r>
          </w:p>
        </w:tc>
        <w:tc>
          <w:tcPr>
            <w:tcW w:w="580" w:type="dxa"/>
            <w:vAlign w:val="bottom"/>
          </w:tcPr>
          <w:p>
            <w:pPr>
              <w:spacing w:after="0"/>
              <w:rPr>
                <w:sz w:val="24"/>
                <w:szCs w:val="24"/>
                <w:color w:val="auto"/>
              </w:rPr>
            </w:pPr>
          </w:p>
        </w:tc>
        <w:tc>
          <w:tcPr>
            <w:tcW w:w="720" w:type="dxa"/>
            <w:vAlign w:val="bottom"/>
          </w:tcPr>
          <w:p>
            <w:pPr>
              <w:jc w:val="center"/>
              <w:ind w:right="450"/>
              <w:spacing w:after="0"/>
              <w:rPr>
                <w:sz w:val="20"/>
                <w:szCs w:val="20"/>
                <w:color w:val="auto"/>
              </w:rPr>
            </w:pPr>
            <w:r>
              <w:rPr>
                <w:rFonts w:ascii="Arial" w:cs="Arial" w:eastAsia="Arial" w:hAnsi="Arial"/>
                <w:sz w:val="18"/>
                <w:szCs w:val="18"/>
                <w:b w:val="1"/>
                <w:bCs w:val="1"/>
                <w:color w:val="1383C6"/>
                <w:w w:val="77"/>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77"/>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center"/>
              <w:ind w:right="490"/>
              <w:spacing w:after="0"/>
              <w:rPr>
                <w:sz w:val="20"/>
                <w:szCs w:val="20"/>
                <w:color w:val="auto"/>
              </w:rPr>
            </w:pPr>
            <w:r>
              <w:rPr>
                <w:rFonts w:ascii="Arial" w:cs="Arial" w:eastAsia="Arial" w:hAnsi="Arial"/>
                <w:sz w:val="18"/>
                <w:szCs w:val="18"/>
                <w:b w:val="1"/>
                <w:bCs w:val="1"/>
                <w:color w:val="auto"/>
                <w:w w:val="77"/>
              </w:rPr>
              <w:t>—</w:t>
            </w: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Weighted-average grant date fair value per share</w:t>
            </w:r>
          </w:p>
        </w:tc>
        <w:tc>
          <w:tcPr>
            <w:tcW w:w="580" w:type="dxa"/>
            <w:vAlign w:val="bottom"/>
          </w:tcPr>
          <w:p>
            <w:pPr>
              <w:jc w:val="right"/>
              <w:ind w:right="350"/>
              <w:spacing w:after="0"/>
              <w:rPr>
                <w:sz w:val="20"/>
                <w:szCs w:val="20"/>
                <w:color w:val="auto"/>
              </w:rPr>
            </w:pPr>
            <w:r>
              <w:rPr>
                <w:rFonts w:ascii="Arial" w:cs="Arial" w:eastAsia="Arial" w:hAnsi="Arial"/>
                <w:sz w:val="18"/>
                <w:szCs w:val="18"/>
                <w:b w:val="1"/>
                <w:bCs w:val="1"/>
                <w:color w:val="1383C6"/>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1383C6"/>
              </w:rPr>
              <w:t>0.89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-1137920</wp:posOffset>
            </wp:positionV>
            <wp:extent cx="854075" cy="1168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325">
                      <a:extLst>
                        <a:ext uri="{28A0092B-C50C-407E-A947-70E740481C1C}"/>
                      </a:extLst>
                    </a:blip>
                    <a:srcRect/>
                    <a:stretch>
                      <a:fillRect/>
                    </a:stretch>
                  </pic:blipFill>
                  <pic:spPr bwMode="auto">
                    <a:xfrm>
                      <a:off x="0" y="0"/>
                      <a:ext cx="854075" cy="1168400"/>
                    </a:xfrm>
                    <a:prstGeom prst="rect">
                      <a:avLst/>
                    </a:prstGeom>
                    <a:noFill/>
                  </pic:spPr>
                </pic:pic>
              </a:graphicData>
            </a:graphic>
          </wp:anchor>
        </w:drawing>
      </w:r>
    </w:p>
    <w:p>
      <w:pPr>
        <w:spacing w:after="0" w:line="167" w:lineRule="exact"/>
        <w:rPr>
          <w:sz w:val="20"/>
          <w:szCs w:val="20"/>
          <w:color w:val="auto"/>
        </w:rPr>
      </w:pPr>
    </w:p>
    <w:p>
      <w:pPr>
        <w:jc w:val="both"/>
        <w:ind w:right="700"/>
        <w:spacing w:after="0" w:line="283" w:lineRule="auto"/>
        <w:rPr>
          <w:sz w:val="20"/>
          <w:szCs w:val="20"/>
          <w:color w:val="auto"/>
        </w:rPr>
      </w:pPr>
      <w:r>
        <w:rPr>
          <w:rFonts w:ascii="Arial" w:cs="Arial" w:eastAsia="Arial" w:hAnsi="Arial"/>
          <w:sz w:val="20"/>
          <w:szCs w:val="20"/>
          <w:b w:val="1"/>
          <w:bCs w:val="1"/>
          <w:color w:val="auto"/>
        </w:rPr>
        <w:t>Cash received through the ESPP for the years ended December 31, 2025, 2024, and 2023 was $3.4 million, $6.1 million, and $8.8 million, respectively.</w:t>
      </w:r>
    </w:p>
    <w:p>
      <w:pPr>
        <w:spacing w:after="0" w:line="58" w:lineRule="exact"/>
        <w:rPr>
          <w:sz w:val="20"/>
          <w:szCs w:val="20"/>
          <w:color w:val="auto"/>
        </w:rPr>
      </w:pPr>
    </w:p>
    <w:p>
      <w:pPr>
        <w:jc w:val="both"/>
        <w:ind w:right="700"/>
        <w:spacing w:after="0" w:line="343" w:lineRule="auto"/>
        <w:rPr>
          <w:sz w:val="20"/>
          <w:szCs w:val="20"/>
          <w:color w:val="auto"/>
        </w:rPr>
      </w:pPr>
      <w:r>
        <w:rPr>
          <w:rFonts w:ascii="Arial" w:cs="Arial" w:eastAsia="Arial" w:hAnsi="Arial"/>
          <w:sz w:val="18"/>
          <w:szCs w:val="18"/>
          <w:b w:val="1"/>
          <w:bCs w:val="1"/>
          <w:color w:val="auto"/>
        </w:rPr>
        <w:t>As of December 31, 2025, $46.8 million of total unrecognized compensation expense related to stock options, restricted stock, and ESPP shares was expected to be recognized over a weighted-average period of 1.6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311785</wp:posOffset>
                </wp:positionV>
                <wp:extent cx="7315200" cy="0"/>
                <wp:wrapNone/>
                <wp:docPr id="731" name="Shape 7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1" o:spid="_x0000_s17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4.55pt" to="535pt,24.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311785</wp:posOffset>
                </wp:positionV>
                <wp:extent cx="7315200" cy="0"/>
                <wp:wrapNone/>
                <wp:docPr id="732" name="Shape 7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32" o:spid="_x0000_s17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4.55pt" to="535pt,24.5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32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29" w:name="page130"/>
    <w:bookmarkEnd w:id="12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24447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327">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10. NET LOSS PER SHARE</w:t>
      </w:r>
    </w:p>
    <w:p>
      <w:pPr>
        <w:spacing w:after="0" w:line="225" w:lineRule="exact"/>
        <w:rPr>
          <w:sz w:val="20"/>
          <w:szCs w:val="20"/>
          <w:color w:val="auto"/>
        </w:rPr>
      </w:pPr>
    </w:p>
    <w:p>
      <w:pPr>
        <w:jc w:val="both"/>
        <w:ind w:right="700"/>
        <w:spacing w:after="0" w:line="285" w:lineRule="auto"/>
        <w:rPr>
          <w:sz w:val="20"/>
          <w:szCs w:val="20"/>
          <w:color w:val="auto"/>
        </w:rPr>
      </w:pPr>
      <w:r>
        <w:rPr>
          <w:rFonts w:ascii="Arial" w:cs="Arial" w:eastAsia="Arial" w:hAnsi="Arial"/>
          <w:sz w:val="20"/>
          <w:szCs w:val="20"/>
          <w:b w:val="1"/>
          <w:bCs w:val="1"/>
          <w:color w:val="auto"/>
        </w:rPr>
        <w:t>The following table presents the calculation of the basic and diluted net loss per share amounts presented on our consolidated statements of operations and comprehensive loss: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per share amounts)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63"/>
        </w:trPr>
        <w:tc>
          <w:tcPr>
            <w:tcW w:w="590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Basic net loss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1383C6"/>
              </w:rPr>
              <w:t>(546,376)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(309,851)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(306,735)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Basic net loss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1383C6"/>
              </w:rPr>
              <w:t>(546,376)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(309,851)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(306,735)</w:t>
            </w:r>
          </w:p>
        </w:tc>
        <w:tc>
          <w:tcPr>
            <w:tcW w:w="0" w:type="dxa"/>
            <w:vAlign w:val="bottom"/>
          </w:tcPr>
          <w:p>
            <w:pPr>
              <w:spacing w:after="0"/>
              <w:rPr>
                <w:sz w:val="1"/>
                <w:szCs w:val="1"/>
                <w:color w:val="auto"/>
              </w:rPr>
            </w:pPr>
          </w:p>
        </w:tc>
      </w:tr>
      <w:tr>
        <w:trPr>
          <w:trHeight w:val="300"/>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Add: Interest charges applicable to convertible notes (2028 Notes)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6,428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17"/>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Less: Gain on debt restructuring (2029 Notes)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(154,407)</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0"/>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Diluted net loss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1383C6"/>
              </w:rPr>
              <w:t>(546,376)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(457,830)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(306,735)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5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w w:val="96"/>
              </w:rPr>
              <w:t>Weighted-average shares used in computing basic net loss per share</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299,959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274,488</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253,629</w:t>
            </w:r>
          </w:p>
        </w:tc>
        <w:tc>
          <w:tcPr>
            <w:tcW w:w="0" w:type="dxa"/>
            <w:vAlign w:val="bottom"/>
          </w:tcPr>
          <w:p>
            <w:pPr>
              <w:spacing w:after="0"/>
              <w:rPr>
                <w:sz w:val="1"/>
                <w:szCs w:val="1"/>
                <w:color w:val="auto"/>
              </w:rPr>
            </w:pPr>
          </w:p>
        </w:tc>
      </w:tr>
      <w:tr>
        <w:trPr>
          <w:trHeight w:val="260"/>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Basic net loss per share</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1383C6"/>
              </w:rPr>
              <w:t>(1.82)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w w:val="96"/>
              </w:rPr>
              <w:t>Weighted-average shares used in computing basic net loss per share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1383C6"/>
              </w:rPr>
              <w:t>299,959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274,488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253,629</w:t>
            </w:r>
          </w:p>
        </w:tc>
        <w:tc>
          <w:tcPr>
            <w:tcW w:w="0" w:type="dxa"/>
            <w:vAlign w:val="bottom"/>
          </w:tcPr>
          <w:p>
            <w:pPr>
              <w:spacing w:after="0"/>
              <w:rPr>
                <w:sz w:val="1"/>
                <w:szCs w:val="1"/>
                <w:color w:val="auto"/>
              </w:rPr>
            </w:pPr>
          </w:p>
        </w:tc>
      </w:tr>
      <w:tr>
        <w:trPr>
          <w:trHeight w:val="252"/>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w w:val="92"/>
              </w:rPr>
              <w:t>Add: Weighted average shares issuable upon conversion of convertible</w:t>
            </w:r>
          </w:p>
        </w:tc>
        <w:tc>
          <w:tcPr>
            <w:tcW w:w="30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9,395</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notes (2028 Notes)</w:t>
            </w: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w w:val="92"/>
              </w:rPr>
              <w:t>Add: Weighted average shares issuable upon conversion of convertible</w:t>
            </w:r>
          </w:p>
        </w:tc>
        <w:tc>
          <w:tcPr>
            <w:tcW w:w="30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4,483</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5"/>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notes (2029 Notes)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w w:val="94"/>
              </w:rPr>
              <w:t>Weighted-average shares used in computing diluted net loss per share</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299,959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288,366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253,629</w:t>
            </w:r>
          </w:p>
        </w:tc>
        <w:tc>
          <w:tcPr>
            <w:tcW w:w="0" w:type="dxa"/>
            <w:vAlign w:val="bottom"/>
          </w:tcPr>
          <w:p>
            <w:pPr>
              <w:spacing w:after="0"/>
              <w:rPr>
                <w:sz w:val="1"/>
                <w:szCs w:val="1"/>
                <w:color w:val="auto"/>
              </w:rPr>
            </w:pPr>
          </w:p>
        </w:tc>
      </w:tr>
      <w:tr>
        <w:trPr>
          <w:trHeight w:val="260"/>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Diluted net loss per share</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1383C6"/>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1383C6"/>
              </w:rPr>
              <w:t>(1.82)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-4079240</wp:posOffset>
            </wp:positionV>
            <wp:extent cx="2555875" cy="409892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328">
                      <a:extLst>
                        <a:ext uri="{28A0092B-C50C-407E-A947-70E740481C1C}"/>
                      </a:extLst>
                    </a:blip>
                    <a:srcRect/>
                    <a:stretch>
                      <a:fillRect/>
                    </a:stretch>
                  </pic:blipFill>
                  <pic:spPr bwMode="auto">
                    <a:xfrm>
                      <a:off x="0" y="0"/>
                      <a:ext cx="2555875" cy="4098925"/>
                    </a:xfrm>
                    <a:prstGeom prst="rect">
                      <a:avLst/>
                    </a:prstGeom>
                    <a:noFill/>
                  </pic:spPr>
                </pic:pic>
              </a:graphicData>
            </a:graphic>
          </wp:anchor>
        </w:drawing>
      </w:r>
    </w:p>
    <w:p>
      <w:pPr>
        <w:spacing w:after="0" w:line="17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The following shares issuable upon conversion of the convertible senior notes and outstanding equity awards were excluded from the computation of diluted net loss per share for the periods presented because the effect of including such shares would have been antidilutive:</w:t>
      </w:r>
    </w:p>
    <w:p>
      <w:pPr>
        <w:spacing w:after="0" w:line="165"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23495</wp:posOffset>
            </wp:positionV>
            <wp:extent cx="2574925" cy="5969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329">
                      <a:extLst>
                        <a:ext uri="{28A0092B-C50C-407E-A947-70E740481C1C}"/>
                      </a:extLst>
                    </a:blip>
                    <a:srcRect/>
                    <a:stretch>
                      <a:fillRect/>
                    </a:stretch>
                  </pic:blipFill>
                  <pic:spPr bwMode="auto">
                    <a:xfrm>
                      <a:off x="0" y="0"/>
                      <a:ext cx="2574925" cy="5969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Shares issuable upon conversion of convertible senior notes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61,415</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20,512</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31,063</w:t>
            </w:r>
          </w:p>
        </w:tc>
      </w:tr>
      <w:tr>
        <w:trPr>
          <w:trHeight w:val="300"/>
        </w:trPr>
        <w:tc>
          <w:tcPr>
            <w:tcW w:w="5820" w:type="dxa"/>
            <w:vAlign w:val="bottom"/>
          </w:tcPr>
          <w:p>
            <w:pPr>
              <w:spacing w:after="0"/>
              <w:rPr>
                <w:sz w:val="20"/>
                <w:szCs w:val="20"/>
                <w:color w:val="auto"/>
              </w:rPr>
            </w:pPr>
            <w:r>
              <w:rPr>
                <w:rFonts w:ascii="Arial" w:cs="Arial" w:eastAsia="Arial" w:hAnsi="Arial"/>
                <w:sz w:val="18"/>
                <w:szCs w:val="18"/>
                <w:b w:val="1"/>
                <w:bCs w:val="1"/>
                <w:color w:val="auto"/>
              </w:rPr>
              <w:t>Equity awards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41,613</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34,136</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27,246</w:t>
            </w:r>
          </w:p>
        </w:tc>
      </w:tr>
    </w:tbl>
    <w:p>
      <w:pPr>
        <w:spacing w:after="0" w:line="187" w:lineRule="exact"/>
        <w:rPr>
          <w:sz w:val="20"/>
          <w:szCs w:val="20"/>
          <w:color w:val="auto"/>
        </w:rPr>
      </w:pPr>
    </w:p>
    <w:p>
      <w:pPr>
        <w:jc w:val="both"/>
        <w:ind w:right="960"/>
        <w:spacing w:after="0" w:line="341" w:lineRule="auto"/>
        <w:rPr>
          <w:sz w:val="20"/>
          <w:szCs w:val="20"/>
          <w:color w:val="auto"/>
        </w:rPr>
      </w:pPr>
      <w:r>
        <w:rPr>
          <w:rFonts w:ascii="Arial" w:cs="Arial" w:eastAsia="Arial" w:hAnsi="Arial"/>
          <w:sz w:val="18"/>
          <w:szCs w:val="18"/>
          <w:b w:val="1"/>
          <w:bCs w:val="1"/>
          <w:color w:val="auto"/>
        </w:rPr>
        <w:t xml:space="preserve">See </w:t>
      </w:r>
      <w:r>
        <w:rPr>
          <w:rFonts w:ascii="Arial" w:cs="Arial" w:eastAsia="Arial" w:hAnsi="Arial"/>
          <w:sz w:val="18"/>
          <w:szCs w:val="18"/>
          <w:b w:val="1"/>
          <w:bCs w:val="1"/>
          <w:i w:val="1"/>
          <w:iCs w:val="1"/>
          <w:u w:val="single" w:color="auto"/>
          <w:color w:val="0000FF"/>
        </w:rPr>
        <w:t>Note 2. Business Acquisitions</w:t>
      </w:r>
      <w:r>
        <w:rPr>
          <w:rFonts w:ascii="Arial" w:cs="Arial" w:eastAsia="Arial" w:hAnsi="Arial"/>
          <w:sz w:val="18"/>
          <w:szCs w:val="18"/>
          <w:b w:val="1"/>
          <w:bCs w:val="1"/>
          <w:color w:val="auto"/>
        </w:rPr>
        <w:t xml:space="preserve">, for detailed information on contingently issuable shares that would be due upon achievement of a milestone. See </w:t>
      </w:r>
      <w:r>
        <w:rPr>
          <w:rFonts w:ascii="Arial" w:cs="Arial" w:eastAsia="Arial" w:hAnsi="Arial"/>
          <w:sz w:val="18"/>
          <w:szCs w:val="18"/>
          <w:b w:val="1"/>
          <w:bCs w:val="1"/>
          <w:i w:val="1"/>
          <w:iCs w:val="1"/>
          <w:u w:val="single" w:color="auto"/>
          <w:color w:val="0000FF"/>
        </w:rPr>
        <w:t>Note 9. Stockholders’ Equity</w:t>
      </w:r>
      <w:r>
        <w:rPr>
          <w:rFonts w:ascii="Arial" w:cs="Arial" w:eastAsia="Arial" w:hAnsi="Arial"/>
          <w:sz w:val="18"/>
          <w:szCs w:val="18"/>
          <w:b w:val="1"/>
          <w:bCs w:val="1"/>
          <w:color w:val="auto"/>
        </w:rPr>
        <w:t xml:space="preserve"> for detailed information on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146685</wp:posOffset>
            </wp:positionV>
            <wp:extent cx="6311900" cy="24447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330">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11. SEGMENT AND GEOGRAPHIC INFORMATION</w:t>
      </w:r>
    </w:p>
    <w:p>
      <w:pPr>
        <w:spacing w:after="0" w:line="225" w:lineRule="exact"/>
        <w:rPr>
          <w:sz w:val="20"/>
          <w:szCs w:val="20"/>
          <w:color w:val="auto"/>
        </w:rPr>
      </w:pPr>
    </w:p>
    <w:p>
      <w:pPr>
        <w:jc w:val="both"/>
        <w:ind w:right="700"/>
        <w:spacing w:after="0" w:line="261" w:lineRule="auto"/>
        <w:rPr>
          <w:sz w:val="20"/>
          <w:szCs w:val="20"/>
          <w:color w:val="auto"/>
        </w:rPr>
      </w:pPr>
      <w:r>
        <w:rPr>
          <w:rFonts w:ascii="Arial" w:cs="Arial" w:eastAsia="Arial" w:hAnsi="Arial"/>
          <w:sz w:val="20"/>
          <w:szCs w:val="20"/>
          <w:b w:val="1"/>
          <w:bCs w:val="1"/>
          <w:color w:val="auto"/>
        </w:rPr>
        <w:t>We are organized as, and operate in, one reportable segment: the development, manufacturing, and marketing of integrated platforms for genetic analysis. Our chief operating decision-maker ("CODM") is our Chief Executive Officer. Our CODM reviews financial information presented on a consolidated basis for the purposes of evaluating financial performance and allocating resources.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 a regular basis, our CODM reviews:</w:t>
      </w:r>
    </w:p>
    <w:p>
      <w:pPr>
        <w:spacing w:after="0" w:line="70" w:lineRule="exact"/>
        <w:rPr>
          <w:sz w:val="20"/>
          <w:szCs w:val="20"/>
          <w:color w:val="auto"/>
        </w:rPr>
      </w:pPr>
    </w:p>
    <w:p>
      <w:pPr>
        <w:ind w:left="720" w:hanging="370"/>
        <w:spacing w:after="0"/>
        <w:tabs>
          <w:tab w:leader="none" w:pos="720" w:val="left"/>
        </w:tabs>
        <w:numPr>
          <w:ilvl w:val="0"/>
          <w:numId w:val="46"/>
        </w:numPr>
        <w:rPr>
          <w:rFonts w:ascii="Arial" w:cs="Arial" w:eastAsia="Arial" w:hAnsi="Arial"/>
          <w:sz w:val="20"/>
          <w:szCs w:val="20"/>
          <w:b w:val="1"/>
          <w:bCs w:val="1"/>
          <w:color w:val="DF1995"/>
        </w:rPr>
      </w:pPr>
      <w:r>
        <w:rPr>
          <w:rFonts w:ascii="Arial" w:cs="Arial" w:eastAsia="Arial" w:hAnsi="Arial"/>
          <w:sz w:val="20"/>
          <w:szCs w:val="20"/>
          <w:b w:val="1"/>
          <w:bCs w:val="1"/>
          <w:color w:val="auto"/>
        </w:rPr>
        <w:t>total revenues by category</w:t>
      </w:r>
    </w:p>
    <w:p>
      <w:pPr>
        <w:spacing w:after="0" w:line="70" w:lineRule="exact"/>
        <w:rPr>
          <w:rFonts w:ascii="Arial" w:cs="Arial" w:eastAsia="Arial" w:hAnsi="Arial"/>
          <w:sz w:val="20"/>
          <w:szCs w:val="20"/>
          <w:b w:val="1"/>
          <w:bCs w:val="1"/>
          <w:color w:val="DF1995"/>
        </w:rPr>
      </w:pPr>
    </w:p>
    <w:p>
      <w:pPr>
        <w:ind w:left="720" w:right="700" w:hanging="370"/>
        <w:spacing w:after="0" w:line="285" w:lineRule="auto"/>
        <w:tabs>
          <w:tab w:leader="none" w:pos="720" w:val="left"/>
        </w:tabs>
        <w:numPr>
          <w:ilvl w:val="0"/>
          <w:numId w:val="46"/>
        </w:numPr>
        <w:rPr>
          <w:rFonts w:ascii="Arial" w:cs="Arial" w:eastAsia="Arial" w:hAnsi="Arial"/>
          <w:sz w:val="20"/>
          <w:szCs w:val="20"/>
          <w:b w:val="1"/>
          <w:bCs w:val="1"/>
          <w:color w:val="DF1995"/>
        </w:rPr>
      </w:pPr>
      <w:r>
        <w:rPr>
          <w:rFonts w:ascii="Arial" w:cs="Arial" w:eastAsia="Arial" w:hAnsi="Arial"/>
          <w:sz w:val="20"/>
          <w:szCs w:val="20"/>
          <w:b w:val="1"/>
          <w:bCs w:val="1"/>
          <w:color w:val="auto"/>
        </w:rPr>
        <w:t>total expenses and expenses by function, including sales and marketing and general and administrative, which include depreciation and share-based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277495</wp:posOffset>
                </wp:positionV>
                <wp:extent cx="7315200" cy="0"/>
                <wp:wrapNone/>
                <wp:docPr id="738" name="Shape 7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8" o:spid="_x0000_s17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85pt" to="535pt,21.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277495</wp:posOffset>
                </wp:positionV>
                <wp:extent cx="7315200" cy="0"/>
                <wp:wrapNone/>
                <wp:docPr id="739" name="Shape 7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39" o:spid="_x0000_s17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85pt" to="535pt,21.8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88"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33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left="720" w:hanging="370"/>
        <w:spacing w:after="0"/>
        <w:tabs>
          <w:tab w:leader="none" w:pos="720" w:val="left"/>
        </w:tabs>
        <w:numPr>
          <w:ilvl w:val="0"/>
          <w:numId w:val="47"/>
        </w:numPr>
        <w:rPr>
          <w:rFonts w:ascii="Arial" w:cs="Arial" w:eastAsia="Arial" w:hAnsi="Arial"/>
          <w:sz w:val="20"/>
          <w:szCs w:val="20"/>
          <w:b w:val="1"/>
          <w:bCs w:val="1"/>
          <w:color w:val="DF1995"/>
        </w:rPr>
      </w:pPr>
      <w:r>
        <w:rPr>
          <w:rFonts w:ascii="Arial" w:cs="Arial" w:eastAsia="Arial" w:hAnsi="Arial"/>
          <w:sz w:val="20"/>
          <w:szCs w:val="20"/>
          <w:b w:val="1"/>
          <w:bCs w:val="1"/>
          <w:color w:val="auto"/>
        </w:rPr>
        <w:t>net loss per share</w:t>
      </w:r>
    </w:p>
    <w:p>
      <w:pPr>
        <w:spacing w:after="0" w:line="130"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Our assets are primarily located in the United States of America and not allocated to any specific region, and we do not measure the performance of geographic regions based upon asset-based metrics. Therefore, geographic information is presented only for revenue.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summary of the segment profit or loss, including significant segment expenses is as follows:</w:t>
      </w:r>
    </w:p>
    <w:p>
      <w:pPr>
        <w:spacing w:after="0" w:line="226"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23495</wp:posOffset>
            </wp:positionV>
            <wp:extent cx="2613025" cy="30988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332">
                      <a:extLst>
                        <a:ext uri="{28A0092B-C50C-407E-A947-70E740481C1C}"/>
                      </a:extLst>
                    </a:blip>
                    <a:srcRect/>
                    <a:stretch>
                      <a:fillRect/>
                    </a:stretch>
                  </pic:blipFill>
                  <pic:spPr bwMode="auto">
                    <a:xfrm>
                      <a:off x="0" y="0"/>
                      <a:ext cx="2613025" cy="30988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0"/>
                <w:szCs w:val="20"/>
                <w:color w:val="auto"/>
              </w:rPr>
            </w:pPr>
            <w:r>
              <w:rPr>
                <w:rFonts w:ascii="Arial" w:cs="Arial" w:eastAsia="Arial" w:hAnsi="Arial"/>
                <w:sz w:val="15"/>
                <w:szCs w:val="15"/>
                <w:b w:val="1"/>
                <w:bCs w:val="1"/>
                <w:i w:val="1"/>
                <w:iCs w:val="1"/>
                <w:color w:val="auto"/>
              </w:rPr>
              <w:t>(In thousands)</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63"/>
        </w:trPr>
        <w:tc>
          <w:tcPr>
            <w:tcW w:w="5820" w:type="dxa"/>
            <w:vAlign w:val="bottom"/>
          </w:tcPr>
          <w:p>
            <w:pPr>
              <w:ind w:left="240"/>
              <w:spacing w:after="0"/>
              <w:rPr>
                <w:sz w:val="20"/>
                <w:szCs w:val="20"/>
                <w:color w:val="auto"/>
              </w:rPr>
            </w:pPr>
            <w:r>
              <w:rPr>
                <w:rFonts w:ascii="Arial" w:cs="Arial" w:eastAsia="Arial" w:hAnsi="Arial"/>
                <w:sz w:val="18"/>
                <w:szCs w:val="18"/>
                <w:b w:val="1"/>
                <w:bCs w:val="1"/>
                <w:color w:val="auto"/>
              </w:rPr>
              <w:t>Total revenue</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160,005</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154,014</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200,521</w:t>
            </w:r>
          </w:p>
        </w:tc>
      </w:tr>
      <w:tr>
        <w:trPr>
          <w:trHeight w:val="300"/>
        </w:trPr>
        <w:tc>
          <w:tcPr>
            <w:tcW w:w="5820" w:type="dxa"/>
            <w:vAlign w:val="bottom"/>
          </w:tcPr>
          <w:p>
            <w:pPr>
              <w:ind w:left="240"/>
              <w:spacing w:after="0"/>
              <w:rPr>
                <w:sz w:val="20"/>
                <w:szCs w:val="20"/>
                <w:color w:val="auto"/>
              </w:rPr>
            </w:pPr>
            <w:r>
              <w:rPr>
                <w:rFonts w:ascii="Arial" w:cs="Arial" w:eastAsia="Arial" w:hAnsi="Arial"/>
                <w:sz w:val="18"/>
                <w:szCs w:val="18"/>
                <w:b w:val="1"/>
                <w:bCs w:val="1"/>
                <w:color w:val="auto"/>
              </w:rPr>
              <w:t>Less: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0"/>
        </w:trPr>
        <w:tc>
          <w:tcPr>
            <w:tcW w:w="5820" w:type="dxa"/>
            <w:vAlign w:val="bottom"/>
          </w:tcPr>
          <w:p>
            <w:pPr>
              <w:ind w:left="480"/>
              <w:spacing w:after="0"/>
              <w:rPr>
                <w:sz w:val="20"/>
                <w:szCs w:val="20"/>
                <w:color w:val="auto"/>
              </w:rPr>
            </w:pPr>
            <w:r>
              <w:rPr>
                <w:rFonts w:ascii="Arial" w:cs="Arial" w:eastAsia="Arial" w:hAnsi="Arial"/>
                <w:sz w:val="18"/>
                <w:szCs w:val="18"/>
                <w:b w:val="1"/>
                <w:bCs w:val="1"/>
                <w:color w:val="auto"/>
              </w:rPr>
              <w:t>Cost of revenue</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114,225</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116,732</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147,741</w:t>
            </w:r>
          </w:p>
        </w:tc>
      </w:tr>
      <w:tr>
        <w:trPr>
          <w:trHeight w:val="300"/>
        </w:trPr>
        <w:tc>
          <w:tcPr>
            <w:tcW w:w="5820" w:type="dxa"/>
            <w:vAlign w:val="bottom"/>
          </w:tcPr>
          <w:p>
            <w:pPr>
              <w:ind w:left="480"/>
              <w:spacing w:after="0"/>
              <w:rPr>
                <w:sz w:val="20"/>
                <w:szCs w:val="20"/>
                <w:color w:val="auto"/>
              </w:rPr>
            </w:pPr>
            <w:r>
              <w:rPr>
                <w:rFonts w:ascii="Arial" w:cs="Arial" w:eastAsia="Arial" w:hAnsi="Arial"/>
                <w:sz w:val="18"/>
                <w:szCs w:val="18"/>
                <w:b w:val="1"/>
                <w:bCs w:val="1"/>
                <w:color w:val="auto"/>
              </w:rPr>
              <w:t>Research and development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97,307</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134,922</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187,170</w:t>
            </w:r>
          </w:p>
        </w:tc>
      </w:tr>
      <w:tr>
        <w:trPr>
          <w:trHeight w:val="300"/>
        </w:trPr>
        <w:tc>
          <w:tcPr>
            <w:tcW w:w="5820" w:type="dxa"/>
            <w:vAlign w:val="bottom"/>
          </w:tcPr>
          <w:p>
            <w:pPr>
              <w:ind w:left="480"/>
              <w:spacing w:after="0"/>
              <w:rPr>
                <w:sz w:val="20"/>
                <w:szCs w:val="20"/>
                <w:color w:val="auto"/>
              </w:rPr>
            </w:pPr>
            <w:r>
              <w:rPr>
                <w:rFonts w:ascii="Arial" w:cs="Arial" w:eastAsia="Arial" w:hAnsi="Arial"/>
                <w:sz w:val="18"/>
                <w:szCs w:val="18"/>
                <w:b w:val="1"/>
                <w:bCs w:val="1"/>
                <w:color w:val="auto"/>
              </w:rPr>
              <w:t>Sales and marketing</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72,972</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87,244</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79,287</w:t>
            </w:r>
          </w:p>
        </w:tc>
      </w:tr>
      <w:tr>
        <w:trPr>
          <w:trHeight w:val="300"/>
        </w:trPr>
        <w:tc>
          <w:tcPr>
            <w:tcW w:w="5820" w:type="dxa"/>
            <w:vAlign w:val="bottom"/>
          </w:tcPr>
          <w:p>
            <w:pPr>
              <w:ind w:left="480"/>
              <w:spacing w:after="0"/>
              <w:rPr>
                <w:sz w:val="20"/>
                <w:szCs w:val="20"/>
                <w:color w:val="auto"/>
              </w:rPr>
            </w:pPr>
            <w:r>
              <w:rPr>
                <w:rFonts w:ascii="Arial" w:cs="Arial" w:eastAsia="Arial" w:hAnsi="Arial"/>
                <w:sz w:val="18"/>
                <w:szCs w:val="18"/>
                <w:b w:val="1"/>
                <w:bCs w:val="1"/>
                <w:color w:val="auto"/>
              </w:rPr>
              <w:t>General and administrative</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68,521</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87,773</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90,531</w:t>
            </w:r>
          </w:p>
        </w:tc>
      </w:tr>
      <w:tr>
        <w:trPr>
          <w:trHeight w:val="300"/>
        </w:trPr>
        <w:tc>
          <w:tcPr>
            <w:tcW w:w="5820" w:type="dxa"/>
            <w:vAlign w:val="bottom"/>
          </w:tcPr>
          <w:p>
            <w:pPr>
              <w:ind w:left="480"/>
              <w:spacing w:after="0"/>
              <w:rPr>
                <w:sz w:val="20"/>
                <w:szCs w:val="20"/>
                <w:color w:val="auto"/>
              </w:rPr>
            </w:pPr>
            <w:r>
              <w:rPr>
                <w:rFonts w:ascii="Arial" w:cs="Arial" w:eastAsia="Arial" w:hAnsi="Arial"/>
                <w:sz w:val="18"/>
                <w:szCs w:val="18"/>
                <w:b w:val="1"/>
                <w:bCs w:val="1"/>
                <w:color w:val="auto"/>
              </w:rPr>
              <w:t>Impairment charges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15,000</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184,500</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00"/>
        </w:trPr>
        <w:tc>
          <w:tcPr>
            <w:tcW w:w="5820" w:type="dxa"/>
            <w:vAlign w:val="bottom"/>
          </w:tcPr>
          <w:p>
            <w:pPr>
              <w:ind w:left="480"/>
              <w:spacing w:after="0"/>
              <w:rPr>
                <w:sz w:val="20"/>
                <w:szCs w:val="20"/>
                <w:color w:val="auto"/>
              </w:rPr>
            </w:pPr>
            <w:r>
              <w:rPr>
                <w:rFonts w:ascii="Arial" w:cs="Arial" w:eastAsia="Arial" w:hAnsi="Arial"/>
                <w:sz w:val="18"/>
                <w:szCs w:val="18"/>
                <w:b w:val="1"/>
                <w:bCs w:val="1"/>
                <w:color w:val="auto"/>
              </w:rPr>
              <w:t>Merger-related expenses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9,042</w:t>
            </w:r>
          </w:p>
        </w:tc>
      </w:tr>
      <w:tr>
        <w:trPr>
          <w:trHeight w:val="300"/>
        </w:trPr>
        <w:tc>
          <w:tcPr>
            <w:tcW w:w="5820" w:type="dxa"/>
            <w:vAlign w:val="bottom"/>
          </w:tcPr>
          <w:p>
            <w:pPr>
              <w:ind w:left="480"/>
              <w:spacing w:after="0"/>
              <w:rPr>
                <w:sz w:val="20"/>
                <w:szCs w:val="20"/>
                <w:color w:val="auto"/>
              </w:rPr>
            </w:pPr>
            <w:r>
              <w:rPr>
                <w:rFonts w:ascii="Arial" w:cs="Arial" w:eastAsia="Arial" w:hAnsi="Arial"/>
                <w:sz w:val="18"/>
                <w:szCs w:val="18"/>
                <w:b w:val="1"/>
                <w:bCs w:val="1"/>
                <w:color w:val="auto"/>
              </w:rPr>
              <w:t>Change in fair value of contingent consideration</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(18,700)</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(850)</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15,060</w:t>
            </w:r>
          </w:p>
        </w:tc>
      </w:tr>
      <w:tr>
        <w:trPr>
          <w:trHeight w:val="300"/>
        </w:trPr>
        <w:tc>
          <w:tcPr>
            <w:tcW w:w="5820" w:type="dxa"/>
            <w:vAlign w:val="bottom"/>
          </w:tcPr>
          <w:p>
            <w:pPr>
              <w:ind w:left="480"/>
              <w:spacing w:after="0"/>
              <w:rPr>
                <w:sz w:val="20"/>
                <w:szCs w:val="20"/>
                <w:color w:val="auto"/>
              </w:rPr>
            </w:pPr>
            <w:r>
              <w:rPr>
                <w:rFonts w:ascii="Arial" w:cs="Arial" w:eastAsia="Arial" w:hAnsi="Arial"/>
                <w:sz w:val="18"/>
                <w:szCs w:val="18"/>
                <w:b w:val="1"/>
                <w:bCs w:val="1"/>
                <w:color w:val="auto"/>
              </w:rPr>
              <w:t>Amortization of acquired intangible assets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364,541</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18,006</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6,157</w:t>
            </w:r>
          </w:p>
        </w:tc>
      </w:tr>
      <w:tr>
        <w:trPr>
          <w:trHeight w:val="300"/>
        </w:trPr>
        <w:tc>
          <w:tcPr>
            <w:tcW w:w="5820" w:type="dxa"/>
            <w:vAlign w:val="bottom"/>
          </w:tcPr>
          <w:p>
            <w:pPr>
              <w:ind w:left="480"/>
              <w:spacing w:after="0"/>
              <w:rPr>
                <w:sz w:val="20"/>
                <w:szCs w:val="20"/>
                <w:color w:val="auto"/>
              </w:rPr>
            </w:pPr>
            <w:r>
              <w:rPr>
                <w:rFonts w:ascii="Arial" w:cs="Arial" w:eastAsia="Arial" w:hAnsi="Arial"/>
                <w:sz w:val="18"/>
                <w:szCs w:val="18"/>
                <w:b w:val="1"/>
                <w:bCs w:val="1"/>
                <w:color w:val="auto"/>
              </w:rPr>
              <w:t>Loss on extinguishment of debt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2,033</w:t>
            </w:r>
          </w:p>
        </w:tc>
      </w:tr>
      <w:tr>
        <w:trPr>
          <w:trHeight w:val="300"/>
        </w:trPr>
        <w:tc>
          <w:tcPr>
            <w:tcW w:w="5820" w:type="dxa"/>
            <w:vAlign w:val="bottom"/>
          </w:tcPr>
          <w:p>
            <w:pPr>
              <w:ind w:left="480"/>
              <w:spacing w:after="0"/>
              <w:rPr>
                <w:sz w:val="20"/>
                <w:szCs w:val="20"/>
                <w:color w:val="auto"/>
              </w:rPr>
            </w:pPr>
            <w:r>
              <w:rPr>
                <w:rFonts w:ascii="Arial" w:cs="Arial" w:eastAsia="Arial" w:hAnsi="Arial"/>
                <w:sz w:val="18"/>
                <w:szCs w:val="18"/>
                <w:b w:val="1"/>
                <w:bCs w:val="1"/>
                <w:color w:val="auto"/>
              </w:rPr>
              <w:t>Gain on debt restructuring</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(154,407)</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00"/>
        </w:trPr>
        <w:tc>
          <w:tcPr>
            <w:tcW w:w="5820" w:type="dxa"/>
            <w:vAlign w:val="bottom"/>
          </w:tcPr>
          <w:p>
            <w:pPr>
              <w:ind w:left="240"/>
              <w:spacing w:after="0"/>
              <w:rPr>
                <w:sz w:val="20"/>
                <w:szCs w:val="20"/>
                <w:color w:val="auto"/>
              </w:rPr>
            </w:pPr>
            <w:r>
              <w:rPr>
                <w:rFonts w:ascii="Arial" w:cs="Arial" w:eastAsia="Arial" w:hAnsi="Arial"/>
                <w:sz w:val="18"/>
                <w:szCs w:val="18"/>
                <w:b w:val="1"/>
                <w:bCs w:val="1"/>
                <w:color w:val="auto"/>
              </w:rPr>
              <w:t>Other income, net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7,803</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10,371</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18,341</w:t>
            </w:r>
          </w:p>
        </w:tc>
      </w:tr>
      <w:tr>
        <w:trPr>
          <w:trHeight w:val="317"/>
        </w:trPr>
        <w:tc>
          <w:tcPr>
            <w:tcW w:w="5820" w:type="dxa"/>
            <w:vAlign w:val="bottom"/>
          </w:tcPr>
          <w:p>
            <w:pPr>
              <w:ind w:left="240"/>
              <w:spacing w:after="0"/>
              <w:rPr>
                <w:sz w:val="20"/>
                <w:szCs w:val="20"/>
                <w:color w:val="auto"/>
              </w:rPr>
            </w:pPr>
            <w:r>
              <w:rPr>
                <w:rFonts w:ascii="Arial" w:cs="Arial" w:eastAsia="Arial" w:hAnsi="Arial"/>
                <w:sz w:val="18"/>
                <w:szCs w:val="18"/>
                <w:b w:val="1"/>
                <w:bCs w:val="1"/>
                <w:color w:val="auto"/>
              </w:rPr>
              <w:t>Income tax provision (benefit)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318</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(11,424)</w:t>
            </w:r>
          </w:p>
        </w:tc>
      </w:tr>
      <w:tr>
        <w:trPr>
          <w:trHeight w:val="260"/>
        </w:trPr>
        <w:tc>
          <w:tcPr>
            <w:tcW w:w="5820" w:type="dxa"/>
            <w:vAlign w:val="bottom"/>
          </w:tcPr>
          <w:p>
            <w:pPr>
              <w:ind w:left="240"/>
              <w:spacing w:after="0"/>
              <w:rPr>
                <w:sz w:val="20"/>
                <w:szCs w:val="20"/>
                <w:color w:val="auto"/>
              </w:rPr>
            </w:pPr>
            <w:r>
              <w:rPr>
                <w:rFonts w:ascii="Arial" w:cs="Arial" w:eastAsia="Arial" w:hAnsi="Arial"/>
                <w:sz w:val="18"/>
                <w:szCs w:val="18"/>
                <w:b w:val="1"/>
                <w:bCs w:val="1"/>
                <w:color w:val="auto"/>
              </w:rPr>
              <w:t>Consolidated net loss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1383C6"/>
              </w:rPr>
              <w:t>(546,376)</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(309,851)</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(306,735)</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summary of our revenue by geographic location is as follows:</w:t>
      </w:r>
    </w:p>
    <w:p>
      <w:pPr>
        <w:spacing w:after="0" w:line="226"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23495</wp:posOffset>
            </wp:positionV>
            <wp:extent cx="2613025" cy="10033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333">
                      <a:extLst>
                        <a:ext uri="{28A0092B-C50C-407E-A947-70E740481C1C}"/>
                      </a:extLst>
                    </a:blip>
                    <a:srcRect/>
                    <a:stretch>
                      <a:fillRect/>
                    </a:stretch>
                  </pic:blipFill>
                  <pic:spPr bwMode="auto">
                    <a:xfrm>
                      <a:off x="0" y="0"/>
                      <a:ext cx="2613025" cy="10033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326"/>
        </w:trPr>
        <w:tc>
          <w:tcPr>
            <w:tcW w:w="5820" w:type="dxa"/>
            <w:vAlign w:val="bottom"/>
          </w:tcPr>
          <w:p>
            <w:pPr>
              <w:spacing w:after="0"/>
              <w:rPr>
                <w:sz w:val="20"/>
                <w:szCs w:val="20"/>
                <w:color w:val="auto"/>
              </w:rPr>
            </w:pPr>
            <w:r>
              <w:rPr>
                <w:rFonts w:ascii="Arial" w:cs="Arial" w:eastAsia="Arial" w:hAnsi="Arial"/>
                <w:sz w:val="18"/>
                <w:szCs w:val="18"/>
                <w:b w:val="1"/>
                <w:bCs w:val="1"/>
                <w:color w:val="auto"/>
              </w:rPr>
              <w:t xml:space="preserve">Americas </w:t>
            </w:r>
            <w:r>
              <w:rPr>
                <w:rFonts w:ascii="Arial" w:cs="Arial" w:eastAsia="Arial" w:hAnsi="Arial"/>
                <w:sz w:val="23"/>
                <w:szCs w:val="23"/>
                <w:b w:val="1"/>
                <w:bCs w:val="1"/>
                <w:color w:val="auto"/>
                <w:vertAlign w:val="superscript"/>
              </w:rPr>
              <w:t>(1)</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72,798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78,711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105,410</w:t>
            </w:r>
          </w:p>
        </w:tc>
      </w:tr>
      <w:tr>
        <w:trPr>
          <w:trHeight w:val="237"/>
        </w:trPr>
        <w:tc>
          <w:tcPr>
            <w:tcW w:w="5820" w:type="dxa"/>
            <w:vAlign w:val="bottom"/>
          </w:tcPr>
          <w:p>
            <w:pPr>
              <w:spacing w:after="0"/>
              <w:rPr>
                <w:sz w:val="20"/>
                <w:szCs w:val="20"/>
                <w:color w:val="auto"/>
              </w:rPr>
            </w:pPr>
            <w:r>
              <w:rPr>
                <w:rFonts w:ascii="Arial" w:cs="Arial" w:eastAsia="Arial" w:hAnsi="Arial"/>
                <w:sz w:val="18"/>
                <w:szCs w:val="18"/>
                <w:b w:val="1"/>
                <w:bCs w:val="1"/>
                <w:color w:val="auto"/>
              </w:rPr>
              <w:t>Europe, Middle East, and Africa</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44,051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34,594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40,658</w:t>
            </w:r>
          </w:p>
        </w:tc>
      </w:tr>
      <w:tr>
        <w:trPr>
          <w:trHeight w:val="317"/>
        </w:trPr>
        <w:tc>
          <w:tcPr>
            <w:tcW w:w="5820" w:type="dxa"/>
            <w:vAlign w:val="bottom"/>
          </w:tcPr>
          <w:p>
            <w:pPr>
              <w:spacing w:after="0"/>
              <w:rPr>
                <w:sz w:val="20"/>
                <w:szCs w:val="20"/>
                <w:color w:val="auto"/>
              </w:rPr>
            </w:pPr>
            <w:r>
              <w:rPr>
                <w:rFonts w:ascii="Arial" w:cs="Arial" w:eastAsia="Arial" w:hAnsi="Arial"/>
                <w:sz w:val="18"/>
                <w:szCs w:val="18"/>
                <w:b w:val="1"/>
                <w:bCs w:val="1"/>
                <w:color w:val="auto"/>
              </w:rPr>
              <w:t>Asia-Pacific</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43,156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54,453</w:t>
            </w:r>
          </w:p>
        </w:tc>
      </w:tr>
      <w:tr>
        <w:trPr>
          <w:trHeight w:val="26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160,005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154,014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200,521</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720" w:right="880" w:hanging="190"/>
        <w:spacing w:after="0" w:line="227" w:lineRule="auto"/>
        <w:tabs>
          <w:tab w:leader="none" w:pos="720" w:val="left"/>
        </w:tabs>
        <w:numPr>
          <w:ilvl w:val="0"/>
          <w:numId w:val="4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Includes United States revenue of $69.7 million, $75.3 million, and $100.5 million for the years ended December 31, 2025, 2024, and 2023,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summary of our revenue by category is as follows:</w:t>
      </w:r>
    </w:p>
    <w:p>
      <w:pPr>
        <w:spacing w:after="0" w:line="226"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23495</wp:posOffset>
            </wp:positionV>
            <wp:extent cx="2613025" cy="11938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334">
                      <a:extLst>
                        <a:ext uri="{28A0092B-C50C-407E-A947-70E740481C1C}"/>
                      </a:extLst>
                    </a:blip>
                    <a:srcRect/>
                    <a:stretch>
                      <a:fillRect/>
                    </a:stretch>
                  </pic:blipFill>
                  <pic:spPr bwMode="auto">
                    <a:xfrm>
                      <a:off x="0" y="0"/>
                      <a:ext cx="2613025" cy="119380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242424"/>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83C6"/>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63"/>
        </w:trPr>
        <w:tc>
          <w:tcPr>
            <w:tcW w:w="5820" w:type="dxa"/>
            <w:vAlign w:val="bottom"/>
          </w:tcPr>
          <w:p>
            <w:pPr>
              <w:spacing w:after="0"/>
              <w:rPr>
                <w:sz w:val="20"/>
                <w:szCs w:val="20"/>
                <w:color w:val="auto"/>
              </w:rPr>
            </w:pPr>
            <w:r>
              <w:rPr>
                <w:rFonts w:ascii="Arial" w:cs="Arial" w:eastAsia="Arial" w:hAnsi="Arial"/>
                <w:sz w:val="18"/>
                <w:szCs w:val="18"/>
                <w:b w:val="1"/>
                <w:bCs w:val="1"/>
                <w:color w:val="auto"/>
              </w:rPr>
              <w:t>Instrument revenue</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53,819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65,776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120,451</w:t>
            </w:r>
          </w:p>
        </w:tc>
      </w:tr>
      <w:tr>
        <w:trPr>
          <w:trHeight w:val="317"/>
        </w:trPr>
        <w:tc>
          <w:tcPr>
            <w:tcW w:w="5820" w:type="dxa"/>
            <w:vAlign w:val="bottom"/>
          </w:tcPr>
          <w:p>
            <w:pPr>
              <w:spacing w:after="0"/>
              <w:rPr>
                <w:sz w:val="20"/>
                <w:szCs w:val="20"/>
                <w:color w:val="auto"/>
              </w:rPr>
            </w:pPr>
            <w:r>
              <w:rPr>
                <w:rFonts w:ascii="Arial" w:cs="Arial" w:eastAsia="Arial" w:hAnsi="Arial"/>
                <w:sz w:val="18"/>
                <w:szCs w:val="18"/>
                <w:b w:val="1"/>
                <w:bCs w:val="1"/>
                <w:color w:val="auto"/>
              </w:rPr>
              <w:t>Consumables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81,939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70,373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63,421</w:t>
            </w:r>
          </w:p>
        </w:tc>
      </w:tr>
      <w:tr>
        <w:trPr>
          <w:trHeight w:val="263"/>
        </w:trPr>
        <w:tc>
          <w:tcPr>
            <w:tcW w:w="5820" w:type="dxa"/>
            <w:vAlign w:val="bottom"/>
          </w:tcPr>
          <w:p>
            <w:pPr>
              <w:ind w:left="100"/>
              <w:spacing w:after="0"/>
              <w:rPr>
                <w:sz w:val="20"/>
                <w:szCs w:val="20"/>
                <w:color w:val="auto"/>
              </w:rPr>
            </w:pPr>
            <w:r>
              <w:rPr>
                <w:rFonts w:ascii="Arial" w:cs="Arial" w:eastAsia="Arial" w:hAnsi="Arial"/>
                <w:sz w:val="18"/>
                <w:szCs w:val="18"/>
                <w:b w:val="1"/>
                <w:bCs w:val="1"/>
                <w:color w:val="auto"/>
              </w:rPr>
              <w:t>Product revenue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135,758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136,149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183,872</w:t>
            </w:r>
          </w:p>
        </w:tc>
      </w:tr>
      <w:tr>
        <w:trPr>
          <w:trHeight w:val="317"/>
        </w:trPr>
        <w:tc>
          <w:tcPr>
            <w:tcW w:w="5820" w:type="dxa"/>
            <w:vAlign w:val="bottom"/>
          </w:tcPr>
          <w:p>
            <w:pPr>
              <w:spacing w:after="0"/>
              <w:rPr>
                <w:sz w:val="20"/>
                <w:szCs w:val="20"/>
                <w:color w:val="auto"/>
              </w:rPr>
            </w:pPr>
            <w:r>
              <w:rPr>
                <w:rFonts w:ascii="Arial" w:cs="Arial" w:eastAsia="Arial" w:hAnsi="Arial"/>
                <w:sz w:val="18"/>
                <w:szCs w:val="18"/>
                <w:b w:val="1"/>
                <w:bCs w:val="1"/>
                <w:color w:val="auto"/>
              </w:rPr>
              <w:t>Service and other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83C6"/>
              </w:rPr>
              <w:t>24,247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17,865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16,649</w:t>
            </w:r>
          </w:p>
        </w:tc>
      </w:tr>
      <w:tr>
        <w:trPr>
          <w:trHeight w:val="260"/>
        </w:trPr>
        <w:tc>
          <w:tcPr>
            <w:tcW w:w="5820" w:type="dxa"/>
            <w:vAlign w:val="bottom"/>
          </w:tcPr>
          <w:p>
            <w:pPr>
              <w:ind w:left="2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1383C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83C6"/>
              </w:rPr>
              <w:t>160,005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154,014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200,521</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1165225</wp:posOffset>
                </wp:positionV>
                <wp:extent cx="7315200" cy="0"/>
                <wp:wrapNone/>
                <wp:docPr id="744" name="Shape 7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4" o:spid="_x0000_s17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1.75pt" to="535pt,91.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1165225</wp:posOffset>
                </wp:positionV>
                <wp:extent cx="7315200" cy="0"/>
                <wp:wrapNone/>
                <wp:docPr id="745" name="Shape 7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45" o:spid="_x0000_s17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1.75pt" to="535pt,91.7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33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31" w:name="page132"/>
    <w:bookmarkEnd w:id="13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279400</wp:posOffset>
            </wp:positionV>
            <wp:extent cx="6311900" cy="24447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336">
                      <a:extLst>
                        <a:ext uri="{28A0092B-C50C-407E-A947-70E740481C1C}"/>
                      </a:extLst>
                    </a:blip>
                    <a:srcRect/>
                    <a:stretch>
                      <a:fillRect/>
                    </a:stretch>
                  </pic:blipFill>
                  <pic:spPr bwMode="auto">
                    <a:xfrm>
                      <a:off x="0" y="0"/>
                      <a:ext cx="6311900" cy="2444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NOTE 12. SUBSEQUENT EVENTS</w:t>
      </w:r>
    </w:p>
    <w:p>
      <w:pPr>
        <w:spacing w:after="0" w:line="225"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b w:val="1"/>
          <w:bCs w:val="1"/>
          <w:color w:val="auto"/>
        </w:rPr>
        <w:t>On January 30, 2026, we completed a disposition of certain assets to Buyer pursuant to an Asset Purchase Agreement dated January 30, 2026. Under the agreement, Buyer acquired certain intellectual property and other assets related to our short-read DNA sequencing technology and related clustering, sequencing reagent, and detection technologies. In consideration, Buyer paid $50.0 million in cash, assumed certain liabilities, and granted us a non-exclusive license to certain intellectual property included in the purchased assets. In connection with the Asset Sale, Buyer will pay, at our direction, 4% of the net cash proceeds to the former equity holders of Apton Biosystems, Inc. in connection with the waiver of remaining milestone obligations from our August 2023 acquisition of Apton, with such payment expected in the first quarter of 2026. As a result, we received approximately $48.1 million in net cash proceeds from the Asset Sale.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7378065</wp:posOffset>
                </wp:positionV>
                <wp:extent cx="7315200" cy="0"/>
                <wp:wrapNone/>
                <wp:docPr id="748" name="Shape 7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8" o:spid="_x0000_s17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580.95pt" to="535pt,580.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7378065</wp:posOffset>
                </wp:positionV>
                <wp:extent cx="7315200" cy="0"/>
                <wp:wrapNone/>
                <wp:docPr id="749" name="Shape 7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49" o:spid="_x0000_s17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580.95pt" to="535pt,580.9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33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32" w:name="page133"/>
    <w:bookmarkEnd w:id="13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751" name="Shape 7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1" o:spid="_x0000_s17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752" name="Shape 7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52" o:spid="_x0000_s17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DF1995" strokeweight="1pt"/>
            </w:pict>
          </mc:Fallback>
        </mc:AlternateContent>
      </w:r>
    </w:p>
    <w:p>
      <w:pPr>
        <w:spacing w:after="0" w:line="200" w:lineRule="exact"/>
        <w:rPr>
          <w:sz w:val="20"/>
          <w:szCs w:val="20"/>
          <w:color w:val="auto"/>
        </w:rPr>
      </w:pPr>
    </w:p>
    <w:p>
      <w:pPr>
        <w:spacing w:after="0" w:line="254" w:lineRule="exact"/>
        <w:rPr>
          <w:sz w:val="20"/>
          <w:szCs w:val="20"/>
          <w:color w:val="auto"/>
        </w:rPr>
      </w:pPr>
    </w:p>
    <w:p>
      <w:pPr>
        <w:ind w:left="1040" w:right="1200" w:hanging="989"/>
        <w:spacing w:after="0" w:line="285" w:lineRule="auto"/>
        <w:rPr>
          <w:sz w:val="20"/>
          <w:szCs w:val="20"/>
          <w:color w:val="auto"/>
        </w:rPr>
      </w:pPr>
      <w:r>
        <w:rPr>
          <w:rFonts w:ascii="Arial" w:cs="Arial" w:eastAsia="Arial" w:hAnsi="Arial"/>
          <w:sz w:val="24"/>
          <w:szCs w:val="24"/>
          <w:b w:val="1"/>
          <w:bCs w:val="1"/>
          <w:color w:val="DF1995"/>
        </w:rPr>
        <w:t>ITEM 9. CHANGES IN AND DISAGREEMENTS WITH ACCOUNTANTS ON ACCOUNTING AND FINANCIAL DISCLOSURE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-15240</wp:posOffset>
                </wp:positionV>
                <wp:extent cx="6286500" cy="0"/>
                <wp:wrapNone/>
                <wp:docPr id="753" name="Shape 7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3" o:spid="_x0000_s17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999pt" to="494.5pt,-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-15240</wp:posOffset>
                </wp:positionV>
                <wp:extent cx="6286500" cy="0"/>
                <wp:wrapNone/>
                <wp:docPr id="754" name="Shape 7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54" o:spid="_x0000_s17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999pt" to="494.5pt,-1.1999pt" o:allowincell="f" strokecolor="#DF1995" strokeweight="1pt"/>
            </w:pict>
          </mc:Fallback>
        </mc:AlternateConten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196215</wp:posOffset>
                </wp:positionV>
                <wp:extent cx="6286500" cy="0"/>
                <wp:wrapNone/>
                <wp:docPr id="755" name="Shape 7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5" o:spid="_x0000_s17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45pt" to="494.5pt,15.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196215</wp:posOffset>
                </wp:positionV>
                <wp:extent cx="6286500" cy="0"/>
                <wp:wrapNone/>
                <wp:docPr id="756" name="Shape 7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56" o:spid="_x0000_s17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45pt" to="494.5pt,15.45pt" o:allowincell="f" strokecolor="#DF1995" strokeweight="1pt"/>
            </w:pict>
          </mc:Fallback>
        </mc:AlternateConten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9A. CONTROLS AND PROCEDURES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757" name="Shape 7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7" o:spid="_x0000_s17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758" name="Shape 7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58" o:spid="_x0000_s17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Evaluation of Disclosure Controls and Procedures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59" name="Shape 7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59" o:spid="_x0000_s17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338">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67" w:lineRule="auto"/>
        <w:rPr>
          <w:sz w:val="20"/>
          <w:szCs w:val="20"/>
          <w:color w:val="auto"/>
        </w:rPr>
      </w:pPr>
      <w:r>
        <w:rPr>
          <w:rFonts w:ascii="Arial" w:cs="Arial" w:eastAsia="Arial" w:hAnsi="Arial"/>
          <w:sz w:val="19"/>
          <w:szCs w:val="19"/>
          <w:b w:val="1"/>
          <w:bCs w:val="1"/>
          <w:color w:val="auto"/>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Annual Report on Form 10–K.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this evaluation, our Chief Executive Officer, our Chief Financial Officer, and our principal accounting officer concluded that our disclosure controls and procedures were effective at a reasonable assurance level as of the end of the period covered by this report.</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Management's Report on Internal Control Over Financial 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61" name="Shape 7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61" o:spid="_x0000_s17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339">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253" w:lineRule="auto"/>
        <w:rPr>
          <w:sz w:val="20"/>
          <w:szCs w:val="20"/>
          <w:color w:val="auto"/>
        </w:rPr>
      </w:pPr>
      <w:r>
        <w:rPr>
          <w:rFonts w:ascii="Arial" w:cs="Arial" w:eastAsia="Arial" w:hAnsi="Arial"/>
          <w:sz w:val="20"/>
          <w:szCs w:val="20"/>
          <w:b w:val="1"/>
          <w:bCs w:val="1"/>
          <w:color w:val="auto"/>
        </w:rPr>
        <w:t>Our management is responsible for establishing and maintaining adequate internal control over financial reporting, as such term is defined in Exchange Act Rules 13a-15(f). Pacific Biosciences of California, Inc.’s internal control over financial reporting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Management assessed the effectiveness of the Company’s internal control over financial reporting as of December 31, 2025. In making this assessment, management used the criteria set forth by the Committee of Sponsoring Organizations of the Treadway Commission (2013 framework) (the COSO criteria). Based on our assessment, we concluded that, as of December 31, 2025, the Company’s internal control over financial reporting was effective based on those criteria.</w:t>
      </w:r>
    </w:p>
    <w:p>
      <w:pPr>
        <w:spacing w:after="0" w:line="91" w:lineRule="exact"/>
        <w:rPr>
          <w:sz w:val="20"/>
          <w:szCs w:val="20"/>
          <w:color w:val="auto"/>
        </w:rPr>
      </w:pPr>
    </w:p>
    <w:p>
      <w:pPr>
        <w:jc w:val="both"/>
        <w:ind w:right="680"/>
        <w:spacing w:after="0" w:line="261" w:lineRule="auto"/>
        <w:rPr>
          <w:sz w:val="20"/>
          <w:szCs w:val="20"/>
          <w:color w:val="auto"/>
        </w:rPr>
      </w:pPr>
      <w:r>
        <w:rPr>
          <w:rFonts w:ascii="Arial" w:cs="Arial" w:eastAsia="Arial" w:hAnsi="Arial"/>
          <w:sz w:val="20"/>
          <w:szCs w:val="20"/>
          <w:b w:val="1"/>
          <w:bCs w:val="1"/>
          <w:color w:val="auto"/>
        </w:rPr>
        <w:t xml:space="preserve">The Company’s internal control over financial reporting as of December 31, 2025 has been audited by Ernst &amp; Young LLP, the independent registered public accounting firm who also audited the Company’s financial statements. Ernst &amp; Young’s attestation report on the Company’s internal control over financial reporting appears on page </w:t>
      </w:r>
      <w:r>
        <w:rPr>
          <w:rFonts w:ascii="Arial" w:cs="Arial" w:eastAsia="Arial" w:hAnsi="Arial"/>
          <w:sz w:val="20"/>
          <w:szCs w:val="20"/>
          <w:b w:val="1"/>
          <w:bCs w:val="1"/>
          <w:u w:val="single" w:color="auto"/>
          <w:color w:val="0070C0"/>
        </w:rPr>
        <w:t>123</w:t>
      </w:r>
      <w:r>
        <w:rPr>
          <w:rFonts w:ascii="Arial" w:cs="Arial" w:eastAsia="Arial" w:hAnsi="Arial"/>
          <w:sz w:val="20"/>
          <w:szCs w:val="20"/>
          <w:b w:val="1"/>
          <w:bCs w:val="1"/>
          <w:color w:val="auto"/>
        </w:rPr>
        <w:t xml:space="preserve"> hereof.</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Changes in Internal Control Over Financial 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63" name="Shape 7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63" o:spid="_x0000_s17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340">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1" w:lineRule="auto"/>
        <w:rPr>
          <w:sz w:val="20"/>
          <w:szCs w:val="20"/>
          <w:color w:val="auto"/>
        </w:rPr>
      </w:pPr>
      <w:r>
        <w:rPr>
          <w:rFonts w:ascii="Arial" w:cs="Arial" w:eastAsia="Arial" w:hAnsi="Arial"/>
          <w:sz w:val="20"/>
          <w:szCs w:val="20"/>
          <w:b w:val="1"/>
          <w:bCs w:val="1"/>
          <w:color w:val="auto"/>
        </w:rPr>
        <w:t>There were no material changes in our internal control over financial reporting identified in connection with the evaluation required by Rule 13a-15(d) and 15d-15(d) of the Exchange Act that occurred during the year ended December 31, 2025, that have materially affected, or were reasonably likely to materially affect, our internal control over financial 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1402080</wp:posOffset>
                </wp:positionV>
                <wp:extent cx="7315200" cy="0"/>
                <wp:wrapNone/>
                <wp:docPr id="765" name="Shape 7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5" o:spid="_x0000_s17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10.4pt" to="535pt,110.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1402080</wp:posOffset>
                </wp:positionV>
                <wp:extent cx="7315200" cy="0"/>
                <wp:wrapNone/>
                <wp:docPr id="766" name="Shape 7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66" o:spid="_x0000_s17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110.4pt" to="535pt,110.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34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33" w:name="page134"/>
    <w:bookmarkEnd w:id="133"/>
    <w:p>
      <w:pPr>
        <w:ind w:left="1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left="237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1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To the Stockholders and the Board of Directors of Pacific Biosciences of California, Inc.</w:t>
      </w:r>
    </w:p>
    <w:p>
      <w:pPr>
        <w:spacing w:after="0" w:line="31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130" w:lineRule="exact"/>
        <w:rPr>
          <w:sz w:val="20"/>
          <w:szCs w:val="20"/>
          <w:color w:val="auto"/>
        </w:rPr>
      </w:pPr>
    </w:p>
    <w:p>
      <w:pPr>
        <w:jc w:val="both"/>
        <w:ind w:left="10" w:right="700"/>
        <w:spacing w:after="0" w:line="276" w:lineRule="auto"/>
        <w:rPr>
          <w:sz w:val="20"/>
          <w:szCs w:val="20"/>
          <w:color w:val="auto"/>
        </w:rPr>
      </w:pPr>
      <w:r>
        <w:rPr>
          <w:rFonts w:ascii="Arial" w:cs="Arial" w:eastAsia="Arial" w:hAnsi="Arial"/>
          <w:sz w:val="19"/>
          <w:szCs w:val="19"/>
          <w:b w:val="1"/>
          <w:bCs w:val="1"/>
          <w:color w:val="auto"/>
        </w:rPr>
        <w:t>We have audited Pacific Biosciences of California, Inc.’s internal control over financial reporting as of December 31, 2025, based on criteria established in Internal Control—Integrated Framework issued by the Committee of Sponsoring Organizations of the Treadway Commission (2013 framework) (the COSO criteria). In our opinion, Pacific Biosciences of California, Inc. (the Company) maintained, in all material respects, effective internal control over financial reporting as of December 31, 2025, based on the COSO criteria.</w:t>
      </w:r>
    </w:p>
    <w:p>
      <w:pPr>
        <w:spacing w:after="0" w:line="64" w:lineRule="exact"/>
        <w:rPr>
          <w:sz w:val="20"/>
          <w:szCs w:val="20"/>
          <w:color w:val="auto"/>
        </w:rPr>
      </w:pPr>
    </w:p>
    <w:p>
      <w:pPr>
        <w:jc w:val="both"/>
        <w:ind w:left="10" w:right="700"/>
        <w:spacing w:after="0" w:line="268" w:lineRule="auto"/>
        <w:rPr>
          <w:sz w:val="20"/>
          <w:szCs w:val="20"/>
          <w:color w:val="auto"/>
        </w:rPr>
      </w:pPr>
      <w:r>
        <w:rPr>
          <w:rFonts w:ascii="Arial" w:cs="Arial" w:eastAsia="Arial" w:hAnsi="Arial"/>
          <w:sz w:val="20"/>
          <w:szCs w:val="20"/>
          <w:b w:val="1"/>
          <w:bCs w:val="1"/>
          <w:color w:val="auto"/>
        </w:rPr>
        <w:t>We also have audited, in accordance with the standards of the Public Company Accounting Oversight Board (United States) (PCAOB), the 2025 consolidated financial statements of the Company and our report dated February 25, 2026 expressed an unqualified opinion thereon.</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Basis for Opinion</w:t>
      </w:r>
    </w:p>
    <w:p>
      <w:pPr>
        <w:spacing w:after="0" w:line="130" w:lineRule="exact"/>
        <w:rPr>
          <w:sz w:val="20"/>
          <w:szCs w:val="20"/>
          <w:color w:val="auto"/>
        </w:rPr>
      </w:pPr>
    </w:p>
    <w:p>
      <w:pPr>
        <w:jc w:val="both"/>
        <w:ind w:left="10" w:right="680"/>
        <w:spacing w:after="0" w:line="256" w:lineRule="auto"/>
        <w:rPr>
          <w:sz w:val="20"/>
          <w:szCs w:val="20"/>
          <w:color w:val="auto"/>
        </w:rPr>
      </w:pPr>
      <w:r>
        <w:rPr>
          <w:rFonts w:ascii="Arial" w:cs="Arial" w:eastAsia="Arial" w:hAnsi="Arial"/>
          <w:sz w:val="20"/>
          <w:szCs w:val="20"/>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ind w:left="10" w:right="700"/>
        <w:spacing w:after="0" w:line="268" w:lineRule="auto"/>
        <w:rPr>
          <w:sz w:val="20"/>
          <w:szCs w:val="20"/>
          <w:color w:val="auto"/>
        </w:rPr>
      </w:pPr>
      <w:r>
        <w:rPr>
          <w:rFonts w:ascii="Arial" w:cs="Arial" w:eastAsia="Arial" w:hAnsi="Arial"/>
          <w:sz w:val="20"/>
          <w:szCs w:val="20"/>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0" w:lineRule="exact"/>
        <w:rPr>
          <w:sz w:val="20"/>
          <w:szCs w:val="20"/>
          <w:color w:val="auto"/>
        </w:rPr>
      </w:pPr>
    </w:p>
    <w:p>
      <w:pPr>
        <w:jc w:val="both"/>
        <w:ind w:left="10" w:right="700"/>
        <w:spacing w:after="0" w:line="280" w:lineRule="auto"/>
        <w:rPr>
          <w:sz w:val="20"/>
          <w:szCs w:val="20"/>
          <w:color w:val="auto"/>
        </w:rPr>
      </w:pPr>
      <w:r>
        <w:rPr>
          <w:rFonts w:ascii="Arial" w:cs="Arial" w:eastAsia="Arial" w:hAnsi="Arial"/>
          <w:sz w:val="19"/>
          <w:szCs w:val="19"/>
          <w:b w:val="1"/>
          <w:bCs w:val="1"/>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30" w:lineRule="exact"/>
        <w:rPr>
          <w:sz w:val="20"/>
          <w:szCs w:val="20"/>
          <w:color w:val="auto"/>
        </w:rPr>
      </w:pPr>
    </w:p>
    <w:p>
      <w:pPr>
        <w:jc w:val="both"/>
        <w:ind w:left="10" w:right="680"/>
        <w:spacing w:after="0" w:line="283" w:lineRule="auto"/>
        <w:rPr>
          <w:sz w:val="20"/>
          <w:szCs w:val="20"/>
          <w:color w:val="auto"/>
        </w:rPr>
      </w:pPr>
      <w:r>
        <w:rPr>
          <w:rFonts w:ascii="Arial" w:cs="Arial" w:eastAsia="Arial" w:hAnsi="Arial"/>
          <w:sz w:val="18"/>
          <w:szCs w:val="18"/>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spacing w:after="0" w:line="3" w:lineRule="exact"/>
        <w:rPr>
          <w:sz w:val="20"/>
          <w:szCs w:val="20"/>
          <w:color w:val="auto"/>
        </w:rPr>
      </w:pPr>
    </w:p>
    <w:p>
      <w:pPr>
        <w:jc w:val="both"/>
        <w:ind w:left="10" w:right="700" w:hanging="10"/>
        <w:spacing w:after="0" w:line="252" w:lineRule="auto"/>
        <w:tabs>
          <w:tab w:leader="none" w:pos="312"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8" w:lineRule="exact"/>
        <w:rPr>
          <w:sz w:val="20"/>
          <w:szCs w:val="20"/>
          <w:color w:val="auto"/>
        </w:rPr>
      </w:pPr>
    </w:p>
    <w:p>
      <w:pPr>
        <w:jc w:val="both"/>
        <w:ind w:left="10" w:right="700"/>
        <w:spacing w:after="0" w:line="261"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/s/ Ernst &amp; Young LLP</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San Mateo, California</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February 25,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wp:posOffset>
                </wp:positionH>
                <wp:positionV relativeFrom="paragraph">
                  <wp:posOffset>684530</wp:posOffset>
                </wp:positionV>
                <wp:extent cx="7315200" cy="0"/>
                <wp:wrapNone/>
                <wp:docPr id="768" name="Shape 7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8" o:spid="_x0000_s17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999pt,53.9pt" to="535.5pt,53.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684530</wp:posOffset>
                </wp:positionV>
                <wp:extent cx="7315200" cy="0"/>
                <wp:wrapNone/>
                <wp:docPr id="769" name="Shape 7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69" o:spid="_x0000_s17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999pt,53.9pt" to="535.5pt,53.9pt" o:allowincell="f" strokecolor="#DF1995" strokeweight="1pt"/>
            </w:pict>
          </mc:Fallback>
        </mc:AlternateContent>
      </w:r>
    </w:p>
    <w:p>
      <w:pPr>
        <w:sectPr>
          <w:pgSz w:w="12240" w:h="15840" w:orient="portrait"/>
          <w:cols w:equalWidth="0" w:num="1">
            <w:col w:w="10590"/>
          </w:cols>
          <w:pgMar w:left="117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0"/>
        <w:spacing w:after="0"/>
        <w:tabs>
          <w:tab w:leader="none" w:pos="1023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-121285</wp:posOffset>
            </wp:positionV>
            <wp:extent cx="457200" cy="9969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34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90"/>
          </w:cols>
          <w:pgMar w:left="1170" w:top="210" w:right="480" w:bottom="0" w:gutter="0" w:footer="0" w:header="0"/>
          <w:type w:val="continuous"/>
        </w:sectPr>
      </w:pPr>
    </w:p>
    <w:bookmarkStart w:id="134" w:name="page135"/>
    <w:bookmarkEnd w:id="13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771" name="Shape 7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1" o:spid="_x0000_s17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772" name="Shape 7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72" o:spid="_x0000_s17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DF1995" strokeweight="1pt"/>
            </w:pict>
          </mc:Fallback>
        </mc:AlternateConten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9B. OTHER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773" name="Shape 7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3" o:spid="_x0000_s17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774" name="Shape 7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74" o:spid="_x0000_s17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Securities Trading Plans of Directors and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75" name="Shape 7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75" o:spid="_x0000_s18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343">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During our last fiscal quarter, none of our directors or officers, as defined in Rule 16a-1(f), adopted and/or terminated a “Rule 10b5-1 trading arrangement” or a “non-Rule 10b5-1 trading arrangement,” each as defined in Item 408 of Regulation S-K.</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F1995"/>
        </w:rPr>
        <w:t>Adoption of Executive Incentive Compensation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40640</wp:posOffset>
                </wp:positionV>
                <wp:extent cx="6286500" cy="0"/>
                <wp:wrapNone/>
                <wp:docPr id="777" name="Shape 7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prstDash val="dash"/>
                          <a:miter lim="800000"/>
                          <a:headEnd/>
                          <a:tailEnd/>
                        </a:ln>
                      </wps:spPr>
                      <wps:bodyPr/>
                    </wps:wsp>
                  </a:graphicData>
                </a:graphic>
              </wp:anchor>
            </w:drawing>
          </mc:Choice>
          <mc:Fallback>
            <w:pict>
              <v:line id="Shape 777" o:spid="_x0000_s18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pt" to="494.5pt,3.2pt" o:allowincell="f" strokecolor="#000000" strokeweight="0pt">
                <v:stroke dashstyle="dash"/>
              </v:line>
            </w:pict>
          </mc:Fallback>
        </mc:AlternateContent>
        <w:drawing>
          <wp:anchor simplePos="0" relativeHeight="251657728" behindDoc="1" locked="0" layoutInCell="0" allowOverlap="1">
            <wp:simplePos x="0" y="0"/>
            <wp:positionH relativeFrom="column">
              <wp:posOffset>-5715</wp:posOffset>
            </wp:positionH>
            <wp:positionV relativeFrom="paragraph">
              <wp:posOffset>34290</wp:posOffset>
            </wp:positionV>
            <wp:extent cx="6286500" cy="127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344">
                      <a:extLst>
                        <a:ext uri="{28A0092B-C50C-407E-A947-70E740481C1C}"/>
                      </a:extLst>
                    </a:blip>
                    <a:srcRect/>
                    <a:stretch>
                      <a:fillRect/>
                    </a:stretch>
                  </pic:blipFill>
                  <pic:spPr bwMode="auto">
                    <a:xfrm>
                      <a:off x="0" y="0"/>
                      <a:ext cx="6286500" cy="12700"/>
                    </a:xfrm>
                    <a:prstGeom prst="rect">
                      <a:avLst/>
                    </a:prstGeom>
                    <a:noFill/>
                  </pic:spPr>
                </pic:pic>
              </a:graphicData>
            </a:graphic>
          </wp:anchor>
        </w:drawing>
      </w:r>
    </w:p>
    <w:p>
      <w:pPr>
        <w:spacing w:after="0" w:line="205" w:lineRule="exact"/>
        <w:rPr>
          <w:sz w:val="20"/>
          <w:szCs w:val="20"/>
          <w:color w:val="auto"/>
        </w:rPr>
      </w:pPr>
    </w:p>
    <w:p>
      <w:pPr>
        <w:jc w:val="both"/>
        <w:ind w:right="680"/>
        <w:spacing w:after="0" w:line="300" w:lineRule="auto"/>
        <w:rPr>
          <w:sz w:val="20"/>
          <w:szCs w:val="20"/>
          <w:color w:val="auto"/>
        </w:rPr>
      </w:pPr>
      <w:r>
        <w:rPr>
          <w:rFonts w:ascii="Arial" w:cs="Arial" w:eastAsia="Arial" w:hAnsi="Arial"/>
          <w:sz w:val="18"/>
          <w:szCs w:val="18"/>
          <w:b w:val="1"/>
          <w:bCs w:val="1"/>
          <w:color w:val="auto"/>
        </w:rPr>
        <w:t>On February 24, 2026, our board of directors adopted the Executive Incentive Compensation Plan (the “Incentive Compensation Plan”). The Incentive Compensation Plan allows us to grant incentive awards, generally payable in cash (or its equivalent), to employees selected by the administrator of the Incentive Compensation Plan, including our named executive officers, based upon performance goals established by the administrator.</w:t>
      </w:r>
    </w:p>
    <w:p>
      <w:pPr>
        <w:spacing w:after="0" w:line="45" w:lineRule="exact"/>
        <w:rPr>
          <w:sz w:val="20"/>
          <w:szCs w:val="20"/>
          <w:color w:val="auto"/>
        </w:rPr>
      </w:pPr>
    </w:p>
    <w:p>
      <w:pPr>
        <w:jc w:val="both"/>
        <w:ind w:right="680"/>
        <w:spacing w:after="0" w:line="287" w:lineRule="auto"/>
        <w:rPr>
          <w:sz w:val="20"/>
          <w:szCs w:val="20"/>
          <w:color w:val="auto"/>
        </w:rPr>
      </w:pPr>
      <w:r>
        <w:rPr>
          <w:rFonts w:ascii="Arial" w:cs="Arial" w:eastAsia="Arial" w:hAnsi="Arial"/>
          <w:sz w:val="18"/>
          <w:szCs w:val="18"/>
          <w:b w:val="1"/>
          <w:bCs w:val="1"/>
          <w:color w:val="auto"/>
        </w:rPr>
        <w:t>Under the Incentive Compensation Plan, the administrator determines the performance goals applicable to any award, which goals may include, without limitation, goals related to research and development milestones, regulatory milestones or regulatory-related goals, gross margin, financial milestones, new product or business development, operating margin, product release timelines or other product release milestones, publications, cash flow, procurement, savings, internal structure, revenue, earnings,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spacing w:after="0" w:line="60"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A committee appointed by our board of directors (which, until our board of directors determines otherwise, will be the Compensation Committee of our board of directors (the “Committee”)) administers the Incentive Compensation Plan. Our board of directors may administer the Incentive Compensation Plan concurrently with the Committee or revoke the delegation of some or all authority previously delegated. The administrator of the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71" w:lineRule="exact"/>
        <w:rPr>
          <w:sz w:val="20"/>
          <w:szCs w:val="20"/>
          <w:color w:val="auto"/>
        </w:rPr>
      </w:pPr>
    </w:p>
    <w:p>
      <w:pPr>
        <w:jc w:val="both"/>
        <w:ind w:right="700"/>
        <w:spacing w:after="0" w:line="294" w:lineRule="auto"/>
        <w:rPr>
          <w:sz w:val="20"/>
          <w:szCs w:val="20"/>
          <w:color w:val="auto"/>
        </w:rPr>
      </w:pPr>
      <w:r>
        <w:rPr>
          <w:rFonts w:ascii="Arial" w:cs="Arial" w:eastAsia="Arial" w:hAnsi="Arial"/>
          <w:sz w:val="18"/>
          <w:szCs w:val="18"/>
          <w:b w:val="1"/>
          <w:bCs w:val="1"/>
          <w:color w:val="auto"/>
        </w:rPr>
        <w:t>Actual awards generally will be paid in cash (or its equivalent), and, unless otherwise determined by the administrator, to earn an actual award, a participant must be employed by the Company Group (as defined in the Incentive Compensation Plan) on the date the actual award is paid. Payment of awards occurs as soon as practicable after the end of the performance period to which the actual award relates and after the actual award is approved by the administrator, but no later than the dates set forth in the Incentive Compensation Plan.</w:t>
      </w:r>
    </w:p>
    <w:p>
      <w:pPr>
        <w:spacing w:after="0" w:line="52" w:lineRule="exact"/>
        <w:rPr>
          <w:sz w:val="20"/>
          <w:szCs w:val="20"/>
          <w:color w:val="auto"/>
        </w:rPr>
      </w:pPr>
    </w:p>
    <w:p>
      <w:pPr>
        <w:jc w:val="both"/>
        <w:ind w:right="700"/>
        <w:spacing w:after="0" w:line="266" w:lineRule="auto"/>
        <w:rPr>
          <w:sz w:val="20"/>
          <w:szCs w:val="20"/>
          <w:color w:val="auto"/>
        </w:rPr>
      </w:pPr>
      <w:r>
        <w:rPr>
          <w:rFonts w:ascii="Arial" w:cs="Arial" w:eastAsia="Arial" w:hAnsi="Arial"/>
          <w:sz w:val="20"/>
          <w:szCs w:val="20"/>
          <w:b w:val="1"/>
          <w:bCs w:val="1"/>
          <w:color w:val="auto"/>
        </w:rPr>
        <w:t>The administrator has the authority to amend, suspend or terminate the Incentive Compensation Plan at any time and for any reason, provided such action does not, without the consent of a participant, alter or impair the existing rights of such participant with respect to any earned award.</w:t>
      </w:r>
    </w:p>
    <w:p>
      <w:pPr>
        <w:spacing w:after="0" w:line="75" w:lineRule="exact"/>
        <w:rPr>
          <w:sz w:val="20"/>
          <w:szCs w:val="20"/>
          <w:color w:val="auto"/>
        </w:rPr>
      </w:pPr>
    </w:p>
    <w:p>
      <w:pPr>
        <w:jc w:val="both"/>
        <w:ind w:right="680"/>
        <w:spacing w:after="0" w:line="266" w:lineRule="auto"/>
        <w:rPr>
          <w:sz w:val="20"/>
          <w:szCs w:val="20"/>
          <w:color w:val="auto"/>
        </w:rPr>
      </w:pPr>
      <w:r>
        <w:rPr>
          <w:rFonts w:ascii="Arial" w:cs="Arial" w:eastAsia="Arial" w:hAnsi="Arial"/>
          <w:sz w:val="20"/>
          <w:szCs w:val="20"/>
          <w:b w:val="1"/>
          <w:bCs w:val="1"/>
          <w:color w:val="auto"/>
        </w:rPr>
        <w:t>The above description of the material terms of the Incentive Compensation Plan does not purport to be complete and is qualified in its entirety by reference to the Incentive Compensation Plan attached hereto as Exhibit 10.32 and incorporated herein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161290</wp:posOffset>
                </wp:positionV>
                <wp:extent cx="6286500" cy="0"/>
                <wp:wrapNone/>
                <wp:docPr id="779" name="Shape 7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9" o:spid="_x0000_s18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7pt" to="494.5pt,1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161290</wp:posOffset>
                </wp:positionV>
                <wp:extent cx="6286500" cy="0"/>
                <wp:wrapNone/>
                <wp:docPr id="780" name="Shape 7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80" o:spid="_x0000_s18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7pt" to="494.5pt,12.7pt" o:allowincell="f" strokecolor="#DF1995" strokeweight="1pt"/>
            </w:pict>
          </mc:Fallback>
        </mc:AlternateContent>
      </w:r>
    </w:p>
    <w:p>
      <w:pPr>
        <w:spacing w:after="0" w:line="249" w:lineRule="exact"/>
        <w:rPr>
          <w:sz w:val="20"/>
          <w:szCs w:val="20"/>
          <w:color w:val="auto"/>
        </w:rPr>
      </w:pPr>
    </w:p>
    <w:p>
      <w:pPr>
        <w:ind w:left="1120" w:right="1980" w:hanging="1079"/>
        <w:spacing w:after="0" w:line="285" w:lineRule="auto"/>
        <w:rPr>
          <w:sz w:val="20"/>
          <w:szCs w:val="20"/>
          <w:color w:val="auto"/>
        </w:rPr>
      </w:pPr>
      <w:r>
        <w:rPr>
          <w:rFonts w:ascii="Arial" w:cs="Arial" w:eastAsia="Arial" w:hAnsi="Arial"/>
          <w:sz w:val="24"/>
          <w:szCs w:val="24"/>
          <w:b w:val="1"/>
          <w:bCs w:val="1"/>
          <w:color w:val="DF1995"/>
        </w:rPr>
        <w:t>ITEM 9C. DISCLOSURE REGARDING FOREIGN JURISDICTIONS THAT PREVENT INSPECTIONS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-15240</wp:posOffset>
                </wp:positionV>
                <wp:extent cx="6286500" cy="0"/>
                <wp:wrapNone/>
                <wp:docPr id="781" name="Shape 7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1" o:spid="_x0000_s18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999pt" to="494.5pt,-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-15240</wp:posOffset>
                </wp:positionV>
                <wp:extent cx="6286500" cy="0"/>
                <wp:wrapNone/>
                <wp:docPr id="782" name="Shape 7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82" o:spid="_x0000_s18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999pt" to="494.5pt,-1.1999pt" o:allowincell="f" strokecolor="#DF1995" strokeweight="1pt"/>
            </w:pict>
          </mc:Fallback>
        </mc:AlternateConten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1183005</wp:posOffset>
                </wp:positionV>
                <wp:extent cx="7315200" cy="0"/>
                <wp:wrapNone/>
                <wp:docPr id="783" name="Shape 7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3" o:spid="_x0000_s18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3.15pt" to="535pt,93.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1183005</wp:posOffset>
                </wp:positionV>
                <wp:extent cx="7315200" cy="0"/>
                <wp:wrapNone/>
                <wp:docPr id="784" name="Shape 7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84" o:spid="_x0000_s18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93.15pt" to="535pt,93.1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345">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35" w:name="page136"/>
    <w:bookmarkEnd w:id="13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387" w:lineRule="exact"/>
        <w:rPr>
          <w:sz w:val="20"/>
          <w:szCs w:val="20"/>
          <w:color w:val="auto"/>
        </w:rPr>
      </w:pPr>
    </w:p>
    <w:p>
      <w:pPr>
        <w:ind w:left="4500"/>
        <w:spacing w:after="0"/>
        <w:rPr>
          <w:sz w:val="20"/>
          <w:szCs w:val="20"/>
          <w:color w:val="auto"/>
        </w:rPr>
      </w:pPr>
      <w:r>
        <w:rPr>
          <w:rFonts w:ascii="Arial" w:cs="Arial" w:eastAsia="Arial" w:hAnsi="Arial"/>
          <w:sz w:val="24"/>
          <w:szCs w:val="24"/>
          <w:b w:val="1"/>
          <w:bCs w:val="1"/>
          <w:color w:val="DF1995"/>
        </w:rPr>
        <w:t>PART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205740</wp:posOffset>
                </wp:positionV>
                <wp:extent cx="6286500" cy="0"/>
                <wp:wrapNone/>
                <wp:docPr id="786" name="Shape 7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86" o:spid="_x0000_s18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2pt" to="494.5pt,16.2pt" o:allowincell="f" strokecolor="#DF1995" strokeweight="1pt"/>
            </w:pict>
          </mc:Fallback>
        </mc:AlternateContent>
      </w:r>
    </w:p>
    <w:p>
      <w:pPr>
        <w:spacing w:after="0" w:line="322"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10. DIRECTORS, EXECUTIVE OFFICERS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787" name="Shape 7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87" o:spid="_x0000_s18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07"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158115</wp:posOffset>
                </wp:positionV>
                <wp:extent cx="6286500" cy="0"/>
                <wp:wrapNone/>
                <wp:docPr id="788" name="Shape 7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8" o:spid="_x0000_s18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45pt" to="494.5pt,1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158115</wp:posOffset>
                </wp:positionV>
                <wp:extent cx="6286500" cy="0"/>
                <wp:wrapNone/>
                <wp:docPr id="789" name="Shape 7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89" o:spid="_x0000_s18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45pt" to="494.5pt,12.45pt" o:allowincell="f" strokecolor="#DF1995" strokeweight="1pt"/>
            </w:pict>
          </mc:Fallback>
        </mc:AlternateConten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11. 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790" name="Shape 7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0" o:spid="_x0000_s18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791" name="Shape 7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91" o:spid="_x0000_s18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07" w:lineRule="exact"/>
        <w:rPr>
          <w:sz w:val="20"/>
          <w:szCs w:val="20"/>
          <w:color w:val="auto"/>
        </w:rPr>
      </w:pPr>
    </w:p>
    <w:p>
      <w:pPr>
        <w:jc w:val="both"/>
        <w:ind w:right="680"/>
        <w:spacing w:after="0" w:line="268" w:lineRule="auto"/>
        <w:rPr>
          <w:sz w:val="20"/>
          <w:szCs w:val="20"/>
          <w:color w:val="auto"/>
        </w:rPr>
      </w:pPr>
      <w:r>
        <w:rPr>
          <w:rFonts w:ascii="Arial" w:cs="Arial" w:eastAsia="Arial" w:hAnsi="Arial"/>
          <w:sz w:val="20"/>
          <w:szCs w:val="20"/>
          <w:b w:val="1"/>
          <w:bCs w:val="1"/>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158115</wp:posOffset>
                </wp:positionV>
                <wp:extent cx="6286500" cy="0"/>
                <wp:wrapNone/>
                <wp:docPr id="792" name="Shape 7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2" o:spid="_x0000_s18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45pt" to="494.5pt,1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158115</wp:posOffset>
                </wp:positionV>
                <wp:extent cx="6286500" cy="0"/>
                <wp:wrapNone/>
                <wp:docPr id="793" name="Shape 7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93" o:spid="_x0000_s18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45pt" to="494.5pt,12.45pt" o:allowincell="f" strokecolor="#DF1995" strokeweight="1pt"/>
            </w:pict>
          </mc:Fallback>
        </mc:AlternateContent>
      </w:r>
    </w:p>
    <w:p>
      <w:pPr>
        <w:spacing w:after="0" w:line="243" w:lineRule="exact"/>
        <w:rPr>
          <w:sz w:val="20"/>
          <w:szCs w:val="20"/>
          <w:color w:val="auto"/>
        </w:rPr>
      </w:pPr>
    </w:p>
    <w:p>
      <w:pPr>
        <w:ind w:left="1120" w:right="800" w:hanging="1079"/>
        <w:spacing w:after="0" w:line="285" w:lineRule="auto"/>
        <w:rPr>
          <w:sz w:val="20"/>
          <w:szCs w:val="20"/>
          <w:color w:val="auto"/>
        </w:rPr>
      </w:pPr>
      <w:r>
        <w:rPr>
          <w:rFonts w:ascii="Arial" w:cs="Arial" w:eastAsia="Arial" w:hAnsi="Arial"/>
          <w:sz w:val="24"/>
          <w:szCs w:val="24"/>
          <w:b w:val="1"/>
          <w:bCs w:val="1"/>
          <w:color w:val="DF1995"/>
        </w:rPr>
        <w:t>ITEM 12. SECURITY OWNERSHIP OF CERTAIN BENEFICIAL OWNERS AND MANAGEMENT AND RELATED STOCKHOLDER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-15240</wp:posOffset>
                </wp:positionV>
                <wp:extent cx="6286500" cy="0"/>
                <wp:wrapNone/>
                <wp:docPr id="794" name="Shape 7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4" o:spid="_x0000_s18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999pt" to="494.5pt,-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-15240</wp:posOffset>
                </wp:positionV>
                <wp:extent cx="6286500" cy="0"/>
                <wp:wrapNone/>
                <wp:docPr id="795" name="Shape 7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95" o:spid="_x0000_s18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999pt" to="494.5pt,-1.1999pt" o:allowincell="f" strokecolor="#DF1995" strokeweight="1pt"/>
            </w:pict>
          </mc:Fallback>
        </mc:AlternateContent>
      </w:r>
    </w:p>
    <w:p>
      <w:pPr>
        <w:spacing w:after="0" w:line="116" w:lineRule="exact"/>
        <w:rPr>
          <w:sz w:val="20"/>
          <w:szCs w:val="20"/>
          <w:color w:val="auto"/>
        </w:rPr>
      </w:pPr>
    </w:p>
    <w:p>
      <w:pPr>
        <w:jc w:val="both"/>
        <w:ind w:right="680"/>
        <w:spacing w:after="0" w:line="266" w:lineRule="auto"/>
        <w:rPr>
          <w:sz w:val="20"/>
          <w:szCs w:val="20"/>
          <w:color w:val="auto"/>
        </w:rPr>
      </w:pPr>
      <w:r>
        <w:rPr>
          <w:rFonts w:ascii="Arial" w:cs="Arial" w:eastAsia="Arial" w:hAnsi="Arial"/>
          <w:sz w:val="20"/>
          <w:szCs w:val="20"/>
          <w:b w:val="1"/>
          <w:bCs w:val="1"/>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161290</wp:posOffset>
                </wp:positionV>
                <wp:extent cx="6286500" cy="0"/>
                <wp:wrapNone/>
                <wp:docPr id="796" name="Shape 7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6" o:spid="_x0000_s18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7pt" to="494.5pt,1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161290</wp:posOffset>
                </wp:positionV>
                <wp:extent cx="6286500" cy="0"/>
                <wp:wrapNone/>
                <wp:docPr id="797" name="Shape 7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97" o:spid="_x0000_s18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7pt" to="494.5pt,12.7pt" o:allowincell="f" strokecolor="#DF1995" strokeweight="1pt"/>
            </w:pict>
          </mc:Fallback>
        </mc:AlternateContent>
      </w:r>
    </w:p>
    <w:p>
      <w:pPr>
        <w:spacing w:after="0" w:line="249" w:lineRule="exact"/>
        <w:rPr>
          <w:sz w:val="20"/>
          <w:szCs w:val="20"/>
          <w:color w:val="auto"/>
        </w:rPr>
      </w:pPr>
    </w:p>
    <w:p>
      <w:pPr>
        <w:ind w:left="1120" w:right="1280" w:hanging="1079"/>
        <w:spacing w:after="0" w:line="285" w:lineRule="auto"/>
        <w:rPr>
          <w:sz w:val="20"/>
          <w:szCs w:val="20"/>
          <w:color w:val="auto"/>
        </w:rPr>
      </w:pPr>
      <w:r>
        <w:rPr>
          <w:rFonts w:ascii="Arial" w:cs="Arial" w:eastAsia="Arial" w:hAnsi="Arial"/>
          <w:sz w:val="24"/>
          <w:szCs w:val="24"/>
          <w:b w:val="1"/>
          <w:bCs w:val="1"/>
          <w:color w:val="DF1995"/>
        </w:rPr>
        <w:t>ITEM 13. CERTAIN RELATIONSHIPS AND RELATED TRANSACTIONS, AND DIRECTOR INDEPENDENCE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-15240</wp:posOffset>
                </wp:positionV>
                <wp:extent cx="6286500" cy="0"/>
                <wp:wrapNone/>
                <wp:docPr id="798" name="Shape 7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8" o:spid="_x0000_s18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999pt" to="494.5pt,-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-15240</wp:posOffset>
                </wp:positionV>
                <wp:extent cx="6286500" cy="0"/>
                <wp:wrapNone/>
                <wp:docPr id="799" name="Shape 7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799" o:spid="_x0000_s18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999pt" to="494.5pt,-1.1999pt" o:allowincell="f" strokecolor="#DF1995" strokeweight="1pt"/>
            </w:pict>
          </mc:Fallback>
        </mc:AlternateContent>
      </w:r>
    </w:p>
    <w:p>
      <w:pPr>
        <w:spacing w:after="0" w:line="116" w:lineRule="exact"/>
        <w:rPr>
          <w:sz w:val="20"/>
          <w:szCs w:val="20"/>
          <w:color w:val="auto"/>
        </w:rPr>
      </w:pPr>
    </w:p>
    <w:p>
      <w:pPr>
        <w:jc w:val="both"/>
        <w:ind w:right="680"/>
        <w:spacing w:after="0" w:line="266" w:lineRule="auto"/>
        <w:rPr>
          <w:sz w:val="20"/>
          <w:szCs w:val="20"/>
          <w:color w:val="auto"/>
        </w:rPr>
      </w:pPr>
      <w:r>
        <w:rPr>
          <w:rFonts w:ascii="Arial" w:cs="Arial" w:eastAsia="Arial" w:hAnsi="Arial"/>
          <w:sz w:val="20"/>
          <w:szCs w:val="20"/>
          <w:b w:val="1"/>
          <w:bCs w:val="1"/>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161290</wp:posOffset>
                </wp:positionV>
                <wp:extent cx="6286500" cy="0"/>
                <wp:wrapNone/>
                <wp:docPr id="800" name="Shape 8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0" o:spid="_x0000_s18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7pt" to="494.5pt,1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161290</wp:posOffset>
                </wp:positionV>
                <wp:extent cx="6286500" cy="0"/>
                <wp:wrapNone/>
                <wp:docPr id="801" name="Shape 8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01" o:spid="_x0000_s18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7pt" to="494.5pt,12.7pt" o:allowincell="f" strokecolor="#DF1995" strokeweight="1pt"/>
            </w:pict>
          </mc:Fallback>
        </mc:AlternateConten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14. PRINCIPAL ACCOUNTANT FEES AND SERVICES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02" name="Shape 8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2" o:spid="_x0000_s18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03" name="Shape 8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03" o:spid="_x0000_s18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07" w:lineRule="exact"/>
        <w:rPr>
          <w:sz w:val="20"/>
          <w:szCs w:val="20"/>
          <w:color w:val="auto"/>
        </w:rPr>
      </w:pPr>
    </w:p>
    <w:p>
      <w:pPr>
        <w:jc w:val="both"/>
        <w:ind w:right="680"/>
        <w:spacing w:after="0" w:line="266" w:lineRule="auto"/>
        <w:rPr>
          <w:sz w:val="20"/>
          <w:szCs w:val="20"/>
          <w:color w:val="auto"/>
        </w:rPr>
      </w:pPr>
      <w:r>
        <w:rPr>
          <w:rFonts w:ascii="Arial" w:cs="Arial" w:eastAsia="Arial" w:hAnsi="Arial"/>
          <w:sz w:val="20"/>
          <w:szCs w:val="20"/>
          <w:b w:val="1"/>
          <w:bCs w:val="1"/>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3673475</wp:posOffset>
                </wp:positionV>
                <wp:extent cx="7315200" cy="0"/>
                <wp:wrapNone/>
                <wp:docPr id="804" name="Shape 8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4" o:spid="_x0000_s18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89.25pt" to="535pt,289.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3673475</wp:posOffset>
                </wp:positionV>
                <wp:extent cx="7315200" cy="0"/>
                <wp:wrapNone/>
                <wp:docPr id="805" name="Shape 8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05" o:spid="_x0000_s18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89.25pt" to="535pt,289.2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346">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387" w:lineRule="exact"/>
        <w:rPr>
          <w:sz w:val="20"/>
          <w:szCs w:val="20"/>
          <w:color w:val="auto"/>
        </w:rPr>
      </w:pPr>
    </w:p>
    <w:p>
      <w:pPr>
        <w:ind w:left="4480"/>
        <w:spacing w:after="0"/>
        <w:rPr>
          <w:sz w:val="20"/>
          <w:szCs w:val="20"/>
          <w:color w:val="auto"/>
        </w:rPr>
      </w:pPr>
      <w:r>
        <w:rPr>
          <w:rFonts w:ascii="Arial" w:cs="Arial" w:eastAsia="Arial" w:hAnsi="Arial"/>
          <w:sz w:val="24"/>
          <w:szCs w:val="24"/>
          <w:b w:val="1"/>
          <w:bCs w:val="1"/>
          <w:color w:val="DF1995"/>
        </w:rPr>
        <w:t>PART IV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205740</wp:posOffset>
                </wp:positionV>
                <wp:extent cx="6286500" cy="0"/>
                <wp:wrapNone/>
                <wp:docPr id="807" name="Shape 8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07" o:spid="_x0000_s18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2pt" to="494.5pt,16.2pt" o:allowincell="f" strokecolor="#DF1995" strokeweight="1pt"/>
            </w:pict>
          </mc:Fallback>
        </mc:AlternateContent>
      </w:r>
    </w:p>
    <w:p>
      <w:pPr>
        <w:spacing w:after="0" w:line="322"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15. EXHIBITS AND FINANCIAL STATEMENT SCHEDULES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08" name="Shape 8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08" o:spid="_x0000_s18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67" w:lineRule="exact"/>
        <w:rPr>
          <w:sz w:val="20"/>
          <w:szCs w:val="20"/>
          <w:color w:val="auto"/>
        </w:rPr>
      </w:pPr>
    </w:p>
    <w:p>
      <w:pPr>
        <w:ind w:left="1440" w:right="700" w:hanging="550"/>
        <w:spacing w:after="0" w:line="285" w:lineRule="auto"/>
        <w:tabs>
          <w:tab w:leader="none" w:pos="144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The following documents are filed as part of, or incorporated by reference into, this Annual Report on Form 10-K:</w:t>
      </w:r>
    </w:p>
    <w:p>
      <w:pPr>
        <w:spacing w:after="0" w:line="53" w:lineRule="exact"/>
        <w:rPr>
          <w:rFonts w:ascii="Arial" w:cs="Arial" w:eastAsia="Arial" w:hAnsi="Arial"/>
          <w:sz w:val="20"/>
          <w:szCs w:val="20"/>
          <w:b w:val="1"/>
          <w:bCs w:val="1"/>
          <w:color w:val="auto"/>
        </w:rPr>
      </w:pPr>
    </w:p>
    <w:p>
      <w:pPr>
        <w:ind w:left="1800" w:right="700" w:hanging="370"/>
        <w:spacing w:after="0" w:line="285" w:lineRule="auto"/>
        <w:tabs>
          <w:tab w:leader="none" w:pos="1800" w:val="left"/>
        </w:tabs>
        <w:numPr>
          <w:ilvl w:val="1"/>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Financial Statements</w:t>
      </w:r>
      <w:r>
        <w:rPr>
          <w:rFonts w:ascii="Arial" w:cs="Arial" w:eastAsia="Arial" w:hAnsi="Arial"/>
          <w:sz w:val="20"/>
          <w:szCs w:val="20"/>
          <w:b w:val="1"/>
          <w:bCs w:val="1"/>
          <w:color w:val="auto"/>
        </w:rPr>
        <w:t>: See Index to Consolidated Financial Statements under Item 8 of this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Annual Report on Form 10-K.</w:t>
      </w:r>
    </w:p>
    <w:p>
      <w:pPr>
        <w:spacing w:after="0" w:line="53" w:lineRule="exact"/>
        <w:rPr>
          <w:rFonts w:ascii="Arial" w:cs="Arial" w:eastAsia="Arial" w:hAnsi="Arial"/>
          <w:sz w:val="20"/>
          <w:szCs w:val="20"/>
          <w:b w:val="1"/>
          <w:bCs w:val="1"/>
          <w:color w:val="auto"/>
        </w:rPr>
      </w:pPr>
    </w:p>
    <w:p>
      <w:pPr>
        <w:jc w:val="both"/>
        <w:ind w:left="1800" w:right="700" w:hanging="370"/>
        <w:spacing w:after="0" w:line="268" w:lineRule="auto"/>
        <w:tabs>
          <w:tab w:leader="none" w:pos="1800" w:val="left"/>
        </w:tabs>
        <w:numPr>
          <w:ilvl w:val="1"/>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Financial Statement Schedules</w:t>
      </w:r>
      <w:r>
        <w:rPr>
          <w:rFonts w:ascii="Arial" w:cs="Arial" w:eastAsia="Arial" w:hAnsi="Arial"/>
          <w:sz w:val="20"/>
          <w:szCs w:val="20"/>
          <w:b w:val="1"/>
          <w:bCs w:val="1"/>
          <w:color w:val="auto"/>
        </w:rPr>
        <w:t>: All schedules are omitted because they are not required, are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not applicable or the information is included in the Consolidated Financial Statements or notes thereto.</w:t>
      </w:r>
    </w:p>
    <w:p>
      <w:pPr>
        <w:spacing w:after="0" w:line="69" w:lineRule="exact"/>
        <w:rPr>
          <w:rFonts w:ascii="Arial" w:cs="Arial" w:eastAsia="Arial" w:hAnsi="Arial"/>
          <w:sz w:val="20"/>
          <w:szCs w:val="20"/>
          <w:b w:val="1"/>
          <w:bCs w:val="1"/>
          <w:color w:val="auto"/>
        </w:rPr>
      </w:pPr>
    </w:p>
    <w:p>
      <w:pPr>
        <w:ind w:left="1800" w:right="700" w:hanging="370"/>
        <w:spacing w:after="0" w:line="285" w:lineRule="auto"/>
        <w:tabs>
          <w:tab w:leader="none" w:pos="1800" w:val="left"/>
        </w:tabs>
        <w:numPr>
          <w:ilvl w:val="1"/>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Exhibits</w:t>
      </w:r>
      <w:r>
        <w:rPr>
          <w:rFonts w:ascii="Arial" w:cs="Arial" w:eastAsia="Arial" w:hAnsi="Arial"/>
          <w:sz w:val="20"/>
          <w:szCs w:val="20"/>
          <w:b w:val="1"/>
          <w:bCs w:val="1"/>
          <w:color w:val="auto"/>
        </w:rPr>
        <w:t>: We have filed or incorporated by reference into this Annual Report on Form 10-K,</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the exhibits listed on the accompanying Exhibit Index immediately below.</w:t>
      </w:r>
    </w:p>
    <w:p>
      <w:pPr>
        <w:spacing w:after="0" w:line="113" w:lineRule="exact"/>
        <w:rPr>
          <w:rFonts w:ascii="Arial" w:cs="Arial" w:eastAsia="Arial" w:hAnsi="Arial"/>
          <w:sz w:val="20"/>
          <w:szCs w:val="20"/>
          <w:b w:val="1"/>
          <w:bCs w:val="1"/>
          <w:color w:val="auto"/>
        </w:rPr>
      </w:pPr>
    </w:p>
    <w:p>
      <w:pPr>
        <w:ind w:left="1440" w:hanging="550"/>
        <w:spacing w:after="0"/>
        <w:tabs>
          <w:tab w:leader="none" w:pos="144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Schedules: See Item 15(a)(2), above.</w:t>
      </w:r>
    </w:p>
    <w:p>
      <w:pPr>
        <w:spacing w:after="0" w:line="190" w:lineRule="exact"/>
        <w:rPr>
          <w:rFonts w:ascii="Arial" w:cs="Arial" w:eastAsia="Arial" w:hAnsi="Arial"/>
          <w:sz w:val="20"/>
          <w:szCs w:val="20"/>
          <w:b w:val="1"/>
          <w:bCs w:val="1"/>
          <w:color w:val="auto"/>
        </w:rPr>
      </w:pPr>
    </w:p>
    <w:p>
      <w:pPr>
        <w:ind w:left="1440" w:hanging="550"/>
        <w:spacing w:after="0"/>
        <w:tabs>
          <w:tab w:leader="none" w:pos="144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Exhibits: Refer to the </w:t>
      </w:r>
      <w:r>
        <w:rPr>
          <w:rFonts w:ascii="Arial" w:cs="Arial" w:eastAsia="Arial" w:hAnsi="Arial"/>
          <w:sz w:val="20"/>
          <w:szCs w:val="20"/>
          <w:b w:val="1"/>
          <w:bCs w:val="1"/>
          <w:u w:val="single" w:color="auto"/>
          <w:color w:val="0000FF"/>
        </w:rPr>
        <w:t>Exhibit Index</w:t>
      </w:r>
      <w:r>
        <w:rPr>
          <w:rFonts w:ascii="Arial" w:cs="Arial" w:eastAsia="Arial" w:hAnsi="Arial"/>
          <w:sz w:val="20"/>
          <w:szCs w:val="20"/>
          <w:b w:val="1"/>
          <w:bCs w:val="1"/>
          <w:color w:val="auto"/>
        </w:rPr>
        <w:t xml:space="preserve"> that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6267450</wp:posOffset>
                </wp:positionV>
                <wp:extent cx="7315200" cy="0"/>
                <wp:wrapNone/>
                <wp:docPr id="809" name="Shape 8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9" o:spid="_x0000_s18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93.5pt" to="535pt,49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6267450</wp:posOffset>
                </wp:positionV>
                <wp:extent cx="7315200" cy="0"/>
                <wp:wrapNone/>
                <wp:docPr id="810" name="Shape 8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10" o:spid="_x0000_s18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93.5pt" to="535pt,493.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347">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392"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DF1995"/>
        </w:rPr>
        <w:t>Exhibit Index</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54"/>
        </w:trPr>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Incorporated by reference herein</w:t>
            </w:r>
          </w:p>
        </w:tc>
        <w:tc>
          <w:tcPr>
            <w:tcW w:w="0" w:type="dxa"/>
            <w:vAlign w:val="bottom"/>
          </w:tcPr>
          <w:p>
            <w:pPr>
              <w:spacing w:after="0"/>
              <w:rPr>
                <w:sz w:val="1"/>
                <w:szCs w:val="1"/>
                <w:color w:val="auto"/>
              </w:rPr>
            </w:pPr>
          </w:p>
        </w:tc>
      </w:tr>
      <w:tr>
        <w:trPr>
          <w:trHeight w:val="215"/>
        </w:trPr>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32"/>
            <w:vMerge w:val="restart"/>
          </w:tcPr>
          <w:p>
            <w:pPr>
              <w:ind w:left="28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Form</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80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45"/>
        </w:trPr>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32"/>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3.1</w:t>
            </w: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rPr>
              <w:t>Amended and Restated Certificate of Incorporation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7"/>
              </w:rPr>
              <w:t>10-K</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5"/>
              </w:rPr>
              <w:t>3.1</w:t>
            </w:r>
          </w:p>
        </w:tc>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March 23, 2011</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60"/>
              <w:spacing w:after="0"/>
              <w:rPr>
                <w:sz w:val="20"/>
                <w:szCs w:val="20"/>
                <w:color w:val="auto"/>
              </w:rPr>
            </w:pPr>
            <w:r>
              <w:rPr>
                <w:rFonts w:ascii="Arial" w:cs="Arial" w:eastAsia="Arial" w:hAnsi="Arial"/>
                <w:sz w:val="18"/>
                <w:szCs w:val="18"/>
                <w:b w:val="1"/>
                <w:bCs w:val="1"/>
                <w:color w:val="0E32E1"/>
              </w:rPr>
              <w:t>3.2</w:t>
            </w: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80" w:type="dxa"/>
            <w:vAlign w:val="bottom"/>
            <w:vMerge w:val="continue"/>
          </w:tcPr>
          <w:p>
            <w:pPr>
              <w:spacing w:after="0"/>
              <w:rPr>
                <w:sz w:val="24"/>
                <w:szCs w:val="24"/>
                <w:color w:val="auto"/>
              </w:rPr>
            </w:pP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rPr>
              <w:t>Third Amended and Restated Bylaws of Pacific Biosciences of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3.1</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November 7, 2022</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5000" w:type="dxa"/>
            <w:vAlign w:val="bottom"/>
            <w:tcBorders>
              <w:top w:val="single" w:sz="8" w:color="auto"/>
            </w:tcBorders>
            <w:gridSpan w:val="24"/>
          </w:tcPr>
          <w:p>
            <w:pPr>
              <w:spacing w:after="0" w:line="160" w:lineRule="exact"/>
              <w:rPr>
                <w:sz w:val="20"/>
                <w:szCs w:val="20"/>
                <w:color w:val="auto"/>
              </w:rPr>
            </w:pPr>
            <w:r>
              <w:rPr>
                <w:rFonts w:ascii="Arial" w:cs="Arial" w:eastAsia="Arial" w:hAnsi="Arial"/>
                <w:sz w:val="18"/>
                <w:szCs w:val="18"/>
                <w:b w:val="1"/>
                <w:bCs w:val="1"/>
                <w:color w:val="auto"/>
              </w:rPr>
              <w:t>California, Inc.</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60"/>
              <w:spacing w:after="0"/>
              <w:rPr>
                <w:sz w:val="20"/>
                <w:szCs w:val="20"/>
                <w:color w:val="auto"/>
              </w:rPr>
            </w:pPr>
            <w:r>
              <w:rPr>
                <w:rFonts w:ascii="Arial" w:cs="Arial" w:eastAsia="Arial" w:hAnsi="Arial"/>
                <w:sz w:val="18"/>
                <w:szCs w:val="18"/>
                <w:b w:val="1"/>
                <w:bCs w:val="1"/>
                <w:color w:val="0E32E1"/>
              </w:rPr>
              <w:t>3.3</w:t>
            </w: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80" w:type="dxa"/>
            <w:vAlign w:val="bottom"/>
            <w:vMerge w:val="continue"/>
          </w:tcPr>
          <w:p>
            <w:pPr>
              <w:spacing w:after="0"/>
              <w:rPr>
                <w:sz w:val="24"/>
                <w:szCs w:val="24"/>
                <w:color w:val="auto"/>
              </w:rPr>
            </w:pP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w w:val="96"/>
              </w:rPr>
              <w:t>Certificate of Amendment to the Amended and Restated Certificate of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5600" w:type="dxa"/>
            <w:vAlign w:val="bottom"/>
            <w:tcBorders>
              <w:top w:val="single" w:sz="8" w:color="auto"/>
              <w:bottom w:val="single" w:sz="8" w:color="auto"/>
            </w:tcBorders>
            <w:gridSpan w:val="36"/>
          </w:tcPr>
          <w:p>
            <w:pPr>
              <w:spacing w:after="0" w:line="160" w:lineRule="exact"/>
              <w:rPr>
                <w:sz w:val="20"/>
                <w:szCs w:val="20"/>
                <w:color w:val="auto"/>
              </w:rPr>
            </w:pPr>
            <w:r>
              <w:rPr>
                <w:rFonts w:ascii="Arial" w:cs="Arial" w:eastAsia="Arial" w:hAnsi="Arial"/>
                <w:sz w:val="18"/>
                <w:szCs w:val="18"/>
                <w:b w:val="1"/>
                <w:bCs w:val="1"/>
                <w:color w:val="auto"/>
                <w:w w:val="91"/>
              </w:rPr>
              <w:t>Incorporation of Pacific Biosciences of California, Inc. to declassify the</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3.1</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June 20, 2024</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480" w:type="dxa"/>
            <w:vAlign w:val="bottom"/>
            <w:tcBorders>
              <w:bottom w:val="single" w:sz="8" w:color="auto"/>
            </w:tcBorders>
            <w:gridSpan w:val="2"/>
          </w:tcPr>
          <w:p>
            <w:pPr>
              <w:spacing w:after="0" w:line="160" w:lineRule="exact"/>
              <w:rPr>
                <w:sz w:val="20"/>
                <w:szCs w:val="20"/>
                <w:color w:val="auto"/>
              </w:rPr>
            </w:pPr>
            <w:r>
              <w:rPr>
                <w:rFonts w:ascii="Arial" w:cs="Arial" w:eastAsia="Arial" w:hAnsi="Arial"/>
                <w:sz w:val="18"/>
                <w:szCs w:val="18"/>
                <w:b w:val="1"/>
                <w:bCs w:val="1"/>
                <w:color w:val="auto"/>
                <w:w w:val="88"/>
              </w:rPr>
              <w:t>Board</w:t>
            </w:r>
          </w:p>
        </w:tc>
        <w:tc>
          <w:tcPr>
            <w:tcW w:w="5200" w:type="dxa"/>
            <w:vAlign w:val="bottom"/>
            <w:gridSpan w:val="3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3.4</w:t>
            </w: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w w:val="95"/>
              </w:rPr>
              <w:t>Certificate of Amendment to the Certificate of Incorporation of Pacific</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3.2</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June 20, 2024</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5620" w:type="dxa"/>
            <w:vAlign w:val="bottom"/>
            <w:tcBorders>
              <w:top w:val="single" w:sz="8" w:color="auto"/>
            </w:tcBorders>
            <w:gridSpan w:val="37"/>
          </w:tcPr>
          <w:p>
            <w:pPr>
              <w:spacing w:after="0" w:line="160" w:lineRule="exact"/>
              <w:rPr>
                <w:sz w:val="20"/>
                <w:szCs w:val="20"/>
                <w:color w:val="auto"/>
              </w:rPr>
            </w:pPr>
            <w:r>
              <w:rPr>
                <w:rFonts w:ascii="Arial" w:cs="Arial" w:eastAsia="Arial" w:hAnsi="Arial"/>
                <w:sz w:val="18"/>
                <w:szCs w:val="18"/>
                <w:b w:val="1"/>
                <w:bCs w:val="1"/>
                <w:color w:val="auto"/>
              </w:rPr>
              <w:t>Biosciences of California, Inc. to limit the liability of officers</w:t>
            </w: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4.1</w:t>
            </w:r>
          </w:p>
        </w:tc>
        <w:tc>
          <w:tcPr>
            <w:tcW w:w="4720" w:type="dxa"/>
            <w:vAlign w:val="bottom"/>
            <w:tcBorders>
              <w:top w:val="single" w:sz="8" w:color="auto"/>
            </w:tcBorders>
            <w:gridSpan w:val="19"/>
          </w:tcPr>
          <w:p>
            <w:pPr>
              <w:spacing w:after="0"/>
              <w:rPr>
                <w:sz w:val="20"/>
                <w:szCs w:val="20"/>
                <w:color w:val="auto"/>
              </w:rPr>
            </w:pPr>
            <w:r>
              <w:rPr>
                <w:rFonts w:ascii="Arial" w:cs="Arial" w:eastAsia="Arial" w:hAnsi="Arial"/>
                <w:sz w:val="18"/>
                <w:szCs w:val="18"/>
                <w:b w:val="1"/>
                <w:bCs w:val="1"/>
                <w:color w:val="auto"/>
              </w:rPr>
              <w:t>Specimen Common Stock Certificate</w:t>
            </w:r>
          </w:p>
        </w:tc>
        <w:tc>
          <w:tcPr>
            <w:tcW w:w="1000" w:type="dxa"/>
            <w:vAlign w:val="bottom"/>
            <w:gridSpan w:val="21"/>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9"/>
              </w:rPr>
              <w:t>S-1/A</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5"/>
              </w:rPr>
              <w:t>4.1</w:t>
            </w:r>
          </w:p>
        </w:tc>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October 1, 2010</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60"/>
              <w:spacing w:after="0"/>
              <w:rPr>
                <w:sz w:val="20"/>
                <w:szCs w:val="20"/>
                <w:color w:val="auto"/>
              </w:rPr>
            </w:pPr>
            <w:r>
              <w:rPr>
                <w:rFonts w:ascii="Arial" w:cs="Arial" w:eastAsia="Arial" w:hAnsi="Arial"/>
                <w:sz w:val="18"/>
                <w:szCs w:val="18"/>
                <w:b w:val="1"/>
                <w:bCs w:val="1"/>
                <w:color w:val="0E32E1"/>
              </w:rPr>
              <w:t>4.2</w:t>
            </w: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80" w:type="dxa"/>
            <w:vAlign w:val="bottom"/>
            <w:vMerge w:val="continue"/>
          </w:tcPr>
          <w:p>
            <w:pPr>
              <w:spacing w:after="0"/>
              <w:rPr>
                <w:sz w:val="24"/>
                <w:szCs w:val="24"/>
                <w:color w:val="auto"/>
              </w:rPr>
            </w:pPr>
          </w:p>
        </w:tc>
        <w:tc>
          <w:tcPr>
            <w:tcW w:w="5720" w:type="dxa"/>
            <w:vAlign w:val="bottom"/>
            <w:tcBorders>
              <w:bottom w:val="single" w:sz="8" w:color="auto"/>
            </w:tcBorders>
            <w:gridSpan w:val="40"/>
          </w:tcPr>
          <w:p>
            <w:pPr>
              <w:spacing w:after="0"/>
              <w:rPr>
                <w:sz w:val="20"/>
                <w:szCs w:val="20"/>
                <w:color w:val="auto"/>
              </w:rPr>
            </w:pPr>
            <w:r>
              <w:rPr>
                <w:rFonts w:ascii="Arial" w:cs="Arial" w:eastAsia="Arial" w:hAnsi="Arial"/>
                <w:sz w:val="18"/>
                <w:szCs w:val="18"/>
                <w:b w:val="1"/>
                <w:bCs w:val="1"/>
                <w:color w:val="auto"/>
                <w:w w:val="92"/>
              </w:rPr>
              <w:t>Description of Registrant’s securities registered under Section 12 of the</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1140" w:type="dxa"/>
            <w:vAlign w:val="bottom"/>
            <w:tcBorders>
              <w:bottom w:val="single" w:sz="8" w:color="auto"/>
            </w:tcBorders>
            <w:gridSpan w:val="5"/>
          </w:tcPr>
          <w:p>
            <w:pPr>
              <w:spacing w:after="0" w:line="160" w:lineRule="exact"/>
              <w:rPr>
                <w:sz w:val="20"/>
                <w:szCs w:val="20"/>
                <w:color w:val="auto"/>
              </w:rPr>
            </w:pPr>
            <w:r>
              <w:rPr>
                <w:rFonts w:ascii="Arial" w:cs="Arial" w:eastAsia="Arial" w:hAnsi="Arial"/>
                <w:sz w:val="18"/>
                <w:szCs w:val="18"/>
                <w:b w:val="1"/>
                <w:bCs w:val="1"/>
                <w:color w:val="auto"/>
                <w:w w:val="92"/>
              </w:rPr>
              <w:t>Exchange Act</w:t>
            </w:r>
          </w:p>
        </w:tc>
        <w:tc>
          <w:tcPr>
            <w:tcW w:w="4580" w:type="dxa"/>
            <w:vAlign w:val="bottom"/>
            <w:gridSpan w:val="3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4.3</w:t>
            </w: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w w:val="99"/>
              </w:rPr>
              <w:t>Indenture, dated February 16, 2021, between Pacific Biosciences of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10-Q</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4.1</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August 4, 2023</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4960" w:type="dxa"/>
            <w:vAlign w:val="bottom"/>
            <w:tcBorders>
              <w:top w:val="single" w:sz="8" w:color="auto"/>
              <w:bottom w:val="single" w:sz="8" w:color="auto"/>
            </w:tcBorders>
            <w:gridSpan w:val="23"/>
          </w:tcPr>
          <w:p>
            <w:pPr>
              <w:spacing w:after="0" w:line="160" w:lineRule="exact"/>
              <w:rPr>
                <w:sz w:val="20"/>
                <w:szCs w:val="20"/>
                <w:color w:val="auto"/>
              </w:rPr>
            </w:pPr>
            <w:r>
              <w:rPr>
                <w:rFonts w:ascii="Arial" w:cs="Arial" w:eastAsia="Arial" w:hAnsi="Arial"/>
                <w:sz w:val="18"/>
                <w:szCs w:val="18"/>
                <w:b w:val="1"/>
                <w:bCs w:val="1"/>
                <w:color w:val="auto"/>
                <w:w w:val="91"/>
              </w:rPr>
              <w:t>California, Inc., and U.S. Bank National Association, as Trustee</w:t>
            </w:r>
          </w:p>
        </w:tc>
        <w:tc>
          <w:tcPr>
            <w:tcW w:w="420" w:type="dxa"/>
            <w:vAlign w:val="bottom"/>
            <w:tcBorders>
              <w:top w:val="single" w:sz="8" w:color="auto"/>
            </w:tcBorders>
            <w:gridSpan w:val="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4.4</w:t>
            </w: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w w:val="95"/>
              </w:rPr>
              <w:t>Form of 1.50% Convertible Senior Notes due 2028 (included in Exhibit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10-Q</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4.1</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August 4, 2023</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60" w:lineRule="exact"/>
              <w:rPr>
                <w:sz w:val="20"/>
                <w:szCs w:val="20"/>
                <w:color w:val="auto"/>
              </w:rPr>
            </w:pPr>
            <w:r>
              <w:rPr>
                <w:rFonts w:ascii="Arial" w:cs="Arial" w:eastAsia="Arial" w:hAnsi="Arial"/>
                <w:sz w:val="18"/>
                <w:szCs w:val="18"/>
                <w:b w:val="1"/>
                <w:bCs w:val="1"/>
                <w:color w:val="auto"/>
                <w:w w:val="96"/>
              </w:rPr>
              <w:t>4.</w:t>
            </w:r>
            <w:r>
              <w:rPr>
                <w:rFonts w:ascii="Arial" w:cs="Arial" w:eastAsia="Arial" w:hAnsi="Arial"/>
                <w:sz w:val="18"/>
                <w:szCs w:val="18"/>
                <w:b w:val="1"/>
                <w:bCs w:val="1"/>
                <w:u w:val="single" w:color="auto"/>
                <w:color w:val="auto"/>
                <w:w w:val="96"/>
              </w:rPr>
              <w:t>3)</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4.5</w:t>
            </w: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rPr>
              <w:t>Indenture, dated as of June 30, 2023, by and between Pacific</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880" w:type="dxa"/>
            <w:vAlign w:val="bottom"/>
            <w:tcBorders>
              <w:top w:val="single" w:sz="8" w:color="auto"/>
            </w:tcBorders>
            <w:gridSpan w:val="21"/>
          </w:tcPr>
          <w:p>
            <w:pPr>
              <w:spacing w:after="0" w:line="171" w:lineRule="exact"/>
              <w:rPr>
                <w:sz w:val="20"/>
                <w:szCs w:val="20"/>
                <w:color w:val="auto"/>
              </w:rPr>
            </w:pPr>
            <w:r>
              <w:rPr>
                <w:rFonts w:ascii="Arial" w:cs="Arial" w:eastAsia="Arial" w:hAnsi="Arial"/>
                <w:sz w:val="18"/>
                <w:szCs w:val="18"/>
                <w:b w:val="1"/>
                <w:bCs w:val="1"/>
                <w:color w:val="auto"/>
                <w:w w:val="92"/>
              </w:rPr>
              <w:t>Biosciences of California, Inc. and U.S. Bank Trust Company,</w:t>
            </w:r>
          </w:p>
        </w:tc>
        <w:tc>
          <w:tcPr>
            <w:tcW w:w="840" w:type="dxa"/>
            <w:vAlign w:val="bottom"/>
            <w:gridSpan w:val="19"/>
          </w:tcPr>
          <w:p>
            <w:pPr>
              <w:spacing w:after="0" w:line="171" w:lineRule="exact"/>
              <w:rPr>
                <w:sz w:val="20"/>
                <w:szCs w:val="20"/>
                <w:color w:val="auto"/>
              </w:rPr>
            </w:pPr>
            <w:r>
              <w:rPr>
                <w:rFonts w:ascii="Arial" w:cs="Arial" w:eastAsia="Arial" w:hAnsi="Arial"/>
                <w:sz w:val="18"/>
                <w:szCs w:val="18"/>
                <w:b w:val="1"/>
                <w:bCs w:val="1"/>
                <w:color w:val="auto"/>
              </w:rPr>
              <w:t>National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4.1</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June 30, 2023</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1880" w:type="dxa"/>
            <w:vAlign w:val="bottom"/>
            <w:tcBorders>
              <w:top w:val="single" w:sz="8" w:color="auto"/>
              <w:bottom w:val="single" w:sz="8" w:color="auto"/>
            </w:tcBorders>
            <w:gridSpan w:val="6"/>
          </w:tcPr>
          <w:p>
            <w:pPr>
              <w:spacing w:after="0" w:line="160" w:lineRule="exact"/>
              <w:rPr>
                <w:sz w:val="20"/>
                <w:szCs w:val="20"/>
                <w:color w:val="auto"/>
              </w:rPr>
            </w:pPr>
            <w:r>
              <w:rPr>
                <w:rFonts w:ascii="Arial" w:cs="Arial" w:eastAsia="Arial" w:hAnsi="Arial"/>
                <w:sz w:val="18"/>
                <w:szCs w:val="18"/>
                <w:b w:val="1"/>
                <w:bCs w:val="1"/>
                <w:color w:val="auto"/>
                <w:w w:val="92"/>
              </w:rPr>
              <w:t>Association, as Trustee</w:t>
            </w:r>
          </w:p>
        </w:tc>
        <w:tc>
          <w:tcPr>
            <w:tcW w:w="3700" w:type="dxa"/>
            <w:vAlign w:val="bottom"/>
            <w:tcBorders>
              <w:top w:val="single" w:sz="8" w:color="auto"/>
            </w:tcBorders>
            <w:gridSpan w:val="29"/>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4.6</w:t>
            </w: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w w:val="95"/>
              </w:rPr>
              <w:t>Form of 1.375% Convertible Senior Note due 2030 (included in Exhibit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4.2</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June 30, 2023</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60" w:lineRule="exact"/>
              <w:rPr>
                <w:sz w:val="20"/>
                <w:szCs w:val="20"/>
                <w:color w:val="auto"/>
              </w:rPr>
            </w:pPr>
            <w:r>
              <w:rPr>
                <w:rFonts w:ascii="Arial" w:cs="Arial" w:eastAsia="Arial" w:hAnsi="Arial"/>
                <w:sz w:val="18"/>
                <w:szCs w:val="18"/>
                <w:b w:val="1"/>
                <w:bCs w:val="1"/>
                <w:color w:val="auto"/>
                <w:w w:val="96"/>
              </w:rPr>
              <w:t>4.</w:t>
            </w:r>
            <w:r>
              <w:rPr>
                <w:rFonts w:ascii="Arial" w:cs="Arial" w:eastAsia="Arial" w:hAnsi="Arial"/>
                <w:sz w:val="18"/>
                <w:szCs w:val="18"/>
                <w:b w:val="1"/>
                <w:bCs w:val="1"/>
                <w:u w:val="single" w:color="auto"/>
                <w:color w:val="auto"/>
                <w:w w:val="96"/>
              </w:rPr>
              <w:t>5)</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4.7</w:t>
            </w:r>
          </w:p>
        </w:tc>
        <w:tc>
          <w:tcPr>
            <w:tcW w:w="5320" w:type="dxa"/>
            <w:vAlign w:val="bottom"/>
            <w:tcBorders>
              <w:bottom w:val="single" w:sz="8" w:color="auto"/>
            </w:tcBorders>
            <w:gridSpan w:val="29"/>
          </w:tcPr>
          <w:p>
            <w:pPr>
              <w:spacing w:after="0"/>
              <w:rPr>
                <w:sz w:val="20"/>
                <w:szCs w:val="20"/>
                <w:color w:val="auto"/>
              </w:rPr>
            </w:pPr>
            <w:r>
              <w:rPr>
                <w:rFonts w:ascii="Arial" w:cs="Arial" w:eastAsia="Arial" w:hAnsi="Arial"/>
                <w:sz w:val="18"/>
                <w:szCs w:val="18"/>
                <w:b w:val="1"/>
                <w:bCs w:val="1"/>
                <w:color w:val="auto"/>
                <w:w w:val="94"/>
              </w:rPr>
              <w:t>Indenture, dated as of November 21, 2024, by and between Pacific</w:t>
            </w:r>
          </w:p>
        </w:tc>
        <w:tc>
          <w:tcPr>
            <w:tcW w:w="4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5720" w:type="dxa"/>
            <w:vAlign w:val="bottom"/>
            <w:gridSpan w:val="40"/>
          </w:tcPr>
          <w:p>
            <w:pPr>
              <w:spacing w:after="0" w:line="160" w:lineRule="exact"/>
              <w:rPr>
                <w:sz w:val="20"/>
                <w:szCs w:val="20"/>
                <w:color w:val="auto"/>
              </w:rPr>
            </w:pPr>
            <w:r>
              <w:rPr>
                <w:rFonts w:ascii="Arial" w:cs="Arial" w:eastAsia="Arial" w:hAnsi="Arial"/>
                <w:sz w:val="18"/>
                <w:szCs w:val="18"/>
                <w:b w:val="1"/>
                <w:bCs w:val="1"/>
                <w:color w:val="auto"/>
                <w:w w:val="94"/>
              </w:rPr>
              <w:t>Biosciences of California, Inc. and U.S. Bank Trust Company, National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4.1</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November 22, 2024</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5580" w:type="dxa"/>
            <w:vAlign w:val="bottom"/>
            <w:tcBorders>
              <w:top w:val="single" w:sz="8" w:color="auto"/>
            </w:tcBorders>
            <w:gridSpan w:val="35"/>
          </w:tcPr>
          <w:p>
            <w:pPr>
              <w:spacing w:after="0" w:line="160" w:lineRule="exact"/>
              <w:rPr>
                <w:sz w:val="20"/>
                <w:szCs w:val="20"/>
                <w:color w:val="auto"/>
              </w:rPr>
            </w:pPr>
            <w:r>
              <w:rPr>
                <w:rFonts w:ascii="Arial" w:cs="Arial" w:eastAsia="Arial" w:hAnsi="Arial"/>
                <w:sz w:val="18"/>
                <w:szCs w:val="18"/>
                <w:b w:val="1"/>
                <w:bCs w:val="1"/>
                <w:color w:val="auto"/>
              </w:rPr>
              <w:t>Association, as Trustee.</w:t>
            </w: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60"/>
              <w:spacing w:after="0"/>
              <w:rPr>
                <w:sz w:val="20"/>
                <w:szCs w:val="20"/>
                <w:color w:val="auto"/>
              </w:rPr>
            </w:pPr>
            <w:r>
              <w:rPr>
                <w:rFonts w:ascii="Arial" w:cs="Arial" w:eastAsia="Arial" w:hAnsi="Arial"/>
                <w:sz w:val="18"/>
                <w:szCs w:val="18"/>
                <w:b w:val="1"/>
                <w:bCs w:val="1"/>
                <w:color w:val="0E32E1"/>
              </w:rPr>
              <w:t>4.8</w:t>
            </w:r>
          </w:p>
        </w:tc>
        <w:tc>
          <w:tcPr>
            <w:tcW w:w="62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80" w:type="dxa"/>
            <w:vAlign w:val="bottom"/>
            <w:vMerge w:val="continue"/>
          </w:tcPr>
          <w:p>
            <w:pPr>
              <w:spacing w:after="0"/>
              <w:rPr>
                <w:sz w:val="24"/>
                <w:szCs w:val="24"/>
                <w:color w:val="auto"/>
              </w:rPr>
            </w:pP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w w:val="97"/>
              </w:rPr>
              <w:t>Form of 1.50% Convertible Senior Note due 2029 (included in Exhibit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4.2</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November 22, 2024</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60" w:lineRule="exact"/>
              <w:rPr>
                <w:sz w:val="20"/>
                <w:szCs w:val="20"/>
                <w:color w:val="auto"/>
              </w:rPr>
            </w:pPr>
            <w:r>
              <w:rPr>
                <w:rFonts w:ascii="Arial" w:cs="Arial" w:eastAsia="Arial" w:hAnsi="Arial"/>
                <w:sz w:val="18"/>
                <w:szCs w:val="18"/>
                <w:b w:val="1"/>
                <w:bCs w:val="1"/>
                <w:color w:val="auto"/>
                <w:w w:val="96"/>
              </w:rPr>
              <w:t>4.</w:t>
            </w:r>
            <w:r>
              <w:rPr>
                <w:rFonts w:ascii="Arial" w:cs="Arial" w:eastAsia="Arial" w:hAnsi="Arial"/>
                <w:sz w:val="18"/>
                <w:szCs w:val="18"/>
                <w:b w:val="1"/>
                <w:bCs w:val="1"/>
                <w:u w:val="single" w:color="auto"/>
                <w:color w:val="auto"/>
                <w:w w:val="96"/>
              </w:rPr>
              <w:t>7)</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10.1+</w:t>
            </w:r>
          </w:p>
        </w:tc>
        <w:tc>
          <w:tcPr>
            <w:tcW w:w="5280" w:type="dxa"/>
            <w:vAlign w:val="bottom"/>
            <w:tcBorders>
              <w:bottom w:val="single" w:sz="8" w:color="auto"/>
            </w:tcBorders>
            <w:gridSpan w:val="28"/>
          </w:tcPr>
          <w:p>
            <w:pPr>
              <w:spacing w:after="0"/>
              <w:rPr>
                <w:sz w:val="20"/>
                <w:szCs w:val="20"/>
                <w:color w:val="auto"/>
              </w:rPr>
            </w:pPr>
            <w:r>
              <w:rPr>
                <w:rFonts w:ascii="Arial" w:cs="Arial" w:eastAsia="Arial" w:hAnsi="Arial"/>
                <w:sz w:val="18"/>
                <w:szCs w:val="18"/>
                <w:b w:val="1"/>
                <w:bCs w:val="1"/>
                <w:color w:val="auto"/>
                <w:w w:val="92"/>
              </w:rPr>
              <w:t>Form of Director and Executive Officer Indemnification Agreement</w:t>
            </w:r>
          </w:p>
        </w:tc>
        <w:tc>
          <w:tcPr>
            <w:tcW w:w="4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2"/>
              </w:rPr>
              <w:t>S-1</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10.1</w:t>
            </w:r>
          </w:p>
        </w:tc>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August 16, 2010</w:t>
            </w: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10.2+</w:t>
            </w: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rPr>
              <w:t>2010 Equity Incentive Plan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2"/>
              </w:rPr>
              <w:t>S-1</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10.4</w:t>
            </w:r>
          </w:p>
        </w:tc>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August 16, 2010</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60"/>
              <w:spacing w:after="0"/>
              <w:rPr>
                <w:sz w:val="20"/>
                <w:szCs w:val="20"/>
                <w:color w:val="auto"/>
              </w:rPr>
            </w:pPr>
            <w:r>
              <w:rPr>
                <w:rFonts w:ascii="Arial" w:cs="Arial" w:eastAsia="Arial" w:hAnsi="Arial"/>
                <w:sz w:val="18"/>
                <w:szCs w:val="18"/>
                <w:b w:val="1"/>
                <w:bCs w:val="1"/>
                <w:color w:val="0E32E1"/>
              </w:rPr>
              <w:t>10.3+</w:t>
            </w:r>
          </w:p>
        </w:tc>
        <w:tc>
          <w:tcPr>
            <w:tcW w:w="62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80" w:type="dxa"/>
            <w:vAlign w:val="bottom"/>
            <w:vMerge w:val="continue"/>
          </w:tcPr>
          <w:p>
            <w:pPr>
              <w:spacing w:after="0"/>
              <w:rPr>
                <w:sz w:val="24"/>
                <w:szCs w:val="24"/>
                <w:color w:val="auto"/>
              </w:rPr>
            </w:pP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rPr>
              <w:t>2010 Equity Incentive Plan forms of agreement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4"/>
              </w:rPr>
              <w:t>10-Q</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10.1</w:t>
            </w:r>
          </w:p>
        </w:tc>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May 2, 2018</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60"/>
              <w:spacing w:after="0"/>
              <w:rPr>
                <w:sz w:val="20"/>
                <w:szCs w:val="20"/>
                <w:color w:val="auto"/>
              </w:rPr>
            </w:pPr>
            <w:r>
              <w:rPr>
                <w:rFonts w:ascii="Arial" w:cs="Arial" w:eastAsia="Arial" w:hAnsi="Arial"/>
                <w:sz w:val="18"/>
                <w:szCs w:val="18"/>
                <w:b w:val="1"/>
                <w:bCs w:val="1"/>
                <w:color w:val="0E32E1"/>
              </w:rPr>
              <w:t>10.4+</w:t>
            </w:r>
          </w:p>
        </w:tc>
        <w:tc>
          <w:tcPr>
            <w:tcW w:w="62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360" w:type="dxa"/>
            <w:vAlign w:val="bottom"/>
            <w:gridSpan w:val="6"/>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80" w:type="dxa"/>
            <w:vAlign w:val="bottom"/>
            <w:vMerge w:val="continue"/>
          </w:tcPr>
          <w:p>
            <w:pPr>
              <w:spacing w:after="0"/>
              <w:rPr>
                <w:sz w:val="24"/>
                <w:szCs w:val="24"/>
                <w:color w:val="auto"/>
              </w:rPr>
            </w:pP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rPr>
              <w:t>2010 Employee Stock Purchase Plan and forms of agreement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S-1</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10.5</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August 16, 2010</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4940" w:type="dxa"/>
            <w:vAlign w:val="bottom"/>
            <w:tcBorders>
              <w:top w:val="single" w:sz="8" w:color="auto"/>
            </w:tcBorders>
            <w:gridSpan w:val="22"/>
          </w:tcPr>
          <w:p>
            <w:pPr>
              <w:spacing w:after="0" w:line="160" w:lineRule="exact"/>
              <w:rPr>
                <w:sz w:val="20"/>
                <w:szCs w:val="20"/>
                <w:color w:val="auto"/>
              </w:rPr>
            </w:pPr>
            <w:r>
              <w:rPr>
                <w:rFonts w:ascii="Arial" w:cs="Arial" w:eastAsia="Arial" w:hAnsi="Arial"/>
                <w:sz w:val="18"/>
                <w:szCs w:val="18"/>
                <w:b w:val="1"/>
                <w:bCs w:val="1"/>
                <w:color w:val="auto"/>
              </w:rPr>
              <w:t>thereunder</w:t>
            </w: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60"/>
              <w:spacing w:after="0"/>
              <w:rPr>
                <w:sz w:val="20"/>
                <w:szCs w:val="20"/>
                <w:color w:val="auto"/>
              </w:rPr>
            </w:pPr>
            <w:r>
              <w:rPr>
                <w:rFonts w:ascii="Arial" w:cs="Arial" w:eastAsia="Arial" w:hAnsi="Arial"/>
                <w:sz w:val="18"/>
                <w:szCs w:val="18"/>
                <w:b w:val="1"/>
                <w:bCs w:val="1"/>
                <w:color w:val="0E32E1"/>
              </w:rPr>
              <w:t>10.5+</w:t>
            </w:r>
          </w:p>
        </w:tc>
        <w:tc>
          <w:tcPr>
            <w:tcW w:w="62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80" w:type="dxa"/>
            <w:vAlign w:val="bottom"/>
            <w:vMerge w:val="continue"/>
          </w:tcPr>
          <w:p>
            <w:pPr>
              <w:spacing w:after="0"/>
              <w:rPr>
                <w:sz w:val="24"/>
                <w:szCs w:val="24"/>
                <w:color w:val="auto"/>
              </w:rPr>
            </w:pPr>
          </w:p>
        </w:tc>
        <w:tc>
          <w:tcPr>
            <w:tcW w:w="348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w w:val="92"/>
              </w:rPr>
              <w:t>2010 Outside Director Equity Incentive Plan</w:t>
            </w:r>
          </w:p>
        </w:tc>
        <w:tc>
          <w:tcPr>
            <w:tcW w:w="2240" w:type="dxa"/>
            <w:vAlign w:val="bottom"/>
            <w:gridSpan w:val="2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2"/>
              </w:rPr>
              <w:t>S-1</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10.6</w:t>
            </w:r>
          </w:p>
        </w:tc>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August 16, 2010</w:t>
            </w: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10.6+</w:t>
            </w: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rPr>
              <w:t>2010 Outside Director Equity Incentive Plan forms of agreement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4"/>
              </w:rPr>
              <w:t>10-Q</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10.2</w:t>
            </w:r>
          </w:p>
        </w:tc>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May 2, 2018</w:t>
            </w: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10.7+</w:t>
            </w:r>
          </w:p>
        </w:tc>
        <w:tc>
          <w:tcPr>
            <w:tcW w:w="322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94"/>
              </w:rPr>
              <w:t>2020 Equity Incentive Plan, as amended</w:t>
            </w:r>
          </w:p>
        </w:tc>
        <w:tc>
          <w:tcPr>
            <w:tcW w:w="1860" w:type="dxa"/>
            <w:vAlign w:val="bottom"/>
            <w:tcBorders>
              <w:top w:val="single" w:sz="8" w:color="auto"/>
            </w:tcBorders>
            <w:gridSpan w:val="16"/>
          </w:tcPr>
          <w:p>
            <w:pPr>
              <w:spacing w:after="0"/>
              <w:rPr>
                <w:sz w:val="24"/>
                <w:szCs w:val="24"/>
                <w:color w:val="auto"/>
              </w:rPr>
            </w:pPr>
          </w:p>
        </w:tc>
        <w:tc>
          <w:tcPr>
            <w:tcW w:w="64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10.1</w:t>
            </w:r>
          </w:p>
        </w:tc>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June 6, 2025</w:t>
            </w: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10.8+</w:t>
            </w: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w w:val="94"/>
              </w:rPr>
              <w:t>Form of Global Stock Option Agreement under the Pacific Biosciences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10.2</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June 20, 2024</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4600" w:type="dxa"/>
            <w:vAlign w:val="bottom"/>
            <w:tcBorders>
              <w:top w:val="single" w:sz="8" w:color="auto"/>
              <w:bottom w:val="single" w:sz="8" w:color="auto"/>
            </w:tcBorders>
            <w:gridSpan w:val="18"/>
          </w:tcPr>
          <w:p>
            <w:pPr>
              <w:spacing w:after="0" w:line="160" w:lineRule="exact"/>
              <w:rPr>
                <w:sz w:val="20"/>
                <w:szCs w:val="20"/>
                <w:color w:val="auto"/>
              </w:rPr>
            </w:pPr>
            <w:r>
              <w:rPr>
                <w:rFonts w:ascii="Arial" w:cs="Arial" w:eastAsia="Arial" w:hAnsi="Arial"/>
                <w:sz w:val="18"/>
                <w:szCs w:val="18"/>
                <w:b w:val="1"/>
                <w:bCs w:val="1"/>
                <w:color w:val="auto"/>
                <w:w w:val="92"/>
              </w:rPr>
              <w:t>of California, Inc., 2020 Equity Incentive Plan, as amended</w:t>
            </w:r>
          </w:p>
        </w:tc>
        <w:tc>
          <w:tcPr>
            <w:tcW w:w="1040" w:type="dxa"/>
            <w:vAlign w:val="bottom"/>
            <w:tcBorders>
              <w:top w:val="single" w:sz="8" w:color="auto"/>
            </w:tcBorders>
            <w:gridSpan w:val="20"/>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10.9+</w:t>
            </w:r>
          </w:p>
        </w:tc>
        <w:tc>
          <w:tcPr>
            <w:tcW w:w="5260" w:type="dxa"/>
            <w:vAlign w:val="bottom"/>
            <w:tcBorders>
              <w:bottom w:val="single" w:sz="8" w:color="auto"/>
            </w:tcBorders>
            <w:gridSpan w:val="27"/>
          </w:tcPr>
          <w:p>
            <w:pPr>
              <w:spacing w:after="0"/>
              <w:rPr>
                <w:sz w:val="20"/>
                <w:szCs w:val="20"/>
                <w:color w:val="auto"/>
              </w:rPr>
            </w:pPr>
            <w:r>
              <w:rPr>
                <w:rFonts w:ascii="Arial" w:cs="Arial" w:eastAsia="Arial" w:hAnsi="Arial"/>
                <w:sz w:val="18"/>
                <w:szCs w:val="18"/>
                <w:b w:val="1"/>
                <w:bCs w:val="1"/>
                <w:color w:val="auto"/>
                <w:w w:val="92"/>
              </w:rPr>
              <w:t>Form of Global Restricted Stock Unit Agreement under the Pacific</w:t>
            </w:r>
          </w:p>
        </w:tc>
        <w:tc>
          <w:tcPr>
            <w:tcW w:w="46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10.3</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June 20, 2024</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5720" w:type="dxa"/>
            <w:vAlign w:val="bottom"/>
            <w:gridSpan w:val="40"/>
          </w:tcPr>
          <w:p>
            <w:pPr>
              <w:spacing w:after="0" w:line="160" w:lineRule="exact"/>
              <w:rPr>
                <w:sz w:val="20"/>
                <w:szCs w:val="20"/>
                <w:color w:val="auto"/>
              </w:rPr>
            </w:pPr>
            <w:r>
              <w:rPr>
                <w:rFonts w:ascii="Arial" w:cs="Arial" w:eastAsia="Arial" w:hAnsi="Arial"/>
                <w:sz w:val="18"/>
                <w:szCs w:val="18"/>
                <w:b w:val="1"/>
                <w:bCs w:val="1"/>
                <w:color w:val="auto"/>
                <w:w w:val="94"/>
              </w:rPr>
              <w:t>Biosciences of California, Inc. 2020 Equity Incentive Plan, as amended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10.10+</w:t>
            </w:r>
          </w:p>
        </w:tc>
        <w:tc>
          <w:tcPr>
            <w:tcW w:w="5560" w:type="dxa"/>
            <w:vAlign w:val="bottom"/>
            <w:tcBorders>
              <w:top w:val="single" w:sz="8" w:color="auto"/>
            </w:tcBorders>
            <w:gridSpan w:val="34"/>
          </w:tcPr>
          <w:p>
            <w:pPr>
              <w:spacing w:after="0"/>
              <w:rPr>
                <w:sz w:val="20"/>
                <w:szCs w:val="20"/>
                <w:color w:val="auto"/>
              </w:rPr>
            </w:pPr>
            <w:r>
              <w:rPr>
                <w:rFonts w:ascii="Arial" w:cs="Arial" w:eastAsia="Arial" w:hAnsi="Arial"/>
                <w:sz w:val="18"/>
                <w:szCs w:val="18"/>
                <w:b w:val="1"/>
                <w:bCs w:val="1"/>
                <w:color w:val="auto"/>
                <w:w w:val="95"/>
              </w:rPr>
              <w:t>Omniome Equity Incentive Plan of Pacific Biosciences of California,</w:t>
            </w:r>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10-Q</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10.4</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November 5, 2021</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3820" w:type="dxa"/>
            <w:vAlign w:val="bottom"/>
            <w:tcBorders>
              <w:top w:val="single" w:sz="8" w:color="auto"/>
              <w:bottom w:val="single" w:sz="8" w:color="auto"/>
            </w:tcBorders>
            <w:gridSpan w:val="14"/>
          </w:tcPr>
          <w:p>
            <w:pPr>
              <w:spacing w:after="0" w:line="160" w:lineRule="exact"/>
              <w:rPr>
                <w:sz w:val="20"/>
                <w:szCs w:val="20"/>
                <w:color w:val="auto"/>
              </w:rPr>
            </w:pPr>
            <w:r>
              <w:rPr>
                <w:rFonts w:ascii="Arial" w:cs="Arial" w:eastAsia="Arial" w:hAnsi="Arial"/>
                <w:sz w:val="18"/>
                <w:szCs w:val="18"/>
                <w:b w:val="1"/>
                <w:bCs w:val="1"/>
                <w:color w:val="auto"/>
                <w:w w:val="92"/>
              </w:rPr>
              <w:t>Inc., and related forms of agreement thereunder</w:t>
            </w:r>
          </w:p>
        </w:tc>
        <w:tc>
          <w:tcPr>
            <w:tcW w:w="1580" w:type="dxa"/>
            <w:vAlign w:val="bottom"/>
            <w:tcBorders>
              <w:top w:val="single" w:sz="8" w:color="auto"/>
            </w:tcBorders>
            <w:gridSpan w:val="18"/>
          </w:tcPr>
          <w:p>
            <w:pPr>
              <w:spacing w:after="0"/>
              <w:rPr>
                <w:sz w:val="13"/>
                <w:szCs w:val="13"/>
                <w:color w:val="auto"/>
              </w:rPr>
            </w:pPr>
          </w:p>
        </w:tc>
        <w:tc>
          <w:tcPr>
            <w:tcW w:w="3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10.11+</w:t>
            </w:r>
          </w:p>
        </w:tc>
        <w:tc>
          <w:tcPr>
            <w:tcW w:w="5720" w:type="dxa"/>
            <w:vAlign w:val="bottom"/>
            <w:tcBorders>
              <w:bottom w:val="single" w:sz="8" w:color="auto"/>
            </w:tcBorders>
            <w:gridSpan w:val="40"/>
          </w:tcPr>
          <w:p>
            <w:pPr>
              <w:spacing w:after="0"/>
              <w:rPr>
                <w:sz w:val="20"/>
                <w:szCs w:val="20"/>
                <w:color w:val="auto"/>
              </w:rPr>
            </w:pPr>
            <w:r>
              <w:rPr>
                <w:rFonts w:ascii="Arial" w:cs="Arial" w:eastAsia="Arial" w:hAnsi="Arial"/>
                <w:sz w:val="18"/>
                <w:szCs w:val="18"/>
                <w:b w:val="1"/>
                <w:bCs w:val="1"/>
                <w:color w:val="auto"/>
                <w:w w:val="92"/>
              </w:rPr>
              <w:t>Pacific Biosciences of California, Inc. 2020 Inducement Equity Incentive</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10.1</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November 19, 2021</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5720" w:type="dxa"/>
            <w:vAlign w:val="bottom"/>
            <w:gridSpan w:val="40"/>
          </w:tcPr>
          <w:p>
            <w:pPr>
              <w:spacing w:after="0" w:line="160" w:lineRule="exact"/>
              <w:rPr>
                <w:sz w:val="20"/>
                <w:szCs w:val="20"/>
                <w:color w:val="auto"/>
              </w:rPr>
            </w:pPr>
            <w:r>
              <w:rPr>
                <w:rFonts w:ascii="Arial" w:cs="Arial" w:eastAsia="Arial" w:hAnsi="Arial"/>
                <w:sz w:val="18"/>
                <w:szCs w:val="18"/>
                <w:b w:val="1"/>
                <w:bCs w:val="1"/>
                <w:color w:val="auto"/>
              </w:rPr>
              <w:t>Plan, as amended, and forms of agreement thereunder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60"/>
              <w:spacing w:after="0"/>
              <w:rPr>
                <w:sz w:val="20"/>
                <w:szCs w:val="20"/>
                <w:color w:val="auto"/>
              </w:rPr>
            </w:pPr>
            <w:r>
              <w:rPr>
                <w:rFonts w:ascii="Arial" w:cs="Arial" w:eastAsia="Arial" w:hAnsi="Arial"/>
                <w:sz w:val="18"/>
                <w:szCs w:val="18"/>
                <w:b w:val="1"/>
                <w:bCs w:val="1"/>
                <w:color w:val="0E32E1"/>
              </w:rPr>
              <w:t>10.12+</w:t>
            </w:r>
          </w:p>
        </w:tc>
        <w:tc>
          <w:tcPr>
            <w:tcW w:w="620" w:type="dxa"/>
            <w:vAlign w:val="bottom"/>
            <w:gridSpan w:val="3"/>
            <w:shd w:val="clear" w:color="auto" w:fill="000000"/>
          </w:tcPr>
          <w:p>
            <w:pPr>
              <w:spacing w:after="0" w:line="20" w:lineRule="exact"/>
              <w:rPr>
                <w:sz w:val="1"/>
                <w:szCs w:val="1"/>
                <w:color w:val="auto"/>
              </w:rPr>
            </w:pPr>
          </w:p>
        </w:tc>
        <w:tc>
          <w:tcPr>
            <w:tcW w:w="3000" w:type="dxa"/>
            <w:vAlign w:val="bottom"/>
            <w:gridSpan w:val="9"/>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80" w:type="dxa"/>
            <w:vAlign w:val="bottom"/>
            <w:vMerge w:val="continue"/>
          </w:tcPr>
          <w:p>
            <w:pPr>
              <w:spacing w:after="0"/>
              <w:rPr>
                <w:sz w:val="24"/>
                <w:szCs w:val="24"/>
                <w:color w:val="auto"/>
              </w:rPr>
            </w:pP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w w:val="99"/>
              </w:rPr>
              <w:t>Form of Change in Control and Severance Agreement for executive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10.13</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March 17, 2025</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620" w:type="dxa"/>
            <w:vAlign w:val="bottom"/>
            <w:tcBorders>
              <w:top w:val="single" w:sz="8" w:color="auto"/>
              <w:bottom w:val="single" w:sz="8" w:color="auto"/>
            </w:tcBorders>
            <w:gridSpan w:val="3"/>
          </w:tcPr>
          <w:p>
            <w:pPr>
              <w:spacing w:after="0" w:line="160" w:lineRule="exact"/>
              <w:rPr>
                <w:sz w:val="20"/>
                <w:szCs w:val="20"/>
                <w:color w:val="auto"/>
              </w:rPr>
            </w:pPr>
            <w:r>
              <w:rPr>
                <w:rFonts w:ascii="Arial" w:cs="Arial" w:eastAsia="Arial" w:hAnsi="Arial"/>
                <w:sz w:val="18"/>
                <w:szCs w:val="18"/>
                <w:b w:val="1"/>
                <w:bCs w:val="1"/>
                <w:color w:val="auto"/>
                <w:w w:val="92"/>
              </w:rPr>
              <w:t>officers</w:t>
            </w:r>
          </w:p>
        </w:tc>
        <w:tc>
          <w:tcPr>
            <w:tcW w:w="4740" w:type="dxa"/>
            <w:vAlign w:val="bottom"/>
            <w:tcBorders>
              <w:top w:val="single" w:sz="8" w:color="auto"/>
            </w:tcBorders>
            <w:gridSpan w:val="27"/>
          </w:tcPr>
          <w:p>
            <w:pPr>
              <w:spacing w:after="0"/>
              <w:rPr>
                <w:sz w:val="13"/>
                <w:szCs w:val="13"/>
                <w:color w:val="auto"/>
              </w:rPr>
            </w:pPr>
          </w:p>
        </w:tc>
        <w:tc>
          <w:tcPr>
            <w:tcW w:w="36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10.13+</w:t>
            </w: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w w:val="97"/>
              </w:rPr>
              <w:t>Letter Relating to Employment Terms by and between the Registrant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10.15</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4180" w:type="dxa"/>
            <w:vAlign w:val="bottom"/>
            <w:tcBorders>
              <w:top w:val="single" w:sz="8" w:color="auto"/>
              <w:bottom w:val="single" w:sz="8" w:color="auto"/>
            </w:tcBorders>
            <w:gridSpan w:val="16"/>
          </w:tcPr>
          <w:p>
            <w:pPr>
              <w:spacing w:after="0" w:line="160" w:lineRule="exact"/>
              <w:rPr>
                <w:sz w:val="20"/>
                <w:szCs w:val="20"/>
                <w:color w:val="auto"/>
              </w:rPr>
            </w:pPr>
            <w:r>
              <w:rPr>
                <w:rFonts w:ascii="Arial" w:cs="Arial" w:eastAsia="Arial" w:hAnsi="Arial"/>
                <w:sz w:val="18"/>
                <w:szCs w:val="18"/>
                <w:b w:val="1"/>
                <w:bCs w:val="1"/>
                <w:color w:val="auto"/>
                <w:w w:val="93"/>
              </w:rPr>
              <w:t>and Christian O. Henry effective September 14, 2020</w:t>
            </w:r>
          </w:p>
        </w:tc>
        <w:tc>
          <w:tcPr>
            <w:tcW w:w="1300" w:type="dxa"/>
            <w:vAlign w:val="bottom"/>
            <w:tcBorders>
              <w:top w:val="single" w:sz="8" w:color="auto"/>
            </w:tcBorders>
            <w:gridSpan w:val="17"/>
          </w:tcPr>
          <w:p>
            <w:pPr>
              <w:spacing w:after="0"/>
              <w:rPr>
                <w:sz w:val="13"/>
                <w:szCs w:val="13"/>
                <w:color w:val="auto"/>
              </w:rPr>
            </w:pPr>
          </w:p>
        </w:tc>
        <w:tc>
          <w:tcPr>
            <w:tcW w:w="2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10.14+</w:t>
            </w:r>
          </w:p>
        </w:tc>
        <w:tc>
          <w:tcPr>
            <w:tcW w:w="5720" w:type="dxa"/>
            <w:vAlign w:val="bottom"/>
            <w:tcBorders>
              <w:bottom w:val="single" w:sz="8" w:color="auto"/>
            </w:tcBorders>
            <w:gridSpan w:val="40"/>
          </w:tcPr>
          <w:p>
            <w:pPr>
              <w:spacing w:after="0"/>
              <w:rPr>
                <w:sz w:val="20"/>
                <w:szCs w:val="20"/>
                <w:color w:val="auto"/>
              </w:rPr>
            </w:pPr>
            <w:r>
              <w:rPr>
                <w:rFonts w:ascii="Arial" w:cs="Arial" w:eastAsia="Arial" w:hAnsi="Arial"/>
                <w:sz w:val="18"/>
                <w:szCs w:val="18"/>
                <w:b w:val="1"/>
                <w:bCs w:val="1"/>
                <w:color w:val="auto"/>
                <w:w w:val="92"/>
              </w:rPr>
              <w:t>Amended Change in Control and Severance Agreement by and between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10.15</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March 17, 2025</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5720" w:type="dxa"/>
            <w:vAlign w:val="bottom"/>
            <w:gridSpan w:val="40"/>
          </w:tcPr>
          <w:p>
            <w:pPr>
              <w:spacing w:after="0" w:line="160" w:lineRule="exact"/>
              <w:rPr>
                <w:sz w:val="20"/>
                <w:szCs w:val="20"/>
                <w:color w:val="auto"/>
              </w:rPr>
            </w:pPr>
            <w:r>
              <w:rPr>
                <w:rFonts w:ascii="Arial" w:cs="Arial" w:eastAsia="Arial" w:hAnsi="Arial"/>
                <w:sz w:val="18"/>
                <w:szCs w:val="18"/>
                <w:b w:val="1"/>
                <w:bCs w:val="1"/>
                <w:color w:val="auto"/>
              </w:rPr>
              <w:t>the Registrant and Christian O. Henry dated December 11, 2024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60"/>
              <w:spacing w:after="0"/>
              <w:rPr>
                <w:sz w:val="20"/>
                <w:szCs w:val="20"/>
                <w:color w:val="auto"/>
              </w:rPr>
            </w:pPr>
            <w:r>
              <w:rPr>
                <w:rFonts w:ascii="Arial" w:cs="Arial" w:eastAsia="Arial" w:hAnsi="Arial"/>
                <w:sz w:val="18"/>
                <w:szCs w:val="18"/>
                <w:b w:val="1"/>
                <w:bCs w:val="1"/>
                <w:color w:val="0E32E1"/>
              </w:rPr>
              <w:t>10.15+</w:t>
            </w:r>
          </w:p>
        </w:tc>
        <w:tc>
          <w:tcPr>
            <w:tcW w:w="3620" w:type="dxa"/>
            <w:vAlign w:val="bottom"/>
            <w:gridSpan w:val="12"/>
            <w:shd w:val="clear" w:color="auto" w:fill="000000"/>
          </w:tcPr>
          <w:p>
            <w:pPr>
              <w:spacing w:after="0" w:line="20" w:lineRule="exact"/>
              <w:rPr>
                <w:sz w:val="1"/>
                <w:szCs w:val="1"/>
                <w:color w:val="auto"/>
              </w:rPr>
            </w:pPr>
          </w:p>
        </w:tc>
        <w:tc>
          <w:tcPr>
            <w:tcW w:w="1200" w:type="dxa"/>
            <w:vAlign w:val="bottom"/>
            <w:gridSpan w:val="8"/>
            <w:shd w:val="clear" w:color="auto" w:fill="000000"/>
          </w:tcPr>
          <w:p>
            <w:pPr>
              <w:spacing w:after="0" w:line="20" w:lineRule="exact"/>
              <w:rPr>
                <w:sz w:val="1"/>
                <w:szCs w:val="1"/>
                <w:color w:val="auto"/>
              </w:rPr>
            </w:pPr>
          </w:p>
        </w:tc>
        <w:tc>
          <w:tcPr>
            <w:tcW w:w="220" w:type="dxa"/>
            <w:vAlign w:val="bottom"/>
            <w:gridSpan w:val="5"/>
            <w:shd w:val="clear" w:color="auto" w:fill="000000"/>
          </w:tcPr>
          <w:p>
            <w:pPr>
              <w:spacing w:after="0" w:line="20" w:lineRule="exact"/>
              <w:rPr>
                <w:sz w:val="1"/>
                <w:szCs w:val="1"/>
                <w:color w:val="auto"/>
              </w:rPr>
            </w:pPr>
          </w:p>
        </w:tc>
        <w:tc>
          <w:tcPr>
            <w:tcW w:w="6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80" w:type="dxa"/>
            <w:vAlign w:val="bottom"/>
            <w:vMerge w:val="continue"/>
          </w:tcPr>
          <w:p>
            <w:pPr>
              <w:spacing w:after="0"/>
              <w:rPr>
                <w:sz w:val="24"/>
                <w:szCs w:val="24"/>
                <w:color w:val="auto"/>
              </w:rPr>
            </w:pPr>
          </w:p>
        </w:tc>
        <w:tc>
          <w:tcPr>
            <w:tcW w:w="5720" w:type="dxa"/>
            <w:vAlign w:val="bottom"/>
            <w:gridSpan w:val="40"/>
          </w:tcPr>
          <w:p>
            <w:pPr>
              <w:spacing w:after="0"/>
              <w:rPr>
                <w:sz w:val="20"/>
                <w:szCs w:val="20"/>
                <w:color w:val="auto"/>
              </w:rPr>
            </w:pPr>
            <w:r>
              <w:rPr>
                <w:rFonts w:ascii="Arial" w:cs="Arial" w:eastAsia="Arial" w:hAnsi="Arial"/>
                <w:sz w:val="18"/>
                <w:szCs w:val="18"/>
                <w:b w:val="1"/>
                <w:bCs w:val="1"/>
                <w:color w:val="auto"/>
                <w:w w:val="97"/>
              </w:rPr>
              <w:t>Letter Relating to Employment Terms by and between the Registrant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10.18</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February 26, 2021</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3620" w:type="dxa"/>
            <w:vAlign w:val="bottom"/>
            <w:tcBorders>
              <w:top w:val="single" w:sz="8" w:color="auto"/>
              <w:bottom w:val="single" w:sz="8" w:color="auto"/>
            </w:tcBorders>
            <w:gridSpan w:val="12"/>
          </w:tcPr>
          <w:p>
            <w:pPr>
              <w:spacing w:after="0" w:line="160" w:lineRule="exact"/>
              <w:rPr>
                <w:sz w:val="20"/>
                <w:szCs w:val="20"/>
                <w:color w:val="auto"/>
              </w:rPr>
            </w:pPr>
            <w:r>
              <w:rPr>
                <w:rFonts w:ascii="Arial" w:cs="Arial" w:eastAsia="Arial" w:hAnsi="Arial"/>
                <w:sz w:val="18"/>
                <w:szCs w:val="18"/>
                <w:b w:val="1"/>
                <w:bCs w:val="1"/>
                <w:color w:val="auto"/>
                <w:w w:val="93"/>
              </w:rPr>
              <w:t>and Mark Van Oene effective January 8, 2021</w:t>
            </w:r>
          </w:p>
        </w:tc>
        <w:tc>
          <w:tcPr>
            <w:tcW w:w="1860" w:type="dxa"/>
            <w:vAlign w:val="bottom"/>
            <w:tcBorders>
              <w:top w:val="single" w:sz="8" w:color="auto"/>
            </w:tcBorders>
            <w:gridSpan w:val="21"/>
          </w:tcPr>
          <w:p>
            <w:pPr>
              <w:spacing w:after="0"/>
              <w:rPr>
                <w:sz w:val="13"/>
                <w:szCs w:val="13"/>
                <w:color w:val="auto"/>
              </w:rPr>
            </w:pPr>
          </w:p>
        </w:tc>
        <w:tc>
          <w:tcPr>
            <w:tcW w:w="2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80" w:type="dxa"/>
            <w:vAlign w:val="bottom"/>
          </w:tcPr>
          <w:p>
            <w:pPr>
              <w:ind w:left="60"/>
              <w:spacing w:after="0"/>
              <w:rPr>
                <w:sz w:val="20"/>
                <w:szCs w:val="20"/>
                <w:color w:val="auto"/>
              </w:rPr>
            </w:pPr>
            <w:r>
              <w:rPr>
                <w:rFonts w:ascii="Arial" w:cs="Arial" w:eastAsia="Arial" w:hAnsi="Arial"/>
                <w:sz w:val="18"/>
                <w:szCs w:val="18"/>
                <w:b w:val="1"/>
                <w:bCs w:val="1"/>
                <w:color w:val="0E32E1"/>
              </w:rPr>
              <w:t>10.16+</w:t>
            </w:r>
          </w:p>
        </w:tc>
        <w:tc>
          <w:tcPr>
            <w:tcW w:w="5720" w:type="dxa"/>
            <w:vAlign w:val="bottom"/>
            <w:tcBorders>
              <w:bottom w:val="single" w:sz="8" w:color="auto"/>
            </w:tcBorders>
            <w:gridSpan w:val="40"/>
          </w:tcPr>
          <w:p>
            <w:pPr>
              <w:spacing w:after="0"/>
              <w:rPr>
                <w:sz w:val="20"/>
                <w:szCs w:val="20"/>
                <w:color w:val="auto"/>
              </w:rPr>
            </w:pPr>
            <w:r>
              <w:rPr>
                <w:rFonts w:ascii="Arial" w:cs="Arial" w:eastAsia="Arial" w:hAnsi="Arial"/>
                <w:sz w:val="18"/>
                <w:szCs w:val="18"/>
                <w:b w:val="1"/>
                <w:bCs w:val="1"/>
                <w:color w:val="auto"/>
                <w:w w:val="92"/>
              </w:rPr>
              <w:t>Amended Change in Control and Severance Agreement by and between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10-K</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10.17</w:t>
            </w:r>
          </w:p>
        </w:tc>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March 17, 2025</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5720" w:type="dxa"/>
            <w:vAlign w:val="bottom"/>
            <w:gridSpan w:val="40"/>
          </w:tcPr>
          <w:p>
            <w:pPr>
              <w:spacing w:after="0" w:line="160" w:lineRule="exact"/>
              <w:rPr>
                <w:sz w:val="20"/>
                <w:szCs w:val="20"/>
                <w:color w:val="auto"/>
              </w:rPr>
            </w:pPr>
            <w:r>
              <w:rPr>
                <w:rFonts w:ascii="Arial" w:cs="Arial" w:eastAsia="Arial" w:hAnsi="Arial"/>
                <w:sz w:val="18"/>
                <w:szCs w:val="18"/>
                <w:b w:val="1"/>
                <w:bCs w:val="1"/>
                <w:color w:val="auto"/>
              </w:rPr>
              <w:t>the Registrant and Mark Van Oene dated December 12, 2024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4251325</wp:posOffset>
                </wp:positionH>
                <wp:positionV relativeFrom="paragraph">
                  <wp:posOffset>-8236585</wp:posOffset>
                </wp:positionV>
                <wp:extent cx="1981200" cy="0"/>
                <wp:wrapNone/>
                <wp:docPr id="812" name="Shape 8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1200" cy="4763"/>
                        </a:xfrm>
                        <a:prstGeom prst="line">
                          <a:avLst/>
                        </a:prstGeom>
                        <a:solidFill>
                          <a:srgbClr val="FFFFFF"/>
                        </a:solidFill>
                        <a:ln w="0">
                          <a:solidFill>
                            <a:srgbClr val="DF1995"/>
                          </a:solidFill>
                          <a:miter lim="800000"/>
                          <a:headEnd/>
                          <a:tailEnd/>
                        </a:ln>
                      </wps:spPr>
                      <wps:bodyPr/>
                    </wps:wsp>
                  </a:graphicData>
                </a:graphic>
              </wp:anchor>
            </w:drawing>
          </mc:Choice>
          <mc:Fallback>
            <w:pict>
              <v:line id="Shape 812" o:spid="_x0000_s18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75pt,-648.5499pt" to="490.75pt,-648.5499pt" o:allowincell="f" strokecolor="#DF1995" strokeweight="0pt"/>
            </w:pict>
          </mc:Fallback>
        </mc:AlternateContent>
        <mc:AlternateContent>
          <mc:Choice Requires="wps">
            <w:drawing>
              <wp:anchor simplePos="0" relativeHeight="251657728" behindDoc="1" locked="0" layoutInCell="0" allowOverlap="1">
                <wp:simplePos x="0" y="0"/>
                <wp:positionH relativeFrom="column">
                  <wp:posOffset>41275</wp:posOffset>
                </wp:positionH>
                <wp:positionV relativeFrom="paragraph">
                  <wp:posOffset>-7931785</wp:posOffset>
                </wp:positionV>
                <wp:extent cx="6191250" cy="0"/>
                <wp:wrapNone/>
                <wp:docPr id="813" name="Shape 8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0" cy="4763"/>
                        </a:xfrm>
                        <a:prstGeom prst="line">
                          <a:avLst/>
                        </a:prstGeom>
                        <a:solidFill>
                          <a:srgbClr val="FFFFFF"/>
                        </a:solidFill>
                        <a:ln w="0">
                          <a:solidFill>
                            <a:srgbClr val="DF1995"/>
                          </a:solidFill>
                          <a:miter lim="800000"/>
                          <a:headEnd/>
                          <a:tailEnd/>
                        </a:ln>
                      </wps:spPr>
                      <wps:bodyPr/>
                    </wps:wsp>
                  </a:graphicData>
                </a:graphic>
              </wp:anchor>
            </w:drawing>
          </mc:Choice>
          <mc:Fallback>
            <w:pict>
              <v:line id="Shape 813" o:spid="_x0000_s18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pt,-624.5499pt" to="490.75pt,-624.5499pt" o:allowincell="f" strokecolor="#DF1995"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427355</wp:posOffset>
                </wp:positionV>
                <wp:extent cx="7315200" cy="0"/>
                <wp:wrapNone/>
                <wp:docPr id="814" name="Shape 8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14" o:spid="_x0000_s18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33.65pt" to="535pt,33.6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348">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38" w:name="page139"/>
    <w:bookmarkEnd w:id="13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b w:val="1"/>
                <w:bCs w:val="1"/>
                <w:color w:val="0E32E1"/>
              </w:rPr>
              <w:t>10.17†</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rPr>
              <w:t>Lease Agreement by and between the Registrant and Menlo Park</w:t>
            </w:r>
          </w:p>
        </w:tc>
        <w:tc>
          <w:tcPr>
            <w:tcW w:w="20" w:type="dxa"/>
            <w:vAlign w:val="bottom"/>
          </w:tcPr>
          <w:p>
            <w:pPr>
              <w:spacing w:after="0"/>
              <w:rPr>
                <w:sz w:val="19"/>
                <w:szCs w:val="19"/>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10.18</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March 17, 2025</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200" w:type="dxa"/>
            <w:vAlign w:val="bottom"/>
            <w:tcBorders>
              <w:top w:val="single" w:sz="8" w:color="auto"/>
            </w:tcBorders>
            <w:gridSpan w:val="25"/>
          </w:tcPr>
          <w:p>
            <w:pPr>
              <w:spacing w:after="0" w:line="160" w:lineRule="exact"/>
              <w:rPr>
                <w:sz w:val="20"/>
                <w:szCs w:val="20"/>
                <w:color w:val="auto"/>
              </w:rPr>
            </w:pPr>
            <w:r>
              <w:rPr>
                <w:rFonts w:ascii="Arial" w:cs="Arial" w:eastAsia="Arial" w:hAnsi="Arial"/>
                <w:sz w:val="18"/>
                <w:szCs w:val="18"/>
                <w:b w:val="1"/>
                <w:bCs w:val="1"/>
                <w:color w:val="auto"/>
              </w:rPr>
              <w:t>Portfolio II, LLC, dated July 22, 2015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0E32E1"/>
              </w:rPr>
              <w:t>10.18†</w:t>
            </w: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vMerge w:val="continue"/>
          </w:tcPr>
          <w:p>
            <w:pPr>
              <w:spacing w:after="0"/>
              <w:rPr>
                <w:sz w:val="24"/>
                <w:szCs w:val="24"/>
                <w:color w:val="auto"/>
              </w:rPr>
            </w:pP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6"/>
              </w:rPr>
              <w:t>First Amendment to Lease Agreement by and between the Registrant</w:t>
            </w:r>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10.19</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March 17, 2025</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580" w:type="dxa"/>
            <w:vAlign w:val="bottom"/>
            <w:tcBorders>
              <w:top w:val="single" w:sz="8" w:color="auto"/>
            </w:tcBorders>
            <w:gridSpan w:val="37"/>
          </w:tcPr>
          <w:p>
            <w:pPr>
              <w:spacing w:after="0" w:line="160" w:lineRule="exact"/>
              <w:rPr>
                <w:sz w:val="20"/>
                <w:szCs w:val="20"/>
                <w:color w:val="auto"/>
              </w:rPr>
            </w:pPr>
            <w:r>
              <w:rPr>
                <w:rFonts w:ascii="Arial" w:cs="Arial" w:eastAsia="Arial" w:hAnsi="Arial"/>
                <w:sz w:val="18"/>
                <w:szCs w:val="18"/>
                <w:b w:val="1"/>
                <w:bCs w:val="1"/>
                <w:color w:val="auto"/>
              </w:rPr>
              <w:t>and Menlo Park Portfolio II, LLC, dated December 23, 2016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0E32E1"/>
              </w:rPr>
              <w:t>10.19</w:t>
            </w: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vMerge w:val="continue"/>
          </w:tcPr>
          <w:p>
            <w:pPr>
              <w:spacing w:after="0"/>
              <w:rPr>
                <w:sz w:val="24"/>
                <w:szCs w:val="24"/>
                <w:color w:val="auto"/>
              </w:rPr>
            </w:pPr>
          </w:p>
        </w:tc>
        <w:tc>
          <w:tcPr>
            <w:tcW w:w="4920" w:type="dxa"/>
            <w:vAlign w:val="bottom"/>
            <w:tcBorders>
              <w:bottom w:val="single" w:sz="8" w:color="auto"/>
            </w:tcBorders>
            <w:gridSpan w:val="21"/>
          </w:tcPr>
          <w:p>
            <w:pPr>
              <w:spacing w:after="0"/>
              <w:rPr>
                <w:sz w:val="20"/>
                <w:szCs w:val="20"/>
                <w:color w:val="auto"/>
              </w:rPr>
            </w:pPr>
            <w:r>
              <w:rPr>
                <w:rFonts w:ascii="Arial" w:cs="Arial" w:eastAsia="Arial" w:hAnsi="Arial"/>
                <w:sz w:val="18"/>
                <w:szCs w:val="18"/>
                <w:b w:val="1"/>
                <w:bCs w:val="1"/>
                <w:color w:val="auto"/>
                <w:w w:val="93"/>
              </w:rPr>
              <w:t>Second Amendment to Lease Agreement by and between the</w:t>
            </w:r>
          </w:p>
        </w:tc>
        <w:tc>
          <w:tcPr>
            <w:tcW w:w="780" w:type="dxa"/>
            <w:vAlign w:val="bottom"/>
            <w:gridSpan w:val="2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10.20</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March 17, 2025</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600" w:type="dxa"/>
            <w:vAlign w:val="bottom"/>
            <w:tcBorders>
              <w:bottom w:val="single" w:sz="8" w:color="auto"/>
            </w:tcBorders>
            <w:gridSpan w:val="38"/>
          </w:tcPr>
          <w:p>
            <w:pPr>
              <w:spacing w:after="0" w:line="160" w:lineRule="exact"/>
              <w:rPr>
                <w:sz w:val="20"/>
                <w:szCs w:val="20"/>
                <w:color w:val="auto"/>
              </w:rPr>
            </w:pPr>
            <w:r>
              <w:rPr>
                <w:rFonts w:ascii="Arial" w:cs="Arial" w:eastAsia="Arial" w:hAnsi="Arial"/>
                <w:sz w:val="18"/>
                <w:szCs w:val="18"/>
                <w:b w:val="1"/>
                <w:bCs w:val="1"/>
                <w:color w:val="auto"/>
                <w:w w:val="94"/>
              </w:rPr>
              <w:t>Registrant and Menlo Park Portfolio II, LLC, dated December 30, 2019</w:t>
            </w: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10.20</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5"/>
              </w:rPr>
              <w:t>Third Amendment to Lease Agreement by and between the Registrant</w:t>
            </w:r>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10.21</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March 17, 2025</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4240" w:type="dxa"/>
            <w:vAlign w:val="bottom"/>
            <w:tcBorders>
              <w:top w:val="single" w:sz="8" w:color="auto"/>
              <w:bottom w:val="single" w:sz="8" w:color="auto"/>
            </w:tcBorders>
            <w:gridSpan w:val="17"/>
          </w:tcPr>
          <w:p>
            <w:pPr>
              <w:spacing w:after="0" w:line="160" w:lineRule="exact"/>
              <w:rPr>
                <w:sz w:val="20"/>
                <w:szCs w:val="20"/>
                <w:color w:val="auto"/>
              </w:rPr>
            </w:pPr>
            <w:r>
              <w:rPr>
                <w:rFonts w:ascii="Arial" w:cs="Arial" w:eastAsia="Arial" w:hAnsi="Arial"/>
                <w:sz w:val="18"/>
                <w:szCs w:val="18"/>
                <w:b w:val="1"/>
                <w:bCs w:val="1"/>
                <w:color w:val="auto"/>
                <w:w w:val="93"/>
              </w:rPr>
              <w:t>and Menlo Park Portfolio II, LLC, dated March 7, 2025</w:t>
            </w:r>
          </w:p>
        </w:tc>
        <w:tc>
          <w:tcPr>
            <w:tcW w:w="1400" w:type="dxa"/>
            <w:vAlign w:val="bottom"/>
            <w:tcBorders>
              <w:top w:val="single" w:sz="8" w:color="auto"/>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10.21</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6"/>
              </w:rPr>
              <w:t>Investment Agreement, dated as of February 9, 2021, between Pacific</w:t>
            </w:r>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10.1</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February 10, 2021</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4080" w:type="dxa"/>
            <w:vAlign w:val="bottom"/>
            <w:tcBorders>
              <w:top w:val="single" w:sz="8" w:color="auto"/>
              <w:bottom w:val="single" w:sz="8" w:color="auto"/>
            </w:tcBorders>
            <w:gridSpan w:val="16"/>
          </w:tcPr>
          <w:p>
            <w:pPr>
              <w:spacing w:after="0" w:line="160" w:lineRule="exact"/>
              <w:rPr>
                <w:sz w:val="20"/>
                <w:szCs w:val="20"/>
                <w:color w:val="auto"/>
              </w:rPr>
            </w:pPr>
            <w:r>
              <w:rPr>
                <w:rFonts w:ascii="Arial" w:cs="Arial" w:eastAsia="Arial" w:hAnsi="Arial"/>
                <w:sz w:val="18"/>
                <w:szCs w:val="18"/>
                <w:b w:val="1"/>
                <w:bCs w:val="1"/>
                <w:color w:val="auto"/>
                <w:w w:val="91"/>
              </w:rPr>
              <w:t>Biosciences of California, Inc. and SB Northstar LP.</w:t>
            </w:r>
          </w:p>
        </w:tc>
        <w:tc>
          <w:tcPr>
            <w:tcW w:w="1540" w:type="dxa"/>
            <w:vAlign w:val="bottom"/>
            <w:tcBorders>
              <w:top w:val="single" w:sz="8" w:color="auto"/>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10.22+</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6"/>
              </w:rPr>
              <w:t>Letter Relating to Employment Terms by and between the Registrant</w:t>
            </w:r>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10-Q</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10.2</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August 6, 2021</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500" w:type="dxa"/>
            <w:vAlign w:val="bottom"/>
            <w:tcBorders>
              <w:top w:val="single" w:sz="8" w:color="auto"/>
            </w:tcBorders>
            <w:gridSpan w:val="33"/>
          </w:tcPr>
          <w:p>
            <w:pPr>
              <w:spacing w:after="0" w:line="160" w:lineRule="exact"/>
              <w:rPr>
                <w:sz w:val="20"/>
                <w:szCs w:val="20"/>
                <w:color w:val="auto"/>
              </w:rPr>
            </w:pPr>
            <w:r>
              <w:rPr>
                <w:rFonts w:ascii="Arial" w:cs="Arial" w:eastAsia="Arial" w:hAnsi="Arial"/>
                <w:sz w:val="18"/>
                <w:szCs w:val="18"/>
                <w:b w:val="1"/>
                <w:bCs w:val="1"/>
                <w:color w:val="auto"/>
              </w:rPr>
              <w:t>and Michele Farmer effective May 17, 2021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0E32E1"/>
              </w:rPr>
              <w:t>10.23</w:t>
            </w: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vMerge w:val="continue"/>
          </w:tcPr>
          <w:p>
            <w:pPr>
              <w:spacing w:after="0"/>
              <w:rPr>
                <w:sz w:val="24"/>
                <w:szCs w:val="24"/>
                <w:color w:val="auto"/>
              </w:rPr>
            </w:pP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rPr>
              <w:t>Agreement and Plan of Merger of Reorganization among Pacific</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000" w:type="dxa"/>
            <w:vAlign w:val="bottom"/>
            <w:tcBorders>
              <w:top w:val="single" w:sz="8" w:color="auto"/>
              <w:bottom w:val="single" w:sz="8" w:color="auto"/>
            </w:tcBorders>
            <w:gridSpan w:val="22"/>
          </w:tcPr>
          <w:p>
            <w:pPr>
              <w:spacing w:after="0" w:line="160" w:lineRule="exact"/>
              <w:rPr>
                <w:sz w:val="20"/>
                <w:szCs w:val="20"/>
                <w:color w:val="auto"/>
              </w:rPr>
            </w:pPr>
            <w:r>
              <w:rPr>
                <w:rFonts w:ascii="Arial" w:cs="Arial" w:eastAsia="Arial" w:hAnsi="Arial"/>
                <w:sz w:val="18"/>
                <w:szCs w:val="18"/>
                <w:b w:val="1"/>
                <w:bCs w:val="1"/>
                <w:color w:val="auto"/>
                <w:w w:val="91"/>
              </w:rPr>
              <w:t>Biosciences of California, Inc., Apollo Acquisition Corp., Apollo</w:t>
            </w:r>
          </w:p>
        </w:tc>
        <w:tc>
          <w:tcPr>
            <w:tcW w:w="140" w:type="dxa"/>
            <w:vAlign w:val="bottom"/>
            <w:tcBorders>
              <w:top w:val="single" w:sz="8" w:color="auto"/>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700" w:type="dxa"/>
            <w:vAlign w:val="bottom"/>
            <w:gridSpan w:val="43"/>
          </w:tcPr>
          <w:p>
            <w:pPr>
              <w:spacing w:after="0" w:line="160" w:lineRule="exact"/>
              <w:rPr>
                <w:sz w:val="20"/>
                <w:szCs w:val="20"/>
                <w:color w:val="auto"/>
              </w:rPr>
            </w:pPr>
            <w:r>
              <w:rPr>
                <w:rFonts w:ascii="Arial" w:cs="Arial" w:eastAsia="Arial" w:hAnsi="Arial"/>
                <w:sz w:val="18"/>
                <w:szCs w:val="18"/>
                <w:b w:val="1"/>
                <w:bCs w:val="1"/>
                <w:color w:val="auto"/>
                <w:w w:val="95"/>
              </w:rPr>
              <w:t>Acquisition Sub, LLC, Omniome, Inc. and Shareholder Representative</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520" w:type="dxa"/>
            <w:vAlign w:val="bottom"/>
            <w:tcBorders>
              <w:top w:val="single" w:sz="8" w:color="auto"/>
            </w:tcBorders>
            <w:gridSpan w:val="34"/>
          </w:tcPr>
          <w:p>
            <w:pPr>
              <w:spacing w:after="0" w:line="160" w:lineRule="exact"/>
              <w:rPr>
                <w:sz w:val="20"/>
                <w:szCs w:val="20"/>
                <w:color w:val="auto"/>
              </w:rPr>
            </w:pPr>
            <w:r>
              <w:rPr>
                <w:rFonts w:ascii="Arial" w:cs="Arial" w:eastAsia="Arial" w:hAnsi="Arial"/>
                <w:sz w:val="18"/>
                <w:szCs w:val="18"/>
                <w:b w:val="1"/>
                <w:bCs w:val="1"/>
                <w:color w:val="auto"/>
                <w:w w:val="94"/>
              </w:rPr>
              <w:t>Services, LLC, as securityholder representative, dated as of July 19,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10.1</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July 20, 2021</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line="160" w:lineRule="exact"/>
              <w:rPr>
                <w:sz w:val="20"/>
                <w:szCs w:val="20"/>
                <w:color w:val="auto"/>
              </w:rPr>
            </w:pPr>
            <w:r>
              <w:rPr>
                <w:rFonts w:ascii="Arial" w:cs="Arial" w:eastAsia="Arial" w:hAnsi="Arial"/>
                <w:sz w:val="18"/>
                <w:szCs w:val="18"/>
                <w:b w:val="1"/>
                <w:bCs w:val="1"/>
                <w:color w:val="auto"/>
                <w:w w:val="94"/>
              </w:rPr>
              <w:t>2021</w:t>
            </w:r>
          </w:p>
        </w:tc>
        <w:tc>
          <w:tcPr>
            <w:tcW w:w="3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10.24</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rPr>
              <w:t>Securities Purchase Agreement, dated as of July 19, 2021, by and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240" w:type="dxa"/>
            <w:vAlign w:val="bottom"/>
            <w:tcBorders>
              <w:top w:val="single" w:sz="8" w:color="auto"/>
            </w:tcBorders>
            <w:gridSpan w:val="26"/>
          </w:tcPr>
          <w:p>
            <w:pPr>
              <w:spacing w:after="0" w:line="160" w:lineRule="exact"/>
              <w:rPr>
                <w:sz w:val="20"/>
                <w:szCs w:val="20"/>
                <w:color w:val="auto"/>
              </w:rPr>
            </w:pPr>
            <w:r>
              <w:rPr>
                <w:rFonts w:ascii="Arial" w:cs="Arial" w:eastAsia="Arial" w:hAnsi="Arial"/>
                <w:sz w:val="18"/>
                <w:szCs w:val="18"/>
                <w:b w:val="1"/>
                <w:bCs w:val="1"/>
                <w:color w:val="auto"/>
                <w:w w:val="96"/>
              </w:rPr>
              <w:t>between Pacific Biosciences of California, Inc., and each of the</w:t>
            </w: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10.2</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July 20, 2021</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040" w:type="dxa"/>
            <w:vAlign w:val="bottom"/>
            <w:tcBorders>
              <w:top w:val="single" w:sz="8" w:color="auto"/>
            </w:tcBorders>
            <w:gridSpan w:val="23"/>
          </w:tcPr>
          <w:p>
            <w:pPr>
              <w:spacing w:after="0" w:line="160" w:lineRule="exact"/>
              <w:rPr>
                <w:sz w:val="20"/>
                <w:szCs w:val="20"/>
                <w:color w:val="auto"/>
              </w:rPr>
            </w:pPr>
            <w:r>
              <w:rPr>
                <w:rFonts w:ascii="Arial" w:cs="Arial" w:eastAsia="Arial" w:hAnsi="Arial"/>
                <w:sz w:val="18"/>
                <w:szCs w:val="18"/>
                <w:b w:val="1"/>
                <w:bCs w:val="1"/>
                <w:color w:val="auto"/>
              </w:rPr>
              <w:t>Investors</w:t>
            </w:r>
          </w:p>
        </w:tc>
        <w:tc>
          <w:tcPr>
            <w:tcW w:w="30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0E32E1"/>
              </w:rPr>
              <w:t>10.25</w:t>
            </w:r>
          </w:p>
        </w:tc>
        <w:tc>
          <w:tcPr>
            <w:tcW w:w="74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vMerge w:val="continue"/>
          </w:tcPr>
          <w:p>
            <w:pPr>
              <w:spacing w:after="0"/>
              <w:rPr>
                <w:sz w:val="24"/>
                <w:szCs w:val="24"/>
                <w:color w:val="auto"/>
              </w:rPr>
            </w:pP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rPr>
              <w:t>Letter Agreement, dated June 23, 2023, between the Company and</w:t>
            </w:r>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10.1</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June 26, 2023</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340" w:type="dxa"/>
            <w:vAlign w:val="bottom"/>
            <w:tcBorders>
              <w:top w:val="single" w:sz="8" w:color="auto"/>
            </w:tcBorders>
            <w:gridSpan w:val="27"/>
          </w:tcPr>
          <w:p>
            <w:pPr>
              <w:spacing w:after="0" w:line="160" w:lineRule="exact"/>
              <w:rPr>
                <w:sz w:val="20"/>
                <w:szCs w:val="20"/>
                <w:color w:val="auto"/>
              </w:rPr>
            </w:pPr>
            <w:r>
              <w:rPr>
                <w:rFonts w:ascii="Arial" w:cs="Arial" w:eastAsia="Arial" w:hAnsi="Arial"/>
                <w:sz w:val="18"/>
                <w:szCs w:val="18"/>
                <w:b w:val="1"/>
                <w:bCs w:val="1"/>
                <w:color w:val="auto"/>
              </w:rPr>
              <w:t>Chimera Investment LLC</w:t>
            </w: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0E32E1"/>
              </w:rPr>
              <w:t>10.26</w:t>
            </w:r>
          </w:p>
        </w:tc>
        <w:tc>
          <w:tcPr>
            <w:tcW w:w="12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vMerge w:val="continue"/>
          </w:tcPr>
          <w:p>
            <w:pPr>
              <w:spacing w:after="0"/>
              <w:rPr>
                <w:sz w:val="24"/>
                <w:szCs w:val="24"/>
                <w:color w:val="auto"/>
              </w:rPr>
            </w:pPr>
          </w:p>
        </w:tc>
        <w:tc>
          <w:tcPr>
            <w:tcW w:w="5700" w:type="dxa"/>
            <w:vAlign w:val="bottom"/>
            <w:tcBorders>
              <w:bottom w:val="single" w:sz="8" w:color="auto"/>
            </w:tcBorders>
            <w:gridSpan w:val="43"/>
          </w:tcPr>
          <w:p>
            <w:pPr>
              <w:spacing w:after="0"/>
              <w:rPr>
                <w:sz w:val="20"/>
                <w:szCs w:val="20"/>
                <w:color w:val="auto"/>
              </w:rPr>
            </w:pPr>
            <w:r>
              <w:rPr>
                <w:rFonts w:ascii="Arial" w:cs="Arial" w:eastAsia="Arial" w:hAnsi="Arial"/>
                <w:sz w:val="18"/>
                <w:szCs w:val="18"/>
                <w:b w:val="1"/>
                <w:bCs w:val="1"/>
                <w:color w:val="auto"/>
                <w:w w:val="94"/>
              </w:rPr>
              <w:t>Letter Agreement, dated November 7, 2024, between the Company and</w:t>
            </w:r>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10.1</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November 7, 2024</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700" w:type="dxa"/>
            <w:vAlign w:val="bottom"/>
            <w:gridSpan w:val="43"/>
          </w:tcPr>
          <w:p>
            <w:pPr>
              <w:spacing w:after="0" w:line="160" w:lineRule="exact"/>
              <w:rPr>
                <w:sz w:val="20"/>
                <w:szCs w:val="20"/>
                <w:color w:val="auto"/>
              </w:rPr>
            </w:pPr>
            <w:r>
              <w:rPr>
                <w:rFonts w:ascii="Arial" w:cs="Arial" w:eastAsia="Arial" w:hAnsi="Arial"/>
                <w:sz w:val="18"/>
                <w:szCs w:val="18"/>
                <w:b w:val="1"/>
                <w:bCs w:val="1"/>
                <w:color w:val="auto"/>
              </w:rPr>
              <w:t>SB Northstar LP</w:t>
            </w: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0E32E1"/>
              </w:rPr>
              <w:t>10.27</w:t>
            </w:r>
          </w:p>
        </w:tc>
        <w:tc>
          <w:tcPr>
            <w:tcW w:w="12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vMerge w:val="continue"/>
          </w:tcPr>
          <w:p>
            <w:pPr>
              <w:spacing w:after="0"/>
              <w:rPr>
                <w:sz w:val="24"/>
                <w:szCs w:val="24"/>
                <w:color w:val="auto"/>
              </w:rPr>
            </w:pP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8"/>
              </w:rPr>
              <w:t>Letter Agreement, dated November 21, 2024, between the Company</w:t>
            </w:r>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10.1</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4"/>
              </w:rPr>
              <w:t>November 22, 2024</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460" w:type="dxa"/>
            <w:vAlign w:val="bottom"/>
            <w:tcBorders>
              <w:top w:val="single" w:sz="8" w:color="auto"/>
            </w:tcBorders>
            <w:gridSpan w:val="31"/>
          </w:tcPr>
          <w:p>
            <w:pPr>
              <w:spacing w:after="0" w:line="160" w:lineRule="exact"/>
              <w:rPr>
                <w:sz w:val="20"/>
                <w:szCs w:val="20"/>
                <w:color w:val="auto"/>
              </w:rPr>
            </w:pPr>
            <w:r>
              <w:rPr>
                <w:rFonts w:ascii="Arial" w:cs="Arial" w:eastAsia="Arial" w:hAnsi="Arial"/>
                <w:sz w:val="18"/>
                <w:szCs w:val="18"/>
                <w:b w:val="1"/>
                <w:bCs w:val="1"/>
                <w:color w:val="auto"/>
              </w:rPr>
              <w:t>and SB Northstar LP</w:t>
            </w: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0E32E1"/>
              </w:rPr>
              <w:t>10.28+</w:t>
            </w:r>
          </w:p>
        </w:tc>
        <w:tc>
          <w:tcPr>
            <w:tcW w:w="142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vMerge w:val="continue"/>
          </w:tcPr>
          <w:p>
            <w:pPr>
              <w:spacing w:after="0"/>
              <w:rPr>
                <w:sz w:val="24"/>
                <w:szCs w:val="24"/>
                <w:color w:val="auto"/>
              </w:rPr>
            </w:pP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6"/>
              </w:rPr>
              <w:t>Form of Performance-Based Restricted Stock Unit Award Agreement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560" w:type="dxa"/>
            <w:vAlign w:val="bottom"/>
            <w:tcBorders>
              <w:top w:val="single" w:sz="8" w:color="auto"/>
              <w:bottom w:val="single" w:sz="8" w:color="auto"/>
            </w:tcBorders>
            <w:gridSpan w:val="36"/>
          </w:tcPr>
          <w:p>
            <w:pPr>
              <w:spacing w:after="0" w:line="160" w:lineRule="exact"/>
              <w:rPr>
                <w:sz w:val="20"/>
                <w:szCs w:val="20"/>
                <w:color w:val="auto"/>
              </w:rPr>
            </w:pPr>
            <w:r>
              <w:rPr>
                <w:rFonts w:ascii="Arial" w:cs="Arial" w:eastAsia="Arial" w:hAnsi="Arial"/>
                <w:sz w:val="18"/>
                <w:szCs w:val="18"/>
                <w:b w:val="1"/>
                <w:bCs w:val="1"/>
                <w:color w:val="auto"/>
                <w:w w:val="93"/>
              </w:rPr>
              <w:t>under the Pacific Biosciences of California, Inc. 2020 Equity Incentive</w:t>
            </w:r>
          </w:p>
        </w:tc>
        <w:tc>
          <w:tcPr>
            <w:tcW w:w="40" w:type="dxa"/>
            <w:vAlign w:val="bottom"/>
            <w:tcBorders>
              <w:bottom w:val="single" w:sz="8" w:color="auto"/>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10.28</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February 28, 2024</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600" w:type="dxa"/>
            <w:vAlign w:val="bottom"/>
            <w:gridSpan w:val="38"/>
          </w:tcPr>
          <w:p>
            <w:pPr>
              <w:spacing w:after="0" w:line="160" w:lineRule="exact"/>
              <w:rPr>
                <w:sz w:val="20"/>
                <w:szCs w:val="20"/>
                <w:color w:val="auto"/>
              </w:rPr>
            </w:pPr>
            <w:r>
              <w:rPr>
                <w:rFonts w:ascii="Arial" w:cs="Arial" w:eastAsia="Arial" w:hAnsi="Arial"/>
                <w:sz w:val="18"/>
                <w:szCs w:val="18"/>
                <w:b w:val="1"/>
                <w:bCs w:val="1"/>
                <w:color w:val="auto"/>
              </w:rPr>
              <w:t>Plan, as amended</w:t>
            </w: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0E32E1"/>
              </w:rPr>
              <w:t>10.29+</w:t>
            </w:r>
          </w:p>
        </w:tc>
        <w:tc>
          <w:tcPr>
            <w:tcW w:w="1420" w:type="dxa"/>
            <w:vAlign w:val="bottom"/>
            <w:gridSpan w:val="4"/>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vMerge w:val="continue"/>
          </w:tcPr>
          <w:p>
            <w:pPr>
              <w:spacing w:after="0"/>
              <w:rPr>
                <w:sz w:val="24"/>
                <w:szCs w:val="24"/>
                <w:color w:val="auto"/>
              </w:rPr>
            </w:pPr>
          </w:p>
        </w:tc>
        <w:tc>
          <w:tcPr>
            <w:tcW w:w="3040" w:type="dxa"/>
            <w:vAlign w:val="bottom"/>
            <w:tcBorders>
              <w:bottom w:val="single" w:sz="8" w:color="auto"/>
            </w:tcBorders>
            <w:gridSpan w:val="12"/>
          </w:tcPr>
          <w:p>
            <w:pPr>
              <w:spacing w:after="0"/>
              <w:rPr>
                <w:sz w:val="20"/>
                <w:szCs w:val="20"/>
                <w:color w:val="auto"/>
              </w:rPr>
            </w:pPr>
            <w:r>
              <w:rPr>
                <w:rFonts w:ascii="Arial" w:cs="Arial" w:eastAsia="Arial" w:hAnsi="Arial"/>
                <w:sz w:val="18"/>
                <w:szCs w:val="18"/>
                <w:b w:val="1"/>
                <w:bCs w:val="1"/>
                <w:color w:val="auto"/>
                <w:w w:val="91"/>
              </w:rPr>
              <w:t>Outside Director Compensation Policy</w:t>
            </w:r>
          </w:p>
        </w:tc>
        <w:tc>
          <w:tcPr>
            <w:tcW w:w="2660" w:type="dxa"/>
            <w:vAlign w:val="bottom"/>
            <w:gridSpan w:val="31"/>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4"/>
              </w:rPr>
              <w:t>10-Q</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rPr>
              <w:t>10.3</w:t>
            </w: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May 12, 2025</w:t>
            </w: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10.30+</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6"/>
              </w:rPr>
              <w:t>Letter Relating to Employment Terms by and between the Registrant</w:t>
            </w:r>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10-Q</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10.2</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May 12, 2025</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500" w:type="dxa"/>
            <w:vAlign w:val="bottom"/>
            <w:tcBorders>
              <w:top w:val="single" w:sz="8" w:color="auto"/>
            </w:tcBorders>
            <w:gridSpan w:val="33"/>
          </w:tcPr>
          <w:p>
            <w:pPr>
              <w:spacing w:after="0" w:line="160" w:lineRule="exact"/>
              <w:rPr>
                <w:sz w:val="20"/>
                <w:szCs w:val="20"/>
                <w:color w:val="auto"/>
              </w:rPr>
            </w:pPr>
            <w:r>
              <w:rPr>
                <w:rFonts w:ascii="Arial" w:cs="Arial" w:eastAsia="Arial" w:hAnsi="Arial"/>
                <w:sz w:val="18"/>
                <w:szCs w:val="18"/>
                <w:b w:val="1"/>
                <w:bCs w:val="1"/>
                <w:color w:val="auto"/>
              </w:rPr>
              <w:t>and James R. Gibson effective March 24, 2025</w:t>
            </w: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0E32E1"/>
              </w:rPr>
              <w:t>10.31+</w:t>
            </w:r>
          </w:p>
        </w:tc>
        <w:tc>
          <w:tcPr>
            <w:tcW w:w="1720" w:type="dxa"/>
            <w:vAlign w:val="bottom"/>
            <w:gridSpan w:val="6"/>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vMerge w:val="continue"/>
          </w:tcPr>
          <w:p>
            <w:pPr>
              <w:spacing w:after="0"/>
              <w:rPr>
                <w:sz w:val="24"/>
                <w:szCs w:val="24"/>
                <w:color w:val="auto"/>
              </w:rPr>
            </w:pP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6"/>
              </w:rPr>
              <w:t>Asset Purchase Agreement, dated January 30, 2026, by and between</w:t>
            </w:r>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8-K</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10.1</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February 2, 2026</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540" w:type="dxa"/>
            <w:vAlign w:val="bottom"/>
            <w:tcBorders>
              <w:top w:val="single" w:sz="8" w:color="auto"/>
            </w:tcBorders>
            <w:gridSpan w:val="35"/>
          </w:tcPr>
          <w:p>
            <w:pPr>
              <w:spacing w:after="0" w:line="160" w:lineRule="exact"/>
              <w:rPr>
                <w:sz w:val="20"/>
                <w:szCs w:val="20"/>
                <w:color w:val="auto"/>
              </w:rPr>
            </w:pPr>
            <w:r>
              <w:rPr>
                <w:rFonts w:ascii="Arial" w:cs="Arial" w:eastAsia="Arial" w:hAnsi="Arial"/>
                <w:sz w:val="18"/>
                <w:szCs w:val="18"/>
                <w:b w:val="1"/>
                <w:bCs w:val="1"/>
                <w:color w:val="auto"/>
              </w:rPr>
              <w:t>the Company, Illumina Cambridge Limited, and Illumina, Inc.</w:t>
            </w: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10.32+</w:t>
            </w:r>
          </w:p>
        </w:tc>
        <w:tc>
          <w:tcPr>
            <w:tcW w:w="4760" w:type="dxa"/>
            <w:vAlign w:val="bottom"/>
            <w:tcBorders>
              <w:top w:val="single" w:sz="8" w:color="auto"/>
            </w:tcBorders>
            <w:gridSpan w:val="20"/>
          </w:tcPr>
          <w:p>
            <w:pPr>
              <w:spacing w:after="0"/>
              <w:rPr>
                <w:sz w:val="20"/>
                <w:szCs w:val="20"/>
                <w:color w:val="auto"/>
              </w:rPr>
            </w:pPr>
            <w:r>
              <w:rPr>
                <w:rFonts w:ascii="Arial" w:cs="Arial" w:eastAsia="Arial" w:hAnsi="Arial"/>
                <w:sz w:val="18"/>
                <w:szCs w:val="18"/>
                <w:b w:val="1"/>
                <w:bCs w:val="1"/>
                <w:color w:val="auto"/>
              </w:rPr>
              <w:t>Executive Incentive Compensation Plan</w:t>
            </w:r>
          </w:p>
        </w:tc>
        <w:tc>
          <w:tcPr>
            <w:tcW w:w="940" w:type="dxa"/>
            <w:vAlign w:val="bottom"/>
            <w:gridSpan w:val="23"/>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19.1</w:t>
            </w:r>
          </w:p>
        </w:tc>
        <w:tc>
          <w:tcPr>
            <w:tcW w:w="3140" w:type="dxa"/>
            <w:vAlign w:val="bottom"/>
            <w:tcBorders>
              <w:top w:val="single" w:sz="8" w:color="auto"/>
            </w:tcBorders>
            <w:gridSpan w:val="13"/>
          </w:tcPr>
          <w:p>
            <w:pPr>
              <w:spacing w:after="0"/>
              <w:rPr>
                <w:sz w:val="20"/>
                <w:szCs w:val="20"/>
                <w:color w:val="auto"/>
              </w:rPr>
            </w:pPr>
            <w:r>
              <w:rPr>
                <w:rFonts w:ascii="Arial" w:cs="Arial" w:eastAsia="Arial" w:hAnsi="Arial"/>
                <w:sz w:val="18"/>
                <w:szCs w:val="18"/>
                <w:b w:val="1"/>
                <w:bCs w:val="1"/>
                <w:color w:val="auto"/>
              </w:rPr>
              <w:t>Insider Trading Policy</w:t>
            </w:r>
          </w:p>
        </w:tc>
        <w:tc>
          <w:tcPr>
            <w:tcW w:w="2560" w:type="dxa"/>
            <w:vAlign w:val="bottom"/>
            <w:gridSpan w:val="30"/>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7"/>
              </w:rPr>
              <w:t>10-K</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rPr>
              <w:t>19.1</w:t>
            </w: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March 17, 2025</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0E32E1"/>
              </w:rPr>
              <w:t>21.1</w:t>
            </w:r>
          </w:p>
        </w:tc>
        <w:tc>
          <w:tcPr>
            <w:tcW w:w="1720" w:type="dxa"/>
            <w:vAlign w:val="bottom"/>
            <w:gridSpan w:val="6"/>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vMerge w:val="continue"/>
          </w:tcPr>
          <w:p>
            <w:pPr>
              <w:spacing w:after="0"/>
              <w:rPr>
                <w:sz w:val="24"/>
                <w:szCs w:val="24"/>
                <w:color w:val="auto"/>
              </w:rPr>
            </w:pPr>
          </w:p>
        </w:tc>
        <w:tc>
          <w:tcPr>
            <w:tcW w:w="29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w w:val="91"/>
              </w:rPr>
              <w:t>List of Subsidiaries of the Registrant</w:t>
            </w:r>
          </w:p>
        </w:tc>
        <w:tc>
          <w:tcPr>
            <w:tcW w:w="2800" w:type="dxa"/>
            <w:vAlign w:val="bottom"/>
            <w:gridSpan w:val="3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23.1</w:t>
            </w:r>
          </w:p>
        </w:tc>
        <w:tc>
          <w:tcPr>
            <w:tcW w:w="4720" w:type="dxa"/>
            <w:vAlign w:val="bottom"/>
            <w:tcBorders>
              <w:bottom w:val="single" w:sz="8" w:color="auto"/>
            </w:tcBorders>
            <w:gridSpan w:val="19"/>
          </w:tcPr>
          <w:p>
            <w:pPr>
              <w:spacing w:after="0"/>
              <w:rPr>
                <w:sz w:val="20"/>
                <w:szCs w:val="20"/>
                <w:color w:val="auto"/>
              </w:rPr>
            </w:pPr>
            <w:r>
              <w:rPr>
                <w:rFonts w:ascii="Arial" w:cs="Arial" w:eastAsia="Arial" w:hAnsi="Arial"/>
                <w:sz w:val="18"/>
                <w:szCs w:val="18"/>
                <w:b w:val="1"/>
                <w:bCs w:val="1"/>
                <w:color w:val="auto"/>
                <w:w w:val="91"/>
              </w:rPr>
              <w:t>Consent of Independent Registered Public Accounting Firm</w:t>
            </w:r>
          </w:p>
        </w:tc>
        <w:tc>
          <w:tcPr>
            <w:tcW w:w="980" w:type="dxa"/>
            <w:vAlign w:val="bottom"/>
            <w:gridSpan w:val="24"/>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31.1</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2"/>
              </w:rPr>
              <w:t>Certification of Chief Executive Officer pursuant to Exchange Act Rules</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680" w:type="dxa"/>
            <w:vAlign w:val="bottom"/>
            <w:tcBorders>
              <w:top w:val="single" w:sz="8" w:color="auto"/>
            </w:tcBorders>
            <w:gridSpan w:val="42"/>
          </w:tcPr>
          <w:p>
            <w:pPr>
              <w:spacing w:after="0" w:line="160" w:lineRule="exact"/>
              <w:rPr>
                <w:sz w:val="20"/>
                <w:szCs w:val="20"/>
                <w:color w:val="auto"/>
              </w:rPr>
            </w:pPr>
            <w:r>
              <w:rPr>
                <w:rFonts w:ascii="Arial" w:cs="Arial" w:eastAsia="Arial" w:hAnsi="Arial"/>
                <w:sz w:val="18"/>
                <w:szCs w:val="18"/>
                <w:b w:val="1"/>
                <w:bCs w:val="1"/>
                <w:color w:val="auto"/>
                <w:w w:val="99"/>
              </w:rPr>
              <w:t>13a-14(a) and 15d-14(a), as adopted pursuant to Section 302 of the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2220" w:type="dxa"/>
            <w:vAlign w:val="bottom"/>
            <w:tcBorders>
              <w:top w:val="single" w:sz="8" w:color="auto"/>
              <w:bottom w:val="single" w:sz="8" w:color="auto"/>
            </w:tcBorders>
            <w:gridSpan w:val="8"/>
          </w:tcPr>
          <w:p>
            <w:pPr>
              <w:spacing w:after="0" w:line="160" w:lineRule="exact"/>
              <w:rPr>
                <w:sz w:val="20"/>
                <w:szCs w:val="20"/>
                <w:color w:val="auto"/>
              </w:rPr>
            </w:pPr>
            <w:r>
              <w:rPr>
                <w:rFonts w:ascii="Arial" w:cs="Arial" w:eastAsia="Arial" w:hAnsi="Arial"/>
                <w:sz w:val="18"/>
                <w:szCs w:val="18"/>
                <w:b w:val="1"/>
                <w:bCs w:val="1"/>
                <w:color w:val="auto"/>
                <w:w w:val="92"/>
              </w:rPr>
              <w:t>Sarbanes-Oxley Act of 2002</w:t>
            </w:r>
          </w:p>
        </w:tc>
        <w:tc>
          <w:tcPr>
            <w:tcW w:w="3200" w:type="dxa"/>
            <w:vAlign w:val="bottom"/>
            <w:tcBorders>
              <w:top w:val="single" w:sz="8" w:color="auto"/>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31.2</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3"/>
              </w:rPr>
              <w:t>Certification of Chief Financial Officer pursuant to Exchange Act Rules</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660" w:type="dxa"/>
            <w:vAlign w:val="bottom"/>
            <w:tcBorders>
              <w:top w:val="single" w:sz="8" w:color="auto"/>
            </w:tcBorders>
            <w:gridSpan w:val="41"/>
          </w:tcPr>
          <w:p>
            <w:pPr>
              <w:spacing w:after="0" w:line="160" w:lineRule="exact"/>
              <w:rPr>
                <w:sz w:val="20"/>
                <w:szCs w:val="20"/>
                <w:color w:val="auto"/>
              </w:rPr>
            </w:pPr>
            <w:r>
              <w:rPr>
                <w:rFonts w:ascii="Arial" w:cs="Arial" w:eastAsia="Arial" w:hAnsi="Arial"/>
                <w:sz w:val="18"/>
                <w:szCs w:val="18"/>
                <w:b w:val="1"/>
                <w:bCs w:val="1"/>
                <w:color w:val="auto"/>
                <w:w w:val="99"/>
              </w:rPr>
              <w:t>13a-14(a) and 15d-14(a), as adopted pursuant to Section 302 of the</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2220" w:type="dxa"/>
            <w:vAlign w:val="bottom"/>
            <w:tcBorders>
              <w:top w:val="single" w:sz="8" w:color="auto"/>
              <w:bottom w:val="single" w:sz="8" w:color="auto"/>
            </w:tcBorders>
            <w:gridSpan w:val="8"/>
          </w:tcPr>
          <w:p>
            <w:pPr>
              <w:spacing w:after="0" w:line="160" w:lineRule="exact"/>
              <w:rPr>
                <w:sz w:val="20"/>
                <w:szCs w:val="20"/>
                <w:color w:val="auto"/>
              </w:rPr>
            </w:pPr>
            <w:r>
              <w:rPr>
                <w:rFonts w:ascii="Arial" w:cs="Arial" w:eastAsia="Arial" w:hAnsi="Arial"/>
                <w:sz w:val="18"/>
                <w:szCs w:val="18"/>
                <w:b w:val="1"/>
                <w:bCs w:val="1"/>
                <w:color w:val="auto"/>
                <w:w w:val="92"/>
              </w:rPr>
              <w:t>Sarbanes-Oxley Act of 2002</w:t>
            </w:r>
          </w:p>
        </w:tc>
        <w:tc>
          <w:tcPr>
            <w:tcW w:w="3200" w:type="dxa"/>
            <w:vAlign w:val="bottom"/>
            <w:tcBorders>
              <w:top w:val="single" w:sz="8" w:color="auto"/>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820" w:type="dxa"/>
            <w:vAlign w:val="bottom"/>
          </w:tcPr>
          <w:p>
            <w:pPr>
              <w:spacing w:after="0"/>
              <w:rPr>
                <w:sz w:val="20"/>
                <w:szCs w:val="20"/>
                <w:color w:val="auto"/>
              </w:rPr>
            </w:pPr>
            <w:r>
              <w:rPr>
                <w:rFonts w:ascii="Arial" w:cs="Arial" w:eastAsia="Arial" w:hAnsi="Arial"/>
                <w:sz w:val="18"/>
                <w:szCs w:val="18"/>
                <w:b w:val="1"/>
                <w:bCs w:val="1"/>
                <w:color w:val="0E32E1"/>
              </w:rPr>
              <w:t>32.1*</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6"/>
              </w:rPr>
              <w:t>Certification of Chief Executive Officer pursuant to 18 U.S.C. Section</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480" w:type="dxa"/>
            <w:vAlign w:val="bottom"/>
            <w:tcBorders>
              <w:top w:val="single" w:sz="8" w:color="auto"/>
              <w:bottom w:val="single" w:sz="8" w:color="auto"/>
            </w:tcBorders>
            <w:gridSpan w:val="32"/>
          </w:tcPr>
          <w:p>
            <w:pPr>
              <w:spacing w:after="0" w:line="171" w:lineRule="exact"/>
              <w:rPr>
                <w:sz w:val="20"/>
                <w:szCs w:val="20"/>
                <w:color w:val="auto"/>
              </w:rPr>
            </w:pPr>
            <w:r>
              <w:rPr>
                <w:rFonts w:ascii="Arial" w:cs="Arial" w:eastAsia="Arial" w:hAnsi="Arial"/>
                <w:sz w:val="18"/>
                <w:szCs w:val="18"/>
                <w:b w:val="1"/>
                <w:bCs w:val="1"/>
                <w:color w:val="auto"/>
                <w:w w:val="93"/>
              </w:rPr>
              <w:t>1350, as adopted pursuant to Section 906 of the Sarbanes-Oxley Act</w:t>
            </w:r>
          </w:p>
        </w:tc>
        <w:tc>
          <w:tcPr>
            <w:tcW w:w="220" w:type="dxa"/>
            <w:vAlign w:val="bottom"/>
            <w:tcBorders>
              <w:bottom w:val="single" w:sz="8" w:color="auto"/>
            </w:tcBorders>
            <w:gridSpan w:val="11"/>
          </w:tcPr>
          <w:p>
            <w:pPr>
              <w:spacing w:after="0" w:line="171" w:lineRule="exact"/>
              <w:rPr>
                <w:sz w:val="20"/>
                <w:szCs w:val="20"/>
                <w:color w:val="auto"/>
              </w:rPr>
            </w:pPr>
            <w:r>
              <w:rPr>
                <w:rFonts w:ascii="Arial" w:cs="Arial" w:eastAsia="Arial" w:hAnsi="Arial"/>
                <w:sz w:val="18"/>
                <w:szCs w:val="18"/>
                <w:b w:val="1"/>
                <w:bCs w:val="1"/>
                <w:color w:val="auto"/>
              </w:rPr>
              <w:t>of</w:t>
            </w:r>
          </w:p>
        </w:tc>
        <w:tc>
          <w:tcPr>
            <w:tcW w:w="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2"/>
              </w:rPr>
              <w:t>Furnished herewith</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400" w:type="dxa"/>
            <w:vAlign w:val="bottom"/>
            <w:tcBorders>
              <w:bottom w:val="single" w:sz="8" w:color="auto"/>
            </w:tcBorders>
          </w:tcPr>
          <w:p>
            <w:pPr>
              <w:spacing w:after="0" w:line="160" w:lineRule="exact"/>
              <w:rPr>
                <w:sz w:val="20"/>
                <w:szCs w:val="20"/>
                <w:color w:val="auto"/>
              </w:rPr>
            </w:pPr>
            <w:r>
              <w:rPr>
                <w:rFonts w:ascii="Arial" w:cs="Arial" w:eastAsia="Arial" w:hAnsi="Arial"/>
                <w:sz w:val="18"/>
                <w:szCs w:val="18"/>
                <w:b w:val="1"/>
                <w:bCs w:val="1"/>
                <w:color w:val="auto"/>
                <w:w w:val="94"/>
              </w:rPr>
              <w:t>2002</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820" w:type="dxa"/>
            <w:vAlign w:val="bottom"/>
          </w:tcPr>
          <w:p>
            <w:pPr>
              <w:spacing w:after="0"/>
              <w:rPr>
                <w:sz w:val="20"/>
                <w:szCs w:val="20"/>
                <w:color w:val="auto"/>
              </w:rPr>
            </w:pPr>
            <w:r>
              <w:rPr>
                <w:rFonts w:ascii="Arial" w:cs="Arial" w:eastAsia="Arial" w:hAnsi="Arial"/>
                <w:sz w:val="18"/>
                <w:szCs w:val="18"/>
                <w:b w:val="1"/>
                <w:bCs w:val="1"/>
                <w:color w:val="0E32E1"/>
              </w:rPr>
              <w:t>32.2*</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7"/>
              </w:rPr>
              <w:t>Certification of Chief Financial Officer pursuant to 18 U.S.C. Section</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440" w:type="dxa"/>
            <w:vAlign w:val="bottom"/>
            <w:tcBorders>
              <w:top w:val="single" w:sz="8" w:color="auto"/>
              <w:bottom w:val="single" w:sz="8" w:color="auto"/>
            </w:tcBorders>
            <w:gridSpan w:val="30"/>
          </w:tcPr>
          <w:p>
            <w:pPr>
              <w:spacing w:after="0" w:line="171" w:lineRule="exact"/>
              <w:rPr>
                <w:sz w:val="20"/>
                <w:szCs w:val="20"/>
                <w:color w:val="auto"/>
              </w:rPr>
            </w:pPr>
            <w:r>
              <w:rPr>
                <w:rFonts w:ascii="Arial" w:cs="Arial" w:eastAsia="Arial" w:hAnsi="Arial"/>
                <w:sz w:val="18"/>
                <w:szCs w:val="18"/>
                <w:b w:val="1"/>
                <w:bCs w:val="1"/>
                <w:color w:val="auto"/>
                <w:w w:val="92"/>
              </w:rPr>
              <w:t>1350, as adopted pursuant to Section 906 of the Sarbanes-Oxley Act</w:t>
            </w:r>
          </w:p>
        </w:tc>
        <w:tc>
          <w:tcPr>
            <w:tcW w:w="260" w:type="dxa"/>
            <w:vAlign w:val="bottom"/>
            <w:tcBorders>
              <w:bottom w:val="single" w:sz="8" w:color="auto"/>
            </w:tcBorders>
            <w:gridSpan w:val="13"/>
          </w:tcPr>
          <w:p>
            <w:pPr>
              <w:ind w:left="40"/>
              <w:spacing w:after="0" w:line="171" w:lineRule="exact"/>
              <w:rPr>
                <w:sz w:val="20"/>
                <w:szCs w:val="20"/>
                <w:color w:val="auto"/>
              </w:rPr>
            </w:pPr>
            <w:r>
              <w:rPr>
                <w:rFonts w:ascii="Arial" w:cs="Arial" w:eastAsia="Arial" w:hAnsi="Arial"/>
                <w:sz w:val="18"/>
                <w:szCs w:val="18"/>
                <w:b w:val="1"/>
                <w:bCs w:val="1"/>
                <w:color w:val="auto"/>
              </w:rPr>
              <w:t>of</w:t>
            </w:r>
          </w:p>
        </w:tc>
        <w:tc>
          <w:tcPr>
            <w:tcW w:w="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2"/>
              </w:rPr>
              <w:t>Furnished herewith</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400" w:type="dxa"/>
            <w:vAlign w:val="bottom"/>
            <w:tcBorders>
              <w:bottom w:val="single" w:sz="8" w:color="auto"/>
            </w:tcBorders>
          </w:tcPr>
          <w:p>
            <w:pPr>
              <w:spacing w:after="0" w:line="160" w:lineRule="exact"/>
              <w:rPr>
                <w:sz w:val="20"/>
                <w:szCs w:val="20"/>
                <w:color w:val="auto"/>
              </w:rPr>
            </w:pPr>
            <w:r>
              <w:rPr>
                <w:rFonts w:ascii="Arial" w:cs="Arial" w:eastAsia="Arial" w:hAnsi="Arial"/>
                <w:sz w:val="18"/>
                <w:szCs w:val="18"/>
                <w:b w:val="1"/>
                <w:bCs w:val="1"/>
                <w:color w:val="auto"/>
                <w:w w:val="94"/>
              </w:rPr>
              <w:t>2002</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20" w:type="dxa"/>
            <w:vAlign w:val="bottom"/>
          </w:tcPr>
          <w:p>
            <w:pPr>
              <w:spacing w:after="0"/>
              <w:rPr>
                <w:sz w:val="20"/>
                <w:szCs w:val="20"/>
                <w:color w:val="auto"/>
              </w:rPr>
            </w:pPr>
            <w:r>
              <w:rPr>
                <w:rFonts w:ascii="Arial" w:cs="Arial" w:eastAsia="Arial" w:hAnsi="Arial"/>
                <w:sz w:val="18"/>
                <w:szCs w:val="18"/>
                <w:b w:val="1"/>
                <w:bCs w:val="1"/>
                <w:color w:val="0E32E1"/>
              </w:rPr>
              <w:t>97.1</w:t>
            </w:r>
          </w:p>
        </w:tc>
        <w:tc>
          <w:tcPr>
            <w:tcW w:w="248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w w:val="91"/>
              </w:rPr>
              <w:t>Compensation Recovery Policy</w:t>
            </w:r>
          </w:p>
        </w:tc>
        <w:tc>
          <w:tcPr>
            <w:tcW w:w="3220" w:type="dxa"/>
            <w:vAlign w:val="bottom"/>
            <w:gridSpan w:val="34"/>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7"/>
              </w:rPr>
              <w:t>10-K</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rPr>
              <w:t>97.1</w:t>
            </w: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February 28, 2024</w:t>
            </w:r>
          </w:p>
        </w:tc>
        <w:tc>
          <w:tcPr>
            <w:tcW w:w="0" w:type="dxa"/>
            <w:vAlign w:val="bottom"/>
          </w:tcPr>
          <w:p>
            <w:pPr>
              <w:spacing w:after="0"/>
              <w:rPr>
                <w:sz w:val="1"/>
                <w:szCs w:val="1"/>
                <w:color w:val="auto"/>
              </w:rPr>
            </w:pPr>
          </w:p>
        </w:tc>
      </w:tr>
      <w:tr>
        <w:trPr>
          <w:trHeight w:val="263"/>
        </w:trPr>
        <w:tc>
          <w:tcPr>
            <w:tcW w:w="820" w:type="dxa"/>
            <w:vAlign w:val="bottom"/>
          </w:tcPr>
          <w:p>
            <w:pPr>
              <w:spacing w:after="0"/>
              <w:rPr>
                <w:sz w:val="20"/>
                <w:szCs w:val="20"/>
                <w:color w:val="auto"/>
              </w:rPr>
            </w:pPr>
            <w:r>
              <w:rPr>
                <w:rFonts w:ascii="Arial" w:cs="Arial" w:eastAsia="Arial" w:hAnsi="Arial"/>
                <w:sz w:val="18"/>
                <w:szCs w:val="18"/>
                <w:b w:val="1"/>
                <w:bCs w:val="1"/>
                <w:color w:val="0E32E1"/>
              </w:rPr>
              <w:t>101.INS</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w w:val="95"/>
              </w:rPr>
              <w:t>XBRL Instance Document (the instance document does not appear in</w:t>
            </w: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5700" w:type="dxa"/>
            <w:vAlign w:val="bottom"/>
            <w:gridSpan w:val="43"/>
          </w:tcPr>
          <w:p>
            <w:pPr>
              <w:spacing w:after="0" w:line="180" w:lineRule="exact"/>
              <w:rPr>
                <w:sz w:val="20"/>
                <w:szCs w:val="20"/>
                <w:color w:val="auto"/>
              </w:rPr>
            </w:pPr>
            <w:r>
              <w:rPr>
                <w:rFonts w:ascii="Arial" w:cs="Arial" w:eastAsia="Arial" w:hAnsi="Arial"/>
                <w:sz w:val="18"/>
                <w:szCs w:val="18"/>
                <w:b w:val="1"/>
                <w:bCs w:val="1"/>
                <w:color w:val="auto"/>
                <w:w w:val="97"/>
              </w:rPr>
              <w:t>the Interactive Data File because its XBRL tags are embedded within</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rPr>
              <w:t>the Inline XBRL document)</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8"/>
                <w:szCs w:val="18"/>
                <w:b w:val="1"/>
                <w:bCs w:val="1"/>
                <w:color w:val="0E32E1"/>
              </w:rPr>
              <w:t>101.SCH</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rPr>
              <w:t>XBRL Taxonomy Extension Schema Document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300"/>
        </w:trPr>
        <w:tc>
          <w:tcPr>
            <w:tcW w:w="820" w:type="dxa"/>
            <w:vAlign w:val="bottom"/>
          </w:tcPr>
          <w:p>
            <w:pPr>
              <w:spacing w:after="0"/>
              <w:rPr>
                <w:sz w:val="20"/>
                <w:szCs w:val="20"/>
                <w:color w:val="auto"/>
              </w:rPr>
            </w:pPr>
            <w:r>
              <w:rPr>
                <w:rFonts w:ascii="Arial" w:cs="Arial" w:eastAsia="Arial" w:hAnsi="Arial"/>
                <w:sz w:val="18"/>
                <w:szCs w:val="18"/>
                <w:b w:val="1"/>
                <w:bCs w:val="1"/>
                <w:color w:val="0E32E1"/>
              </w:rPr>
              <w:t>101.CAL</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rPr>
              <w:t>XBRL Taxonomy Extension Calculation Linkbase Document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300"/>
        </w:trPr>
        <w:tc>
          <w:tcPr>
            <w:tcW w:w="820" w:type="dxa"/>
            <w:vAlign w:val="bottom"/>
          </w:tcPr>
          <w:p>
            <w:pPr>
              <w:spacing w:after="0"/>
              <w:rPr>
                <w:sz w:val="20"/>
                <w:szCs w:val="20"/>
                <w:color w:val="auto"/>
              </w:rPr>
            </w:pPr>
            <w:r>
              <w:rPr>
                <w:rFonts w:ascii="Arial" w:cs="Arial" w:eastAsia="Arial" w:hAnsi="Arial"/>
                <w:sz w:val="18"/>
                <w:szCs w:val="18"/>
                <w:b w:val="1"/>
                <w:bCs w:val="1"/>
                <w:color w:val="0E32E1"/>
              </w:rPr>
              <w:t>101.DEF</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rPr>
              <w:t>XBRL Taxonomy Extension Definition Linkbase Document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300"/>
        </w:trPr>
        <w:tc>
          <w:tcPr>
            <w:tcW w:w="820" w:type="dxa"/>
            <w:vAlign w:val="bottom"/>
          </w:tcPr>
          <w:p>
            <w:pPr>
              <w:spacing w:after="0"/>
              <w:rPr>
                <w:sz w:val="20"/>
                <w:szCs w:val="20"/>
                <w:color w:val="auto"/>
              </w:rPr>
            </w:pPr>
            <w:r>
              <w:rPr>
                <w:rFonts w:ascii="Arial" w:cs="Arial" w:eastAsia="Arial" w:hAnsi="Arial"/>
                <w:sz w:val="18"/>
                <w:szCs w:val="18"/>
                <w:b w:val="1"/>
                <w:bCs w:val="1"/>
                <w:color w:val="0E32E1"/>
              </w:rPr>
              <w:t>101.LAB</w:t>
            </w:r>
          </w:p>
        </w:tc>
        <w:tc>
          <w:tcPr>
            <w:tcW w:w="5700" w:type="dxa"/>
            <w:vAlign w:val="bottom"/>
            <w:gridSpan w:val="43"/>
          </w:tcPr>
          <w:p>
            <w:pPr>
              <w:spacing w:after="0"/>
              <w:rPr>
                <w:sz w:val="20"/>
                <w:szCs w:val="20"/>
                <w:color w:val="auto"/>
              </w:rPr>
            </w:pPr>
            <w:r>
              <w:rPr>
                <w:rFonts w:ascii="Arial" w:cs="Arial" w:eastAsia="Arial" w:hAnsi="Arial"/>
                <w:sz w:val="18"/>
                <w:szCs w:val="18"/>
                <w:b w:val="1"/>
                <w:bCs w:val="1"/>
                <w:color w:val="auto"/>
              </w:rPr>
              <w:t>XBRL Taxonomy Extension Labels Linkbase Document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276860</wp:posOffset>
                </wp:positionV>
                <wp:extent cx="7315200" cy="0"/>
                <wp:wrapNone/>
                <wp:docPr id="816" name="Shape 8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6" o:spid="_x0000_s18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8pt" to="535pt,21.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276860</wp:posOffset>
                </wp:positionV>
                <wp:extent cx="7315200" cy="0"/>
                <wp:wrapNone/>
                <wp:docPr id="817" name="Shape 8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17" o:spid="_x0000_s18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21.8pt" to="535pt,21.8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386"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349">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39" w:name="page140"/>
    <w:bookmarkEnd w:id="13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ind w:left="120"/>
        <w:spacing w:after="0"/>
        <w:tabs>
          <w:tab w:leader="none" w:pos="920" w:val="left"/>
          <w:tab w:leader="none" w:pos="8080" w:val="left"/>
        </w:tabs>
        <w:rPr>
          <w:sz w:val="20"/>
          <w:szCs w:val="20"/>
          <w:color w:val="auto"/>
        </w:rPr>
      </w:pPr>
      <w:r>
        <w:rPr>
          <w:rFonts w:ascii="Arial" w:cs="Arial" w:eastAsia="Arial" w:hAnsi="Arial"/>
          <w:sz w:val="18"/>
          <w:szCs w:val="18"/>
          <w:b w:val="1"/>
          <w:bCs w:val="1"/>
          <w:color w:val="0E32E1"/>
        </w:rPr>
        <w:t>101.PRE</w:t>
      </w:r>
      <w:r>
        <w:rPr>
          <w:rFonts w:ascii="Arial" w:cs="Arial" w:eastAsia="Arial" w:hAnsi="Arial"/>
          <w:sz w:val="18"/>
          <w:szCs w:val="18"/>
          <w:b w:val="1"/>
          <w:bCs w:val="1"/>
          <w:color w:val="auto"/>
        </w:rPr>
        <w:tab/>
        <w:t>XBRL Taxonomy Extension Presentation Linkbase Document</w:t>
      </w:r>
      <w:r>
        <w:rPr>
          <w:sz w:val="20"/>
          <w:szCs w:val="20"/>
          <w:color w:val="auto"/>
        </w:rPr>
        <w:tab/>
      </w:r>
      <w:r>
        <w:rPr>
          <w:rFonts w:ascii="Arial" w:cs="Arial" w:eastAsia="Arial" w:hAnsi="Arial"/>
          <w:sz w:val="16"/>
          <w:szCs w:val="16"/>
          <w:b w:val="1"/>
          <w:bCs w:val="1"/>
          <w:color w:val="auto"/>
        </w:rPr>
        <w:t>Filed herewith</w:t>
      </w:r>
    </w:p>
    <w:p>
      <w:pPr>
        <w:spacing w:after="0" w:line="103" w:lineRule="exact"/>
        <w:rPr>
          <w:sz w:val="20"/>
          <w:szCs w:val="20"/>
          <w:color w:val="auto"/>
        </w:rPr>
      </w:pPr>
    </w:p>
    <w:p>
      <w:pPr>
        <w:ind w:left="940" w:hanging="822"/>
        <w:spacing w:after="0"/>
        <w:tabs>
          <w:tab w:leader="none" w:pos="940" w:val="left"/>
        </w:tabs>
        <w:numPr>
          <w:ilvl w:val="0"/>
          <w:numId w:val="51"/>
        </w:numPr>
        <w:rPr>
          <w:rFonts w:ascii="Arial" w:cs="Arial" w:eastAsia="Arial" w:hAnsi="Arial"/>
          <w:sz w:val="18"/>
          <w:szCs w:val="18"/>
          <w:b w:val="1"/>
          <w:bCs w:val="1"/>
          <w:color w:val="0E32E1"/>
        </w:rPr>
      </w:pPr>
      <w:r>
        <w:rPr>
          <w:rFonts w:ascii="Arial" w:cs="Arial" w:eastAsia="Arial" w:hAnsi="Arial"/>
          <w:sz w:val="18"/>
          <w:szCs w:val="18"/>
          <w:b w:val="1"/>
          <w:bCs w:val="1"/>
          <w:color w:val="auto"/>
        </w:rPr>
        <w:t>Cover Page Interactive File (formatted as inline XBRL and contained in</w:t>
      </w:r>
    </w:p>
    <w:p>
      <w:pPr>
        <w:ind w:left="940"/>
        <w:spacing w:after="0"/>
        <w:tabs>
          <w:tab w:leader="none" w:pos="8080" w:val="left"/>
        </w:tabs>
        <w:rPr>
          <w:sz w:val="20"/>
          <w:szCs w:val="20"/>
          <w:color w:val="auto"/>
        </w:rPr>
      </w:pPr>
      <w:r>
        <w:rPr>
          <w:rFonts w:ascii="Arial" w:cs="Arial" w:eastAsia="Arial" w:hAnsi="Arial"/>
          <w:sz w:val="18"/>
          <w:szCs w:val="18"/>
          <w:b w:val="1"/>
          <w:bCs w:val="1"/>
          <w:color w:val="auto"/>
        </w:rPr>
        <w:t>Exhibit 101)</w:t>
      </w:r>
      <w:r>
        <w:rPr>
          <w:sz w:val="20"/>
          <w:szCs w:val="20"/>
          <w:color w:val="auto"/>
        </w:rPr>
        <w:tab/>
      </w:r>
      <w:r>
        <w:rPr>
          <w:rFonts w:ascii="Arial" w:cs="Arial" w:eastAsia="Arial" w:hAnsi="Arial"/>
          <w:sz w:val="16"/>
          <w:szCs w:val="16"/>
          <w:b w:val="1"/>
          <w:bCs w:val="1"/>
          <w:color w:val="auto"/>
        </w:rPr>
        <w:t>Filed herewith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w:t>
      </w:r>
    </w:p>
    <w:p>
      <w:pPr>
        <w:spacing w:after="0" w:line="218" w:lineRule="exact"/>
        <w:rPr>
          <w:sz w:val="20"/>
          <w:szCs w:val="20"/>
          <w:color w:val="auto"/>
        </w:rPr>
      </w:pPr>
    </w:p>
    <w:p>
      <w:pPr>
        <w:ind w:left="320" w:hanging="277"/>
        <w:spacing w:after="0"/>
        <w:tabs>
          <w:tab w:leader="none" w:pos="32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Indicates management contract or compensatory plan.</w:t>
      </w:r>
    </w:p>
    <w:p>
      <w:pPr>
        <w:spacing w:after="0" w:line="206" w:lineRule="exact"/>
        <w:rPr>
          <w:sz w:val="20"/>
          <w:szCs w:val="20"/>
          <w:color w:val="auto"/>
        </w:rPr>
      </w:pPr>
    </w:p>
    <w:p>
      <w:pPr>
        <w:jc w:val="both"/>
        <w:ind w:left="320" w:right="740" w:hanging="277"/>
        <w:spacing w:after="0" w:line="267" w:lineRule="auto"/>
        <w:tabs>
          <w:tab w:leader="none" w:pos="32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Certain confidential information contained in this Exhibit was omitted by means of marking such portions with brackets because (i) the identified confidential information is not material and (ii) the company customarily and actually treats that information as private or confidential.</w:t>
      </w:r>
    </w:p>
    <w:p>
      <w:pPr>
        <w:spacing w:after="0" w:line="151" w:lineRule="exact"/>
        <w:rPr>
          <w:sz w:val="20"/>
          <w:szCs w:val="20"/>
          <w:color w:val="auto"/>
        </w:rPr>
      </w:pPr>
    </w:p>
    <w:p>
      <w:pPr>
        <w:jc w:val="both"/>
        <w:ind w:left="320" w:right="740" w:hanging="277"/>
        <w:spacing w:after="0" w:line="261" w:lineRule="auto"/>
        <w:tabs>
          <w:tab w:leader="none" w:pos="32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The certifications attached as Exhibit 32.1 and 32.2 that accompany this Annual Report on Form 10-K are deemed furnished and not filed with the Securities and Exchange Commission and are not to be incorporated by reference into any filing of Pacific Biosciences of California, Inc. under the Securities Act or the Exchange Act,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233680</wp:posOffset>
                </wp:positionV>
                <wp:extent cx="6286500" cy="0"/>
                <wp:wrapNone/>
                <wp:docPr id="819" name="Shape 8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9" o:spid="_x0000_s18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8.4pt" to="494.5pt,18.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233680</wp:posOffset>
                </wp:positionV>
                <wp:extent cx="6286500" cy="0"/>
                <wp:wrapNone/>
                <wp:docPr id="820" name="Shape 8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20" o:spid="_x0000_s18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8.4pt" to="494.5pt,18.4pt" o:allowincell="f" strokecolor="#DF1995" strokeweight="1pt"/>
            </w:pict>
          </mc:Fallback>
        </mc:AlternateConten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ITEM 16. FORM 10-K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21" name="Shape 8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1" o:spid="_x0000_s18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22" name="Shape 8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22" o:spid="_x0000_s18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6266180</wp:posOffset>
                </wp:positionV>
                <wp:extent cx="7315200" cy="0"/>
                <wp:wrapNone/>
                <wp:docPr id="823" name="Shape 8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3" o:spid="_x0000_s18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93.4pt" to="535pt,493.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6266180</wp:posOffset>
                </wp:positionV>
                <wp:extent cx="7315200" cy="0"/>
                <wp:wrapNone/>
                <wp:docPr id="824" name="Shape 8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24" o:spid="_x0000_s18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93.4pt" to="535pt,493.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350">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40" w:name="page141"/>
    <w:bookmarkEnd w:id="14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826" name="Shape 8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6" o:spid="_x0000_s18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827" name="Shape 8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27" o:spid="_x0000_s18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DF1995" strokeweight="1pt"/>
            </w:pict>
          </mc:Fallback>
        </mc:AlternateConten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SIGNATURES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28" name="Shape 8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8" o:spid="_x0000_s18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29" name="Shape 8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29" o:spid="_x0000_s18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07" w:lineRule="exact"/>
        <w:rPr>
          <w:sz w:val="20"/>
          <w:szCs w:val="20"/>
          <w:color w:val="auto"/>
        </w:rPr>
      </w:pPr>
    </w:p>
    <w:p>
      <w:pPr>
        <w:jc w:val="both"/>
        <w:ind w:right="700"/>
        <w:spacing w:after="0" w:line="268"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55" w:lineRule="exact"/>
        <w:rPr>
          <w:sz w:val="20"/>
          <w:szCs w:val="20"/>
          <w:color w:val="auto"/>
        </w:rPr>
      </w:pPr>
    </w:p>
    <w:p>
      <w:pPr>
        <w:ind w:left="6400"/>
        <w:spacing w:after="0"/>
        <w:rPr>
          <w:sz w:val="20"/>
          <w:szCs w:val="20"/>
          <w:color w:val="auto"/>
        </w:rPr>
      </w:pPr>
      <w:r>
        <w:rPr>
          <w:rFonts w:ascii="Arial" w:cs="Arial" w:eastAsia="Arial" w:hAnsi="Arial"/>
          <w:sz w:val="19"/>
          <w:szCs w:val="19"/>
          <w:b w:val="1"/>
          <w:bCs w:val="1"/>
          <w:color w:val="auto"/>
        </w:rPr>
        <w:t>Pacific Biosciences of California, Inc.</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6300" w:val="left"/>
          <w:tab w:leader="none" w:pos="7300" w:val="left"/>
        </w:tabs>
        <w:rPr>
          <w:sz w:val="20"/>
          <w:szCs w:val="20"/>
          <w:color w:val="auto"/>
        </w:rPr>
      </w:pPr>
      <w:r>
        <w:rPr>
          <w:rFonts w:ascii="Arial" w:cs="Arial" w:eastAsia="Arial" w:hAnsi="Arial"/>
          <w:sz w:val="20"/>
          <w:szCs w:val="20"/>
          <w:b w:val="1"/>
          <w:bCs w:val="1"/>
          <w:color w:val="auto"/>
        </w:rPr>
        <w:t>Date: February 25, 2026</w:t>
      </w:r>
      <w:r>
        <w:rPr>
          <w:sz w:val="20"/>
          <w:szCs w:val="20"/>
          <w:color w:val="auto"/>
        </w:rPr>
        <w:tab/>
      </w:r>
      <w:r>
        <w:rPr>
          <w:rFonts w:ascii="Arial" w:cs="Arial" w:eastAsia="Arial" w:hAnsi="Arial"/>
          <w:sz w:val="20"/>
          <w:szCs w:val="20"/>
          <w:b w:val="1"/>
          <w:bCs w:val="1"/>
          <w:color w:val="auto"/>
        </w:rPr>
        <w:t>By:</w:t>
      </w:r>
      <w:r>
        <w:rPr>
          <w:sz w:val="20"/>
          <w:szCs w:val="20"/>
          <w:color w:val="auto"/>
        </w:rPr>
        <w:tab/>
      </w:r>
      <w:r>
        <w:rPr>
          <w:rFonts w:ascii="Arial" w:cs="Arial" w:eastAsia="Arial" w:hAnsi="Arial"/>
          <w:sz w:val="18"/>
          <w:szCs w:val="18"/>
          <w:b w:val="1"/>
          <w:bCs w:val="1"/>
          <w:color w:val="auto"/>
        </w:rPr>
        <w:t>/s/ Christian O. Henry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4232275</wp:posOffset>
                </wp:positionH>
                <wp:positionV relativeFrom="paragraph">
                  <wp:posOffset>37465</wp:posOffset>
                </wp:positionV>
                <wp:extent cx="2047875" cy="0"/>
                <wp:wrapNone/>
                <wp:docPr id="830" name="Shape 8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7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0" o:spid="_x0000_s18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25pt,2.95pt" to="494.5pt,2.95pt" o:allowincell="f" strokecolor="#000000" strokeweight="1pt"/>
            </w:pict>
          </mc:Fallback>
        </mc:AlternateContent>
      </w:r>
    </w:p>
    <w:p>
      <w:pPr>
        <w:spacing w:after="0" w:line="86"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Christian O. Henry</w:t>
      </w:r>
    </w:p>
    <w:p>
      <w:pPr>
        <w:spacing w:after="0" w:line="101"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6300" w:val="left"/>
          <w:tab w:leader="none" w:pos="7480" w:val="left"/>
        </w:tabs>
        <w:rPr>
          <w:sz w:val="20"/>
          <w:szCs w:val="20"/>
          <w:color w:val="auto"/>
        </w:rPr>
      </w:pPr>
      <w:r>
        <w:rPr>
          <w:rFonts w:ascii="Arial" w:cs="Arial" w:eastAsia="Arial" w:hAnsi="Arial"/>
          <w:sz w:val="20"/>
          <w:szCs w:val="20"/>
          <w:b w:val="1"/>
          <w:bCs w:val="1"/>
          <w:color w:val="auto"/>
        </w:rPr>
        <w:t>Date: February 25, 2026</w:t>
      </w:r>
      <w:r>
        <w:rPr>
          <w:sz w:val="20"/>
          <w:szCs w:val="20"/>
          <w:color w:val="auto"/>
        </w:rPr>
        <w:tab/>
      </w:r>
      <w:r>
        <w:rPr>
          <w:rFonts w:ascii="Arial" w:cs="Arial" w:eastAsia="Arial" w:hAnsi="Arial"/>
          <w:sz w:val="20"/>
          <w:szCs w:val="20"/>
          <w:b w:val="1"/>
          <w:bCs w:val="1"/>
          <w:color w:val="auto"/>
        </w:rPr>
        <w:t>By:</w:t>
      </w:r>
      <w:r>
        <w:rPr>
          <w:sz w:val="20"/>
          <w:szCs w:val="20"/>
          <w:color w:val="auto"/>
        </w:rPr>
        <w:tab/>
      </w:r>
      <w:r>
        <w:rPr>
          <w:rFonts w:ascii="Arial" w:cs="Arial" w:eastAsia="Arial" w:hAnsi="Arial"/>
          <w:sz w:val="19"/>
          <w:szCs w:val="19"/>
          <w:b w:val="1"/>
          <w:bCs w:val="1"/>
          <w:color w:val="auto"/>
        </w:rPr>
        <w:t>/s/ Jim R. Gibson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4232275</wp:posOffset>
                </wp:positionH>
                <wp:positionV relativeFrom="paragraph">
                  <wp:posOffset>37465</wp:posOffset>
                </wp:positionV>
                <wp:extent cx="2047875" cy="0"/>
                <wp:wrapNone/>
                <wp:docPr id="831" name="Shape 8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7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1" o:spid="_x0000_s18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25pt,2.95pt" to="494.5pt,2.95pt" o:allowincell="f" strokecolor="#000000" strokeweight="1pt"/>
            </w:pict>
          </mc:Fallback>
        </mc:AlternateContent>
      </w:r>
    </w:p>
    <w:p>
      <w:pPr>
        <w:spacing w:after="0" w:line="86"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Jim R. Gibson</w:t>
      </w:r>
    </w:p>
    <w:p>
      <w:pPr>
        <w:spacing w:after="0" w:line="101"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Chief Financial Officer</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6300" w:val="left"/>
          <w:tab w:leader="none" w:pos="7400" w:val="left"/>
        </w:tabs>
        <w:rPr>
          <w:sz w:val="20"/>
          <w:szCs w:val="20"/>
          <w:color w:val="auto"/>
        </w:rPr>
      </w:pPr>
      <w:r>
        <w:rPr>
          <w:rFonts w:ascii="Arial" w:cs="Arial" w:eastAsia="Arial" w:hAnsi="Arial"/>
          <w:sz w:val="20"/>
          <w:szCs w:val="20"/>
          <w:b w:val="1"/>
          <w:bCs w:val="1"/>
          <w:color w:val="auto"/>
        </w:rPr>
        <w:t>Date: February 25, 2026</w:t>
      </w:r>
      <w:r>
        <w:rPr>
          <w:sz w:val="20"/>
          <w:szCs w:val="20"/>
          <w:color w:val="auto"/>
        </w:rPr>
        <w:tab/>
      </w:r>
      <w:r>
        <w:rPr>
          <w:rFonts w:ascii="Arial" w:cs="Arial" w:eastAsia="Arial" w:hAnsi="Arial"/>
          <w:sz w:val="20"/>
          <w:szCs w:val="20"/>
          <w:b w:val="1"/>
          <w:bCs w:val="1"/>
          <w:color w:val="auto"/>
        </w:rPr>
        <w:t>By:</w:t>
      </w:r>
      <w:r>
        <w:rPr>
          <w:sz w:val="20"/>
          <w:szCs w:val="20"/>
          <w:color w:val="auto"/>
        </w:rPr>
        <w:tab/>
      </w:r>
      <w:r>
        <w:rPr>
          <w:rFonts w:ascii="Arial" w:cs="Arial" w:eastAsia="Arial" w:hAnsi="Arial"/>
          <w:sz w:val="19"/>
          <w:szCs w:val="19"/>
          <w:b w:val="1"/>
          <w:bCs w:val="1"/>
          <w:color w:val="auto"/>
        </w:rPr>
        <w:t>/s/ Michele Farmer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4232275</wp:posOffset>
                </wp:positionH>
                <wp:positionV relativeFrom="paragraph">
                  <wp:posOffset>37465</wp:posOffset>
                </wp:positionV>
                <wp:extent cx="2047875" cy="0"/>
                <wp:wrapNone/>
                <wp:docPr id="832" name="Shape 8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7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2" o:spid="_x0000_s18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25pt,2.95pt" to="494.5pt,2.95pt" o:allowincell="f" strokecolor="#000000" strokeweight="1pt"/>
            </w:pict>
          </mc:Fallback>
        </mc:AlternateContent>
      </w:r>
    </w:p>
    <w:p>
      <w:pPr>
        <w:spacing w:after="0" w:line="86"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Michele Farmer</w:t>
      </w:r>
    </w:p>
    <w:p>
      <w:pPr>
        <w:spacing w:after="0" w:line="87"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Vice President and Chief Accounting</w:t>
      </w:r>
    </w:p>
    <w:p>
      <w:pPr>
        <w:ind w:left="8020"/>
        <w:spacing w:after="0"/>
        <w:rPr>
          <w:sz w:val="20"/>
          <w:szCs w:val="20"/>
          <w:color w:val="auto"/>
        </w:rPr>
      </w:pPr>
      <w:r>
        <w:rPr>
          <w:rFonts w:ascii="Arial" w:cs="Arial" w:eastAsia="Arial" w:hAnsi="Arial"/>
          <w:sz w:val="16"/>
          <w:szCs w:val="16"/>
          <w:b w:val="1"/>
          <w:bCs w:val="1"/>
          <w:color w:val="auto"/>
        </w:rPr>
        <w:t>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5389880</wp:posOffset>
                </wp:positionV>
                <wp:extent cx="7315200" cy="0"/>
                <wp:wrapNone/>
                <wp:docPr id="833" name="Shape 8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3" o:spid="_x0000_s18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24.4pt" to="535pt,424.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5389880</wp:posOffset>
                </wp:positionV>
                <wp:extent cx="7315200" cy="0"/>
                <wp:wrapNone/>
                <wp:docPr id="834" name="Shape 8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34" o:spid="_x0000_s18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424.4pt" to="535pt,424.4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351">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41" w:name="page142"/>
    <w:bookmarkEnd w:id="14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836" name="Shape 8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6" o:spid="_x0000_s18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291465</wp:posOffset>
                </wp:positionV>
                <wp:extent cx="6286500" cy="0"/>
                <wp:wrapNone/>
                <wp:docPr id="837" name="Shape 8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37" o:spid="_x0000_s18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2.95pt" to="494.5pt,22.95pt" o:allowincell="f" strokecolor="#DF1995" strokeweight="1pt"/>
            </w:pict>
          </mc:Fallback>
        </mc:AlternateConten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DF1995"/>
        </w:rPr>
        <w:t>POWER OF ATTORNEY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38" name="Shape 8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8" o:spid="_x0000_s18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41910</wp:posOffset>
                </wp:positionV>
                <wp:extent cx="6286500" cy="0"/>
                <wp:wrapNone/>
                <wp:docPr id="839" name="Shape 8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39" o:spid="_x0000_s18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pt" to="494.5pt,3.3pt" o:allowincell="f" strokecolor="#DF1995" strokeweight="1pt"/>
            </w:pict>
          </mc:Fallback>
        </mc:AlternateContent>
      </w:r>
    </w:p>
    <w:p>
      <w:pPr>
        <w:spacing w:after="0" w:line="267" w:lineRule="exact"/>
        <w:rPr>
          <w:sz w:val="20"/>
          <w:szCs w:val="20"/>
          <w:color w:val="auto"/>
        </w:rPr>
      </w:pPr>
    </w:p>
    <w:p>
      <w:pPr>
        <w:jc w:val="both"/>
        <w:ind w:right="680"/>
        <w:spacing w:after="0" w:line="269" w:lineRule="auto"/>
        <w:rPr>
          <w:sz w:val="20"/>
          <w:szCs w:val="20"/>
          <w:color w:val="auto"/>
        </w:rPr>
      </w:pPr>
      <w:r>
        <w:rPr>
          <w:rFonts w:ascii="Arial" w:cs="Arial" w:eastAsia="Arial" w:hAnsi="Arial"/>
          <w:sz w:val="19"/>
          <w:szCs w:val="19"/>
          <w:b w:val="1"/>
          <w:bCs w:val="1"/>
          <w:color w:val="auto"/>
        </w:rPr>
        <w:t>KNOW ALL PERSONS BY THESE PRESENTS, that each person whose signature appears below hereby constitutes and appoints Christian O. Henry, Jim R. Gibson, Brett Atkins, and Michele Farmer, and each of them, as his or her true and lawful attorney-in-fact and agent, with full power of substitution and resubstitution, for each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wp:posOffset>
                </wp:positionH>
                <wp:positionV relativeFrom="paragraph">
                  <wp:posOffset>7174865</wp:posOffset>
                </wp:positionV>
                <wp:extent cx="7315200" cy="0"/>
                <wp:wrapNone/>
                <wp:docPr id="840" name="Shape 8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0" o:spid="_x0000_s18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564.95pt" to="535pt,564.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-520700</wp:posOffset>
                </wp:positionH>
                <wp:positionV relativeFrom="paragraph">
                  <wp:posOffset>7174865</wp:posOffset>
                </wp:positionV>
                <wp:extent cx="7315200" cy="0"/>
                <wp:wrapNone/>
                <wp:docPr id="841" name="Shape 8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41" o:spid="_x0000_s18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564.95pt" to="535pt,564.95pt" o:allowincell="f" strokecolor="#DF1995" strokeweight="1pt"/>
            </w:pict>
          </mc:Fallback>
        </mc:AlternateContent>
      </w:r>
    </w:p>
    <w:p>
      <w:pPr>
        <w:sectPr>
          <w:pgSz w:w="12240" w:h="15840" w:orient="portrait"/>
          <w:cols w:equalWidth="0" w:num="1">
            <w:col w:w="10580"/>
          </w:cols>
          <w:pgMar w:left="1180" w:top="21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352">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42" w:name="page143"/>
    <w:bookmarkEnd w:id="14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400" w:lineRule="exact"/>
        <w:rPr>
          <w:sz w:val="20"/>
          <w:szCs w:val="20"/>
          <w:color w:val="auto"/>
        </w:rPr>
      </w:pPr>
    </w:p>
    <w:p>
      <w:pPr>
        <w:ind w:right="700"/>
        <w:spacing w:after="0" w:line="313" w:lineRule="auto"/>
        <w:rPr>
          <w:sz w:val="20"/>
          <w:szCs w:val="20"/>
          <w:color w:val="auto"/>
        </w:rPr>
      </w:pPr>
      <w:r>
        <w:rPr>
          <w:rFonts w:ascii="Arial" w:cs="Arial" w:eastAsia="Arial" w:hAnsi="Arial"/>
          <w:sz w:val="19"/>
          <w:szCs w:val="19"/>
          <w:b w:val="1"/>
          <w:bCs w:val="1"/>
          <w:color w:val="auto"/>
        </w:rPr>
        <w:t>Pursuant to the requirements of the Securities Exchange Act of 1934, as amended, this report has been signed by the following persons on behalf of the Registrant in the capacities and on the dates indicated.</w:t>
      </w:r>
    </w:p>
    <w:p>
      <w:pPr>
        <w:spacing w:after="0" w:line="136" w:lineRule="exact"/>
        <w:rPr>
          <w:sz w:val="20"/>
          <w:szCs w:val="20"/>
          <w:color w:val="auto"/>
        </w:rPr>
      </w:pPr>
    </w:p>
    <w:p>
      <w:pPr>
        <w:ind w:left="1220"/>
        <w:spacing w:after="0"/>
        <w:tabs>
          <w:tab w:leader="none" w:pos="4940" w:val="left"/>
          <w:tab w:leader="none" w:pos="812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174625</wp:posOffset>
                </wp:positionH>
                <wp:positionV relativeFrom="paragraph">
                  <wp:posOffset>34290</wp:posOffset>
                </wp:positionV>
                <wp:extent cx="5724525" cy="0"/>
                <wp:wrapNone/>
                <wp:docPr id="843" name="Shape 8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4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43" o:spid="_x0000_s18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5pt,2.7pt" to="464.5pt,2.7pt" o:allowincell="f" strokecolor="#000000" strokeweight="1pt"/>
            </w:pict>
          </mc:Fallback>
        </mc:AlternateContent>
      </w:r>
    </w:p>
    <w:p>
      <w:pPr>
        <w:sectPr>
          <w:pgSz w:w="12240" w:h="15840" w:orient="portrait"/>
          <w:cols w:equalWidth="0" w:num="1">
            <w:col w:w="10580"/>
          </w:cols>
          <w:pgMar w:left="1180" w:top="210" w:right="480" w:bottom="0" w:gutter="0" w:footer="0" w:header="0"/>
        </w:sectPr>
      </w:pPr>
    </w:p>
    <w:p>
      <w:pPr>
        <w:spacing w:after="0" w:line="395"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/s/ Christian O. Henry</w:t>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Christian O. Henry</w:t>
      </w: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/s/ Jim R. Gibson</w:t>
      </w:r>
    </w:p>
    <w:p>
      <w:pPr>
        <w:spacing w:after="0" w:line="85"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Jim R. Gibson</w:t>
      </w: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/s/ Michele Farmer</w:t>
      </w:r>
    </w:p>
    <w:p>
      <w:pPr>
        <w:spacing w:after="0" w:line="85"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Michele Farmer</w:t>
      </w: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/s/ John F. Milligan</w:t>
      </w:r>
    </w:p>
    <w:p>
      <w:pPr>
        <w:spacing w:after="0" w:line="85"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John F. Milligan</w:t>
      </w: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/s/ William W. Ericson</w:t>
      </w:r>
    </w:p>
    <w:p>
      <w:pPr>
        <w:spacing w:after="0" w:line="85"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William W. Ericson</w:t>
      </w: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u w:val="single" w:color="auto"/>
          <w:color w:val="auto"/>
        </w:rPr>
        <w:t>/s/ Randall S. Livingston</w:t>
      </w:r>
    </w:p>
    <w:p>
      <w:pPr>
        <w:spacing w:after="0" w:line="108"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Randall S. Livingston</w:t>
      </w: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/s/ Marshall L. Mohr</w:t>
      </w:r>
    </w:p>
    <w:p>
      <w:pPr>
        <w:spacing w:after="0" w:line="85"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Marshall L. Mohr</w:t>
      </w: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/s/ Kathy Ordoñez</w:t>
      </w:r>
    </w:p>
    <w:p>
      <w:pPr>
        <w:spacing w:after="0" w:line="85"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Kathy Ordoñez</w:t>
      </w: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/s/ Lucy Shapiro</w:t>
      </w:r>
    </w:p>
    <w:p>
      <w:pPr>
        <w:spacing w:after="0" w:line="85"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Lucy Shapiro</w:t>
      </w:r>
    </w:p>
    <w:p>
      <w:pPr>
        <w:spacing w:after="0" w:line="38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u w:val="single" w:color="auto"/>
          <w:color w:val="auto"/>
        </w:rPr>
        <w:t>/s/ Christopher M. Smith</w:t>
      </w:r>
    </w:p>
    <w:p>
      <w:pPr>
        <w:spacing w:after="0" w:line="108"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Christopher M. Smith</w:t>
      </w: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19"/>
          <w:szCs w:val="19"/>
          <w:b w:val="1"/>
          <w:bCs w:val="1"/>
          <w:u w:val="single" w:color="auto"/>
          <w:color w:val="auto"/>
        </w:rPr>
        <w:t>/s/ Hannah A. Valantine</w:t>
      </w:r>
    </w:p>
    <w:p>
      <w:pPr>
        <w:spacing w:after="0" w:line="97"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Hannah A. Valantine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tabs>
          <w:tab w:leader="none" w:pos="4500" w:val="left"/>
        </w:tabs>
        <w:rPr>
          <w:sz w:val="20"/>
          <w:szCs w:val="20"/>
          <w:color w:val="auto"/>
        </w:rPr>
      </w:pPr>
      <w:r>
        <w:rPr>
          <w:rFonts w:ascii="Arial" w:cs="Arial" w:eastAsia="Arial" w:hAnsi="Arial"/>
          <w:sz w:val="20"/>
          <w:szCs w:val="20"/>
          <w:b w:val="1"/>
          <w:bCs w:val="1"/>
          <w:color w:val="auto"/>
        </w:rPr>
        <w:t>Director, President, Chief Executive Officer</w:t>
      </w:r>
      <w:r>
        <w:rPr>
          <w:sz w:val="20"/>
          <w:szCs w:val="20"/>
          <w:color w:val="auto"/>
        </w:rPr>
        <w:tab/>
      </w:r>
      <w:r>
        <w:rPr>
          <w:rFonts w:ascii="Arial" w:cs="Arial" w:eastAsia="Arial" w:hAnsi="Arial"/>
          <w:sz w:val="18"/>
          <w:szCs w:val="18"/>
          <w:b w:val="1"/>
          <w:bCs w:val="1"/>
          <w:color w:val="auto"/>
        </w:rPr>
        <w:t>February 25, 2026</w:t>
      </w:r>
    </w:p>
    <w:p>
      <w:pPr>
        <w:spacing w:after="0"/>
        <w:rPr>
          <w:sz w:val="20"/>
          <w:szCs w:val="20"/>
          <w:color w:val="auto"/>
        </w:rPr>
      </w:pPr>
      <w:r>
        <w:rPr>
          <w:rFonts w:ascii="Arial" w:cs="Arial" w:eastAsia="Arial" w:hAnsi="Arial"/>
          <w:sz w:val="20"/>
          <w:szCs w:val="20"/>
          <w:b w:val="1"/>
          <w:bCs w:val="1"/>
          <w:color w:val="auto"/>
        </w:rPr>
        <w:t>(Principal Executive Officer)</w:t>
      </w:r>
    </w:p>
    <w:p>
      <w:pPr>
        <w:spacing w:after="0" w:line="200" w:lineRule="exact"/>
        <w:rPr>
          <w:sz w:val="20"/>
          <w:szCs w:val="20"/>
          <w:color w:val="auto"/>
        </w:rPr>
      </w:pPr>
    </w:p>
    <w:p>
      <w:pPr>
        <w:spacing w:after="0" w:line="285" w:lineRule="exact"/>
        <w:rPr>
          <w:sz w:val="20"/>
          <w:szCs w:val="20"/>
          <w:color w:val="auto"/>
        </w:rPr>
      </w:pPr>
    </w:p>
    <w:p>
      <w:pPr>
        <w:spacing w:after="0"/>
        <w:tabs>
          <w:tab w:leader="none" w:pos="4500" w:val="left"/>
        </w:tabs>
        <w:rPr>
          <w:sz w:val="20"/>
          <w:szCs w:val="20"/>
          <w:color w:val="auto"/>
        </w:rPr>
      </w:pPr>
      <w:r>
        <w:rPr>
          <w:rFonts w:ascii="Arial" w:cs="Arial" w:eastAsia="Arial" w:hAnsi="Arial"/>
          <w:sz w:val="20"/>
          <w:szCs w:val="20"/>
          <w:b w:val="1"/>
          <w:bCs w:val="1"/>
          <w:color w:val="auto"/>
        </w:rPr>
        <w:t>Chief Financial Officer</w:t>
      </w:r>
      <w:r>
        <w:rPr>
          <w:sz w:val="20"/>
          <w:szCs w:val="20"/>
          <w:color w:val="auto"/>
        </w:rPr>
        <w:tab/>
      </w:r>
      <w:r>
        <w:rPr>
          <w:rFonts w:ascii="Arial" w:cs="Arial" w:eastAsia="Arial" w:hAnsi="Arial"/>
          <w:sz w:val="18"/>
          <w:szCs w:val="18"/>
          <w:b w:val="1"/>
          <w:bCs w:val="1"/>
          <w:color w:val="auto"/>
        </w:rPr>
        <w:t>February 25, 2026</w:t>
      </w:r>
    </w:p>
    <w:p>
      <w:pPr>
        <w:spacing w:after="0"/>
        <w:rPr>
          <w:sz w:val="20"/>
          <w:szCs w:val="20"/>
          <w:color w:val="auto"/>
        </w:rPr>
      </w:pPr>
      <w:r>
        <w:rPr>
          <w:rFonts w:ascii="Arial" w:cs="Arial" w:eastAsia="Arial" w:hAnsi="Arial"/>
          <w:sz w:val="20"/>
          <w:szCs w:val="20"/>
          <w:b w:val="1"/>
          <w:bCs w:val="1"/>
          <w:color w:val="auto"/>
        </w:rPr>
        <w:t>(Principal Financial Officer)</w:t>
      </w:r>
    </w:p>
    <w:p>
      <w:pPr>
        <w:spacing w:after="0" w:line="200" w:lineRule="exact"/>
        <w:rPr>
          <w:sz w:val="20"/>
          <w:szCs w:val="20"/>
          <w:color w:val="auto"/>
        </w:rPr>
      </w:pPr>
    </w:p>
    <w:p>
      <w:pPr>
        <w:spacing w:after="0" w:line="285" w:lineRule="exact"/>
        <w:rPr>
          <w:sz w:val="20"/>
          <w:szCs w:val="20"/>
          <w:color w:val="auto"/>
        </w:rPr>
      </w:pPr>
    </w:p>
    <w:p>
      <w:pPr>
        <w:spacing w:after="0"/>
        <w:tabs>
          <w:tab w:leader="none" w:pos="4500" w:val="left"/>
        </w:tabs>
        <w:rPr>
          <w:sz w:val="20"/>
          <w:szCs w:val="20"/>
          <w:color w:val="auto"/>
        </w:rPr>
      </w:pPr>
      <w:r>
        <w:rPr>
          <w:rFonts w:ascii="Arial" w:cs="Arial" w:eastAsia="Arial" w:hAnsi="Arial"/>
          <w:sz w:val="20"/>
          <w:szCs w:val="20"/>
          <w:b w:val="1"/>
          <w:bCs w:val="1"/>
          <w:color w:val="auto"/>
        </w:rPr>
        <w:t>Vice President and Chief Accounting Officer</w:t>
      </w:r>
      <w:r>
        <w:rPr>
          <w:sz w:val="20"/>
          <w:szCs w:val="20"/>
          <w:color w:val="auto"/>
        </w:rPr>
        <w:tab/>
      </w:r>
      <w:r>
        <w:rPr>
          <w:rFonts w:ascii="Arial" w:cs="Arial" w:eastAsia="Arial" w:hAnsi="Arial"/>
          <w:sz w:val="18"/>
          <w:szCs w:val="18"/>
          <w:b w:val="1"/>
          <w:bCs w:val="1"/>
          <w:color w:val="auto"/>
        </w:rPr>
        <w:t>February 25, 2026</w:t>
      </w:r>
    </w:p>
    <w:p>
      <w:pPr>
        <w:spacing w:after="0"/>
        <w:rPr>
          <w:sz w:val="20"/>
          <w:szCs w:val="20"/>
          <w:color w:val="auto"/>
        </w:rPr>
      </w:pPr>
      <w:r>
        <w:rPr>
          <w:rFonts w:ascii="Arial" w:cs="Arial" w:eastAsia="Arial" w:hAnsi="Arial"/>
          <w:sz w:val="20"/>
          <w:szCs w:val="20"/>
          <w:b w:val="1"/>
          <w:bCs w:val="1"/>
          <w:color w:val="auto"/>
        </w:rPr>
        <w:t>(Principal Accounting Officer)</w:t>
      </w:r>
    </w:p>
    <w:p>
      <w:pPr>
        <w:spacing w:after="0" w:line="200" w:lineRule="exact"/>
        <w:rPr>
          <w:sz w:val="20"/>
          <w:szCs w:val="20"/>
          <w:color w:val="auto"/>
        </w:rPr>
      </w:pPr>
    </w:p>
    <w:p>
      <w:pPr>
        <w:spacing w:after="0" w:line="291" w:lineRule="exact"/>
        <w:rPr>
          <w:sz w:val="20"/>
          <w:szCs w:val="20"/>
          <w:color w:val="auto"/>
        </w:rPr>
      </w:pPr>
    </w:p>
    <w:p>
      <w:pPr>
        <w:spacing w:after="0"/>
        <w:tabs>
          <w:tab w:leader="none" w:pos="4500" w:val="left"/>
        </w:tabs>
        <w:rPr>
          <w:sz w:val="20"/>
          <w:szCs w:val="20"/>
          <w:color w:val="auto"/>
        </w:rPr>
      </w:pPr>
      <w:r>
        <w:rPr>
          <w:rFonts w:ascii="Arial" w:cs="Arial" w:eastAsia="Arial" w:hAnsi="Arial"/>
          <w:sz w:val="20"/>
          <w:szCs w:val="20"/>
          <w:b w:val="1"/>
          <w:bCs w:val="1"/>
          <w:color w:val="auto"/>
        </w:rPr>
        <w:t>Chairman of the Board of Directors</w:t>
      </w:r>
      <w:r>
        <w:rPr>
          <w:sz w:val="20"/>
          <w:szCs w:val="20"/>
          <w:color w:val="auto"/>
        </w:rPr>
        <w:tab/>
      </w:r>
      <w:r>
        <w:rPr>
          <w:rFonts w:ascii="Arial" w:cs="Arial" w:eastAsia="Arial" w:hAnsi="Arial"/>
          <w:sz w:val="18"/>
          <w:szCs w:val="18"/>
          <w:b w:val="1"/>
          <w:bCs w:val="1"/>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February 25,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-2413000</wp:posOffset>
                </wp:positionH>
                <wp:positionV relativeFrom="paragraph">
                  <wp:posOffset>2204085</wp:posOffset>
                </wp:positionV>
                <wp:extent cx="7315200" cy="0"/>
                <wp:wrapNone/>
                <wp:docPr id="844" name="Shape 8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4" o:spid="_x0000_s18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pt,173.55pt" to="386pt,173.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-2413000</wp:posOffset>
                </wp:positionH>
                <wp:positionV relativeFrom="paragraph">
                  <wp:posOffset>2204085</wp:posOffset>
                </wp:positionV>
                <wp:extent cx="7315200" cy="0"/>
                <wp:wrapNone/>
                <wp:docPr id="845" name="Shape 8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700">
                          <a:solidFill>
                            <a:srgbClr val="DF1995"/>
                          </a:solidFill>
                          <a:miter lim="800000"/>
                          <a:headEnd/>
                          <a:tailEnd/>
                        </a:ln>
                      </wps:spPr>
                      <wps:bodyPr/>
                    </wps:wsp>
                  </a:graphicData>
                </a:graphic>
              </wp:anchor>
            </w:drawing>
          </mc:Choice>
          <mc:Fallback>
            <w:pict>
              <v:line id="Shape 845" o:spid="_x0000_s18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pt,173.55pt" to="386pt,173.55pt" o:allowincell="f" strokecolor="#DF1995" strokeweight="1pt"/>
            </w:pict>
          </mc:Fallback>
        </mc:AlternateContent>
      </w:r>
    </w:p>
    <w:p>
      <w:pPr>
        <w:spacing w:after="0" w:line="537" w:lineRule="exact"/>
        <w:rPr>
          <w:sz w:val="20"/>
          <w:szCs w:val="20"/>
          <w:color w:val="auto"/>
        </w:rPr>
      </w:pPr>
    </w:p>
    <w:p>
      <w:pPr>
        <w:sectPr>
          <w:pgSz w:w="12240" w:h="15840" w:orient="portrait"/>
          <w:cols w:equalWidth="0" w:num="2">
            <w:col w:w="2660" w:space="320"/>
            <w:col w:w="7600"/>
          </w:cols>
          <w:pgMar w:left="1180" w:top="210" w:right="4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tabs>
          <w:tab w:leader="none" w:pos="10220" w:val="left"/>
        </w:tabs>
        <w:rPr>
          <w:sz w:val="20"/>
          <w:szCs w:val="20"/>
          <w:color w:val="auto"/>
        </w:rPr>
      </w:pPr>
      <w:r>
        <w:rPr>
          <w:rFonts w:ascii="Arial" w:cs="Arial" w:eastAsia="Arial" w:hAnsi="Arial"/>
          <w:sz w:val="20"/>
          <w:szCs w:val="20"/>
          <w:b w:val="1"/>
          <w:bCs w:val="1"/>
          <w:color w:val="DF1995"/>
        </w:rPr>
        <w:t>Fiscal 2025 Form 10-K</w:t>
      </w:r>
      <w:r>
        <w:rPr>
          <w:sz w:val="20"/>
          <w:szCs w:val="20"/>
          <w:color w:val="auto"/>
        </w:rPr>
        <w:tab/>
      </w:r>
      <w:r>
        <w:rPr>
          <w:rFonts w:ascii="Arial" w:cs="Arial" w:eastAsia="Arial" w:hAnsi="Arial"/>
          <w:sz w:val="20"/>
          <w:szCs w:val="20"/>
          <w:b w:val="1"/>
          <w:bCs w:val="1"/>
          <w:color w:val="DF1995"/>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-121285</wp:posOffset>
            </wp:positionV>
            <wp:extent cx="457200" cy="9969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353">
                      <a:extLst>
                        <a:ext uri="{28A0092B-C50C-407E-A947-70E740481C1C}"/>
                      </a:extLst>
                    </a:blip>
                    <a:srcRect/>
                    <a:stretch>
                      <a:fillRect/>
                    </a:stretch>
                  </pic:blipFill>
                  <pic:spPr bwMode="auto">
                    <a:xfrm>
                      <a:off x="0" y="0"/>
                      <a:ext cx="457200" cy="99695"/>
                    </a:xfrm>
                    <a:prstGeom prst="rect">
                      <a:avLst/>
                    </a:prstGeom>
                    <a:noFill/>
                  </pic:spPr>
                </pic:pic>
              </a:graphicData>
            </a:graphic>
          </wp:anchor>
        </w:drawing>
      </w:r>
    </w:p>
    <w:p>
      <w:pPr>
        <w:sectPr>
          <w:pgSz w:w="12240" w:h="15840" w:orient="portrait"/>
          <w:cols w:equalWidth="0" w:num="1">
            <w:col w:w="10580"/>
          </w:cols>
          <w:pgMar w:left="1180" w:top="210" w:right="480" w:bottom="0" w:gutter="0" w:footer="0" w:header="0"/>
          <w:type w:val="continuous"/>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[This page is intentionally left blank]</w:t>
      </w:r>
    </w:p>
    <w:p>
      <w:pPr>
        <w:sectPr>
          <w:pgSz w:w="12240" w:h="15840" w:orient="portrait"/>
          <w:cols w:equalWidth="0" w:num="1">
            <w:col w:w="9360"/>
          </w:cols>
          <w:pgMar w:left="1440" w:top="1440" w:right="1440"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b w:val="1"/>
          <w:bCs w:val="1"/>
          <w:color w:val="DB248F"/>
        </w:rPr>
        <w:t>EXECUTIVE OFFICERS</w:t>
      </w:r>
    </w:p>
    <w:p>
      <w:pPr>
        <w:spacing w:after="0" w:line="240"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22"/>
          <w:szCs w:val="22"/>
          <w:b w:val="1"/>
          <w:bCs w:val="1"/>
          <w:color w:val="auto"/>
        </w:rPr>
        <w:t>Christian Henry</w:t>
      </w:r>
      <w:r>
        <w:rPr>
          <w:sz w:val="20"/>
          <w:szCs w:val="20"/>
          <w:color w:val="auto"/>
        </w:rPr>
        <w:tab/>
      </w:r>
      <w:r>
        <w:rPr>
          <w:rFonts w:ascii="Arial" w:cs="Arial" w:eastAsia="Arial" w:hAnsi="Arial"/>
          <w:sz w:val="22"/>
          <w:szCs w:val="22"/>
          <w:b w:val="1"/>
          <w:bCs w:val="1"/>
          <w:color w:val="auto"/>
        </w:rPr>
        <w:t>Mark Van Oene</w:t>
      </w:r>
    </w:p>
    <w:p>
      <w:pPr>
        <w:spacing w:after="0" w:line="5"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9"/>
          <w:szCs w:val="19"/>
          <w:color w:val="auto"/>
        </w:rPr>
        <w:t>President and Chief Executive Officer</w:t>
      </w:r>
      <w:r>
        <w:rPr>
          <w:sz w:val="20"/>
          <w:szCs w:val="20"/>
          <w:color w:val="auto"/>
        </w:rPr>
        <w:tab/>
      </w:r>
      <w:r>
        <w:rPr>
          <w:rFonts w:ascii="Arial" w:cs="Arial" w:eastAsia="Arial" w:hAnsi="Arial"/>
          <w:sz w:val="19"/>
          <w:szCs w:val="19"/>
          <w:color w:val="auto"/>
        </w:rPr>
        <w:t>Chief Operating Officer</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Jim R. Gibson</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DB248F"/>
        </w:rPr>
        <w:t>BOARD OF DIRECTORS</w:t>
      </w:r>
    </w:p>
    <w:p>
      <w:pPr>
        <w:spacing w:after="0" w:line="242" w:lineRule="exact"/>
        <w:rPr>
          <w:sz w:val="20"/>
          <w:szCs w:val="20"/>
          <w:color w:val="auto"/>
        </w:rPr>
      </w:pPr>
    </w:p>
    <w:p>
      <w:pPr>
        <w:ind w:left="20"/>
        <w:spacing w:after="0"/>
        <w:tabs>
          <w:tab w:leader="none" w:pos="3560" w:val="left"/>
          <w:tab w:leader="none" w:pos="7180" w:val="left"/>
        </w:tabs>
        <w:rPr>
          <w:sz w:val="20"/>
          <w:szCs w:val="20"/>
          <w:color w:val="auto"/>
        </w:rPr>
      </w:pPr>
      <w:r>
        <w:rPr>
          <w:rFonts w:ascii="Arial" w:cs="Arial" w:eastAsia="Arial" w:hAnsi="Arial"/>
          <w:sz w:val="22"/>
          <w:szCs w:val="22"/>
          <w:b w:val="1"/>
          <w:bCs w:val="1"/>
          <w:color w:val="auto"/>
        </w:rPr>
        <w:t>Christian Henry</w:t>
      </w:r>
      <w:r>
        <w:rPr>
          <w:sz w:val="20"/>
          <w:szCs w:val="20"/>
          <w:color w:val="auto"/>
        </w:rPr>
        <w:tab/>
      </w:r>
      <w:r>
        <w:rPr>
          <w:rFonts w:ascii="Arial" w:cs="Arial" w:eastAsia="Arial" w:hAnsi="Arial"/>
          <w:sz w:val="22"/>
          <w:szCs w:val="22"/>
          <w:b w:val="1"/>
          <w:bCs w:val="1"/>
          <w:color w:val="auto"/>
        </w:rPr>
        <w:t xml:space="preserve">John Milligan, PhD </w:t>
      </w:r>
      <w:r>
        <w:rPr>
          <w:rFonts w:ascii="Arial" w:cs="Arial" w:eastAsia="Arial" w:hAnsi="Arial"/>
          <w:sz w:val="22"/>
          <w:szCs w:val="22"/>
          <w:color w:val="auto"/>
        </w:rPr>
        <w:t>(chair)</w:t>
      </w:r>
      <w:r>
        <w:rPr>
          <w:sz w:val="20"/>
          <w:szCs w:val="20"/>
          <w:color w:val="auto"/>
        </w:rPr>
        <w:tab/>
      </w:r>
      <w:r>
        <w:rPr>
          <w:rFonts w:ascii="Arial" w:cs="Arial" w:eastAsia="Arial" w:hAnsi="Arial"/>
          <w:sz w:val="22"/>
          <w:szCs w:val="22"/>
          <w:b w:val="1"/>
          <w:bCs w:val="1"/>
          <w:color w:val="auto"/>
        </w:rPr>
        <w:t>William Ericson</w:t>
      </w:r>
    </w:p>
    <w:p>
      <w:pPr>
        <w:spacing w:after="0" w:line="5" w:lineRule="exact"/>
        <w:rPr>
          <w:sz w:val="20"/>
          <w:szCs w:val="20"/>
          <w:color w:val="auto"/>
        </w:rPr>
      </w:pPr>
    </w:p>
    <w:p>
      <w:pPr>
        <w:ind w:left="20"/>
        <w:spacing w:after="0"/>
        <w:tabs>
          <w:tab w:leader="none" w:pos="3560" w:val="left"/>
          <w:tab w:leader="none" w:pos="7180" w:val="left"/>
        </w:tabs>
        <w:rPr>
          <w:sz w:val="20"/>
          <w:szCs w:val="20"/>
          <w:color w:val="auto"/>
        </w:rPr>
      </w:pPr>
      <w:r>
        <w:rPr>
          <w:rFonts w:ascii="Arial" w:cs="Arial" w:eastAsia="Arial" w:hAnsi="Arial"/>
          <w:sz w:val="19"/>
          <w:szCs w:val="19"/>
          <w:color w:val="auto"/>
        </w:rPr>
        <w:t>President and Chief Executive Officer</w:t>
      </w:r>
      <w:r>
        <w:rPr>
          <w:sz w:val="20"/>
          <w:szCs w:val="20"/>
          <w:color w:val="auto"/>
        </w:rPr>
        <w:tab/>
      </w:r>
      <w:r>
        <w:rPr>
          <w:rFonts w:ascii="Arial" w:cs="Arial" w:eastAsia="Arial" w:hAnsi="Arial"/>
          <w:sz w:val="19"/>
          <w:szCs w:val="19"/>
          <w:color w:val="auto"/>
        </w:rPr>
        <w:t>Chairman of the Board of Directors</w:t>
      </w:r>
      <w:r>
        <w:rPr>
          <w:sz w:val="20"/>
          <w:szCs w:val="20"/>
          <w:color w:val="auto"/>
        </w:rPr>
        <w:tab/>
      </w:r>
      <w:r>
        <w:rPr>
          <w:rFonts w:ascii="Arial" w:cs="Arial" w:eastAsia="Arial" w:hAnsi="Arial"/>
          <w:sz w:val="19"/>
          <w:szCs w:val="19"/>
          <w:color w:val="auto"/>
        </w:rPr>
        <w:t>Founding Partner at Wildcat Venture</w:t>
      </w:r>
    </w:p>
    <w:p>
      <w:pPr>
        <w:ind w:left="7200"/>
        <w:spacing w:after="0"/>
        <w:rPr>
          <w:sz w:val="20"/>
          <w:szCs w:val="20"/>
          <w:color w:val="auto"/>
        </w:rPr>
      </w:pPr>
      <w:r>
        <w:rPr>
          <w:rFonts w:ascii="Arial" w:cs="Arial" w:eastAsia="Arial" w:hAnsi="Arial"/>
          <w:sz w:val="19"/>
          <w:szCs w:val="19"/>
          <w:color w:val="auto"/>
        </w:rPr>
        <w:t>Partners</w:t>
      </w:r>
    </w:p>
    <w:p>
      <w:pPr>
        <w:sectPr>
          <w:pgSz w:w="12240" w:h="15840" w:orient="portrait"/>
          <w:cols w:equalWidth="0" w:num="1">
            <w:col w:w="10600"/>
          </w:cols>
          <w:pgMar w:left="900" w:top="1187" w:right="740" w:bottom="835" w:gutter="0" w:footer="0" w:header="0"/>
        </w:sect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Chris Gibson, PhD</w:t>
      </w:r>
    </w:p>
    <w:p>
      <w:pPr>
        <w:spacing w:after="0" w:line="6" w:lineRule="exact"/>
        <w:rPr>
          <w:sz w:val="20"/>
          <w:szCs w:val="20"/>
          <w:color w:val="auto"/>
        </w:rPr>
      </w:pPr>
    </w:p>
    <w:p>
      <w:pPr>
        <w:ind w:left="20" w:right="700"/>
        <w:spacing w:after="0" w:line="282" w:lineRule="auto"/>
        <w:rPr>
          <w:sz w:val="20"/>
          <w:szCs w:val="20"/>
          <w:color w:val="auto"/>
        </w:rPr>
      </w:pPr>
      <w:r>
        <w:rPr>
          <w:rFonts w:ascii="Arial" w:cs="Arial" w:eastAsia="Arial" w:hAnsi="Arial"/>
          <w:sz w:val="19"/>
          <w:szCs w:val="19"/>
          <w:color w:val="auto"/>
        </w:rPr>
        <w:t>Co-Founder of Recursion Pharmaceuticals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tabs>
          <w:tab w:leader="none" w:pos="3600" w:val="left"/>
        </w:tabs>
        <w:rPr>
          <w:sz w:val="20"/>
          <w:szCs w:val="20"/>
          <w:color w:val="auto"/>
        </w:rPr>
      </w:pPr>
      <w:r>
        <w:rPr>
          <w:rFonts w:ascii="Arial" w:cs="Arial" w:eastAsia="Arial" w:hAnsi="Arial"/>
          <w:sz w:val="22"/>
          <w:szCs w:val="22"/>
          <w:b w:val="1"/>
          <w:bCs w:val="1"/>
          <w:color w:val="auto"/>
        </w:rPr>
        <w:t>Randy Livingston</w:t>
      </w:r>
      <w:r>
        <w:rPr>
          <w:sz w:val="20"/>
          <w:szCs w:val="20"/>
          <w:color w:val="auto"/>
        </w:rPr>
        <w:tab/>
      </w:r>
      <w:r>
        <w:rPr>
          <w:rFonts w:ascii="Arial" w:cs="Arial" w:eastAsia="Arial" w:hAnsi="Arial"/>
          <w:sz w:val="22"/>
          <w:szCs w:val="22"/>
          <w:b w:val="1"/>
          <w:bCs w:val="1"/>
          <w:color w:val="auto"/>
        </w:rPr>
        <w:t>Marshall Mohr</w:t>
      </w:r>
    </w:p>
    <w:p>
      <w:pPr>
        <w:spacing w:after="0" w:line="6" w:lineRule="exact"/>
        <w:rPr>
          <w:sz w:val="20"/>
          <w:szCs w:val="20"/>
          <w:color w:val="auto"/>
        </w:rPr>
      </w:pPr>
    </w:p>
    <w:p>
      <w:pPr>
        <w:spacing w:after="0"/>
        <w:tabs>
          <w:tab w:leader="none" w:pos="3600" w:val="left"/>
        </w:tabs>
        <w:rPr>
          <w:sz w:val="20"/>
          <w:szCs w:val="20"/>
          <w:color w:val="auto"/>
        </w:rPr>
      </w:pPr>
      <w:r>
        <w:rPr>
          <w:rFonts w:ascii="Arial" w:cs="Arial" w:eastAsia="Arial" w:hAnsi="Arial"/>
          <w:sz w:val="19"/>
          <w:szCs w:val="19"/>
          <w:color w:val="auto"/>
        </w:rPr>
        <w:t>Former VP for Business Affairs and</w:t>
      </w:r>
      <w:r>
        <w:rPr>
          <w:sz w:val="20"/>
          <w:szCs w:val="20"/>
          <w:color w:val="auto"/>
        </w:rPr>
        <w:tab/>
      </w:r>
      <w:r>
        <w:rPr>
          <w:rFonts w:ascii="Arial" w:cs="Arial" w:eastAsia="Arial" w:hAnsi="Arial"/>
          <w:sz w:val="18"/>
          <w:szCs w:val="18"/>
          <w:color w:val="auto"/>
        </w:rPr>
        <w:t>Former EVP, Global Business</w:t>
      </w:r>
    </w:p>
    <w:p>
      <w:pPr>
        <w:spacing w:after="0"/>
        <w:tabs>
          <w:tab w:leader="none" w:pos="3600" w:val="left"/>
        </w:tabs>
        <w:rPr>
          <w:sz w:val="20"/>
          <w:szCs w:val="20"/>
          <w:color w:val="auto"/>
        </w:rPr>
      </w:pPr>
      <w:r>
        <w:rPr>
          <w:rFonts w:ascii="Arial" w:cs="Arial" w:eastAsia="Arial" w:hAnsi="Arial"/>
          <w:sz w:val="19"/>
          <w:szCs w:val="19"/>
          <w:color w:val="auto"/>
        </w:rPr>
        <w:t>Chief Financial Officer at Stanford</w:t>
      </w:r>
      <w:r>
        <w:rPr>
          <w:sz w:val="20"/>
          <w:szCs w:val="20"/>
          <w:color w:val="auto"/>
        </w:rPr>
        <w:tab/>
      </w:r>
      <w:r>
        <w:rPr>
          <w:rFonts w:ascii="Arial" w:cs="Arial" w:eastAsia="Arial" w:hAnsi="Arial"/>
          <w:sz w:val="19"/>
          <w:szCs w:val="19"/>
          <w:color w:val="auto"/>
        </w:rPr>
        <w:t>Services at Intuitive Surgical, Inc.</w:t>
      </w:r>
    </w:p>
    <w:p>
      <w:pPr>
        <w:spacing w:after="0"/>
        <w:rPr>
          <w:sz w:val="20"/>
          <w:szCs w:val="20"/>
          <w:color w:val="auto"/>
        </w:rPr>
      </w:pPr>
      <w:r>
        <w:rPr>
          <w:rFonts w:ascii="Arial" w:cs="Arial" w:eastAsia="Arial" w:hAnsi="Arial"/>
          <w:sz w:val="19"/>
          <w:szCs w:val="19"/>
          <w:color w:val="auto"/>
        </w:rPr>
        <w:t>University</w:t>
      </w:r>
    </w:p>
    <w:p>
      <w:pPr>
        <w:spacing w:after="0" w:line="200" w:lineRule="exact"/>
        <w:rPr>
          <w:sz w:val="20"/>
          <w:szCs w:val="20"/>
          <w:color w:val="auto"/>
        </w:rPr>
      </w:pPr>
    </w:p>
    <w:p>
      <w:pPr>
        <w:sectPr>
          <w:pgSz w:w="12240" w:h="15840" w:orient="portrait"/>
          <w:cols w:equalWidth="0" w:num="2">
            <w:col w:w="2860" w:space="720"/>
            <w:col w:w="7020"/>
          </w:cols>
          <w:pgMar w:left="900" w:top="1187" w:right="740" w:bottom="835" w:gutter="0" w:footer="0" w:header="0"/>
          <w:type w:val="continuous"/>
        </w:sectPr>
      </w:pP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3420" w:type="dxa"/>
            <w:vAlign w:val="bottom"/>
          </w:tcPr>
          <w:p>
            <w:pPr>
              <w:spacing w:after="0"/>
              <w:rPr>
                <w:sz w:val="20"/>
                <w:szCs w:val="20"/>
                <w:color w:val="auto"/>
              </w:rPr>
            </w:pPr>
            <w:r>
              <w:rPr>
                <w:rFonts w:ascii="Arial" w:cs="Arial" w:eastAsia="Arial" w:hAnsi="Arial"/>
                <w:sz w:val="22"/>
                <w:szCs w:val="22"/>
                <w:b w:val="1"/>
                <w:bCs w:val="1"/>
                <w:color w:val="auto"/>
              </w:rPr>
              <w:t>Kathy Ordoñez</w:t>
            </w:r>
          </w:p>
        </w:tc>
        <w:tc>
          <w:tcPr>
            <w:tcW w:w="3400" w:type="dxa"/>
            <w:vAlign w:val="bottom"/>
          </w:tcPr>
          <w:p>
            <w:pPr>
              <w:ind w:left="140"/>
              <w:spacing w:after="0"/>
              <w:rPr>
                <w:sz w:val="20"/>
                <w:szCs w:val="20"/>
                <w:color w:val="auto"/>
              </w:rPr>
            </w:pPr>
            <w:r>
              <w:rPr>
                <w:rFonts w:ascii="Arial" w:cs="Arial" w:eastAsia="Arial" w:hAnsi="Arial"/>
                <w:sz w:val="22"/>
                <w:szCs w:val="22"/>
                <w:b w:val="1"/>
                <w:bCs w:val="1"/>
                <w:color w:val="auto"/>
              </w:rPr>
              <w:t>Lucy Shapiro, PhD</w:t>
            </w:r>
          </w:p>
        </w:tc>
        <w:tc>
          <w:tcPr>
            <w:tcW w:w="3520" w:type="dxa"/>
            <w:vAlign w:val="bottom"/>
          </w:tcPr>
          <w:p>
            <w:pPr>
              <w:ind w:left="360"/>
              <w:spacing w:after="0"/>
              <w:rPr>
                <w:sz w:val="20"/>
                <w:szCs w:val="20"/>
                <w:color w:val="auto"/>
              </w:rPr>
            </w:pPr>
            <w:r>
              <w:rPr>
                <w:rFonts w:ascii="Arial" w:cs="Arial" w:eastAsia="Arial" w:hAnsi="Arial"/>
                <w:sz w:val="22"/>
                <w:szCs w:val="22"/>
                <w:b w:val="1"/>
                <w:bCs w:val="1"/>
                <w:color w:val="auto"/>
              </w:rPr>
              <w:t>Christopher M. Smith</w:t>
            </w:r>
          </w:p>
        </w:tc>
      </w:tr>
      <w:tr>
        <w:trPr>
          <w:trHeight w:val="218"/>
        </w:trPr>
        <w:tc>
          <w:tcPr>
            <w:tcW w:w="3420" w:type="dxa"/>
            <w:vAlign w:val="bottom"/>
          </w:tcPr>
          <w:p>
            <w:pPr>
              <w:spacing w:after="0"/>
              <w:rPr>
                <w:sz w:val="20"/>
                <w:szCs w:val="20"/>
                <w:color w:val="auto"/>
              </w:rPr>
            </w:pPr>
            <w:r>
              <w:rPr>
                <w:rFonts w:ascii="Arial" w:cs="Arial" w:eastAsia="Arial" w:hAnsi="Arial"/>
                <w:sz w:val="19"/>
                <w:szCs w:val="19"/>
                <w:color w:val="auto"/>
              </w:rPr>
              <w:t>Former Chief Executive Officer of</w:t>
            </w:r>
          </w:p>
        </w:tc>
        <w:tc>
          <w:tcPr>
            <w:tcW w:w="3400" w:type="dxa"/>
            <w:vAlign w:val="bottom"/>
          </w:tcPr>
          <w:p>
            <w:pPr>
              <w:ind w:left="140"/>
              <w:spacing w:after="0"/>
              <w:rPr>
                <w:sz w:val="20"/>
                <w:szCs w:val="20"/>
                <w:color w:val="auto"/>
              </w:rPr>
            </w:pPr>
            <w:r>
              <w:rPr>
                <w:rFonts w:ascii="Arial" w:cs="Arial" w:eastAsia="Arial" w:hAnsi="Arial"/>
                <w:sz w:val="19"/>
                <w:szCs w:val="19"/>
                <w:color w:val="auto"/>
              </w:rPr>
              <w:t>Professor of Cancer Research and</w:t>
            </w:r>
          </w:p>
        </w:tc>
        <w:tc>
          <w:tcPr>
            <w:tcW w:w="3520" w:type="dxa"/>
            <w:vAlign w:val="bottom"/>
          </w:tcPr>
          <w:p>
            <w:pPr>
              <w:ind w:left="360"/>
              <w:spacing w:after="0"/>
              <w:rPr>
                <w:sz w:val="20"/>
                <w:szCs w:val="20"/>
                <w:color w:val="auto"/>
              </w:rPr>
            </w:pPr>
            <w:r>
              <w:rPr>
                <w:rFonts w:ascii="Arial" w:cs="Arial" w:eastAsia="Arial" w:hAnsi="Arial"/>
                <w:sz w:val="19"/>
                <w:szCs w:val="19"/>
                <w:color w:val="auto"/>
                <w:w w:val="99"/>
              </w:rPr>
              <w:t>President and Chief Executive Officer</w:t>
            </w:r>
          </w:p>
        </w:tc>
      </w:tr>
      <w:tr>
        <w:trPr>
          <w:trHeight w:val="218"/>
        </w:trPr>
        <w:tc>
          <w:tcPr>
            <w:tcW w:w="3420" w:type="dxa"/>
            <w:vAlign w:val="bottom"/>
          </w:tcPr>
          <w:p>
            <w:pPr>
              <w:spacing w:after="0"/>
              <w:rPr>
                <w:sz w:val="20"/>
                <w:szCs w:val="20"/>
                <w:color w:val="auto"/>
              </w:rPr>
            </w:pPr>
            <w:r>
              <w:rPr>
                <w:rFonts w:ascii="Arial" w:cs="Arial" w:eastAsia="Arial" w:hAnsi="Arial"/>
                <w:sz w:val="19"/>
                <w:szCs w:val="19"/>
                <w:color w:val="auto"/>
              </w:rPr>
              <w:t>Roche Molecular Systems, Celera</w:t>
            </w:r>
          </w:p>
        </w:tc>
        <w:tc>
          <w:tcPr>
            <w:tcW w:w="3400" w:type="dxa"/>
            <w:vAlign w:val="bottom"/>
          </w:tcPr>
          <w:p>
            <w:pPr>
              <w:ind w:left="140"/>
              <w:spacing w:after="0"/>
              <w:rPr>
                <w:sz w:val="20"/>
                <w:szCs w:val="20"/>
                <w:color w:val="auto"/>
              </w:rPr>
            </w:pPr>
            <w:r>
              <w:rPr>
                <w:rFonts w:ascii="Arial" w:cs="Arial" w:eastAsia="Arial" w:hAnsi="Arial"/>
                <w:sz w:val="19"/>
                <w:szCs w:val="19"/>
                <w:color w:val="auto"/>
              </w:rPr>
              <w:t>Director of Molecular and Genetic</w:t>
            </w:r>
          </w:p>
        </w:tc>
        <w:tc>
          <w:tcPr>
            <w:tcW w:w="3520" w:type="dxa"/>
            <w:vAlign w:val="bottom"/>
          </w:tcPr>
          <w:p>
            <w:pPr>
              <w:ind w:left="360"/>
              <w:spacing w:after="0"/>
              <w:rPr>
                <w:sz w:val="20"/>
                <w:szCs w:val="20"/>
                <w:color w:val="auto"/>
              </w:rPr>
            </w:pPr>
            <w:r>
              <w:rPr>
                <w:rFonts w:ascii="Arial" w:cs="Arial" w:eastAsia="Arial" w:hAnsi="Arial"/>
                <w:sz w:val="19"/>
                <w:szCs w:val="19"/>
                <w:color w:val="auto"/>
              </w:rPr>
              <w:t>at Laborie Medical Technologies</w:t>
            </w:r>
          </w:p>
        </w:tc>
      </w:tr>
      <w:tr>
        <w:trPr>
          <w:trHeight w:val="218"/>
        </w:trPr>
        <w:tc>
          <w:tcPr>
            <w:tcW w:w="3420" w:type="dxa"/>
            <w:vAlign w:val="bottom"/>
          </w:tcPr>
          <w:p>
            <w:pPr>
              <w:spacing w:after="0"/>
              <w:rPr>
                <w:sz w:val="20"/>
                <w:szCs w:val="20"/>
                <w:color w:val="auto"/>
              </w:rPr>
            </w:pPr>
            <w:r>
              <w:rPr>
                <w:rFonts w:ascii="Arial" w:cs="Arial" w:eastAsia="Arial" w:hAnsi="Arial"/>
                <w:sz w:val="19"/>
                <w:szCs w:val="19"/>
                <w:color w:val="auto"/>
              </w:rPr>
              <w:t>Corporation and RainDance</w:t>
            </w:r>
          </w:p>
        </w:tc>
        <w:tc>
          <w:tcPr>
            <w:tcW w:w="3400" w:type="dxa"/>
            <w:vAlign w:val="bottom"/>
          </w:tcPr>
          <w:p>
            <w:pPr>
              <w:ind w:left="140"/>
              <w:spacing w:after="0"/>
              <w:rPr>
                <w:sz w:val="20"/>
                <w:szCs w:val="20"/>
                <w:color w:val="auto"/>
              </w:rPr>
            </w:pPr>
            <w:r>
              <w:rPr>
                <w:rFonts w:ascii="Arial" w:cs="Arial" w:eastAsia="Arial" w:hAnsi="Arial"/>
                <w:sz w:val="19"/>
                <w:szCs w:val="19"/>
                <w:color w:val="auto"/>
              </w:rPr>
              <w:t>Medicine at Stanford University’s</w:t>
            </w:r>
          </w:p>
        </w:tc>
        <w:tc>
          <w:tcPr>
            <w:tcW w:w="3520" w:type="dxa"/>
            <w:vAlign w:val="bottom"/>
          </w:tcPr>
          <w:p>
            <w:pPr>
              <w:spacing w:after="0"/>
              <w:rPr>
                <w:sz w:val="18"/>
                <w:szCs w:val="18"/>
                <w:color w:val="auto"/>
              </w:rPr>
            </w:pPr>
          </w:p>
        </w:tc>
      </w:tr>
      <w:tr>
        <w:trPr>
          <w:trHeight w:val="257"/>
        </w:trPr>
        <w:tc>
          <w:tcPr>
            <w:tcW w:w="3420" w:type="dxa"/>
            <w:vAlign w:val="bottom"/>
          </w:tcPr>
          <w:p>
            <w:pPr>
              <w:spacing w:after="0"/>
              <w:rPr>
                <w:sz w:val="20"/>
                <w:szCs w:val="20"/>
                <w:color w:val="auto"/>
              </w:rPr>
            </w:pPr>
            <w:r>
              <w:rPr>
                <w:rFonts w:ascii="Arial" w:cs="Arial" w:eastAsia="Arial" w:hAnsi="Arial"/>
                <w:sz w:val="19"/>
                <w:szCs w:val="19"/>
                <w:color w:val="auto"/>
              </w:rPr>
              <w:t>Technologies</w:t>
            </w:r>
          </w:p>
        </w:tc>
        <w:tc>
          <w:tcPr>
            <w:tcW w:w="3400" w:type="dxa"/>
            <w:vAlign w:val="bottom"/>
          </w:tcPr>
          <w:p>
            <w:pPr>
              <w:ind w:left="140"/>
              <w:spacing w:after="0"/>
              <w:rPr>
                <w:sz w:val="20"/>
                <w:szCs w:val="20"/>
                <w:color w:val="auto"/>
              </w:rPr>
            </w:pPr>
            <w:r>
              <w:rPr>
                <w:rFonts w:ascii="Arial" w:cs="Arial" w:eastAsia="Arial" w:hAnsi="Arial"/>
                <w:sz w:val="19"/>
                <w:szCs w:val="19"/>
                <w:color w:val="auto"/>
              </w:rPr>
              <w:t>School of Medicine</w:t>
            </w:r>
          </w:p>
        </w:tc>
        <w:tc>
          <w:tcPr>
            <w:tcW w:w="3520" w:type="dxa"/>
            <w:vAlign w:val="bottom"/>
          </w:tcPr>
          <w:p>
            <w:pPr>
              <w:spacing w:after="0"/>
              <w:rPr>
                <w:sz w:val="22"/>
                <w:szCs w:val="22"/>
                <w:color w:val="auto"/>
              </w:rPr>
            </w:pPr>
          </w:p>
        </w:tc>
      </w:tr>
      <w:tr>
        <w:trPr>
          <w:trHeight w:val="454"/>
        </w:trPr>
        <w:tc>
          <w:tcPr>
            <w:tcW w:w="3420" w:type="dxa"/>
            <w:vAlign w:val="bottom"/>
          </w:tcPr>
          <w:p>
            <w:pPr>
              <w:spacing w:after="0"/>
              <w:rPr>
                <w:sz w:val="20"/>
                <w:szCs w:val="20"/>
                <w:color w:val="auto"/>
              </w:rPr>
            </w:pPr>
            <w:r>
              <w:rPr>
                <w:rFonts w:ascii="Arial" w:cs="Arial" w:eastAsia="Arial" w:hAnsi="Arial"/>
                <w:sz w:val="22"/>
                <w:szCs w:val="22"/>
                <w:b w:val="1"/>
                <w:bCs w:val="1"/>
                <w:color w:val="auto"/>
              </w:rPr>
              <w:t>Hannah A. Valantine, MD</w:t>
            </w:r>
          </w:p>
        </w:tc>
        <w:tc>
          <w:tcPr>
            <w:tcW w:w="34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8"/>
        </w:trPr>
        <w:tc>
          <w:tcPr>
            <w:tcW w:w="3420" w:type="dxa"/>
            <w:vAlign w:val="bottom"/>
          </w:tcPr>
          <w:p>
            <w:pPr>
              <w:spacing w:after="0"/>
              <w:rPr>
                <w:sz w:val="20"/>
                <w:szCs w:val="20"/>
                <w:color w:val="auto"/>
              </w:rPr>
            </w:pPr>
            <w:r>
              <w:rPr>
                <w:rFonts w:ascii="Arial" w:cs="Arial" w:eastAsia="Arial" w:hAnsi="Arial"/>
                <w:sz w:val="19"/>
                <w:szCs w:val="19"/>
                <w:color w:val="auto"/>
              </w:rPr>
              <w:t>Professor of Medicine (Cardiovascular)</w:t>
            </w:r>
          </w:p>
        </w:tc>
        <w:tc>
          <w:tcPr>
            <w:tcW w:w="340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8"/>
        </w:trPr>
        <w:tc>
          <w:tcPr>
            <w:tcW w:w="3420" w:type="dxa"/>
            <w:vAlign w:val="bottom"/>
          </w:tcPr>
          <w:p>
            <w:pPr>
              <w:spacing w:after="0"/>
              <w:rPr>
                <w:sz w:val="20"/>
                <w:szCs w:val="20"/>
                <w:color w:val="auto"/>
              </w:rPr>
            </w:pPr>
            <w:r>
              <w:rPr>
                <w:rFonts w:ascii="Arial" w:cs="Arial" w:eastAsia="Arial" w:hAnsi="Arial"/>
                <w:sz w:val="19"/>
                <w:szCs w:val="19"/>
                <w:color w:val="auto"/>
              </w:rPr>
              <w:t>at the Stanford University Medical</w:t>
            </w:r>
          </w:p>
        </w:tc>
        <w:tc>
          <w:tcPr>
            <w:tcW w:w="340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57"/>
        </w:trPr>
        <w:tc>
          <w:tcPr>
            <w:tcW w:w="3420" w:type="dxa"/>
            <w:vAlign w:val="bottom"/>
          </w:tcPr>
          <w:p>
            <w:pPr>
              <w:spacing w:after="0"/>
              <w:rPr>
                <w:sz w:val="20"/>
                <w:szCs w:val="20"/>
                <w:color w:val="auto"/>
              </w:rPr>
            </w:pPr>
            <w:r>
              <w:rPr>
                <w:rFonts w:ascii="Arial" w:cs="Arial" w:eastAsia="Arial" w:hAnsi="Arial"/>
                <w:sz w:val="19"/>
                <w:szCs w:val="19"/>
                <w:color w:val="auto"/>
              </w:rPr>
              <w:t>Center</w:t>
            </w:r>
          </w:p>
        </w:tc>
        <w:tc>
          <w:tcPr>
            <w:tcW w:w="3400" w:type="dxa"/>
            <w:vAlign w:val="bottom"/>
          </w:tcPr>
          <w:p>
            <w:pPr>
              <w:spacing w:after="0"/>
              <w:rPr>
                <w:sz w:val="22"/>
                <w:szCs w:val="22"/>
                <w:color w:val="auto"/>
              </w:rPr>
            </w:pPr>
          </w:p>
        </w:tc>
        <w:tc>
          <w:tcPr>
            <w:tcW w:w="3520" w:type="dxa"/>
            <w:vAlign w:val="bottom"/>
          </w:tcPr>
          <w:p>
            <w:pPr>
              <w:spacing w:after="0"/>
              <w:rPr>
                <w:sz w:val="22"/>
                <w:szCs w:val="22"/>
                <w:color w:val="auto"/>
              </w:rPr>
            </w:pPr>
          </w:p>
        </w:tc>
      </w:tr>
    </w:tbl>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For additional biographical information on our directors and executive officers, see the sections of our proxy statement captioned “Corporate Governance — Board of Directors and Committees of the Board” and “Executive Officers”. A copy of our proxy statement is included with this annual report to stockholders.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312"/>
        </w:trPr>
        <w:tc>
          <w:tcPr>
            <w:tcW w:w="4000" w:type="dxa"/>
            <w:vAlign w:val="bottom"/>
          </w:tcPr>
          <w:p>
            <w:pPr>
              <w:spacing w:after="0"/>
              <w:rPr>
                <w:sz w:val="20"/>
                <w:szCs w:val="20"/>
                <w:color w:val="auto"/>
              </w:rPr>
            </w:pPr>
            <w:r>
              <w:rPr>
                <w:rFonts w:ascii="Arial" w:cs="Arial" w:eastAsia="Arial" w:hAnsi="Arial"/>
                <w:sz w:val="22"/>
                <w:szCs w:val="22"/>
                <w:b w:val="1"/>
                <w:bCs w:val="1"/>
                <w:color w:val="DB248F"/>
              </w:rPr>
              <w:t>CORPORATE COUNSEL</w:t>
            </w:r>
          </w:p>
        </w:tc>
        <w:tc>
          <w:tcPr>
            <w:tcW w:w="5920" w:type="dxa"/>
            <w:vAlign w:val="bottom"/>
            <w:gridSpan w:val="2"/>
          </w:tcPr>
          <w:p>
            <w:pPr>
              <w:ind w:left="420"/>
              <w:spacing w:after="0"/>
              <w:rPr>
                <w:sz w:val="20"/>
                <w:szCs w:val="20"/>
                <w:color w:val="auto"/>
              </w:rPr>
            </w:pPr>
            <w:r>
              <w:rPr>
                <w:rFonts w:ascii="Arial" w:cs="Arial" w:eastAsia="Arial" w:hAnsi="Arial"/>
                <w:sz w:val="22"/>
                <w:szCs w:val="22"/>
                <w:b w:val="1"/>
                <w:bCs w:val="1"/>
                <w:color w:val="DB248F"/>
              </w:rPr>
              <w:t>TRANSFER AGENT AND REGISTRAR</w:t>
            </w:r>
          </w:p>
        </w:tc>
        <w:tc>
          <w:tcPr>
            <w:tcW w:w="0" w:type="dxa"/>
            <w:vAlign w:val="bottom"/>
          </w:tcPr>
          <w:p>
            <w:pPr>
              <w:spacing w:after="0"/>
              <w:rPr>
                <w:sz w:val="1"/>
                <w:szCs w:val="1"/>
                <w:color w:val="auto"/>
              </w:rPr>
            </w:pPr>
          </w:p>
        </w:tc>
      </w:tr>
      <w:tr>
        <w:trPr>
          <w:trHeight w:val="440"/>
        </w:trPr>
        <w:tc>
          <w:tcPr>
            <w:tcW w:w="4000" w:type="dxa"/>
            <w:vAlign w:val="bottom"/>
          </w:tcPr>
          <w:p>
            <w:pPr>
              <w:spacing w:after="0"/>
              <w:rPr>
                <w:sz w:val="20"/>
                <w:szCs w:val="20"/>
                <w:color w:val="auto"/>
              </w:rPr>
            </w:pPr>
            <w:r>
              <w:rPr>
                <w:rFonts w:ascii="Arial" w:cs="Arial" w:eastAsia="Arial" w:hAnsi="Arial"/>
                <w:sz w:val="22"/>
                <w:szCs w:val="22"/>
                <w:b w:val="1"/>
                <w:bCs w:val="1"/>
                <w:color w:val="auto"/>
              </w:rPr>
              <w:t>Wilson Sonsini Goodrich &amp; Rosati</w:t>
            </w:r>
          </w:p>
        </w:tc>
        <w:tc>
          <w:tcPr>
            <w:tcW w:w="5920" w:type="dxa"/>
            <w:vAlign w:val="bottom"/>
            <w:gridSpan w:val="2"/>
          </w:tcPr>
          <w:p>
            <w:pPr>
              <w:ind w:left="420"/>
              <w:spacing w:after="0"/>
              <w:rPr>
                <w:sz w:val="20"/>
                <w:szCs w:val="20"/>
                <w:color w:val="auto"/>
              </w:rPr>
            </w:pPr>
            <w:r>
              <w:rPr>
                <w:rFonts w:ascii="Arial" w:cs="Arial" w:eastAsia="Arial" w:hAnsi="Arial"/>
                <w:sz w:val="22"/>
                <w:szCs w:val="22"/>
                <w:b w:val="1"/>
                <w:bCs w:val="1"/>
                <w:color w:val="auto"/>
              </w:rPr>
              <w:t>Computershare</w:t>
            </w:r>
          </w:p>
        </w:tc>
        <w:tc>
          <w:tcPr>
            <w:tcW w:w="0" w:type="dxa"/>
            <w:vAlign w:val="bottom"/>
          </w:tcPr>
          <w:p>
            <w:pPr>
              <w:spacing w:after="0"/>
              <w:rPr>
                <w:sz w:val="1"/>
                <w:szCs w:val="1"/>
                <w:color w:val="auto"/>
              </w:rPr>
            </w:pPr>
          </w:p>
        </w:tc>
      </w:tr>
      <w:tr>
        <w:trPr>
          <w:trHeight w:val="218"/>
        </w:trPr>
        <w:tc>
          <w:tcPr>
            <w:tcW w:w="4000" w:type="dxa"/>
            <w:vAlign w:val="bottom"/>
          </w:tcPr>
          <w:p>
            <w:pPr>
              <w:spacing w:after="0"/>
              <w:rPr>
                <w:sz w:val="20"/>
                <w:szCs w:val="20"/>
                <w:color w:val="auto"/>
              </w:rPr>
            </w:pPr>
            <w:r>
              <w:rPr>
                <w:rFonts w:ascii="Arial" w:cs="Arial" w:eastAsia="Arial" w:hAnsi="Arial"/>
                <w:sz w:val="19"/>
                <w:szCs w:val="19"/>
                <w:color w:val="211F1F"/>
              </w:rPr>
              <w:t>650 Page Mill Road</w:t>
            </w:r>
          </w:p>
        </w:tc>
        <w:tc>
          <w:tcPr>
            <w:tcW w:w="1820" w:type="dxa"/>
            <w:vAlign w:val="bottom"/>
          </w:tcPr>
          <w:p>
            <w:pPr>
              <w:ind w:left="420"/>
              <w:spacing w:after="0"/>
              <w:rPr>
                <w:sz w:val="20"/>
                <w:szCs w:val="20"/>
                <w:color w:val="auto"/>
              </w:rPr>
            </w:pPr>
            <w:r>
              <w:rPr>
                <w:rFonts w:ascii="Arial" w:cs="Arial" w:eastAsia="Arial" w:hAnsi="Arial"/>
                <w:sz w:val="19"/>
                <w:szCs w:val="19"/>
                <w:color w:val="211F1F"/>
              </w:rPr>
              <w:t>By courier:</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20"/>
                <w:szCs w:val="20"/>
                <w:color w:val="auto"/>
              </w:rPr>
            </w:pPr>
            <w:r>
              <w:rPr>
                <w:rFonts w:ascii="Arial" w:cs="Arial" w:eastAsia="Arial" w:hAnsi="Arial"/>
                <w:sz w:val="19"/>
                <w:szCs w:val="19"/>
                <w:color w:val="211F1F"/>
              </w:rPr>
              <w:t>Palo Alto, California 94304</w:t>
            </w:r>
          </w:p>
        </w:tc>
        <w:tc>
          <w:tcPr>
            <w:tcW w:w="5920" w:type="dxa"/>
            <w:vAlign w:val="bottom"/>
            <w:gridSpan w:val="2"/>
          </w:tcPr>
          <w:p>
            <w:pPr>
              <w:ind w:left="420"/>
              <w:spacing w:after="0"/>
              <w:rPr>
                <w:sz w:val="20"/>
                <w:szCs w:val="20"/>
                <w:color w:val="auto"/>
              </w:rPr>
            </w:pPr>
            <w:r>
              <w:rPr>
                <w:rFonts w:ascii="Arial" w:cs="Arial" w:eastAsia="Arial" w:hAnsi="Arial"/>
                <w:sz w:val="19"/>
                <w:szCs w:val="19"/>
                <w:color w:val="211F1F"/>
              </w:rPr>
              <w:t>c/o Shareholder Services</w:t>
            </w:r>
          </w:p>
        </w:tc>
        <w:tc>
          <w:tcPr>
            <w:tcW w:w="0" w:type="dxa"/>
            <w:vAlign w:val="bottom"/>
          </w:tcPr>
          <w:p>
            <w:pPr>
              <w:spacing w:after="0"/>
              <w:rPr>
                <w:sz w:val="1"/>
                <w:szCs w:val="1"/>
                <w:color w:val="auto"/>
              </w:rPr>
            </w:pPr>
          </w:p>
        </w:tc>
      </w:tr>
      <w:tr>
        <w:trPr>
          <w:trHeight w:val="218"/>
        </w:trPr>
        <w:tc>
          <w:tcPr>
            <w:tcW w:w="4000" w:type="dxa"/>
            <w:vAlign w:val="bottom"/>
          </w:tcPr>
          <w:p>
            <w:pPr>
              <w:spacing w:after="0"/>
              <w:rPr>
                <w:sz w:val="18"/>
                <w:szCs w:val="18"/>
                <w:color w:val="auto"/>
              </w:rPr>
            </w:pPr>
          </w:p>
        </w:tc>
        <w:tc>
          <w:tcPr>
            <w:tcW w:w="5920" w:type="dxa"/>
            <w:vAlign w:val="bottom"/>
            <w:gridSpan w:val="2"/>
          </w:tcPr>
          <w:p>
            <w:pPr>
              <w:ind w:left="420"/>
              <w:spacing w:after="0"/>
              <w:rPr>
                <w:sz w:val="20"/>
                <w:szCs w:val="20"/>
                <w:color w:val="auto"/>
              </w:rPr>
            </w:pPr>
            <w:r>
              <w:rPr>
                <w:rFonts w:ascii="Arial" w:cs="Arial" w:eastAsia="Arial" w:hAnsi="Arial"/>
                <w:sz w:val="19"/>
                <w:szCs w:val="19"/>
                <w:color w:val="211F1F"/>
              </w:rPr>
              <w:t>150 Royall Street, Suite 101</w:t>
            </w:r>
          </w:p>
        </w:tc>
        <w:tc>
          <w:tcPr>
            <w:tcW w:w="0" w:type="dxa"/>
            <w:vAlign w:val="bottom"/>
          </w:tcPr>
          <w:p>
            <w:pPr>
              <w:spacing w:after="0"/>
              <w:rPr>
                <w:sz w:val="1"/>
                <w:szCs w:val="1"/>
                <w:color w:val="auto"/>
              </w:rPr>
            </w:pPr>
          </w:p>
        </w:tc>
      </w:tr>
      <w:tr>
        <w:trPr>
          <w:trHeight w:val="256"/>
        </w:trPr>
        <w:tc>
          <w:tcPr>
            <w:tcW w:w="4000" w:type="dxa"/>
            <w:vAlign w:val="bottom"/>
            <w:vMerge w:val="restart"/>
          </w:tcPr>
          <w:p>
            <w:pPr>
              <w:spacing w:after="0"/>
              <w:rPr>
                <w:sz w:val="20"/>
                <w:szCs w:val="20"/>
                <w:color w:val="auto"/>
              </w:rPr>
            </w:pPr>
            <w:r>
              <w:rPr>
                <w:rFonts w:ascii="Arial" w:cs="Arial" w:eastAsia="Arial" w:hAnsi="Arial"/>
                <w:sz w:val="22"/>
                <w:szCs w:val="22"/>
                <w:b w:val="1"/>
                <w:bCs w:val="1"/>
                <w:color w:val="DB248F"/>
              </w:rPr>
              <w:t>COMMON STOCK LISTING</w:t>
            </w:r>
          </w:p>
        </w:tc>
        <w:tc>
          <w:tcPr>
            <w:tcW w:w="5920" w:type="dxa"/>
            <w:vAlign w:val="bottom"/>
            <w:gridSpan w:val="2"/>
          </w:tcPr>
          <w:p>
            <w:pPr>
              <w:ind w:left="420"/>
              <w:spacing w:after="0"/>
              <w:rPr>
                <w:sz w:val="20"/>
                <w:szCs w:val="20"/>
                <w:color w:val="auto"/>
              </w:rPr>
            </w:pPr>
            <w:r>
              <w:rPr>
                <w:rFonts w:ascii="Arial" w:cs="Arial" w:eastAsia="Arial" w:hAnsi="Arial"/>
                <w:sz w:val="19"/>
                <w:szCs w:val="19"/>
                <w:color w:val="211F1F"/>
              </w:rPr>
              <w:t>Canton, MA 02021</w:t>
            </w:r>
          </w:p>
        </w:tc>
        <w:tc>
          <w:tcPr>
            <w:tcW w:w="0" w:type="dxa"/>
            <w:vAlign w:val="bottom"/>
          </w:tcPr>
          <w:p>
            <w:pPr>
              <w:spacing w:after="0"/>
              <w:rPr>
                <w:sz w:val="1"/>
                <w:szCs w:val="1"/>
                <w:color w:val="auto"/>
              </w:rPr>
            </w:pPr>
          </w:p>
        </w:tc>
      </w:tr>
      <w:tr>
        <w:trPr>
          <w:trHeight w:val="304"/>
        </w:trPr>
        <w:tc>
          <w:tcPr>
            <w:tcW w:w="400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000" w:type="dxa"/>
            <w:vAlign w:val="bottom"/>
          </w:tcPr>
          <w:p>
            <w:pPr>
              <w:spacing w:after="0"/>
              <w:rPr>
                <w:sz w:val="20"/>
                <w:szCs w:val="20"/>
                <w:color w:val="auto"/>
              </w:rPr>
            </w:pPr>
            <w:r>
              <w:rPr>
                <w:rFonts w:ascii="Arial" w:cs="Arial" w:eastAsia="Arial" w:hAnsi="Arial"/>
                <w:sz w:val="22"/>
                <w:szCs w:val="22"/>
                <w:b w:val="1"/>
                <w:bCs w:val="1"/>
                <w:color w:val="211F1F"/>
              </w:rPr>
              <w:t>The Nasdaq Global Select Market</w:t>
            </w:r>
          </w:p>
        </w:tc>
        <w:tc>
          <w:tcPr>
            <w:tcW w:w="1820" w:type="dxa"/>
            <w:vAlign w:val="bottom"/>
          </w:tcPr>
          <w:p>
            <w:pPr>
              <w:ind w:left="420"/>
              <w:spacing w:after="0"/>
              <w:rPr>
                <w:sz w:val="20"/>
                <w:szCs w:val="20"/>
                <w:color w:val="auto"/>
              </w:rPr>
            </w:pPr>
            <w:r>
              <w:rPr>
                <w:rFonts w:ascii="Arial" w:cs="Arial" w:eastAsia="Arial" w:hAnsi="Arial"/>
                <w:sz w:val="19"/>
                <w:szCs w:val="19"/>
                <w:color w:val="211F1F"/>
              </w:rPr>
              <w:t>1-800-736-3001</w:t>
            </w:r>
          </w:p>
        </w:tc>
        <w:tc>
          <w:tcPr>
            <w:tcW w:w="4100" w:type="dxa"/>
            <w:vAlign w:val="bottom"/>
          </w:tcPr>
          <w:p>
            <w:pPr>
              <w:ind w:left="40"/>
              <w:spacing w:after="0"/>
              <w:rPr>
                <w:sz w:val="20"/>
                <w:szCs w:val="20"/>
                <w:color w:val="auto"/>
              </w:rPr>
            </w:pPr>
            <w:r>
              <w:rPr>
                <w:rFonts w:ascii="Arial" w:cs="Arial" w:eastAsia="Arial" w:hAnsi="Arial"/>
                <w:sz w:val="19"/>
                <w:szCs w:val="19"/>
                <w:color w:val="211F1F"/>
              </w:rPr>
              <w:t>/or/ 1-866-595-6048 (US, Canada, Puerto Rico)</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9"/>
                <w:szCs w:val="19"/>
                <w:color w:val="211F1F"/>
              </w:rPr>
              <w:t>Ticker symbol: PACB</w:t>
            </w:r>
          </w:p>
        </w:tc>
        <w:tc>
          <w:tcPr>
            <w:tcW w:w="1820" w:type="dxa"/>
            <w:vAlign w:val="bottom"/>
          </w:tcPr>
          <w:p>
            <w:pPr>
              <w:ind w:left="420"/>
              <w:spacing w:after="0"/>
              <w:rPr>
                <w:sz w:val="20"/>
                <w:szCs w:val="20"/>
                <w:color w:val="auto"/>
              </w:rPr>
            </w:pPr>
            <w:r>
              <w:rPr>
                <w:rFonts w:ascii="Arial" w:cs="Arial" w:eastAsia="Arial" w:hAnsi="Arial"/>
                <w:sz w:val="19"/>
                <w:szCs w:val="19"/>
                <w:color w:val="211F1F"/>
              </w:rPr>
              <w:t>1-781-575-3100</w:t>
            </w:r>
          </w:p>
        </w:tc>
        <w:tc>
          <w:tcPr>
            <w:tcW w:w="4100" w:type="dxa"/>
            <w:vAlign w:val="bottom"/>
          </w:tcPr>
          <w:p>
            <w:pPr>
              <w:ind w:left="40"/>
              <w:spacing w:after="0"/>
              <w:rPr>
                <w:sz w:val="20"/>
                <w:szCs w:val="20"/>
                <w:color w:val="auto"/>
              </w:rPr>
            </w:pPr>
            <w:r>
              <w:rPr>
                <w:rFonts w:ascii="Arial" w:cs="Arial" w:eastAsia="Arial" w:hAnsi="Arial"/>
                <w:sz w:val="19"/>
                <w:szCs w:val="19"/>
                <w:color w:val="211F1F"/>
              </w:rPr>
              <w:t>/or/ 1-781-575-2798 (non-US)</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5920" w:type="dxa"/>
            <w:vAlign w:val="bottom"/>
            <w:gridSpan w:val="2"/>
          </w:tcPr>
          <w:p>
            <w:pPr>
              <w:ind w:left="420"/>
              <w:spacing w:after="0"/>
              <w:rPr>
                <w:sz w:val="20"/>
                <w:szCs w:val="20"/>
                <w:color w:val="auto"/>
              </w:rPr>
            </w:pPr>
            <w:r>
              <w:rPr>
                <w:rFonts w:ascii="Arial" w:cs="Arial" w:eastAsia="Arial" w:hAnsi="Arial"/>
                <w:sz w:val="19"/>
                <w:szCs w:val="19"/>
                <w:color w:val="211F1F"/>
              </w:rPr>
              <w:t>www.computershare.com/investor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DB248F"/>
        </w:rPr>
        <w:t>CORPORATE HEADQUARTERS</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9"/>
          <w:szCs w:val="19"/>
          <w:color w:val="auto"/>
        </w:rPr>
        <w:t>1305 O’Brien Drive, Menlo Park, CA 94025 | 650.521.8000 | www.pacb.com</w:t>
      </w:r>
    </w:p>
    <w:p>
      <w:pPr>
        <w:spacing w:after="0" w:line="240"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color w:val="auto"/>
        </w:rPr>
        <w:t>Research use only. Not for use in diagnostic procedures. © 2026 Pacific Biosciences of California, Inc. (“PacBio”). All rights reserved. Information in this document is subject to change without notice. PacBio assumes no responsibility for any errors or omissions in this document. Certain notices, terms, conditions and/or use restrictions may pertain to your use of PacBio products and/or third-party products. Refer to the applicable PacBio terms and conditions of sale and to the applicable license terms at pacb.com/license. Pacific Biosciences, the PacBio logo, PacBio, Circulomics, SMRT, SMRTbell, Iso- Seq, Sequel,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Nanobind, Revio, Kinnex, PureTarget, Vega, SPRQ, Revio SPRQ and Vega SPRQ are trademarks of PacBio</w:t>
      </w:r>
      <w:r>
        <w:rPr>
          <w:rFonts w:ascii="Arial" w:cs="Arial" w:eastAsia="Arial" w:hAnsi="Arial"/>
          <w:sz w:val="21"/>
          <w:szCs w:val="21"/>
          <w:color w:val="auto"/>
        </w:rPr>
        <w:t>.</w:t>
      </w:r>
    </w:p>
    <w:p>
      <w:pPr>
        <w:sectPr>
          <w:pgSz w:w="12240" w:h="15840" w:orient="portrait"/>
          <w:cols w:equalWidth="0" w:num="1">
            <w:col w:w="10600"/>
          </w:cols>
          <w:pgMar w:left="900" w:top="1187" w:right="740" w:bottom="835" w:gutter="0" w:footer="0" w:header="0"/>
          <w:type w:val="continuous"/>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35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4"/>
          <w:szCs w:val="24"/>
          <w:color w:val="FFFFFF"/>
        </w:rPr>
        <w:t xml:space="preserve">Pacific </w:t>
      </w:r>
      <w:r>
        <w:rPr>
          <w:rFonts w:ascii="Arial" w:cs="Arial" w:eastAsia="Arial" w:hAnsi="Arial"/>
          <w:sz w:val="21"/>
          <w:szCs w:val="21"/>
          <w:color w:val="FFFFFF"/>
        </w:rPr>
        <w:t>Biosciences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FFFFFF"/>
        </w:rPr>
        <w:t>1305 O’Brien Drive Menlo Park, CA 94025</w:t>
      </w:r>
    </w:p>
    <w:p>
      <w:pPr>
        <w:spacing w:after="0" w:line="35" w:lineRule="exact"/>
        <w:rPr>
          <w:sz w:val="20"/>
          <w:szCs w:val="20"/>
          <w:color w:val="auto"/>
        </w:rPr>
      </w:pPr>
    </w:p>
    <w:p>
      <w:pPr>
        <w:spacing w:after="0"/>
        <w:rPr>
          <w:sz w:val="20"/>
          <w:szCs w:val="20"/>
          <w:color w:val="auto"/>
        </w:rPr>
      </w:pPr>
      <w:r>
        <w:rPr>
          <w:rFonts w:ascii="Arial" w:cs="Arial" w:eastAsia="Arial" w:hAnsi="Arial"/>
          <w:sz w:val="24"/>
          <w:szCs w:val="24"/>
          <w:color w:val="FFFFFF"/>
        </w:rPr>
        <w:t>650.521.8000 | www.pacb.com</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ambria Math">
    <w:panose1 w:val="02040503050406030204"/>
    <w:charset w:val="00"/>
    <w:family w:val="roman"/>
    <w:pitch w:val="variable"/>
    <w:sig w:usb0="E00002FF" w:usb1="420024FF" w:usb2="00000000" w:usb3="00000000" w:csb0="2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x"/>
      <w:numFmt w:val="bullet"/>
      <w:start w:val="1"/>
    </w:lvl>
  </w:abstractNum>
  <w:abstractNum w:abstractNumId="3">
    <w:nsid w:val="2901D82"/>
    <w:multiLevelType w:val="hybridMultilevel"/>
    <w:lvl w:ilvl="0">
      <w:lvlJc w:val="left"/>
      <w:lvlText w:val="o"/>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upperLetter"/>
      <w:start w:val="61"/>
    </w:lvl>
  </w:abstractNum>
  <w:abstractNum w:abstractNumId="10">
    <w:nsid w:val="22221A70"/>
    <w:multiLevelType w:val="hybridMultilevel"/>
    <w:lvl w:ilvl="0">
      <w:lvlJc w:val="left"/>
      <w:lvlText w:val="%1."/>
      <w:numFmt w:val="upperLetter"/>
      <w:start w:val="6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2"/>
    </w:lvl>
  </w:abstractNum>
  <w:abstractNum w:abstractNumId="49">
    <w:nsid w:val="75C6C33A"/>
    <w:multiLevelType w:val="hybridMultilevel"/>
    <w:lvl w:ilvl="0">
      <w:lvlJc w:val="left"/>
      <w:lvlText w:val="(%1)"/>
      <w:numFmt w:val="lowerLetter"/>
      <w:start w:val="1"/>
    </w:lvl>
    <w:lvl w:ilvl="1">
      <w:lvlJc w:val="left"/>
      <w:lvlText w:val="%2."/>
      <w:numFmt w:val="decimal"/>
      <w:start w:val="1"/>
    </w:lvl>
  </w:abstractNum>
  <w:abstractNum w:abstractNumId="50">
    <w:nsid w:val="12E685FB"/>
    <w:multiLevelType w:val="hybridMultilevel"/>
    <w:lvl w:ilvl="0">
      <w:lvlJc w:val="left"/>
      <w:lvlText w:val="%1"/>
      <w:numFmt w:val="decimal"/>
      <w:start w:val="104"/>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2026-04-23T21:22:42Z</dcterms:created>
  <dcterms:modified xsi:type="dcterms:W3CDTF">2026-04-23T21:22:42Z</dcterms:modified>
</cp:coreProperties>
</file>