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0" w:after="0"/>
        <w:jc w:val="center"/>
        <w:rPr/>
      </w:pPr>
      <w:r>
        <w:rPr>
          <w:rFonts w:ascii="Wingdings;sans-serif" w:hAnsi="Wingdings;sans-serif"/>
          <w:b w:val="false"/>
          <w:color w:val="000000"/>
          <w:sz w:val="20"/>
        </w:rPr>
        <w:t xml:space="preserve">x </w:t>
      </w:r>
      <w:r>
        <w:rPr>
          <w:rFonts w:ascii="Times New Roman;serif" w:hAnsi="Times New Roman;serif"/>
          <w:b/>
          <w:color w:val="000000"/>
          <w:sz w:val="20"/>
        </w:rPr>
        <w:t>ANNUAL REPORT PURSUANT TO SECTION 13 OR 15(d) OF THE SECURITIES EXCHANGE ACT OF 1934</w:t>
      </w:r>
    </w:p>
    <w:p>
      <w:pPr>
        <w:pStyle w:val="TextBody"/>
        <w:bidi w:val="0"/>
        <w:spacing w:lineRule="auto" w:line="288" w:before="0" w:after="0"/>
        <w:jc w:val="center"/>
        <w:rPr/>
      </w:pPr>
      <w:r>
        <w:rPr>
          <w:rFonts w:ascii="Times New Roman;serif" w:hAnsi="Times New Roman;serif"/>
          <w:b/>
          <w:color w:val="000000"/>
          <w:sz w:val="18"/>
        </w:rPr>
        <w:t xml:space="preserve">For the fiscal year ended </w:t>
      </w:r>
      <w:r>
        <w:rPr>
          <w:rFonts w:ascii="Times New Roman;serif" w:hAnsi="Times New Roman;serif"/>
          <w:b/>
          <w:color w:val="000000"/>
          <w:sz w:val="20"/>
        </w:rPr>
        <w:t>December 31, 2025</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center"/>
        <w:rPr/>
      </w:pPr>
      <w:r>
        <w:rPr>
          <w:rFonts w:ascii="Wingdings;sans-serif" w:hAnsi="Wingdings;sans-serif"/>
          <w:b w:val="false"/>
          <w:color w:val="000000"/>
          <w:sz w:val="20"/>
        </w:rPr>
        <w:t xml:space="preserve">o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001-34899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w:t>
      </w:r>
    </w:p>
    <w:p>
      <w:pPr>
        <w:pStyle w:val="TextBody"/>
        <w:bidi w:val="0"/>
        <w:spacing w:before="200" w:after="283"/>
        <w:jc w:val="center"/>
        <w:rPr/>
      </w:pPr>
      <w:r>
        <w:rPr/>
        <w:drawing>
          <wp:inline distT="0" distB="0" distL="0" distR="0">
            <wp:extent cx="21907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457200"/>
                    </a:xfrm>
                    <a:prstGeom prst="rect">
                      <a:avLst/>
                    </a:prstGeom>
                  </pic:spPr>
                </pic:pic>
              </a:graphicData>
            </a:graphic>
          </wp:inline>
        </w:drawing>
      </w:r>
      <w:bookmarkStart w:id="0" w:name="i-1"/>
      <w:bookmarkEnd w:id="0"/>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Pacific Biosciences of California,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w:t>
      </w:r>
    </w:p>
    <w:tbl>
      <w:tblPr>
        <w:tblW w:w="4409" w:type="dxa"/>
        <w:jc w:val="left"/>
        <w:tblInd w:w="0" w:type="dxa"/>
        <w:tblLayout w:type="fixed"/>
        <w:tblCellMar>
          <w:top w:w="28" w:type="dxa"/>
          <w:left w:w="28" w:type="dxa"/>
          <w:bottom w:w="28" w:type="dxa"/>
          <w:right w:w="28" w:type="dxa"/>
        </w:tblCellMar>
      </w:tblPr>
      <w:tblGrid>
        <w:gridCol w:w="1058"/>
        <w:gridCol w:w="929"/>
        <w:gridCol w:w="938"/>
        <w:gridCol w:w="432"/>
        <w:gridCol w:w="432"/>
        <w:gridCol w:w="620"/>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16-1590339</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1305 O’Brien Drive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Menlo Park, CA 94025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94025</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(650) 521-8000</w:t>
      </w:r>
    </w:p>
    <w:p>
      <w:pPr>
        <w:pStyle w:val="TextBody"/>
        <w:bidi w:val="0"/>
        <w:spacing w:lineRule="auto" w:line="288" w:before="0" w:after="0"/>
        <w:jc w:val="center"/>
        <w:rPr/>
      </w:pPr>
      <w:r>
        <w:rPr>
          <w:rFonts w:ascii="Times New Roman;serif" w:hAnsi="Times New Roman;serif"/>
          <w:b/>
          <w:color w:val="000000"/>
          <w:sz w:val="18"/>
        </w:rPr>
        <w:t>Securities registered pursuant to Section 12(b) of the Act:</w:t>
      </w:r>
      <w:r>
        <w:rPr>
          <w:color w:val="000000"/>
        </w:rPr>
        <w:t xml:space="preserve"> </w:t>
      </w:r>
    </w:p>
    <w:tbl>
      <w:tblPr>
        <w:tblW w:w="8901" w:type="dxa"/>
        <w:jc w:val="left"/>
        <w:tblInd w:w="0" w:type="dxa"/>
        <w:tblLayout w:type="fixed"/>
        <w:tblCellMar>
          <w:top w:w="28" w:type="dxa"/>
          <w:left w:w="28" w:type="dxa"/>
          <w:bottom w:w="28" w:type="dxa"/>
          <w:right w:w="28" w:type="dxa"/>
        </w:tblCellMar>
      </w:tblPr>
      <w:tblGrid>
        <w:gridCol w:w="1241"/>
        <w:gridCol w:w="1088"/>
        <w:gridCol w:w="1105"/>
        <w:gridCol w:w="109"/>
        <w:gridCol w:w="109"/>
        <w:gridCol w:w="109"/>
        <w:gridCol w:w="484"/>
        <w:gridCol w:w="484"/>
        <w:gridCol w:w="486"/>
        <w:gridCol w:w="109"/>
        <w:gridCol w:w="109"/>
        <w:gridCol w:w="109"/>
        <w:gridCol w:w="983"/>
        <w:gridCol w:w="983"/>
        <w:gridCol w:w="1393"/>
      </w:tblGrid>
      <w:tr>
        <w:trPr/>
        <w:tc>
          <w:tcPr>
            <w:tcW w:w="124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Name of each exchange on which registered </w:t>
            </w:r>
          </w:p>
        </w:tc>
      </w:tr>
      <w:tr>
        <w:trPr/>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PACB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12(g) of the Act: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w:t>
      </w:r>
    </w:p>
    <w:p>
      <w:pPr>
        <w:pStyle w:val="TextBody"/>
        <w:bidi w:val="0"/>
        <w:spacing w:lineRule="auto" w:line="288" w:before="0" w:after="0"/>
        <w:ind w:left="0" w:right="0" w:firstLine="360"/>
        <w:jc w:val="both"/>
        <w:rPr/>
      </w:pPr>
      <w:r>
        <w:rPr>
          <w:rFonts w:ascii="Times New Roman;serif" w:hAnsi="Times New Roman;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360"/>
        <w:jc w:val="both"/>
        <w:rPr/>
      </w:pPr>
      <w:r>
        <w:rPr>
          <w:rFonts w:ascii="Times New Roman;serif" w:hAnsi="Times New Roman;serif"/>
          <w:b w:val="false"/>
          <w:color w:val="000000"/>
          <w:sz w:val="18"/>
        </w:rPr>
        <w:t xml:space="preserve">Indicate by check mark if the registrant is not required to file reports pursuant to Section 13 or Section 15(d) of the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20" w:after="283"/>
        <w:ind w:left="0" w:right="0" w:firstLine="36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36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ind w:left="0" w:right="0" w:firstLine="360"/>
        <w:jc w:val="both"/>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8"/>
        </w:rPr>
        <w:t>x</w:t>
      </w:r>
    </w:p>
    <w:p>
      <w:pPr>
        <w:pStyle w:val="TextBody"/>
        <w:bidi w:val="0"/>
        <w:spacing w:lineRule="auto" w:line="288" w:before="120" w:after="283"/>
        <w:ind w:left="0" w:right="0" w:firstLine="360"/>
        <w:jc w:val="both"/>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bidi w:val="0"/>
        <w:spacing w:lineRule="auto" w:line="288" w:before="120" w:after="283"/>
        <w:ind w:left="0" w:right="0" w:firstLine="360"/>
        <w:jc w:val="both"/>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8"/>
        </w:rPr>
        <w:t>o</w:t>
      </w:r>
    </w:p>
    <w:p>
      <w:pPr>
        <w:pStyle w:val="TextBody"/>
        <w:bidi w:val="0"/>
        <w:spacing w:lineRule="auto" w:line="288" w:before="120" w:after="283"/>
        <w:ind w:left="0" w:right="0" w:firstLine="360"/>
        <w:jc w:val="both"/>
        <w:rPr/>
      </w:pPr>
      <w:r>
        <w:rPr>
          <w:rFonts w:ascii="Times New Roman;serif" w:hAnsi="Times New Roman;serif"/>
          <w:b w:val="false"/>
          <w:color w:val="000000"/>
          <w:sz w:val="18"/>
        </w:rPr>
        <w:t xml:space="preserve">Indicate by check mark whether the registrant is a shell company (as defined in Rule 12b-2 of the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Aggregate market value of registrant’s common stock held by non-affiliates of the registrant on June 30, 2025 (the last business day of the registrant’s most recently completed second fiscal quarter), based upon the closing price of common stock on such date as reported by NASDAQ Global Select Market, was approximately $369.9 million. Shares of voting stock held by each officer and director have been excluded in that such persons may be deemed to be affiliates. This assumption regarding affiliate status is not necessarily a conclusive determination for other purposes.</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Number of shares outstanding of the registrant’s common stock as of January 31, 2026: 301,998,292</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Portions of the registrant’s definitive Proxy Statement relating to its 2026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0" w:after="0"/>
        <w:jc w:val="center"/>
        <w:rPr>
          <w:rFonts w:ascii="Roboto;sans-serif" w:hAnsi="Roboto;sans-serif"/>
          <w:b/>
          <w:color w:val="DF1995"/>
          <w:sz w:val="24"/>
        </w:rPr>
      </w:pPr>
      <w:r>
        <w:rPr>
          <w:rFonts w:ascii="Roboto;sans-serif" w:hAnsi="Roboto;sans-serif"/>
          <w:b/>
          <w:color w:val="DF1995"/>
          <w:sz w:val="24"/>
        </w:rPr>
        <w:t>Pacific Biosciences of California, Inc.</w:t>
      </w:r>
    </w:p>
    <w:p>
      <w:pPr>
        <w:pStyle w:val="TextBody"/>
        <w:bidi w:val="0"/>
        <w:spacing w:lineRule="auto" w:line="288" w:before="80" w:after="283"/>
        <w:jc w:val="center"/>
        <w:rPr>
          <w:rFonts w:ascii="Roboto;sans-serif" w:hAnsi="Roboto;sans-serif"/>
          <w:b/>
          <w:color w:val="000000"/>
          <w:sz w:val="22"/>
        </w:rPr>
      </w:pPr>
      <w:r>
        <w:rPr>
          <w:rFonts w:ascii="Roboto;sans-serif" w:hAnsi="Roboto;sans-serif"/>
          <w:b/>
          <w:color w:val="000000"/>
          <w:sz w:val="22"/>
        </w:rPr>
        <w:t xml:space="preserve">Annual Report on Form 10-K </w:t>
      </w:r>
    </w:p>
    <w:p>
      <w:pPr>
        <w:pStyle w:val="TextBody"/>
        <w:bidi w:val="0"/>
        <w:spacing w:lineRule="auto" w:line="288" w:before="80" w:after="283"/>
        <w:jc w:val="center"/>
        <w:rPr>
          <w:rFonts w:ascii="Roboto;sans-serif" w:hAnsi="Roboto;sans-serif"/>
          <w:b/>
          <w:color w:val="000000"/>
          <w:sz w:val="22"/>
        </w:rPr>
      </w:pPr>
      <w:r>
        <w:rPr>
          <w:rFonts w:ascii="Roboto;sans-serif" w:hAnsi="Roboto;sans-serif"/>
          <w:b/>
          <w:color w:val="000000"/>
          <w:sz w:val="22"/>
        </w:rPr>
        <w:t>For the Fiscal Year Ended December 31, 2025</w:t>
      </w:r>
    </w:p>
    <w:p>
      <w:pPr>
        <w:pStyle w:val="TextBody"/>
        <w:bidi w:val="0"/>
        <w:spacing w:lineRule="auto" w:line="288" w:before="80" w:after="283"/>
        <w:jc w:val="center"/>
        <w:rPr>
          <w:rFonts w:ascii="Roboto;sans-serif" w:hAnsi="Roboto;sans-serif"/>
          <w:b/>
          <w:color w:val="000000"/>
          <w:sz w:val="22"/>
        </w:rPr>
      </w:pPr>
      <w:r>
        <w:rPr>
          <w:rFonts w:ascii="Roboto;sans-serif" w:hAnsi="Roboto;sans-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378"/>
        <w:gridCol w:w="332"/>
        <w:gridCol w:w="335"/>
        <w:gridCol w:w="2868"/>
        <w:gridCol w:w="2767"/>
        <w:gridCol w:w="2763"/>
        <w:gridCol w:w="221"/>
        <w:gridCol w:w="221"/>
        <w:gridCol w:w="320"/>
      </w:tblGrid>
      <w:tr>
        <w:trPr/>
        <w:tc>
          <w:tcPr>
            <w:tcW w:w="3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 xml:space="preserve">Page </w:t>
            </w:r>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DF1995" w:val="clear"/>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3">
              <w:r>
                <w:rPr>
                  <w:rStyle w:val="InternetLink"/>
                  <w:rFonts w:ascii="Roboto;sans-serif" w:hAnsi="Roboto;sans-serif"/>
                  <w:b/>
                  <w:color w:val="FFFFFF"/>
                  <w:sz w:val="22"/>
                  <w:u w:val="single"/>
                </w:rPr>
                <w:t>PART I</w:t>
              </w:r>
            </w:hyperlink>
          </w:p>
        </w:tc>
        <w:tc>
          <w:tcPr>
            <w:tcW w:w="8398" w:type="dxa"/>
            <w:gridSpan w:val="3"/>
            <w:tcBorders/>
            <w:shd w:fill="DF19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F19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6">
              <w:r>
                <w:rPr>
                  <w:rStyle w:val="InternetLink"/>
                  <w:rFonts w:ascii="Roboto;sans-serif" w:hAnsi="Roboto;sans-serif"/>
                  <w:b w:val="false"/>
                  <w:color w:val="0E32E1"/>
                  <w:sz w:val="20"/>
                  <w:u w:val="single"/>
                </w:rPr>
                <w:t>Item 1.</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6">
              <w:r>
                <w:rPr>
                  <w:rStyle w:val="InternetLink"/>
                  <w:rFonts w:ascii="Roboto;sans-serif" w:hAnsi="Roboto;sans-serif"/>
                  <w:b w:val="false"/>
                  <w:color w:val="000000"/>
                  <w:sz w:val="20"/>
                  <w:u w:val="single"/>
                </w:rPr>
                <w:t>Business</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16">
              <w:r>
                <w:rPr>
                  <w:rStyle w:val="InternetLink"/>
                  <w:rFonts w:ascii="Roboto;sans-serif" w:hAnsi="Roboto;sans-serif"/>
                  <w:b w:val="false"/>
                  <w:strike w:val="false"/>
                  <w:dstrike w:val="false"/>
                  <w:color w:val="000000"/>
                  <w:sz w:val="20"/>
                  <w:u w:val="none"/>
                  <w:effect w:val="none"/>
                </w:rPr>
                <w:t>3</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9">
              <w:r>
                <w:rPr>
                  <w:rStyle w:val="InternetLink"/>
                  <w:rFonts w:ascii="Roboto;sans-serif" w:hAnsi="Roboto;sans-serif"/>
                  <w:b w:val="false"/>
                  <w:color w:val="0E32E1"/>
                  <w:sz w:val="20"/>
                  <w:u w:val="single"/>
                </w:rPr>
                <w:t>Item 1A.</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9">
              <w:r>
                <w:rPr>
                  <w:rStyle w:val="InternetLink"/>
                  <w:rFonts w:ascii="Roboto;sans-serif" w:hAnsi="Roboto;sans-serif"/>
                  <w:b w:val="false"/>
                  <w:color w:val="000000"/>
                  <w:sz w:val="20"/>
                  <w:u w:val="single"/>
                </w:rPr>
                <w:t>Risk Factors</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19">
              <w:r>
                <w:rPr>
                  <w:rStyle w:val="InternetLink"/>
                  <w:rFonts w:ascii="Roboto;sans-serif" w:hAnsi="Roboto;sans-serif"/>
                  <w:b w:val="false"/>
                  <w:strike w:val="false"/>
                  <w:dstrike w:val="false"/>
                  <w:color w:val="000000"/>
                  <w:sz w:val="20"/>
                  <w:u w:val="none"/>
                  <w:effect w:val="none"/>
                </w:rPr>
                <w:t>14</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22">
              <w:r>
                <w:rPr>
                  <w:rStyle w:val="InternetLink"/>
                  <w:rFonts w:ascii="Roboto;sans-serif" w:hAnsi="Roboto;sans-serif"/>
                  <w:b w:val="false"/>
                  <w:color w:val="0E32E1"/>
                  <w:sz w:val="20"/>
                  <w:u w:val="single"/>
                </w:rPr>
                <w:t>Item 1B.</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22">
              <w:r>
                <w:rPr>
                  <w:rStyle w:val="InternetLink"/>
                  <w:rFonts w:ascii="Roboto;sans-serif" w:hAnsi="Roboto;sans-serif"/>
                  <w:b w:val="false"/>
                  <w:color w:val="000000"/>
                  <w:sz w:val="20"/>
                  <w:u w:val="single"/>
                </w:rPr>
                <w:t>Unresolved Staff Comments</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22">
              <w:r>
                <w:rPr>
                  <w:rStyle w:val="InternetLink"/>
                  <w:rFonts w:ascii="Roboto;sans-serif" w:hAnsi="Roboto;sans-serif"/>
                  <w:b w:val="false"/>
                  <w:strike w:val="false"/>
                  <w:dstrike w:val="false"/>
                  <w:color w:val="000000"/>
                  <w:sz w:val="20"/>
                  <w:u w:val="none"/>
                  <w:effect w:val="none"/>
                </w:rPr>
                <w:t>55</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25">
              <w:r>
                <w:rPr>
                  <w:rStyle w:val="InternetLink"/>
                  <w:rFonts w:ascii="Roboto;sans-serif" w:hAnsi="Roboto;sans-serif"/>
                  <w:b w:val="false"/>
                  <w:color w:val="0E32E1"/>
                  <w:sz w:val="20"/>
                  <w:u w:val="single"/>
                </w:rPr>
                <w:t>Item 1C.</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25">
              <w:r>
                <w:rPr>
                  <w:rStyle w:val="InternetLink"/>
                  <w:rFonts w:ascii="Roboto;sans-serif" w:hAnsi="Roboto;sans-serif"/>
                  <w:b w:val="false"/>
                  <w:color w:val="000000"/>
                  <w:sz w:val="20"/>
                  <w:u w:val="single"/>
                </w:rPr>
                <w:t>Cybersecurity</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22">
              <w:r>
                <w:rPr>
                  <w:rStyle w:val="InternetLink"/>
                  <w:rFonts w:ascii="Roboto;sans-serif" w:hAnsi="Roboto;sans-serif"/>
                  <w:b w:val="false"/>
                  <w:strike w:val="false"/>
                  <w:dstrike w:val="false"/>
                  <w:color w:val="000000"/>
                  <w:sz w:val="20"/>
                  <w:u w:val="none"/>
                  <w:effect w:val="none"/>
                </w:rPr>
                <w:t>55</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28">
              <w:r>
                <w:rPr>
                  <w:rStyle w:val="InternetLink"/>
                  <w:rFonts w:ascii="Roboto;sans-serif" w:hAnsi="Roboto;sans-serif"/>
                  <w:b w:val="false"/>
                  <w:color w:val="0E32E1"/>
                  <w:sz w:val="20"/>
                  <w:u w:val="single"/>
                </w:rPr>
                <w:t>Item 2.</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28">
              <w:r>
                <w:rPr>
                  <w:rStyle w:val="InternetLink"/>
                  <w:rFonts w:ascii="Roboto;sans-serif" w:hAnsi="Roboto;sans-serif"/>
                  <w:b w:val="false"/>
                  <w:color w:val="000000"/>
                  <w:sz w:val="20"/>
                  <w:u w:val="single"/>
                </w:rPr>
                <w:t>Properties</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28">
              <w:r>
                <w:rPr>
                  <w:rStyle w:val="InternetLink"/>
                  <w:rFonts w:ascii="Roboto;sans-serif" w:hAnsi="Roboto;sans-serif"/>
                  <w:b w:val="false"/>
                  <w:strike w:val="false"/>
                  <w:dstrike w:val="false"/>
                  <w:color w:val="000000"/>
                  <w:sz w:val="20"/>
                  <w:u w:val="none"/>
                  <w:effect w:val="none"/>
                </w:rPr>
                <w:t>56</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31">
              <w:r>
                <w:rPr>
                  <w:rStyle w:val="InternetLink"/>
                  <w:rFonts w:ascii="Roboto;sans-serif" w:hAnsi="Roboto;sans-serif"/>
                  <w:b w:val="false"/>
                  <w:color w:val="0E32E1"/>
                  <w:sz w:val="20"/>
                  <w:u w:val="single"/>
                </w:rPr>
                <w:t>Item 3.</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31">
              <w:r>
                <w:rPr>
                  <w:rStyle w:val="InternetLink"/>
                  <w:rFonts w:ascii="Roboto;sans-serif" w:hAnsi="Roboto;sans-serif"/>
                  <w:b w:val="false"/>
                  <w:color w:val="000000"/>
                  <w:sz w:val="20"/>
                  <w:u w:val="single"/>
                </w:rPr>
                <w:t>Legal Proceedings</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31">
              <w:r>
                <w:rPr>
                  <w:rStyle w:val="InternetLink"/>
                  <w:rFonts w:ascii="Roboto;sans-serif" w:hAnsi="Roboto;sans-serif"/>
                  <w:b w:val="false"/>
                  <w:strike w:val="false"/>
                  <w:dstrike w:val="false"/>
                  <w:color w:val="000000"/>
                  <w:sz w:val="20"/>
                  <w:u w:val="none"/>
                  <w:effect w:val="none"/>
                </w:rPr>
                <w:t>57</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34">
              <w:r>
                <w:rPr>
                  <w:rStyle w:val="InternetLink"/>
                  <w:rFonts w:ascii="Roboto;sans-serif" w:hAnsi="Roboto;sans-serif"/>
                  <w:b w:val="false"/>
                  <w:color w:val="0E32E1"/>
                  <w:sz w:val="20"/>
                  <w:u w:val="single"/>
                </w:rPr>
                <w:t>Item 4.</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34">
              <w:r>
                <w:rPr>
                  <w:rStyle w:val="InternetLink"/>
                  <w:rFonts w:ascii="Roboto;sans-serif" w:hAnsi="Roboto;sans-serif"/>
                  <w:b w:val="false"/>
                  <w:color w:val="000000"/>
                  <w:sz w:val="20"/>
                  <w:u w:val="single"/>
                </w:rPr>
                <w:t>Mine Safety Disclosures</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34">
              <w:r>
                <w:rPr>
                  <w:rStyle w:val="InternetLink"/>
                  <w:rFonts w:ascii="Roboto;sans-serif" w:hAnsi="Roboto;sans-serif"/>
                  <w:b w:val="false"/>
                  <w:strike w:val="false"/>
                  <w:dstrike w:val="false"/>
                  <w:color w:val="000000"/>
                  <w:sz w:val="20"/>
                  <w:u w:val="none"/>
                  <w:effect w:val="none"/>
                </w:rPr>
                <w:t>57</w:t>
              </w:r>
            </w:hyperlink>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DF1995" w:val="clear"/>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37">
              <w:r>
                <w:rPr>
                  <w:rStyle w:val="InternetLink"/>
                  <w:rFonts w:ascii="Roboto;sans-serif" w:hAnsi="Roboto;sans-serif"/>
                  <w:b/>
                  <w:color w:val="FFFFFF"/>
                  <w:sz w:val="22"/>
                  <w:u w:val="single"/>
                </w:rPr>
                <w:t>PART II</w:t>
              </w:r>
            </w:hyperlink>
          </w:p>
        </w:tc>
        <w:tc>
          <w:tcPr>
            <w:tcW w:w="8398" w:type="dxa"/>
            <w:gridSpan w:val="3"/>
            <w:tcBorders/>
            <w:shd w:fill="DF19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F19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40">
              <w:r>
                <w:rPr>
                  <w:rStyle w:val="InternetLink"/>
                  <w:rFonts w:ascii="Roboto;sans-serif" w:hAnsi="Roboto;sans-serif"/>
                  <w:b w:val="false"/>
                  <w:color w:val="0E32E1"/>
                  <w:sz w:val="20"/>
                  <w:u w:val="single"/>
                </w:rPr>
                <w:t>Item 5.</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40">
              <w:r>
                <w:rPr>
                  <w:rStyle w:val="InternetLink"/>
                  <w:rFonts w:ascii="Roboto;sans-serif" w:hAnsi="Roboto;sans-serif"/>
                  <w:b w:val="false"/>
                  <w:color w:val="000000"/>
                  <w:sz w:val="20"/>
                  <w:u w:val="single"/>
                </w:rPr>
                <w:t>Market for Registrant’s Common Equity, Related Stockholder Matters and Issuer Purchases of Equity Securities</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40">
              <w:r>
                <w:rPr>
                  <w:rStyle w:val="InternetLink"/>
                  <w:rFonts w:ascii="Roboto;sans-serif" w:hAnsi="Roboto;sans-serif"/>
                  <w:b w:val="false"/>
                  <w:strike w:val="false"/>
                  <w:dstrike w:val="false"/>
                  <w:color w:val="000000"/>
                  <w:sz w:val="20"/>
                  <w:u w:val="none"/>
                  <w:effect w:val="none"/>
                </w:rPr>
                <w:t>58</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43">
              <w:r>
                <w:rPr>
                  <w:rStyle w:val="InternetLink"/>
                  <w:rFonts w:ascii="Roboto;sans-serif" w:hAnsi="Roboto;sans-serif"/>
                  <w:b w:val="false"/>
                  <w:color w:val="0E32E1"/>
                  <w:sz w:val="20"/>
                  <w:u w:val="single"/>
                </w:rPr>
                <w:t>Item 6.</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43">
              <w:r>
                <w:rPr>
                  <w:rStyle w:val="InternetLink"/>
                  <w:rFonts w:ascii="Roboto;sans-serif" w:hAnsi="Roboto;sans-serif"/>
                  <w:b w:val="false"/>
                  <w:color w:val="000000"/>
                  <w:sz w:val="20"/>
                  <w:u w:val="single"/>
                </w:rPr>
                <w:t>[Reserved]</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43">
              <w:r>
                <w:rPr>
                  <w:rStyle w:val="InternetLink"/>
                  <w:rFonts w:ascii="Roboto;sans-serif" w:hAnsi="Roboto;sans-serif"/>
                  <w:b w:val="false"/>
                  <w:strike w:val="false"/>
                  <w:dstrike w:val="false"/>
                  <w:color w:val="000000"/>
                  <w:sz w:val="20"/>
                  <w:u w:val="none"/>
                  <w:effect w:val="none"/>
                </w:rPr>
                <w:t>59</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46">
              <w:r>
                <w:rPr>
                  <w:rStyle w:val="InternetLink"/>
                  <w:rFonts w:ascii="Roboto;sans-serif" w:hAnsi="Roboto;sans-serif"/>
                  <w:b w:val="false"/>
                  <w:color w:val="0E32E1"/>
                  <w:sz w:val="20"/>
                  <w:u w:val="single"/>
                </w:rPr>
                <w:t>Item 7.</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46">
              <w:r>
                <w:rPr>
                  <w:rStyle w:val="InternetLink"/>
                  <w:rFonts w:ascii="Roboto;sans-serif" w:hAnsi="Roboto;sans-serif"/>
                  <w:b w:val="false"/>
                  <w:color w:val="000000"/>
                  <w:sz w:val="20"/>
                  <w:u w:val="single"/>
                </w:rPr>
                <w:t>Management’s Discussion and Analysis of Financial Condition and Results of Operations</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46">
              <w:r>
                <w:rPr>
                  <w:rStyle w:val="InternetLink"/>
                  <w:rFonts w:ascii="Roboto;sans-serif" w:hAnsi="Roboto;sans-serif"/>
                  <w:b w:val="false"/>
                  <w:strike w:val="false"/>
                  <w:dstrike w:val="false"/>
                  <w:color w:val="000000"/>
                  <w:sz w:val="20"/>
                  <w:u w:val="none"/>
                  <w:effect w:val="none"/>
                </w:rPr>
                <w:t>60</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64">
              <w:r>
                <w:rPr>
                  <w:rStyle w:val="InternetLink"/>
                  <w:rFonts w:ascii="Roboto;sans-serif" w:hAnsi="Roboto;sans-serif"/>
                  <w:b w:val="false"/>
                  <w:color w:val="0E32E1"/>
                  <w:sz w:val="20"/>
                  <w:u w:val="single"/>
                </w:rPr>
                <w:t>Item 7A.</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64">
              <w:r>
                <w:rPr>
                  <w:rStyle w:val="InternetLink"/>
                  <w:rFonts w:ascii="Roboto;sans-serif" w:hAnsi="Roboto;sans-serif"/>
                  <w:b w:val="false"/>
                  <w:color w:val="000000"/>
                  <w:sz w:val="20"/>
                  <w:u w:val="single"/>
                </w:rPr>
                <w:t>Quantitative and Qualitative Disclosures about Market Risk</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64">
              <w:r>
                <w:rPr>
                  <w:rStyle w:val="InternetLink"/>
                  <w:rFonts w:ascii="Roboto;sans-serif" w:hAnsi="Roboto;sans-serif"/>
                  <w:b w:val="false"/>
                  <w:strike w:val="false"/>
                  <w:dstrike w:val="false"/>
                  <w:color w:val="000000"/>
                  <w:sz w:val="20"/>
                  <w:u w:val="none"/>
                  <w:effect w:val="none"/>
                </w:rPr>
                <w:t>76</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67">
              <w:r>
                <w:rPr>
                  <w:rStyle w:val="InternetLink"/>
                  <w:rFonts w:ascii="Roboto;sans-serif" w:hAnsi="Roboto;sans-serif"/>
                  <w:b w:val="false"/>
                  <w:color w:val="0E32E1"/>
                  <w:sz w:val="20"/>
                  <w:u w:val="single"/>
                </w:rPr>
                <w:t>Item 8.</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67">
              <w:r>
                <w:rPr>
                  <w:rStyle w:val="InternetLink"/>
                  <w:rFonts w:ascii="Roboto;sans-serif" w:hAnsi="Roboto;sans-serif"/>
                  <w:b w:val="false"/>
                  <w:color w:val="000000"/>
                  <w:sz w:val="20"/>
                  <w:u w:val="single"/>
                </w:rPr>
                <w:t>Financial Statements and Supplementary Data</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67">
              <w:r>
                <w:rPr>
                  <w:rStyle w:val="InternetLink"/>
                  <w:rFonts w:ascii="Roboto;sans-serif" w:hAnsi="Roboto;sans-serif"/>
                  <w:b w:val="false"/>
                  <w:strike w:val="false"/>
                  <w:dstrike w:val="false"/>
                  <w:color w:val="000000"/>
                  <w:sz w:val="20"/>
                  <w:u w:val="none"/>
                  <w:effect w:val="none"/>
                </w:rPr>
                <w:t>77</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36">
              <w:r>
                <w:rPr>
                  <w:rStyle w:val="InternetLink"/>
                  <w:rFonts w:ascii="Roboto;sans-serif" w:hAnsi="Roboto;sans-serif"/>
                  <w:b w:val="false"/>
                  <w:color w:val="0E32E1"/>
                  <w:sz w:val="20"/>
                  <w:u w:val="single"/>
                </w:rPr>
                <w:t>Item 9.</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36">
              <w:r>
                <w:rPr>
                  <w:rStyle w:val="InternetLink"/>
                  <w:rFonts w:ascii="Roboto;sans-serif" w:hAnsi="Roboto;sans-serif"/>
                  <w:b w:val="false"/>
                  <w:color w:val="000000"/>
                  <w:sz w:val="20"/>
                  <w:u w:val="single"/>
                </w:rPr>
                <w:t>Changes in and Disagreements with Accountants on Accounting and Financial Disclosure</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136">
              <w:r>
                <w:rPr>
                  <w:rStyle w:val="InternetLink"/>
                  <w:rFonts w:ascii="Roboto;sans-serif" w:hAnsi="Roboto;sans-serif"/>
                  <w:b w:val="false"/>
                  <w:strike w:val="false"/>
                  <w:dstrike w:val="false"/>
                  <w:color w:val="000000"/>
                  <w:sz w:val="20"/>
                  <w:u w:val="none"/>
                  <w:effect w:val="none"/>
                </w:rPr>
                <w:t>122</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39">
              <w:r>
                <w:rPr>
                  <w:rStyle w:val="InternetLink"/>
                  <w:rFonts w:ascii="Roboto;sans-serif" w:hAnsi="Roboto;sans-serif"/>
                  <w:b w:val="false"/>
                  <w:color w:val="0E32E1"/>
                  <w:sz w:val="20"/>
                  <w:u w:val="single"/>
                </w:rPr>
                <w:t>Item 9A.</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39">
              <w:r>
                <w:rPr>
                  <w:rStyle w:val="InternetLink"/>
                  <w:rFonts w:ascii="Roboto;sans-serif" w:hAnsi="Roboto;sans-serif"/>
                  <w:b w:val="false"/>
                  <w:color w:val="000000"/>
                  <w:sz w:val="20"/>
                  <w:u w:val="single"/>
                </w:rPr>
                <w:t>Controls and Procedures</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139">
              <w:r>
                <w:rPr>
                  <w:rStyle w:val="InternetLink"/>
                  <w:rFonts w:ascii="Roboto;sans-serif" w:hAnsi="Roboto;sans-serif"/>
                  <w:b w:val="false"/>
                  <w:strike w:val="false"/>
                  <w:dstrike w:val="false"/>
                  <w:color w:val="000000"/>
                  <w:sz w:val="20"/>
                  <w:u w:val="none"/>
                  <w:effect w:val="none"/>
                </w:rPr>
                <w:t>122</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45">
              <w:r>
                <w:rPr>
                  <w:rStyle w:val="InternetLink"/>
                  <w:rFonts w:ascii="Roboto;sans-serif" w:hAnsi="Roboto;sans-serif"/>
                  <w:b w:val="false"/>
                  <w:color w:val="0E32E1"/>
                  <w:sz w:val="20"/>
                  <w:u w:val="single"/>
                </w:rPr>
                <w:t>Item 9B.</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45">
              <w:r>
                <w:rPr>
                  <w:rStyle w:val="InternetLink"/>
                  <w:rFonts w:ascii="Roboto;sans-serif" w:hAnsi="Roboto;sans-serif"/>
                  <w:b w:val="false"/>
                  <w:color w:val="000000"/>
                  <w:sz w:val="20"/>
                  <w:u w:val="single"/>
                </w:rPr>
                <w:t>Other Information</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145">
              <w:r>
                <w:rPr>
                  <w:rStyle w:val="InternetLink"/>
                  <w:rFonts w:ascii="Roboto;sans-serif" w:hAnsi="Roboto;sans-serif"/>
                  <w:b w:val="false"/>
                  <w:strike w:val="false"/>
                  <w:dstrike w:val="false"/>
                  <w:color w:val="000000"/>
                  <w:sz w:val="20"/>
                  <w:u w:val="none"/>
                  <w:effect w:val="none"/>
                </w:rPr>
                <w:t>124</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48">
              <w:r>
                <w:rPr>
                  <w:rStyle w:val="InternetLink"/>
                  <w:rFonts w:ascii="Roboto;sans-serif" w:hAnsi="Roboto;sans-serif"/>
                  <w:b w:val="false"/>
                  <w:color w:val="0E32E1"/>
                  <w:sz w:val="20"/>
                  <w:u w:val="single"/>
                </w:rPr>
                <w:t>Item 9C</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48">
              <w:r>
                <w:rPr>
                  <w:rStyle w:val="InternetLink"/>
                  <w:rFonts w:ascii="Roboto;sans-serif" w:hAnsi="Roboto;sans-serif"/>
                  <w:b w:val="false"/>
                  <w:color w:val="000000"/>
                  <w:sz w:val="20"/>
                  <w:u w:val="single"/>
                </w:rPr>
                <w:t>Disclosure Regarding Foreign Jurisdictions that Prevent Inspections</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148">
              <w:r>
                <w:rPr>
                  <w:rStyle w:val="InternetLink"/>
                  <w:rFonts w:ascii="Roboto;sans-serif" w:hAnsi="Roboto;sans-serif"/>
                  <w:b w:val="false"/>
                  <w:strike w:val="false"/>
                  <w:dstrike w:val="false"/>
                  <w:color w:val="000000"/>
                  <w:sz w:val="20"/>
                  <w:u w:val="none"/>
                  <w:effect w:val="none"/>
                </w:rPr>
                <w:t>124</w:t>
              </w:r>
            </w:hyperlink>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DF1995" w:val="clear"/>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51">
              <w:r>
                <w:rPr>
                  <w:rStyle w:val="InternetLink"/>
                  <w:rFonts w:ascii="Roboto;sans-serif" w:hAnsi="Roboto;sans-serif"/>
                  <w:b/>
                  <w:color w:val="FFFFFF"/>
                  <w:sz w:val="22"/>
                  <w:u w:val="single"/>
                </w:rPr>
                <w:t>PART III</w:t>
              </w:r>
            </w:hyperlink>
          </w:p>
        </w:tc>
        <w:tc>
          <w:tcPr>
            <w:tcW w:w="8398" w:type="dxa"/>
            <w:gridSpan w:val="3"/>
            <w:tcBorders/>
            <w:shd w:fill="DF19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F19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54">
              <w:r>
                <w:rPr>
                  <w:rStyle w:val="InternetLink"/>
                  <w:rFonts w:ascii="Roboto;sans-serif" w:hAnsi="Roboto;sans-serif"/>
                  <w:b w:val="false"/>
                  <w:color w:val="0E32E1"/>
                  <w:sz w:val="20"/>
                  <w:u w:val="single"/>
                </w:rPr>
                <w:t>Item 10.</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54">
              <w:r>
                <w:rPr>
                  <w:rStyle w:val="InternetLink"/>
                  <w:rFonts w:ascii="Roboto;sans-serif" w:hAnsi="Roboto;sans-serif"/>
                  <w:b w:val="false"/>
                  <w:color w:val="000000"/>
                  <w:sz w:val="20"/>
                  <w:u w:val="single"/>
                </w:rPr>
                <w:t>Directors, Executive Officers and Corporate Governance</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154">
              <w:r>
                <w:rPr>
                  <w:rStyle w:val="InternetLink"/>
                  <w:rFonts w:ascii="Roboto;sans-serif" w:hAnsi="Roboto;sans-serif"/>
                  <w:b w:val="false"/>
                  <w:strike w:val="false"/>
                  <w:dstrike w:val="false"/>
                  <w:color w:val="000000"/>
                  <w:sz w:val="20"/>
                  <w:u w:val="none"/>
                  <w:effect w:val="none"/>
                </w:rPr>
                <w:t>125</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57">
              <w:r>
                <w:rPr>
                  <w:rStyle w:val="InternetLink"/>
                  <w:rFonts w:ascii="Roboto;sans-serif" w:hAnsi="Roboto;sans-serif"/>
                  <w:b w:val="false"/>
                  <w:color w:val="0E32E1"/>
                  <w:sz w:val="20"/>
                  <w:u w:val="single"/>
                </w:rPr>
                <w:t>Item 11.</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57">
              <w:r>
                <w:rPr>
                  <w:rStyle w:val="InternetLink"/>
                  <w:rFonts w:ascii="Roboto;sans-serif" w:hAnsi="Roboto;sans-serif"/>
                  <w:b w:val="false"/>
                  <w:color w:val="000000"/>
                  <w:sz w:val="20"/>
                  <w:u w:val="single"/>
                </w:rPr>
                <w:t>Executive Compensation</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157">
              <w:r>
                <w:rPr>
                  <w:rStyle w:val="InternetLink"/>
                  <w:rFonts w:ascii="Roboto;sans-serif" w:hAnsi="Roboto;sans-serif"/>
                  <w:b w:val="false"/>
                  <w:strike w:val="false"/>
                  <w:dstrike w:val="false"/>
                  <w:color w:val="000000"/>
                  <w:sz w:val="20"/>
                  <w:u w:val="none"/>
                  <w:effect w:val="none"/>
                </w:rPr>
                <w:t>125</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60">
              <w:r>
                <w:rPr>
                  <w:rStyle w:val="InternetLink"/>
                  <w:rFonts w:ascii="Roboto;sans-serif" w:hAnsi="Roboto;sans-serif"/>
                  <w:b w:val="false"/>
                  <w:color w:val="0E32E1"/>
                  <w:sz w:val="20"/>
                  <w:u w:val="single"/>
                </w:rPr>
                <w:t>Item 12.</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60">
              <w:r>
                <w:rPr>
                  <w:rStyle w:val="InternetLink"/>
                  <w:rFonts w:ascii="Roboto;sans-serif" w:hAnsi="Roboto;sans-serif"/>
                  <w:b w:val="false"/>
                  <w:color w:val="000000"/>
                  <w:sz w:val="20"/>
                  <w:u w:val="single"/>
                </w:rPr>
                <w:t>Security Ownership of Certain Beneficial Owners and Management and Related Stockholder Matters</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160">
              <w:r>
                <w:rPr>
                  <w:rStyle w:val="InternetLink"/>
                  <w:rFonts w:ascii="Roboto;sans-serif" w:hAnsi="Roboto;sans-serif"/>
                  <w:b w:val="false"/>
                  <w:strike w:val="false"/>
                  <w:dstrike w:val="false"/>
                  <w:color w:val="000000"/>
                  <w:sz w:val="20"/>
                  <w:u w:val="none"/>
                  <w:effect w:val="none"/>
                </w:rPr>
                <w:t>125</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63">
              <w:r>
                <w:rPr>
                  <w:rStyle w:val="InternetLink"/>
                  <w:rFonts w:ascii="Roboto;sans-serif" w:hAnsi="Roboto;sans-serif"/>
                  <w:b w:val="false"/>
                  <w:color w:val="0E32E1"/>
                  <w:sz w:val="20"/>
                  <w:u w:val="single"/>
                </w:rPr>
                <w:t>Item 13.</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63">
              <w:r>
                <w:rPr>
                  <w:rStyle w:val="InternetLink"/>
                  <w:rFonts w:ascii="Roboto;sans-serif" w:hAnsi="Roboto;sans-serif"/>
                  <w:b w:val="false"/>
                  <w:color w:val="000000"/>
                  <w:sz w:val="20"/>
                  <w:u w:val="single"/>
                </w:rPr>
                <w:t>Certain Relationships and Related Transactions, and Director Independence</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163">
              <w:r>
                <w:rPr>
                  <w:rStyle w:val="InternetLink"/>
                  <w:rFonts w:ascii="Roboto;sans-serif" w:hAnsi="Roboto;sans-serif"/>
                  <w:b w:val="false"/>
                  <w:strike w:val="false"/>
                  <w:dstrike w:val="false"/>
                  <w:color w:val="000000"/>
                  <w:sz w:val="20"/>
                  <w:u w:val="none"/>
                  <w:effect w:val="none"/>
                </w:rPr>
                <w:t>125</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66">
              <w:r>
                <w:rPr>
                  <w:rStyle w:val="InternetLink"/>
                  <w:rFonts w:ascii="Roboto;sans-serif" w:hAnsi="Roboto;sans-serif"/>
                  <w:b w:val="false"/>
                  <w:color w:val="0E32E1"/>
                  <w:sz w:val="20"/>
                  <w:u w:val="single"/>
                </w:rPr>
                <w:t>Item 14.</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66">
              <w:r>
                <w:rPr>
                  <w:rStyle w:val="InternetLink"/>
                  <w:rFonts w:ascii="Roboto;sans-serif" w:hAnsi="Roboto;sans-serif"/>
                  <w:b w:val="false"/>
                  <w:color w:val="000000"/>
                  <w:sz w:val="20"/>
                  <w:u w:val="single"/>
                </w:rPr>
                <w:t>Principal Accountant Fees and Services</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166">
              <w:r>
                <w:rPr>
                  <w:rStyle w:val="InternetLink"/>
                  <w:rFonts w:ascii="Roboto;sans-serif" w:hAnsi="Roboto;sans-serif"/>
                  <w:b w:val="false"/>
                  <w:strike w:val="false"/>
                  <w:dstrike w:val="false"/>
                  <w:color w:val="000000"/>
                  <w:sz w:val="20"/>
                  <w:u w:val="none"/>
                  <w:effect w:val="none"/>
                </w:rPr>
                <w:t>125</w:t>
              </w:r>
            </w:hyperlink>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DF1995" w:val="clear"/>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69">
              <w:r>
                <w:rPr>
                  <w:rStyle w:val="InternetLink"/>
                  <w:rFonts w:ascii="Roboto;sans-serif" w:hAnsi="Roboto;sans-serif"/>
                  <w:b/>
                  <w:color w:val="FFFFFF"/>
                  <w:sz w:val="22"/>
                  <w:u w:val="single"/>
                </w:rPr>
                <w:t>PART IV</w:t>
              </w:r>
            </w:hyperlink>
          </w:p>
        </w:tc>
        <w:tc>
          <w:tcPr>
            <w:tcW w:w="8398" w:type="dxa"/>
            <w:gridSpan w:val="3"/>
            <w:tcBorders/>
            <w:shd w:fill="DF19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F19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72">
              <w:r>
                <w:rPr>
                  <w:rStyle w:val="InternetLink"/>
                  <w:rFonts w:ascii="Roboto;sans-serif" w:hAnsi="Roboto;sans-serif"/>
                  <w:b w:val="false"/>
                  <w:color w:val="0E32E1"/>
                  <w:sz w:val="20"/>
                  <w:u w:val="single"/>
                </w:rPr>
                <w:t>Item 15.</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72">
              <w:r>
                <w:rPr>
                  <w:rStyle w:val="InternetLink"/>
                  <w:rFonts w:ascii="Roboto;sans-serif" w:hAnsi="Roboto;sans-serif"/>
                  <w:b w:val="false"/>
                  <w:color w:val="000000"/>
                  <w:sz w:val="20"/>
                  <w:u w:val="single"/>
                </w:rPr>
                <w:t>Exhibits, Financial Statement Schedules</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172">
              <w:r>
                <w:rPr>
                  <w:rStyle w:val="InternetLink"/>
                  <w:rFonts w:ascii="Roboto;sans-serif" w:hAnsi="Roboto;sans-serif"/>
                  <w:b w:val="false"/>
                  <w:strike w:val="false"/>
                  <w:dstrike w:val="false"/>
                  <w:color w:val="000000"/>
                  <w:sz w:val="20"/>
                  <w:u w:val="none"/>
                  <w:effect w:val="none"/>
                </w:rPr>
                <w:t>126</w:t>
              </w:r>
            </w:hyperlink>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75">
              <w:r>
                <w:rPr>
                  <w:rStyle w:val="InternetLink"/>
                  <w:rFonts w:ascii="Roboto;sans-serif" w:hAnsi="Roboto;sans-serif"/>
                  <w:b w:val="false"/>
                  <w:color w:val="0E32E1"/>
                  <w:sz w:val="20"/>
                  <w:u w:val="single"/>
                </w:rPr>
                <w:t>Item 16.</w:t>
              </w:r>
            </w:hyperlink>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75">
              <w:r>
                <w:rPr>
                  <w:rStyle w:val="InternetLink"/>
                  <w:rFonts w:ascii="Roboto;sans-serif" w:hAnsi="Roboto;sans-serif"/>
                  <w:b w:val="false"/>
                  <w:color w:val="000000"/>
                  <w:sz w:val="20"/>
                  <w:u w:val="single"/>
                </w:rPr>
                <w:t>Form 10-K Summary</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175">
              <w:r>
                <w:rPr>
                  <w:rStyle w:val="InternetLink"/>
                  <w:rFonts w:ascii="Roboto;sans-serif" w:hAnsi="Roboto;sans-serif"/>
                  <w:b w:val="false"/>
                  <w:strike w:val="false"/>
                  <w:dstrike w:val="false"/>
                  <w:color w:val="000000"/>
                  <w:sz w:val="20"/>
                  <w:u w:val="none"/>
                  <w:effect w:val="none"/>
                </w:rPr>
                <w:t>129</w:t>
              </w:r>
            </w:hyperlink>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178">
              <w:r>
                <w:rPr>
                  <w:rStyle w:val="InternetLink"/>
                  <w:rFonts w:ascii="Roboto;sans-serif" w:hAnsi="Roboto;sans-serif"/>
                  <w:b w:val="false"/>
                  <w:color w:val="000000"/>
                  <w:sz w:val="20"/>
                  <w:u w:val="single"/>
                </w:rPr>
                <w:t>Signatures</w:t>
              </w:r>
            </w:hyperlink>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178">
              <w:r>
                <w:rPr>
                  <w:rStyle w:val="InternetLink"/>
                  <w:rFonts w:ascii="Roboto;sans-serif" w:hAnsi="Roboto;sans-serif"/>
                  <w:b w:val="false"/>
                  <w:strike w:val="false"/>
                  <w:dstrike w:val="false"/>
                  <w:color w:val="000000"/>
                  <w:sz w:val="20"/>
                  <w:u w:val="none"/>
                  <w:effect w:val="none"/>
                </w:rPr>
                <w:t>130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color w:val="DF1995"/>
          <w:sz w:val="20"/>
        </w:rPr>
      </w:pPr>
      <w:r>
        <w:rPr>
          <w:rFonts w:ascii="Roboto;sans-serif" w:hAnsi="Roboto;sans-serif"/>
          <w:b/>
          <w:color w:val="DF1995"/>
          <w:sz w:val="20"/>
        </w:rPr>
        <w:t>SPECIAL NOTE REGARDING FORWARD-LOOKING STATEMENTS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This Annual Report on Form 10-K, including the sections titled “Business,” “Risk Factors” and “Management’s Discussion and Analysis of Financial Condition and Results of Operations” contain or may contain forward-looking statements that are based on the beliefs and assumptions of the management of Pacific Biosciences of California, Inc. (the “Company,” “we,” “us,” or “our”) and on information currently available to our management. The statements contained in this Annual Report on Form 10-K that are not purely historical are forward-looking statements within the meaning of Section 27A of the Securities Act of 1933, as amended (the “Securities Act”), and Section 21E of the Securities Exchange Act of 1934, as amended (the “Exchange Act”), and include, but are not limited to:</w:t>
      </w:r>
    </w:p>
    <w:p>
      <w:pPr>
        <w:pStyle w:val="TextBody"/>
        <w:bidi w:val="0"/>
        <w:spacing w:lineRule="auto" w:line="288" w:before="180" w:after="283"/>
        <w:ind w:left="0" w:right="0" w:hanging="360"/>
        <w:jc w:val="both"/>
        <w:rPr/>
      </w:pPr>
      <w:r>
        <w:rPr>
          <w:color w:val="DF1995"/>
        </w:rPr>
        <w:t>•</w:t>
      </w:r>
      <w:r>
        <w:rPr>
          <w:rFonts w:ascii="Roboto;sans-serif" w:hAnsi="Roboto;sans-serif"/>
          <w:b w:val="false"/>
          <w:color w:val="000000"/>
          <w:sz w:val="20"/>
        </w:rPr>
        <w:t>the availability, uses, accuracy, sensitivity, advantages, compatibility, pricing, specifications, quality, or performance of, or benefits or expected benefits of using, our products or technologies, including the Revio</w:t>
      </w:r>
      <w:r>
        <w:rPr>
          <w:rFonts w:ascii="Roboto;sans-serif" w:hAnsi="Roboto;sans-serif"/>
          <w:b w:val="false"/>
          <w:color w:val="000000"/>
          <w:sz w:val="13"/>
        </w:rPr>
        <w:t>®</w:t>
      </w:r>
      <w:r>
        <w:rPr>
          <w:color w:val="000000"/>
        </w:rPr>
        <w:t xml:space="preserve"> </w:t>
      </w:r>
      <w:r>
        <w:rPr>
          <w:rFonts w:ascii="Roboto;sans-serif" w:hAnsi="Roboto;sans-serif"/>
          <w:b w:val="false"/>
          <w:color w:val="000000"/>
          <w:sz w:val="20"/>
        </w:rPr>
        <w:t>and Vega</w:t>
      </w:r>
      <w:r>
        <w:rPr>
          <w:rFonts w:ascii="Roboto;sans-serif" w:hAnsi="Roboto;sans-serif"/>
          <w:b w:val="false"/>
          <w:color w:val="000000"/>
          <w:sz w:val="12"/>
        </w:rPr>
        <w:t>TM</w:t>
      </w:r>
      <w:r>
        <w:rPr>
          <w:color w:val="000000"/>
        </w:rPr>
        <w:t xml:space="preserve"> </w:t>
      </w:r>
      <w:r>
        <w:rPr>
          <w:rFonts w:ascii="Roboto;sans-serif" w:hAnsi="Roboto;sans-serif"/>
          <w:b w:val="false"/>
          <w:color w:val="000000"/>
          <w:sz w:val="20"/>
        </w:rPr>
        <w:t>systems, and our expectations regarding HiFi sequencing;</w:t>
      </w:r>
    </w:p>
    <w:p>
      <w:pPr>
        <w:pStyle w:val="TextBody"/>
        <w:bidi w:val="0"/>
        <w:spacing w:lineRule="auto" w:line="288" w:before="180" w:after="283"/>
        <w:ind w:left="0" w:right="0" w:hanging="360"/>
        <w:jc w:val="both"/>
        <w:rPr/>
      </w:pPr>
      <w:r>
        <w:rPr>
          <w:color w:val="DF1995"/>
        </w:rPr>
        <w:t>•</w:t>
      </w:r>
      <w:r>
        <w:rPr>
          <w:rFonts w:ascii="Roboto;sans-serif" w:hAnsi="Roboto;sans-serif"/>
          <w:b w:val="false"/>
          <w:color w:val="000000"/>
          <w:sz w:val="20"/>
        </w:rPr>
        <w:t>our expectations, estimates and assumptions about the Asset Sale (as defined below), including our expectations with respect to timing and payment to the former equity holders of Apton (as defined below) and the satisfaction of the related milestone obligations related to our acquisition of Apton;</w:t>
      </w:r>
    </w:p>
    <w:p>
      <w:pPr>
        <w:pStyle w:val="TextBody"/>
        <w:bidi w:val="0"/>
        <w:spacing w:lineRule="auto" w:line="288" w:before="180" w:after="283"/>
        <w:ind w:left="0" w:right="0" w:hanging="360"/>
        <w:jc w:val="both"/>
        <w:rPr/>
      </w:pPr>
      <w:r>
        <w:rPr>
          <w:color w:val="DF1995"/>
        </w:rPr>
        <w:t>•</w:t>
      </w:r>
      <w:r>
        <w:rPr>
          <w:rFonts w:ascii="Roboto;sans-serif" w:hAnsi="Roboto;sans-serif"/>
          <w:b w:val="false"/>
          <w:color w:val="000000"/>
          <w:sz w:val="20"/>
        </w:rPr>
        <w:t xml:space="preserve">our expectations regarding commercial availability and lowering the cost of long-read sequencing through SPRQ-Nx chemistry; </w:t>
      </w:r>
    </w:p>
    <w:p>
      <w:pPr>
        <w:pStyle w:val="TextBody"/>
        <w:bidi w:val="0"/>
        <w:spacing w:lineRule="auto" w:line="288" w:before="180" w:after="283"/>
        <w:ind w:left="0" w:right="0" w:hanging="360"/>
        <w:jc w:val="both"/>
        <w:rPr/>
      </w:pPr>
      <w:r>
        <w:rPr>
          <w:color w:val="DF1995"/>
        </w:rPr>
        <w:t>•</w:t>
      </w:r>
      <w:r>
        <w:rPr>
          <w:rFonts w:ascii="Roboto;sans-serif" w:hAnsi="Roboto;sans-serif"/>
          <w:b w:val="false"/>
          <w:color w:val="000000"/>
          <w:sz w:val="20"/>
        </w:rPr>
        <w:t>our expectations regarding the development of kitted-solutions, like our Kinnex Full-length RNA kits and PureTarget;</w:t>
      </w:r>
    </w:p>
    <w:p>
      <w:pPr>
        <w:pStyle w:val="TextBody"/>
        <w:bidi w:val="0"/>
        <w:spacing w:lineRule="auto" w:line="288" w:before="180" w:after="283"/>
        <w:ind w:left="0" w:right="0" w:hanging="360"/>
        <w:jc w:val="both"/>
        <w:rPr/>
      </w:pPr>
      <w:r>
        <w:rPr>
          <w:color w:val="DF1995"/>
        </w:rPr>
        <w:t>•</w:t>
      </w:r>
      <w:r>
        <w:rPr>
          <w:rFonts w:ascii="Roboto;sans-serif" w:hAnsi="Roboto;sans-serif"/>
          <w:b w:val="false"/>
          <w:color w:val="000000"/>
          <w:sz w:val="20"/>
        </w:rPr>
        <w:t xml:space="preserve">our current and future products; </w:t>
      </w:r>
    </w:p>
    <w:p>
      <w:pPr>
        <w:pStyle w:val="TextBody"/>
        <w:bidi w:val="0"/>
        <w:spacing w:lineRule="auto" w:line="288" w:before="180" w:after="283"/>
        <w:ind w:left="0" w:right="0" w:hanging="360"/>
        <w:jc w:val="both"/>
        <w:rPr/>
      </w:pPr>
      <w:r>
        <w:rPr>
          <w:color w:val="DF1995"/>
        </w:rPr>
        <w:t>•</w:t>
      </w:r>
      <w:r>
        <w:rPr>
          <w:rFonts w:ascii="Roboto;sans-serif" w:hAnsi="Roboto;sans-serif"/>
          <w:b w:val="false"/>
          <w:color w:val="000000"/>
          <w:sz w:val="20"/>
        </w:rPr>
        <w:t>improvements to our existing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strategic and commercial plans, including our expectations regarding our clinical strategy and Revio and Vega systems;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market opportunity, including market size and expected market growth;</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expectations regarding the timing and conversion of backlog to revenue and the pricing and gross margin for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our manufacturing plans including developing and scaling of manufacturing and delivery of our products; </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any reductions or potential reductions in academic or government funding, including for the National Institutes of Health (“NIH"), or targeted cancellations by the U.S. federal government of certain grants or contracts, could negatively impact our customers and reduce demand for our products and services;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our research and development plans; </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expected timing of payment of certain intangible assets;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anticipated impact of catastrophic events, including health epidemics or pandemics and military or other armed conflicts, on our business, business plans and results of operations;</w:t>
      </w:r>
    </w:p>
    <w:p>
      <w:pPr>
        <w:pStyle w:val="TextBody"/>
        <w:bidi w:val="0"/>
        <w:spacing w:lineRule="auto" w:line="288" w:before="120" w:after="283"/>
        <w:ind w:left="0" w:right="0" w:hanging="360"/>
        <w:jc w:val="both"/>
        <w:rPr/>
      </w:pPr>
      <w:r>
        <w:rPr>
          <w:color w:val="DF1995"/>
        </w:rPr>
        <w:t>•</w:t>
      </w:r>
      <w:r>
        <w:rPr>
          <w:rFonts w:ascii="Arial;sans-serif" w:hAnsi="Arial;sans-serif"/>
          <w:b w:val="false"/>
          <w:color w:val="000000"/>
          <w:sz w:val="20"/>
        </w:rPr>
        <w:t>uncertainty regarding or potential chang</w:t>
      </w:r>
      <w:r>
        <w:rPr>
          <w:rFonts w:ascii="Roboto;sans-serif" w:hAnsi="Roboto;sans-serif"/>
          <w:b w:val="false"/>
          <w:color w:val="000000"/>
          <w:sz w:val="20"/>
        </w:rPr>
        <w:t>es in diplomatic and trade relationships as a result of the recent change in the U.S. government administration;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impact of tariffs recently imposed by the U.S. government and its trading partners in response, other possible tariffs or trade protection measures, import or export licensing requirements, new or different customs duties, trade embargoes and sanctions and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our product development plans, roadmaps, and objectives, including, among other things, statements relating to future uses, quality, or performance of, or benefits of using, products or technologies, updates, or improvements of our products; </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our intentions regarding seeking regulatory approval for our products; </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competitive landscape, including competition in the long-read sequencing technologies market;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our expectations regarding collaborations and partnerships;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our expectations regarding unrecognized income tax benefits; </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our expectations regarding market risk, including interest rate changes and general macroeconomic conditions; </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sufficiency of cash, cash equivalents, and investments to fund projected operating requirements;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the effects of recent accounting pronouncements on our financial statements; and </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other future events.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Forward-looking statements can be identified by words such as: “anticipates,” “believes,” “could,” “estimates,” “expects,” “intends,” “may,” “plans,” “potential,” “predicts,” “projects,” “seeks,” “should,” “target,” “will,” “would,” or similar expressions and the negatives of those terms.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Factors that could cause or contribute to such differences include, but are not limited to, those discussed under the heading “Risk Factors” in this report and in other documents we file with the Securities and Exchange Commission ("SEC"). Given these risks and uncertainties, you should not place undue reliance on forward-looking statements. Also, forward-looking statements represent management’s beliefs and assumptions as of the date of this report. Except as required by law, we assume no obligation to update forward-looking statements publicly, or to update the reasons actual results could differ materially from those anticipated in these forward-looking statements, even if new information becomes available in the future.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This Annual Report on Form 10-K also contains estimates, projections, and other information concerning our industry, our business, and the markets for our products, including data regarding the estimated size and estimated growth for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center"/>
        <w:rPr>
          <w:rFonts w:ascii="Roboto;sans-serif" w:hAnsi="Roboto;sans-serif"/>
          <w:b/>
          <w:color w:val="DF1995"/>
          <w:sz w:val="24"/>
        </w:rPr>
      </w:pPr>
      <w:r>
        <w:rPr>
          <w:rFonts w:ascii="Roboto;sans-serif" w:hAnsi="Roboto;sans-serif"/>
          <w:b/>
          <w:color w:val="DF1995"/>
          <w:sz w:val="2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25" w:type="dxa"/>
        <w:jc w:val="left"/>
        <w:tblInd w:w="0" w:type="dxa"/>
        <w:tblLayout w:type="fixed"/>
        <w:tblCellMar>
          <w:top w:w="28" w:type="dxa"/>
          <w:left w:w="28" w:type="dxa"/>
          <w:bottom w:w="28" w:type="dxa"/>
          <w:right w:w="28" w:type="dxa"/>
        </w:tblCellMar>
      </w:tblPr>
      <w:tblGrid>
        <w:gridCol w:w="840"/>
        <w:gridCol w:w="739"/>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4"/>
              </w:rPr>
            </w:pPr>
            <w:r>
              <w:rPr>
                <w:rFonts w:ascii="Roboto;sans-serif" w:hAnsi="Roboto;sans-serif"/>
                <w:b/>
                <w:color w:val="DF1995"/>
                <w:sz w:val="24"/>
              </w:rPr>
              <w:t>ITEM 1. BUSINESS</w:t>
            </w:r>
          </w:p>
        </w:tc>
      </w:tr>
    </w:tbl>
    <w:tbl>
      <w:tblPr>
        <w:tblW w:w="1351" w:type="dxa"/>
        <w:jc w:val="left"/>
        <w:tblInd w:w="0" w:type="dxa"/>
        <w:tblLayout w:type="fixed"/>
        <w:tblCellMar>
          <w:top w:w="28" w:type="dxa"/>
          <w:left w:w="28" w:type="dxa"/>
          <w:bottom w:w="28" w:type="dxa"/>
          <w:right w:w="28" w:type="dxa"/>
        </w:tblCellMar>
      </w:tblPr>
      <w:tblGrid>
        <w:gridCol w:w="432"/>
        <w:gridCol w:w="380"/>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Overview</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are a premier life science technology company that designs, develops, and manufactures advanced sequencing solutions that enable scientists and clinical researchers to improve their understanding of the genome and ultimately, resolve genetically complex problems.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and technology, which include our HiFi long-read sequencing technology, address a broad set of applications including human germline sequencing, plant and animal sciences, infectious disease and microbiology, oncology, and other emerging applications.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focus is on creating some of the world's most advanced sequencing systems to provide our customers with the most complete and accurate view of genomes, transcriptomes, and epigenomes.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tbl>
      <w:tblPr>
        <w:tblW w:w="2939" w:type="dxa"/>
        <w:jc w:val="left"/>
        <w:tblInd w:w="0" w:type="dxa"/>
        <w:tblLayout w:type="fixed"/>
        <w:tblCellMar>
          <w:top w:w="28" w:type="dxa"/>
          <w:left w:w="28" w:type="dxa"/>
          <w:bottom w:w="28" w:type="dxa"/>
          <w:right w:w="28" w:type="dxa"/>
        </w:tblCellMar>
      </w:tblPr>
      <w:tblGrid>
        <w:gridCol w:w="941"/>
        <w:gridCol w:w="826"/>
        <w:gridCol w:w="1172"/>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DF1995"/>
                <w:sz w:val="22"/>
              </w:rPr>
            </w:pPr>
            <w:r>
              <w:rPr>
                <w:rFonts w:ascii="Roboto;sans-serif" w:hAnsi="Roboto;sans-serif"/>
                <w:b/>
                <w:color w:val="DF1995"/>
                <w:sz w:val="22"/>
              </w:rPr>
              <w:t>Recent Developments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January 30, 2026, we completed the disposition of assets to Illumina Cambridge Limited (the “Buyer”) in accordance with the terms of an Asset Purchase Agreement, dated January 30, 2026 (the “Asset Purchase Agreement”), by and among us, Buyer, and Illumina, Inc. ("Illumina"), solely for purposes of Section 8.16 of the Asset Purchase Agreement, pursuant to which, among other matters, Buyer acquired certain intellectual property and other assets related to our short-read DNA sequencing technology and related clustering, sequencing reagent, and detection technologies (the “Asset Sale”). As consideration for the Asset Sale, Buyer paid us $50.0 million in cash and assumed certain liabilities (the “Purchase Price”). In addition, Buyer granted us a non-exclusive license to certain intellectual property included in the purchased assets. In connection with the Asset Sale, Buyer will pay at our direction 4% of the net proceeds from the Purchase Price to the former equity holders of Apton Biosystems, Inc. (“Apton”) related to the waiver of all remaining milestone obligations associated with our purchase of Apton in August 2023, which payment is expected in the first quarter of 2026. As a result, we received approximately $48.1 million in net cash proceeds from the Asset Sale.</w:t>
      </w:r>
    </w:p>
    <w:tbl>
      <w:tblPr>
        <w:tblW w:w="3180" w:type="dxa"/>
        <w:jc w:val="left"/>
        <w:tblInd w:w="0" w:type="dxa"/>
        <w:tblLayout w:type="fixed"/>
        <w:tblCellMar>
          <w:top w:w="28" w:type="dxa"/>
          <w:left w:w="28" w:type="dxa"/>
          <w:bottom w:w="28" w:type="dxa"/>
          <w:right w:w="28" w:type="dxa"/>
        </w:tblCellMar>
      </w:tblPr>
      <w:tblGrid>
        <w:gridCol w:w="1017"/>
        <w:gridCol w:w="895"/>
        <w:gridCol w:w="1268"/>
      </w:tblGrid>
      <w:tr>
        <w:trPr/>
        <w:tc>
          <w:tcPr>
            <w:tcW w:w="101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Our Mission and Impact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mission is to enable the promise of genomics to better human health. Genomics is core to all biological processes, and our advanced genomics tools provide scientists and clinical researchers with the insights to better understand biology and health. The “promise of genomics” postulates that medicine, agriculture, public health, drug development, and other disciplines will be transformed by incorporating routine genomic information over the coming decades. We see early progress toward this transformation in the applied use of genomics in areas such as genetic disease, oncology, and sustainable food production. However, legacy genomics technologies have fundamental limitations in progressing these fields toward the promise of genomics. We believe that unleashing the full potential of genomics will require a level of accuracy and completeness inaccessible to legacy technologies. Accuracy and completeness are central to our product development strategy; thus, we have created some of the most innovative and high-quality genomics solutions on the market. Our products also have enhanced multi-omic capabilities to look beyond the genome to the transcriptome and epigenome, which we believe is key to understanding a full picture of biology.</w:t>
      </w:r>
    </w:p>
    <w:tbl>
      <w:tblPr>
        <w:tblW w:w="3150" w:type="dxa"/>
        <w:jc w:val="left"/>
        <w:tblInd w:w="0" w:type="dxa"/>
        <w:tblLayout w:type="fixed"/>
        <w:tblCellMar>
          <w:top w:w="28" w:type="dxa"/>
          <w:left w:w="28" w:type="dxa"/>
          <w:bottom w:w="28" w:type="dxa"/>
          <w:right w:w="28" w:type="dxa"/>
        </w:tblCellMar>
      </w:tblPr>
      <w:tblGrid>
        <w:gridCol w:w="1009"/>
        <w:gridCol w:w="886"/>
        <w:gridCol w:w="1255"/>
      </w:tblGrid>
      <w:tr>
        <w:trPr/>
        <w:tc>
          <w:tcPr>
            <w:tcW w:w="10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240" w:after="283"/>
              <w:jc w:val="both"/>
              <w:rPr>
                <w:rFonts w:ascii="Roboto;sans-serif" w:hAnsi="Roboto;sans-serif"/>
                <w:b/>
                <w:color w:val="DF1995"/>
                <w:sz w:val="22"/>
              </w:rPr>
            </w:pPr>
            <w:r>
              <w:rPr>
                <w:rFonts w:ascii="Roboto;sans-serif" w:hAnsi="Roboto;sans-serif"/>
                <w:b/>
                <w:color w:val="DF1995"/>
                <w:sz w:val="22"/>
              </w:rPr>
              <w:t>The Underlying Science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Genetic inheritance in living organisms is conveyed through a naturally occurring information storage system known as deoxyribonucleic acid, or DNA. DNA stores information in linear chains of the chemical bases adenine, cytosine, guanine, and thymine, represented by the symbols A, C, G, and T respectively.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 humans, the genome is comprised of approximately three billion DNA base pairs, which are divided into 23 chromosomes ranging in size from 50 million to 250 million bases. A human carries two copies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112520"/>
                <wp:effectExtent l="0" t="0" r="0" b="0"/>
                <wp:wrapNone/>
                <wp:docPr id="6" name="Frame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85"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457200" cy="95250"/>
                                                </a:xfrm>
                                                <a:prstGeom prst="rect">
                                                  <a:avLst/>
                                                </a:prstGeom>
                                              </pic:spPr>
                                            </pic:pic>
                                          </a:graphicData>
                                        </a:graphic>
                                      </wp:inline>
                                    </w:drawing>
                                  </w:r>
                                  <w:bookmarkStart w:id="1" w:name="i-2"/>
                                  <w:bookmarkEnd w:id="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85"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4"/>
                                          <a:stretch>
                                            <a:fillRect/>
                                          </a:stretch>
                                        </pic:blipFill>
                                        <pic:spPr bwMode="auto">
                                          <a:xfrm>
                                            <a:off x="0" y="0"/>
                                            <a:ext cx="457200" cy="95250"/>
                                          </a:xfrm>
                                          <a:prstGeom prst="rect">
                                            <a:avLst/>
                                          </a:prstGeom>
                                        </pic:spPr>
                                      </pic:pic>
                                    </a:graphicData>
                                  </a:graphic>
                                </wp:inline>
                              </w:drawing>
                            </w:r>
                            <w:bookmarkStart w:id="2" w:name="i-2"/>
                            <w:bookmarkEnd w:id="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chromosomes, one inherited from each parent. Approximately 23,000 smaller regions within these chromosomes, called genes, contain the blueprints for protein production. The proteins synthesized from these blueprints essentially underlie the operation of all biological systems.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Genome sequencing reads the bases of long fragments of nucleic acids. Initial genome sequencing studies have shown that variation in these DNA base pairs play a critical role in human disease, contributing to the burgeoning field of genomics. Recent discoveries have highlighted additional complexities of DNA and RNA. These discoveries include the presence of chemical modifications to the bases, such as methylation, and post-transcriptional modification, or the processing of RNA molecules after they are transcribed from the genome, both of which can affect protein synthesis. </w:t>
      </w:r>
    </w:p>
    <w:tbl>
      <w:tblPr>
        <w:tblW w:w="2985" w:type="dxa"/>
        <w:jc w:val="left"/>
        <w:tblInd w:w="0" w:type="dxa"/>
        <w:tblLayout w:type="fixed"/>
        <w:tblCellMar>
          <w:top w:w="28" w:type="dxa"/>
          <w:left w:w="28" w:type="dxa"/>
          <w:bottom w:w="28" w:type="dxa"/>
          <w:right w:w="28" w:type="dxa"/>
        </w:tblCellMar>
      </w:tblPr>
      <w:tblGrid>
        <w:gridCol w:w="954"/>
        <w:gridCol w:w="840"/>
        <w:gridCol w:w="1191"/>
      </w:tblGrid>
      <w:tr>
        <w:trPr/>
        <w:tc>
          <w:tcPr>
            <w:tcW w:w="9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240" w:after="283"/>
              <w:jc w:val="both"/>
              <w:rPr>
                <w:rFonts w:ascii="Roboto;sans-serif" w:hAnsi="Roboto;sans-serif"/>
                <w:b/>
                <w:color w:val="DF1995"/>
                <w:sz w:val="22"/>
              </w:rPr>
            </w:pPr>
            <w:r>
              <w:rPr>
                <w:rFonts w:ascii="Roboto;sans-serif" w:hAnsi="Roboto;sans-serif"/>
                <w:b/>
                <w:color w:val="DF1995"/>
                <w:sz w:val="22"/>
              </w:rPr>
              <w:t xml:space="preserve">Our Principal Markets </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Researchers utilize our solutions in human genomics, plant and animal sciences, infectious disease and microbiology, oncology, and other emerging applications.</w:t>
      </w:r>
    </w:p>
    <w:p>
      <w:pPr>
        <w:pStyle w:val="TextBody"/>
        <w:bidi w:val="0"/>
        <w:spacing w:before="120" w:after="283"/>
        <w:jc w:val="center"/>
        <w:rPr/>
      </w:pPr>
      <w:r>
        <w:rPr/>
        <w:drawing>
          <wp:inline distT="0" distB="0" distL="0" distR="0">
            <wp:extent cx="6286500" cy="6096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5"/>
                    <a:stretch>
                      <a:fillRect/>
                    </a:stretch>
                  </pic:blipFill>
                  <pic:spPr bwMode="auto">
                    <a:xfrm>
                      <a:off x="0" y="0"/>
                      <a:ext cx="6286500" cy="609600"/>
                    </a:xfrm>
                    <a:prstGeom prst="rect">
                      <a:avLst/>
                    </a:prstGeom>
                  </pic:spPr>
                </pic:pic>
              </a:graphicData>
            </a:graphic>
          </wp:inline>
        </w:drawing>
      </w:r>
      <w:bookmarkStart w:id="3" w:name="i-3"/>
      <w:bookmarkEnd w:id="3"/>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Human Genomics: Improving rare disease research and understanding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According to global health organizations, there are currently over 6,000 distinct rare diseases worldwide, affecting approximately 300 million people, and over 70% of these conditions are believed to have a genetic origin. These genetic diseases are DNA differences, called variants, in the affected individuals. Variants range in size from single nucleotide substitutions to large losses or gains of entire chromosomes. Other sequencing technologies applied to rare disease diagnosis are technologically limited to interrogating small variants, representing only a subset of possible genomic variation. Consequently, most genetic disease cases are undiagnosed, leaving families on multi-year diagnostic odysseys. Sequencing the human genome with long and accurate reads enables the potential detection of all known classes of disease-causing variation. In addition, the ability of PacBio’s long-read sequencing technology to detect 5-Methylcytosine DNA methylation, an epigenetic modification shown to alter gene behavior, may enable further advances in research and development in genetic disease diagnosis.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Infectious Disease and Microbiology: Understanding and tracking microbes and pathogens in support of global public health</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technology has increased the scientific community’s understanding of microorganisms and viruses and their malignancy, transmission, and potential resistance to antibiotics or vaccines. Our sequencing technology delivers highly comprehensive and complete genomes, enabling federal agencies, public health organizations, and healthcare providers to conduct wide-ranging research and surveillance activities to:</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generate high quality, complete genome assemblies, revealing variants of all known types, to gain a deeper understanding of community-acquired and hospital-associated infections and transmissions;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identify and characterize pathogens to inform regional, national, and global public health agencies for preparation and response to rapidly evolving microorganisms;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characterize complex microbial communities to understand their role in human, animal, and environmental health.</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Oncology: Enabling discovery of cancer biology, progression, and relapse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HiFi sequencing technology supports oncology research by enabling highly accurate, long-read analysis of both DNA and RNA, providing researchers with deeper insight into cancer biology. HiFi RNA sequencing allows generation of full-length transcript data from complex tumor samples, capturing isoforms, fusion transcripts, and alternative splicing events associated with tumor biology. By providing a more complete view of transcript diversity, these approaches support research into biomarkers and molecular mechanisms related to tumor progression and therapeutic response.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HiFi whole-genome sequencing ("WGS") of tumor and matched normal samples supports comprehensive characterization of genomic alterations across cancer types. The combination of long reads and single-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112520"/>
                <wp:effectExtent l="0" t="0" r="0" b="0"/>
                <wp:wrapNone/>
                <wp:docPr id="10" name="Frame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85"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6"/>
                                                <a:stretch>
                                                  <a:fillRect/>
                                                </a:stretch>
                                              </pic:blipFill>
                                              <pic:spPr bwMode="auto">
                                                <a:xfrm>
                                                  <a:off x="0" y="0"/>
                                                  <a:ext cx="457200" cy="95250"/>
                                                </a:xfrm>
                                                <a:prstGeom prst="rect">
                                                  <a:avLst/>
                                                </a:prstGeom>
                                              </pic:spPr>
                                            </pic:pic>
                                          </a:graphicData>
                                        </a:graphic>
                                      </wp:inline>
                                    </w:drawing>
                                  </w:r>
                                  <w:bookmarkStart w:id="4" w:name="i-4"/>
                                  <w:bookmarkEnd w:id="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85"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7"/>
                                          <a:stretch>
                                            <a:fillRect/>
                                          </a:stretch>
                                        </pic:blipFill>
                                        <pic:spPr bwMode="auto">
                                          <a:xfrm>
                                            <a:off x="0" y="0"/>
                                            <a:ext cx="457200" cy="95250"/>
                                          </a:xfrm>
                                          <a:prstGeom prst="rect">
                                            <a:avLst/>
                                          </a:prstGeom>
                                        </pic:spPr>
                                      </pic:pic>
                                    </a:graphicData>
                                  </a:graphic>
                                </wp:inline>
                              </w:drawing>
                            </w:r>
                            <w:bookmarkStart w:id="5" w:name="i-4"/>
                            <w:bookmarkEnd w:id="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molecule accuracy enables detailed analysis of structural variants, copy-number changes, methylation patterns, and other somatic alterations associated with oncogenesis and treatment resistance. Researchers increasingly use HiFi tumor/normal WGS to resolve complex genomic rearrangements and to investigate genome-wide mutational processes that are difficult to assess with short-read sequencing technologies.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 xml:space="preserve">Plant and Animal Sciences: Helping scientists answer biological questions for a healthier world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 Plant and Animal Sciences, academic, government and corporate researchers are using our technology to explore and catalog the genetic and biological diversity of organisms for the breeding, propagation, and production of crops and livestock while conserving the planet’s natural resources. Our HiFi sequencing enables researchers to build high quality de novo reference genomes and transcriptomes to study variations across species enabling improvements to global conservation initiatives and support the breeding and production of resilient and higher yielding crops to meet the world's growing population and demand. </w:t>
      </w:r>
    </w:p>
    <w:tbl>
      <w:tblPr>
        <w:tblW w:w="5354" w:type="dxa"/>
        <w:jc w:val="left"/>
        <w:tblInd w:w="0" w:type="dxa"/>
        <w:tblLayout w:type="fixed"/>
        <w:tblCellMar>
          <w:top w:w="28" w:type="dxa"/>
          <w:left w:w="28" w:type="dxa"/>
          <w:bottom w:w="28" w:type="dxa"/>
          <w:right w:w="28" w:type="dxa"/>
        </w:tblCellMar>
      </w:tblPr>
      <w:tblGrid>
        <w:gridCol w:w="1715"/>
        <w:gridCol w:w="1505"/>
        <w:gridCol w:w="2134"/>
      </w:tblGrid>
      <w:tr>
        <w:trPr/>
        <w:tc>
          <w:tcPr>
            <w:tcW w:w="171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240" w:after="283"/>
              <w:jc w:val="both"/>
              <w:rPr>
                <w:rFonts w:ascii="Roboto;sans-serif" w:hAnsi="Roboto;sans-serif"/>
                <w:b/>
                <w:color w:val="DF1995"/>
                <w:sz w:val="22"/>
              </w:rPr>
            </w:pPr>
            <w:r>
              <w:rPr>
                <w:rFonts w:ascii="Roboto;sans-serif" w:hAnsi="Roboto;sans-serif"/>
                <w:b/>
                <w:color w:val="DF1995"/>
                <w:sz w:val="22"/>
              </w:rPr>
              <w:t>Our Technology, Products, and Solutions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HiFi long-read sequencing approach is based on Single-Molecule Real-Time ("SMRT") technology and enables highly accurate detection of the nucleotide sequence and epigenetic status of individual DNA molecules. HiFi sequencing delivers long, highly accurate reads that support analysis of complex genomic and transcriptomic features that are difficult to resolve using conventional short-read sequencing technologies.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offerings include sequencing instruments, nanofluidic chips ("SMRT Cells"), reagents for DNA extraction, library preparation, and sequencing, application-specific sequencing workflows, as well as services we perform for customers. </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DF1995"/>
          <w:sz w:val="20"/>
          <w:shd w:fill="FFFFFF" w:val="clear"/>
        </w:rPr>
      </w:pPr>
      <w:r>
        <w:rPr>
          <w:rFonts w:ascii="Roboto;sans-serif" w:hAnsi="Roboto;sans-serif"/>
          <w:b/>
          <w:i/>
          <w:color w:val="DF1995"/>
          <w:sz w:val="20"/>
          <w:shd w:fill="FFFFFF" w:val="clear"/>
        </w:rPr>
        <w:t>HiFi Long-Read Sequencing</w:t>
      </w:r>
    </w:p>
    <w:p>
      <w:pPr>
        <w:pStyle w:val="TextBody"/>
        <w:bidi w:val="0"/>
        <w:spacing w:lineRule="auto" w:line="288" w:before="120" w:after="283"/>
        <w:jc w:val="both"/>
        <w:rPr/>
      </w:pPr>
      <w:r>
        <w:rPr>
          <w:rFonts w:ascii="Roboto;sans-serif" w:hAnsi="Roboto;sans-serif"/>
          <w:b w:val="false"/>
          <w:color w:val="000000"/>
          <w:sz w:val="20"/>
        </w:rPr>
        <w:t>Our HiFi long-read sequencing protocol was built upon our</w:t>
      </w:r>
      <w:r>
        <w:rPr>
          <w:color w:val="000000"/>
          <w:shd w:fill="FFFFFF" w:val="clear"/>
        </w:rPr>
        <w:t xml:space="preserve"> </w:t>
      </w:r>
      <w:r>
        <w:rPr>
          <w:rFonts w:ascii="Roboto;sans-serif" w:hAnsi="Roboto;sans-serif"/>
          <w:b w:val="false"/>
          <w:color w:val="000000"/>
          <w:sz w:val="20"/>
          <w:shd w:fill="FFFFFF" w:val="clear"/>
        </w:rPr>
        <w:t>SMRT sequencing systems, including consumables and software, and offers customized end-to-end workflows for different sequencing applications. Highly accurate, long sequence reads simplify and accelerate data analysis algorithms, reducing the need for error correction and/or assembly, depending on the application.</w:t>
      </w:r>
    </w:p>
    <w:p>
      <w:pPr>
        <w:pStyle w:val="TextBody"/>
        <w:bidi w:val="0"/>
        <w:spacing w:lineRule="auto" w:line="288" w:before="120" w:after="283"/>
        <w:jc w:val="both"/>
        <w:rPr/>
      </w:pPr>
      <w:r>
        <w:rPr>
          <w:rFonts w:ascii="Roboto;sans-serif" w:hAnsi="Roboto;sans-serif"/>
          <w:b w:val="false"/>
          <w:color w:val="000000"/>
          <w:sz w:val="20"/>
          <w:shd w:fill="FFFFFF" w:val="clear"/>
        </w:rPr>
        <w:t xml:space="preserve">Customers use our HiFi long-read sequencing platforms in a wide range of sequencing applications, including whole genome sequencing and </w:t>
      </w:r>
      <w:r>
        <w:rPr>
          <w:rFonts w:ascii="Roboto;sans-serif" w:hAnsi="Roboto;sans-serif"/>
          <w:b w:val="false"/>
          <w:i/>
          <w:color w:val="000000"/>
          <w:sz w:val="20"/>
          <w:shd w:fill="FFFFFF" w:val="clear"/>
        </w:rPr>
        <w:t>de novo</w:t>
      </w:r>
      <w:r>
        <w:rPr>
          <w:color w:val="000000"/>
          <w:shd w:fill="FFFFFF" w:val="clear"/>
        </w:rPr>
        <w:t xml:space="preserve"> </w:t>
      </w:r>
      <w:r>
        <w:rPr>
          <w:rFonts w:ascii="Roboto;sans-serif" w:hAnsi="Roboto;sans-serif"/>
          <w:b w:val="false"/>
          <w:color w:val="000000"/>
          <w:sz w:val="20"/>
          <w:shd w:fill="FFFFFF" w:val="clear"/>
        </w:rPr>
        <w:t>genome assembly, long-range phasing, targeted sequencing, full-length RNA and single-cell sequencing, characterization of metagenomic communities and other mixed DNA samples, viral genome sequencing, and others. Our technology is also capable of detecting epigenetic markers simultaneously by analyzing the kinetics of DNA polymerization that is affected, and thereby detectable, by epigenetic markers such as 5-methylcytosine or N</w:t>
      </w:r>
      <w:r>
        <w:rPr>
          <w:rFonts w:ascii="Roboto;sans-serif" w:hAnsi="Roboto;sans-serif"/>
          <w:b w:val="false"/>
          <w:color w:val="000000"/>
          <w:sz w:val="13"/>
          <w:shd w:fill="FFFFFF" w:val="clear"/>
        </w:rPr>
        <w:t>6</w:t>
      </w:r>
      <w:r>
        <w:rPr>
          <w:rFonts w:ascii="Roboto;sans-serif" w:hAnsi="Roboto;sans-serif"/>
          <w:b w:val="false"/>
          <w:color w:val="000000"/>
          <w:sz w:val="20"/>
          <w:shd w:fill="FFFFFF" w:val="clear"/>
        </w:rPr>
        <w:t>-methyladenine.</w:t>
      </w:r>
      <w:r>
        <w:rPr>
          <w:color w:val="000000"/>
        </w:rPr>
        <w:t xml:space="preserve"> </w:t>
      </w:r>
    </w:p>
    <w:p>
      <w:pPr>
        <w:pStyle w:val="TextBody"/>
        <w:bidi w:val="0"/>
        <w:spacing w:lineRule="auto" w:line="288" w:before="180" w:after="283"/>
        <w:jc w:val="both"/>
        <w:rPr>
          <w:rFonts w:ascii="Roboto;sans-serif" w:hAnsi="Roboto;sans-serif"/>
          <w:b/>
          <w:i/>
          <w:color w:val="DF1995"/>
          <w:sz w:val="20"/>
          <w:shd w:fill="FFFFFF" w:val="clear"/>
        </w:rPr>
      </w:pPr>
      <w:r>
        <w:rPr>
          <w:rFonts w:ascii="Roboto;sans-serif" w:hAnsi="Roboto;sans-serif"/>
          <w:b/>
          <w:i/>
          <w:color w:val="DF1995"/>
          <w:sz w:val="20"/>
          <w:shd w:fill="FFFFFF" w:val="clear"/>
        </w:rPr>
        <w:t>SMRT Technology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proprietary SMRT sequencing technology enables the direct observation of DNA synthesis in real time by monitoring the activity of individual DNA polymerase molecules as they incorporate nucleotides into a growing DNA strand. Using optical nanostructures known as zero-mode waveguides ("ZMWs"), SMRT sequencing detects fluorescently labeled nucleotides as they are incorporated, providing a precise, single-molecule record of DNA sequence and polymerase kinetics without amplification or cloning steps.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Each DNA molecule is prepared as a circularized SMRTbell template, allowing both strands of the same molecule to be sequenced multiple times. These repeated observations are combined through circular consensus sequencing ("CCS") to generate highly accurate HiFi reads, typically achieving median accuracies above Q30 with average read lengths of 15–20 kilobases. The resulting data combines long-range context with base-level precision, enabling the detection of all major classes of genetic variation—including single-nucleotide variants, structural variants, tandem repeat expansions, and DNA methylation—in a single workflow.</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HiFi sequencing has been shown to improve the resolution of complex genomic regions and to increase diagnostic yield in rare disease research. Across multiple clinical studies, HiFi whole-genome sequencing has approximately doubled the solve rate for previously undiagnosed cases compared to short-read methods. HiFi sequencing also supports the construction of complete, telomere-to-telomere human reference genomes and pangenomes, further establishing it as a standard for high-accuracy, comprehensive genome analysis. Collectively, these attributes position SMRT sequencing as a leading technology for achieving complete and accurate views of the genome.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112520"/>
                <wp:effectExtent l="0" t="0" r="0" b="0"/>
                <wp:wrapNone/>
                <wp:docPr id="13" name="Frame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85"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8"/>
                                                <a:stretch>
                                                  <a:fillRect/>
                                                </a:stretch>
                                              </pic:blipFill>
                                              <pic:spPr bwMode="auto">
                                                <a:xfrm>
                                                  <a:off x="0" y="0"/>
                                                  <a:ext cx="457200" cy="95250"/>
                                                </a:xfrm>
                                                <a:prstGeom prst="rect">
                                                  <a:avLst/>
                                                </a:prstGeom>
                                              </pic:spPr>
                                            </pic:pic>
                                          </a:graphicData>
                                        </a:graphic>
                                      </wp:inline>
                                    </w:drawing>
                                  </w:r>
                                  <w:bookmarkStart w:id="6" w:name="i-5"/>
                                  <w:bookmarkEnd w:id="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85"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9"/>
                                          <a:stretch>
                                            <a:fillRect/>
                                          </a:stretch>
                                        </pic:blipFill>
                                        <pic:spPr bwMode="auto">
                                          <a:xfrm>
                                            <a:off x="0" y="0"/>
                                            <a:ext cx="457200" cy="95250"/>
                                          </a:xfrm>
                                          <a:prstGeom prst="rect">
                                            <a:avLst/>
                                          </a:prstGeom>
                                        </pic:spPr>
                                      </pic:pic>
                                    </a:graphicData>
                                  </a:graphic>
                                </wp:inline>
                              </w:drawing>
                            </w:r>
                            <w:bookmarkStart w:id="7" w:name="i-5"/>
                            <w:bookmarkEnd w:id="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 xml:space="preserve">Revio system, Vega system, and Sequel systems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Revio, Vega, and Sequel instruments conduct, monitor, and analyze single-molecule biochemical reactions on SMRT Cell microchips. The instruments use highly sensitive imaging systems to capture fluorescent signals generated during nucleotide incorporation and translate those signals into base calls and quality scores through integrated computational analysis. The Vega and Sequel systems sequence one SMRT Cell at a time, while the Revio system can run up to four SMRT Cells simultaneously to increase throughput.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All instruments feature automated pipetting and reagent handling, on-board basecalling, perform consensus read generation, barcode demultiplexing, and methylation analysis, reducing the need for external computing resources. Together, these capabilities deliver fast, highly accurate, and efficient sequencing for applications ranging from large-scale population studies to focused translational research.</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HiFi Consumables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Customers purchase proprietary consumable products to run their PacBio systems, including our SMRT Cells and reagent kits. Typically, one SMRT Cell is consumed per sequencing reaction, and scientists can choose the number of SMRT Cells they use per experiment. In the second half of 2025, we introduced our latest SMRT Cell Nx products which are designed to support multiple sequencing reactions on a single SMRT Cell, improving flexibility and lowering per-sample cost. Beta testing of SPRQ-Nx chemistry on the higher throughput Revio commenced in 2025, with full commercial availability planned in 2026.</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offer several reagent kits, each designed to address a specific step in the core sequencing workflow. A library preparation kit is used to convert DNA into SMRTbell double-stranded DNA library formats and includes typical molecular biology reagents, such as ligase, buffers, and exonucleases. Our binding/polymerase kits include our modified DNA polymerase and are used to bind SMRTbell libraries to the polymerase in preparation for sequencing. Our core sequencing kits contain reagents required for on-instrument, real-time sequencing, including phospholinked nucleotides.</w:t>
      </w:r>
    </w:p>
    <w:p>
      <w:pPr>
        <w:pStyle w:val="TextBody"/>
        <w:bidi w:val="0"/>
        <w:spacing w:lineRule="auto" w:line="288" w:before="120" w:after="283"/>
        <w:jc w:val="both"/>
        <w:rPr/>
      </w:pPr>
      <w:r>
        <w:rPr>
          <w:rFonts w:ascii="Roboto;sans-serif" w:hAnsi="Roboto;sans-serif"/>
          <w:b w:val="false"/>
          <w:color w:val="000000"/>
          <w:sz w:val="20"/>
        </w:rPr>
        <w:t>Our Kinnex</w:t>
      </w:r>
      <w:r>
        <w:rPr>
          <w:rFonts w:ascii="Roboto;sans-serif" w:hAnsi="Roboto;sans-serif"/>
          <w:b w:val="false"/>
          <w:color w:val="000000"/>
          <w:sz w:val="13"/>
        </w:rPr>
        <w:t>TM</w:t>
      </w:r>
      <w:r>
        <w:rPr>
          <w:color w:val="000000"/>
        </w:rPr>
        <w:t xml:space="preserve"> </w:t>
      </w:r>
      <w:r>
        <w:rPr>
          <w:rFonts w:ascii="Roboto;sans-serif" w:hAnsi="Roboto;sans-serif"/>
          <w:b w:val="false"/>
          <w:color w:val="000000"/>
          <w:sz w:val="20"/>
        </w:rPr>
        <w:t>kits with companion SMRT Link software enable high-throughput, scalable, cost-effective RNA applications including bulk RNA, single-cell RNA, and 16S rRNA sequencing. The Kinnex kits use a molecular concatenation approach to link smaller amplicons into longer fragments for sequencing on PacBio long-read systems, significantly increasing molecular yield. Our PureTarget™ panels and reagent kits for targeted sequencing applications, including repeat expansion analysis and carrier screening, leverage HiFi sequencing accuracy to detect complex variants and repeat expansions with single-molecule resolution, enabling efficient, scalable targeted analysis.</w:t>
      </w:r>
    </w:p>
    <w:tbl>
      <w:tblPr>
        <w:tblW w:w="3225" w:type="dxa"/>
        <w:jc w:val="left"/>
        <w:tblInd w:w="0" w:type="dxa"/>
        <w:tblLayout w:type="fixed"/>
        <w:tblCellMar>
          <w:top w:w="28" w:type="dxa"/>
          <w:left w:w="28" w:type="dxa"/>
          <w:bottom w:w="28" w:type="dxa"/>
          <w:right w:w="28" w:type="dxa"/>
        </w:tblCellMar>
      </w:tblPr>
      <w:tblGrid>
        <w:gridCol w:w="1033"/>
        <w:gridCol w:w="908"/>
        <w:gridCol w:w="1284"/>
      </w:tblGrid>
      <w:tr>
        <w:trPr/>
        <w:tc>
          <w:tcPr>
            <w:tcW w:w="103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240" w:after="283"/>
              <w:jc w:val="both"/>
              <w:rPr>
                <w:rFonts w:ascii="Roboto;sans-serif" w:hAnsi="Roboto;sans-serif"/>
                <w:b/>
                <w:color w:val="DF1995"/>
                <w:sz w:val="22"/>
              </w:rPr>
            </w:pPr>
            <w:r>
              <w:rPr>
                <w:rFonts w:ascii="Roboto;sans-serif" w:hAnsi="Roboto;sans-serif"/>
                <w:b/>
                <w:color w:val="DF1995"/>
                <w:sz w:val="22"/>
              </w:rPr>
              <w:t>Our Strategy for Growth</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main objectives are to grow revenue and expand gross margins through the following five activities. These initiatives are designed to improve the economics of HiFi sequencing, expand adoption across clinical and research markets, and drive durable growth across our platform portfolio.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Accelerate samples onto the Revio platform through SPRQ-Nx chemistry and application kits.</w:t>
      </w:r>
      <w:r>
        <w:rPr>
          <w:color w:val="000000"/>
        </w:rPr>
        <w:t xml:space="preserve"> </w:t>
      </w:r>
      <w:r>
        <w:rPr>
          <w:rFonts w:ascii="Roboto;sans-serif" w:hAnsi="Roboto;sans-serif"/>
          <w:b w:val="false"/>
          <w:color w:val="000000"/>
          <w:sz w:val="20"/>
        </w:rPr>
        <w:t xml:space="preserve">SPRQ-Nx is designed to lower the cost of sequencing and improve sequencing efficiency, which we believe will support higher throughput, increased sample volumes, and broader adoption of HiFi sequencing in large-scale research studies and clinical applications.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 xml:space="preserve">Expand the capabilities of the Vega benchtop platform to broaden our market reach. </w:t>
      </w:r>
      <w:r>
        <w:rPr>
          <w:rFonts w:ascii="Roboto;sans-serif" w:hAnsi="Roboto;sans-serif"/>
          <w:b w:val="false"/>
          <w:color w:val="000000"/>
          <w:sz w:val="20"/>
        </w:rPr>
        <w:t xml:space="preserve">We plan to enable faster run times and enhanced user experience through software improvements, which are intended to support broader adoption and improve the overall economics of HiFi sequencing.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Progress our clinical strategy to improve outcomes and create durability.</w:t>
      </w:r>
      <w:r>
        <w:rPr>
          <w:color w:val="000000"/>
        </w:rPr>
        <w:t xml:space="preserve"> </w:t>
      </w:r>
      <w:r>
        <w:rPr>
          <w:rFonts w:ascii="Roboto;sans-serif" w:hAnsi="Roboto;sans-serif"/>
          <w:b w:val="false"/>
          <w:color w:val="000000"/>
          <w:sz w:val="20"/>
        </w:rPr>
        <w:t xml:space="preserve">Revio is increasingly being adopted in laboratory-developed test ("LDT") and clinical research settings, supporting consolidation of multiple tests, addressing complex genetic challenges, and driving sustained utilization of HiFi sequencing.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112520"/>
                <wp:effectExtent l="0" t="0" r="0" b="0"/>
                <wp:wrapNone/>
                <wp:docPr id="16" name="Frame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85"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0"/>
                                                <a:stretch>
                                                  <a:fillRect/>
                                                </a:stretch>
                                              </pic:blipFill>
                                              <pic:spPr bwMode="auto">
                                                <a:xfrm>
                                                  <a:off x="0" y="0"/>
                                                  <a:ext cx="457200" cy="95250"/>
                                                </a:xfrm>
                                                <a:prstGeom prst="rect">
                                                  <a:avLst/>
                                                </a:prstGeom>
                                              </pic:spPr>
                                            </pic:pic>
                                          </a:graphicData>
                                        </a:graphic>
                                      </wp:inline>
                                    </w:drawing>
                                  </w:r>
                                  <w:bookmarkStart w:id="8" w:name="i-6"/>
                                  <w:bookmarkEnd w:id="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85"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11"/>
                                          <a:stretch>
                                            <a:fillRect/>
                                          </a:stretch>
                                        </pic:blipFill>
                                        <pic:spPr bwMode="auto">
                                          <a:xfrm>
                                            <a:off x="0" y="0"/>
                                            <a:ext cx="457200" cy="95250"/>
                                          </a:xfrm>
                                          <a:prstGeom prst="rect">
                                            <a:avLst/>
                                          </a:prstGeom>
                                        </pic:spPr>
                                      </pic:pic>
                                    </a:graphicData>
                                  </a:graphic>
                                </wp:inline>
                              </w:drawing>
                            </w:r>
                            <w:bookmarkStart w:id="9" w:name="i-6"/>
                            <w:bookmarkEnd w:id="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Advance data-driven interpretation through scalable HiFi datasets and analytics.</w:t>
      </w:r>
      <w:r>
        <w:rPr>
          <w:color w:val="000000"/>
        </w:rPr>
        <w:t xml:space="preserve"> </w:t>
      </w:r>
      <w:r>
        <w:rPr>
          <w:rFonts w:ascii="Roboto;sans-serif" w:hAnsi="Roboto;sans-serif"/>
          <w:b w:val="false"/>
          <w:color w:val="000000"/>
          <w:sz w:val="20"/>
        </w:rPr>
        <w:t xml:space="preserve">We are focused on leveraging the accuracy of HiFi sequencing and growing datasets to support advanced data analysis and AI-assisted interpretation approaches. Collaborative initiatives, such as the HiFi Solves Global Consortium, are designed to aggregate large, well-characterized HiFi datasets, which we believe can support improved understanding of complex genetic variation and disease biology while maintaining expert oversight.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Invest in future product launches to drive platform innovation.</w:t>
      </w:r>
      <w:r>
        <w:rPr>
          <w:color w:val="000000"/>
        </w:rPr>
        <w:t xml:space="preserve"> </w:t>
      </w:r>
      <w:r>
        <w:rPr>
          <w:rFonts w:ascii="Roboto;sans-serif" w:hAnsi="Roboto;sans-serif"/>
          <w:b w:val="false"/>
          <w:color w:val="000000"/>
          <w:sz w:val="20"/>
        </w:rPr>
        <w:t xml:space="preserve">We continue to develop sequencing solutions designed to increase throughput, simplify workflows, lower the cost to sequence a genome, and enhance downstream data analysis and interpretation capabilities, which we believe will allow us to address a larger portion of the market. </w:t>
      </w:r>
    </w:p>
    <w:tbl>
      <w:tblPr>
        <w:tblW w:w="5129" w:type="dxa"/>
        <w:jc w:val="left"/>
        <w:tblInd w:w="0" w:type="dxa"/>
        <w:tblLayout w:type="fixed"/>
        <w:tblCellMar>
          <w:top w:w="28" w:type="dxa"/>
          <w:left w:w="28" w:type="dxa"/>
          <w:bottom w:w="28" w:type="dxa"/>
          <w:right w:w="28" w:type="dxa"/>
        </w:tblCellMar>
      </w:tblPr>
      <w:tblGrid>
        <w:gridCol w:w="1642"/>
        <w:gridCol w:w="1443"/>
        <w:gridCol w:w="2044"/>
      </w:tblGrid>
      <w:tr>
        <w:trPr/>
        <w:tc>
          <w:tcPr>
            <w:tcW w:w="164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Marketing, Sales, Service, and Support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market our products through a global sales force and through distribution partners in Australia, certain parts of Asia, Europe, the Middle East, Africa, Central America and South America. We plan to continue to invest in growing our marketing, sales, service, and support resources as we drive continued adoption of products, launch new products, and expand our customer base. </w:t>
      </w:r>
    </w:p>
    <w:tbl>
      <w:tblPr>
        <w:tblW w:w="1516" w:type="dxa"/>
        <w:jc w:val="left"/>
        <w:tblInd w:w="0" w:type="dxa"/>
        <w:tblLayout w:type="fixed"/>
        <w:tblCellMar>
          <w:top w:w="28" w:type="dxa"/>
          <w:left w:w="28" w:type="dxa"/>
          <w:bottom w:w="28" w:type="dxa"/>
          <w:right w:w="28" w:type="dxa"/>
        </w:tblCellMar>
      </w:tblPr>
      <w:tblGrid>
        <w:gridCol w:w="485"/>
        <w:gridCol w:w="426"/>
        <w:gridCol w:w="605"/>
      </w:tblGrid>
      <w:tr>
        <w:trPr/>
        <w:tc>
          <w:tcPr>
            <w:tcW w:w="48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Customers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customers include academic and governmental research institutions, commercial testing and service laboratories, genome centers, public health labs, hospitals and clinical research institutes, CROs, pharmaceutical companies, and agricultural companies. Our customers isolate, prepare, and analyze genetic samples using PacBio systems in their own laboratories, or send their genetic samples to third-party service providers who in turn sequence the samples with PacBio systems and provide the sequence data back to the customer for further analysis.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receive a significant portion of our revenue from a limited number of customers, many of whom make large purchases on a purchase-order basis. For the years ended December 31, 2025, 2024, and 2023, no customer accounted for 10% or more of our total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believe that the majority of our current customers are early adopters of sequencing technology. By focusing our efforts on high-value applications and developing whole product solutions around these applications, we seek to drive the adoption of our products across a broader customer base and into numerous large-scale projects. In general, the broader adoption of new technologies by mainstream customers can take a number of years.</w:t>
      </w:r>
    </w:p>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Backlog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our backlog was approximately $49.2 million, compared to $58.6 million as of December 31, 2024. We define backlog as purchase orders or signed contracts from our customers, which we believe are firm and for which we have not yet recognized revenue. We expect to convert approximately 80% of our backlog to revenue in 2026, approximately 16% in 2027, and the remainder thereafter; however, our ability to do so is subject to customers who may seek to cancel or delay their orders even if we are prepared to fulfill them.</w:t>
      </w:r>
    </w:p>
    <w:tbl>
      <w:tblPr>
        <w:tblW w:w="2041" w:type="dxa"/>
        <w:jc w:val="left"/>
        <w:tblInd w:w="0" w:type="dxa"/>
        <w:tblLayout w:type="fixed"/>
        <w:tblCellMar>
          <w:top w:w="28" w:type="dxa"/>
          <w:left w:w="28" w:type="dxa"/>
          <w:bottom w:w="28" w:type="dxa"/>
          <w:right w:w="28" w:type="dxa"/>
        </w:tblCellMar>
      </w:tblPr>
      <w:tblGrid>
        <w:gridCol w:w="653"/>
        <w:gridCol w:w="574"/>
        <w:gridCol w:w="814"/>
      </w:tblGrid>
      <w:tr>
        <w:trPr/>
        <w:tc>
          <w:tcPr>
            <w:tcW w:w="65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Manufacturing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manufacture sequencing instruments, SMRT Cells, and reagents. Our key manufacturing and service facility in Menlo Park, California has received ISO 13485 and ISO 9001 certifications for the design, development, manufacture, distribution, installation, and servicing of its nucleic acid sequencing platforms. We utilize domestic and international subcontract manufacturers for components of the manufacturing process. We purchase both custom and off-the-shelf components from a large number of suppliers worldwide and subject them to significant quality specifications. We periodically conduct quality audits of most of our critical suppliers and have established a supplier qualification program. Some of the components required in our products are currently either sole sourced or single sourced.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112520"/>
                <wp:effectExtent l="0" t="0" r="0" b="0"/>
                <wp:wrapNone/>
                <wp:docPr id="19" name="Frame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85"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2"/>
                                                <a:stretch>
                                                  <a:fillRect/>
                                                </a:stretch>
                                              </pic:blipFill>
                                              <pic:spPr bwMode="auto">
                                                <a:xfrm>
                                                  <a:off x="0" y="0"/>
                                                  <a:ext cx="457200" cy="95250"/>
                                                </a:xfrm>
                                                <a:prstGeom prst="rect">
                                                  <a:avLst/>
                                                </a:prstGeom>
                                              </pic:spPr>
                                            </pic:pic>
                                          </a:graphicData>
                                        </a:graphic>
                                      </wp:inline>
                                    </w:drawing>
                                  </w:r>
                                  <w:bookmarkStart w:id="10" w:name="i-7"/>
                                  <w:bookmarkEnd w:id="1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85"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13"/>
                                          <a:stretch>
                                            <a:fillRect/>
                                          </a:stretch>
                                        </pic:blipFill>
                                        <pic:spPr bwMode="auto">
                                          <a:xfrm>
                                            <a:off x="0" y="0"/>
                                            <a:ext cx="457200" cy="95250"/>
                                          </a:xfrm>
                                          <a:prstGeom prst="rect">
                                            <a:avLst/>
                                          </a:prstGeom>
                                        </pic:spPr>
                                      </pic:pic>
                                    </a:graphicData>
                                  </a:graphic>
                                </wp:inline>
                              </w:drawing>
                            </w:r>
                            <w:bookmarkStart w:id="11" w:name="i-7"/>
                            <w:bookmarkEnd w:id="1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3720" w:type="dxa"/>
        <w:jc w:val="left"/>
        <w:tblInd w:w="0" w:type="dxa"/>
        <w:tblLayout w:type="fixed"/>
        <w:tblCellMar>
          <w:top w:w="28" w:type="dxa"/>
          <w:left w:w="28" w:type="dxa"/>
          <w:bottom w:w="28" w:type="dxa"/>
          <w:right w:w="28" w:type="dxa"/>
        </w:tblCellMar>
      </w:tblPr>
      <w:tblGrid>
        <w:gridCol w:w="1191"/>
        <w:gridCol w:w="1046"/>
        <w:gridCol w:w="1483"/>
      </w:tblGrid>
      <w:tr>
        <w:trPr/>
        <w:tc>
          <w:tcPr>
            <w:tcW w:w="119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 xml:space="preserve">Research and Development </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historically made and plan to continue to make significant investments in research and development. Our research and development efforts focus on programs to develop new and existing platforms, as well as increasing throughput and decreasing costs on behalf of our customers. We also innovate across end-to-end workflows to improve usability, as well as develop new applications for the advancement of human health.</w:t>
      </w:r>
    </w:p>
    <w:tbl>
      <w:tblPr>
        <w:tblW w:w="2850" w:type="dxa"/>
        <w:jc w:val="left"/>
        <w:tblInd w:w="0" w:type="dxa"/>
        <w:tblLayout w:type="fixed"/>
        <w:tblCellMar>
          <w:top w:w="28" w:type="dxa"/>
          <w:left w:w="28" w:type="dxa"/>
          <w:bottom w:w="28" w:type="dxa"/>
          <w:right w:w="28" w:type="dxa"/>
        </w:tblCellMar>
      </w:tblPr>
      <w:tblGrid>
        <w:gridCol w:w="912"/>
        <w:gridCol w:w="802"/>
        <w:gridCol w:w="1136"/>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 xml:space="preserve">Intellectual Property </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Developing and maintaining a strong intellectual property portfolio is an important element of our business. We have sought, and will continue to seek, patent protection for our technology, for improvements to our technology, as well as for any of our other technologies where we believe such protection will be advantageous.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current patent portfolio, including patents exclusively licensed to us, is directed to various technologies, including SMRT nucleic acid sequencing and other methods for analyzing biological samples, ZMW arrays, surface treatments, phospholinked nucleotides and other reagents for use in nucleic acid sequencing, nucleic acid preparation, and purification components and systems, processes for identifying nucleotides within nucleic acid sequences, and processes for analysis and comparison of nucleic acid sequence data. Some of the patents and applications that we own, as well as some of the patents and applications that we have licensed from other parties, are subject to U.S. government march-in rights, whereby the U.S. government may disregard our exclusive patent rights on its own behalf or on behalf of third parties by imposing licenses in certain circumstances, such as if we fail to achieve practical application of the U.S. government-funded technology, because action is necessary to alleviate health or safety needs, to meet requirements of federal regulations, or to give preference to U.S. industry. In addition, U.S. government-funded inventions must be reported to the government and U.S. government funding must be disclosed in any resulting patent applications.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we own or hold exclusive licenses to 450 issued U.S. patents, 69 pending U.S. patent applications, 8 pending Patent Cooperation Treaty ("PCT") patent applications, 318 issued foreign patents, and 104 pending foreign patent applications. The full term of the issued U.S. patents will expire between 2026 and 2042. We also have non-exclusive patent licenses with various third parties to supplement our own large and robust patent portfolio.</w:t>
      </w:r>
    </w:p>
    <w:tbl>
      <w:tblPr>
        <w:tblW w:w="3794" w:type="dxa"/>
        <w:jc w:val="left"/>
        <w:tblInd w:w="0" w:type="dxa"/>
        <w:tblLayout w:type="fixed"/>
        <w:tblCellMar>
          <w:top w:w="28" w:type="dxa"/>
          <w:left w:w="28" w:type="dxa"/>
          <w:bottom w:w="28" w:type="dxa"/>
          <w:right w:w="28" w:type="dxa"/>
        </w:tblCellMar>
      </w:tblPr>
      <w:tblGrid>
        <w:gridCol w:w="1214"/>
        <w:gridCol w:w="1068"/>
        <w:gridCol w:w="1512"/>
      </w:tblGrid>
      <w:tr>
        <w:trPr/>
        <w:tc>
          <w:tcPr>
            <w:tcW w:w="121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 xml:space="preserve">Other Sequencing Solutions </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are a significant number of companies offering nucleic acid sequencing equipment or consumables. These include, but are not limited to, Illumina, BGI Genomics (also known as MGI or Complete Genomics), Thermo Fisher Scientific Inc. (“Thermo”), Oxford Nanopore Technologies Ltd. (“ONT Ltd.”), Roche Holding AG (“Roche”), Qiagen N.V. (“Qiagen”), Element Biosciences, Inc. (“Element”), Bionano Genomics, Inc. (“Bionano”), Ultima Genomics, Inc. (“Ultima”), and 10x Genomics, Inc. ("10x"). These companies may have different levels of financial, technical, manufacturing, administrative, and support resources available to them. We expect continued intense competition within the overall nucleic acid sequencing market as there are several companies developing new sequencing technologies, products and/or services. Increased competition may result in pricing pressures, which could harm our sales, profitability, or share of supply.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order for us to maintain and increase our sales, we will need to demonstrate that our products deliver superior performance and value as a result of our key differentiators. Our HiFi long-read sequencing will need to continue to deliver high consensus accuracy and long-read lengths, include single-molecule, real-time resolution, detect real-time kinetic information, provide fast time-to-result and flexibility, and support the breadth and depth of current and future applications.</w:t>
      </w:r>
    </w:p>
    <w:tbl>
      <w:tblPr>
        <w:tblW w:w="3180" w:type="dxa"/>
        <w:jc w:val="left"/>
        <w:tblInd w:w="0" w:type="dxa"/>
        <w:tblLayout w:type="fixed"/>
        <w:tblCellMar>
          <w:top w:w="28" w:type="dxa"/>
          <w:left w:w="28" w:type="dxa"/>
          <w:bottom w:w="28" w:type="dxa"/>
          <w:right w:w="28" w:type="dxa"/>
        </w:tblCellMar>
      </w:tblPr>
      <w:tblGrid>
        <w:gridCol w:w="1019"/>
        <w:gridCol w:w="895"/>
        <w:gridCol w:w="1266"/>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Government Regulation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development, testing, manufacturing, marketing, post-market surveillance, distribution, advertising, and labeling of certain medical devices, including in vitro diagnostic products and laboratory-developed tests, are subject to regulation in the United States by the Center for Devices and Radiological Health of the U.S. Food and Drug Administration ("FDA") under the Federal Food, Drug, and Cosmetic Act ("FDCA") and comparable state and foreign regulatory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112520"/>
                <wp:effectExtent l="0" t="0" r="0" b="0"/>
                <wp:wrapNone/>
                <wp:docPr id="22" name="Frame1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85"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4"/>
                                                <a:stretch>
                                                  <a:fillRect/>
                                                </a:stretch>
                                              </pic:blipFill>
                                              <pic:spPr bwMode="auto">
                                                <a:xfrm>
                                                  <a:off x="0" y="0"/>
                                                  <a:ext cx="457200" cy="95250"/>
                                                </a:xfrm>
                                                <a:prstGeom prst="rect">
                                                  <a:avLst/>
                                                </a:prstGeom>
                                              </pic:spPr>
                                            </pic:pic>
                                          </a:graphicData>
                                        </a:graphic>
                                      </wp:inline>
                                    </w:drawing>
                                  </w:r>
                                  <w:bookmarkStart w:id="12" w:name="i-8"/>
                                  <w:bookmarkEnd w:id="1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85"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15"/>
                                          <a:stretch>
                                            <a:fillRect/>
                                          </a:stretch>
                                        </pic:blipFill>
                                        <pic:spPr bwMode="auto">
                                          <a:xfrm>
                                            <a:off x="0" y="0"/>
                                            <a:ext cx="457200" cy="95250"/>
                                          </a:xfrm>
                                          <a:prstGeom prst="rect">
                                            <a:avLst/>
                                          </a:prstGeom>
                                        </pic:spPr>
                                      </pic:pic>
                                    </a:graphicData>
                                  </a:graphic>
                                </wp:inline>
                              </w:drawing>
                            </w:r>
                            <w:bookmarkStart w:id="13" w:name="i-8"/>
                            <w:bookmarkEnd w:id="1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currently label and sell our products for research use only (“RUO”) and primarily sell them to research customers in various settings, including academic institutions, life sciences and research laboratories that conduct research, and biopharmaceutical and biotechnology companies for non-diagnostic and non-clinical purposes. Our current RUO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the FDA. Rather, while FDA regulations require that RUO products be labeled for research use only and to market and distribute RUO products in accordance with the FDA RUO guidance, the regulations do not subject RUO products to the FDA’s jurisdiction or the broader pre- and post-market controls for medical devices. However, in the future, certain of our products or related applications, such as those that may be developed for clinical uses, could be subject to FDA regulation, or the FDA’s regulatory jurisdiction could be expanded to include our products. If we wish to label and expand product lines to address the diagnosis of disease, regulation by governmental authorities in the United States and other countries will become an increasingly significant factor in development, testing, production, and marketing. In the future,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and we would be required to obtain either prior 510(k) clearance or prior pre-market approval from the FDA before commercializing the product. Obtaining the requisite regulatory approvals can be expensive and may involve considerable delay. Some countries have regulatory review processes that are substantially longer than U.S. processes. Failure to obtain regulatory approval in a timely manner and meet all of the local regulatory requirements including language and specific safety standards in any foreign country in which we plan to market our products could prevent us from marketing products in such countries or subject us to sanctions and fines. Changes to the current regulatory framework, including the imposition of additional or new regulations, could arise at any time during the development or marketing of our products.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 2013, the FDA issued a final guidance on products labeled for research use only,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FDCA.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FDCA as Class III, which generally requires pre-market approval, or PMA approval. However, the FDA can reclassify or use “de novo classification” for a device that meets the FDCA standards for a Class II device,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112520"/>
                <wp:effectExtent l="0" t="0" r="0" b="0"/>
                <wp:wrapNone/>
                <wp:docPr id="25" name="Frame1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85"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6"/>
                                                <a:stretch>
                                                  <a:fillRect/>
                                                </a:stretch>
                                              </pic:blipFill>
                                              <pic:spPr bwMode="auto">
                                                <a:xfrm>
                                                  <a:off x="0" y="0"/>
                                                  <a:ext cx="457200" cy="95250"/>
                                                </a:xfrm>
                                                <a:prstGeom prst="rect">
                                                  <a:avLst/>
                                                </a:prstGeom>
                                              </pic:spPr>
                                            </pic:pic>
                                          </a:graphicData>
                                        </a:graphic>
                                      </wp:inline>
                                    </w:drawing>
                                  </w:r>
                                  <w:bookmarkStart w:id="14" w:name="i-9"/>
                                  <w:bookmarkEnd w:id="1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85"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7"/>
                                          <a:stretch>
                                            <a:fillRect/>
                                          </a:stretch>
                                        </pic:blipFill>
                                        <pic:spPr bwMode="auto">
                                          <a:xfrm>
                                            <a:off x="0" y="0"/>
                                            <a:ext cx="457200" cy="95250"/>
                                          </a:xfrm>
                                          <a:prstGeom prst="rect">
                                            <a:avLst/>
                                          </a:prstGeom>
                                        </pic:spPr>
                                      </pic:pic>
                                    </a:graphicData>
                                  </a:graphic>
                                </wp:inline>
                              </w:drawing>
                            </w:r>
                            <w:bookmarkStart w:id="15" w:name="i-9"/>
                            <w:bookmarkEnd w:id="1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permitting the device to be marketed without PMA approval. To grant such a reclassification, FDA must determine that the FDCA’s general controls alone, or general controls and special controls together, are sufficient to provide a reasonable assurance of the device’s safety and effectiveness. The de novo classification route is generally less burdensome than the PMA approval process.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lineRule="auto" w:line="288" w:before="120" w:after="283"/>
        <w:jc w:val="both"/>
        <w:rPr/>
      </w:pPr>
      <w:r>
        <w:rPr>
          <w:rFonts w:ascii="Roboto;sans-serif" w:hAnsi="Roboto;sans-serif"/>
          <w:b w:val="false"/>
          <w:color w:val="000000"/>
          <w:sz w:val="20"/>
        </w:rPr>
        <w:t xml:space="preserve">For example, in some cases, our customers, including laboratories that offer services as part of our certified service provider program, may use our RUO products in their own LDTs or in other FDA-regulated products for clinical diagnostic use. The FDA has historically exercised enforcement discretion in not enforcing the medical device regulations against LDTs and LDT manufacturers.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In May 2024, the FDA issued a final rule that phases out its enforcement discretion for most LDTs and amends the FDA’s regulations to make explicit that in vitro diagnostics are medical devices under the FDCA, including when the manufacturer of the diagnostic product is a laboratory. On March 31, 2025, a U.S. District Court in Texas ruled that the FDA exceeded its authority and vacated and set aside this LDT final rule in its entirety. Further, in June 2024, the U.S. Supreme Court overruled the </w:t>
      </w:r>
      <w:r>
        <w:rPr>
          <w:rFonts w:ascii="Roboto;sans-serif" w:hAnsi="Roboto;sans-serif"/>
          <w:b w:val="false"/>
          <w:i/>
          <w:color w:val="000000"/>
          <w:sz w:val="20"/>
        </w:rPr>
        <w:t>Chevron</w:t>
      </w:r>
      <w:r>
        <w:rPr>
          <w:color w:val="000000"/>
        </w:rPr>
        <w:t xml:space="preserve"> </w:t>
      </w:r>
      <w:r>
        <w:rPr>
          <w:rFonts w:ascii="Roboto;sans-serif" w:hAnsi="Roboto;sans-serif"/>
          <w:b w:val="false"/>
          <w:color w:val="000000"/>
          <w:sz w:val="20"/>
        </w:rPr>
        <w:t>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and policies of the FDA. The government may issue new policies and regulations that can impact the compliance status of our products or that of our customers. If our products become subject to FDA regulation as medical devices, we would need to invest significant time and resources to ensure ongoing compliance with FDA quality system regulations and other post-market regulatory requirements.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If our products become subject to FDA regulation as medical devices, the regulatory clearance or approval and the maintenance of continued and post-market regulatory compliance for such products will be expensive, time-consuming, and uncertain both in timing and in outcome. Commercialization of such regulated medical devices can increase our exposure under additional laws. For example, medical device companies are subject to additional healthcare regulation and enforcement by the federal government and by authorities in the states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112520"/>
                <wp:effectExtent l="0" t="0" r="0" b="0"/>
                <wp:wrapNone/>
                <wp:docPr id="28" name="Frame1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8"/>
                                                <a:stretch>
                                                  <a:fillRect/>
                                                </a:stretch>
                                              </pic:blipFill>
                                              <pic:spPr bwMode="auto">
                                                <a:xfrm>
                                                  <a:off x="0" y="0"/>
                                                  <a:ext cx="457200" cy="95250"/>
                                                </a:xfrm>
                                                <a:prstGeom prst="rect">
                                                  <a:avLst/>
                                                </a:prstGeom>
                                              </pic:spPr>
                                            </pic:pic>
                                          </a:graphicData>
                                        </a:graphic>
                                      </wp:inline>
                                    </w:drawing>
                                  </w:r>
                                  <w:bookmarkStart w:id="16" w:name="i-10"/>
                                  <w:bookmarkEnd w:id="1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19"/>
                                          <a:stretch>
                                            <a:fillRect/>
                                          </a:stretch>
                                        </pic:blipFill>
                                        <pic:spPr bwMode="auto">
                                          <a:xfrm>
                                            <a:off x="0" y="0"/>
                                            <a:ext cx="457200" cy="95250"/>
                                          </a:xfrm>
                                          <a:prstGeom prst="rect">
                                            <a:avLst/>
                                          </a:prstGeom>
                                        </pic:spPr>
                                      </pic:pic>
                                    </a:graphicData>
                                  </a:graphic>
                                </wp:inline>
                              </w:drawing>
                            </w:r>
                            <w:bookmarkStart w:id="17" w:name="i-10"/>
                            <w:bookmarkEnd w:id="1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foreign jurisdictions in which they conduct their business and may constrain the financial arrangements and relationships through which we research, as well as sell, market and distribute any medical products for which we obtain marketing authorization. Such laws include, without limitation, state and federal anti-kickback, fraud and abuse, false claims, data privacy and security, and transparency laws and regulations related to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International sales of medical devices are subject to foreign government regulations, which vary substantially from country to country. In the future, if we decide to distribute or market our diagnostic products as IVDs in Europe, such products are subject to regulation under the European Union (“EU”) IVD Medical Device Regulation (“IVDR”) EU 2017/746. Outside of the EU, regulatory approval needs to be sought on a country-by-country basis in order to market medical devices. Although there is a trend towards harmonization of a quality system, standards and regulations in each country may vary substantially, which can affect timelines of introduction.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committed to the protection of our employees and the environment. Our operations require the use of hazardous materials that subject us to various federal, state, and local environmental and safety laws and regulations. We believe that we are in material compliance with current applicable laws and regulations. However, we could be held liable for damages and fines should contamination of the environment or individual exposures to hazardous substances occur. In addition, we cannot predict how changes in these laws and regulations, or the development of new laws and regulations, will affect our business operations or the cost of compliance.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Additionally, we must comply with complex foreign and U.S. laws and regulations, such as the U.S. Foreign Corrupt Practices Act, the U.K. Bribery Act, and other local laws prohibiting corrupt payments to governmental officials, anti-competition regulations and sanctions imposed by the U.S. Office of Foreign Assets Control, and other similar laws and regulations. Violations of these laws and regulations could result in fines and penalties, criminal sanctions, restrictions on our business conduct, and on our ability to offer our products in one or more countries, and could also materially affect our brand, our ability to attract and retain employees, our international operations, our business, and our operating results. Although we have implemented policies and procedures designed to ensure compliance with these laws and regulations, there can be no assurance that our employees, contractors, or agents will not violate our policies.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we continue to expand our business into multiple international markets, our success will depend, in large part, on our ability to anticipate and effectively manage these and other risks associated with our international operations. Any of these risks could harm our international operations and negatively impact our sales, adversely affecting our business, results of operations, financial condition, and growth prospects.</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112520"/>
                <wp:effectExtent l="0" t="0" r="0" b="0"/>
                <wp:wrapNone/>
                <wp:docPr id="31" name="Frame1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0"/>
                                                <a:stretch>
                                                  <a:fillRect/>
                                                </a:stretch>
                                              </pic:blipFill>
                                              <pic:spPr bwMode="auto">
                                                <a:xfrm>
                                                  <a:off x="0" y="0"/>
                                                  <a:ext cx="457200" cy="95250"/>
                                                </a:xfrm>
                                                <a:prstGeom prst="rect">
                                                  <a:avLst/>
                                                </a:prstGeom>
                                              </pic:spPr>
                                            </pic:pic>
                                          </a:graphicData>
                                        </a:graphic>
                                      </wp:inline>
                                    </w:drawing>
                                  </w:r>
                                  <w:bookmarkStart w:id="18" w:name="i-11"/>
                                  <w:bookmarkEnd w:id="1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21"/>
                                          <a:stretch>
                                            <a:fillRect/>
                                          </a:stretch>
                                        </pic:blipFill>
                                        <pic:spPr bwMode="auto">
                                          <a:xfrm>
                                            <a:off x="0" y="0"/>
                                            <a:ext cx="457200" cy="95250"/>
                                          </a:xfrm>
                                          <a:prstGeom prst="rect">
                                            <a:avLst/>
                                          </a:prstGeom>
                                        </pic:spPr>
                                      </pic:pic>
                                    </a:graphicData>
                                  </a:graphic>
                                </wp:inline>
                              </w:drawing>
                            </w:r>
                            <w:bookmarkStart w:id="19" w:name="i-11"/>
                            <w:bookmarkEnd w:id="1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2039" w:type="dxa"/>
        <w:jc w:val="left"/>
        <w:tblInd w:w="0" w:type="dxa"/>
        <w:tblLayout w:type="fixed"/>
        <w:tblCellMar>
          <w:top w:w="28" w:type="dxa"/>
          <w:left w:w="28" w:type="dxa"/>
          <w:bottom w:w="28" w:type="dxa"/>
          <w:right w:w="28" w:type="dxa"/>
        </w:tblCellMar>
      </w:tblPr>
      <w:tblGrid>
        <w:gridCol w:w="653"/>
        <w:gridCol w:w="573"/>
        <w:gridCol w:w="813"/>
      </w:tblGrid>
      <w:tr>
        <w:trPr/>
        <w:tc>
          <w:tcPr>
            <w:tcW w:w="65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Human Capital</w:t>
            </w:r>
          </w:p>
        </w:tc>
      </w:tr>
    </w:tbl>
    <w:p>
      <w:pPr>
        <w:pStyle w:val="TextBody"/>
        <w:bidi w:val="0"/>
        <w:spacing w:before="180" w:after="283"/>
        <w:jc w:val="both"/>
        <w:rPr/>
      </w:pPr>
      <w:r>
        <w:rPr/>
        <w:drawing>
          <wp:inline distT="0" distB="0" distL="0" distR="0">
            <wp:extent cx="2095500" cy="22860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2"/>
                    <a:stretch>
                      <a:fillRect/>
                    </a:stretch>
                  </pic:blipFill>
                  <pic:spPr bwMode="auto">
                    <a:xfrm>
                      <a:off x="0" y="0"/>
                      <a:ext cx="2095500" cy="2286000"/>
                    </a:xfrm>
                    <a:prstGeom prst="rect">
                      <a:avLst/>
                    </a:prstGeom>
                  </pic:spPr>
                </pic:pic>
              </a:graphicData>
            </a:graphic>
          </wp:inline>
        </w:drawing>
      </w:r>
      <w:bookmarkStart w:id="20" w:name="i-12"/>
      <w:bookmarkEnd w:id="20"/>
    </w:p>
    <w:p>
      <w:pPr>
        <w:pStyle w:val="TextBody"/>
        <w:bidi w:val="0"/>
        <w:spacing w:before="180" w:after="283"/>
        <w:jc w:val="both"/>
        <w:rPr/>
      </w:pPr>
      <w:r>
        <w:rPr/>
      </w:r>
    </w:p>
    <w:p>
      <w:pPr>
        <w:pStyle w:val="TextBody"/>
        <w:bidi w:val="0"/>
        <w:spacing w:before="180" w:after="283"/>
        <w:jc w:val="both"/>
        <w:rPr/>
      </w:pPr>
      <w:r>
        <w:rPr/>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we had 485 full-time employees. Of these employees, 162 were in research and development, 64 were in operations, 37 were in service, 163 were in marketing and sales, and 59 were in general and administration. With the exception of our field-based sales, marketing, and service teams, the majority of our employees are in California. None of our employees are represented by labor unions or are covered by a collective bargaining agreement with respect to their employment. We have not experienced any work stoppages, and we consider our relationship with our employees to be good.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Talent Acquisition and Retention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recognize that our employees are the driving force behind our success. To support our continued growth, we are committed to attracting, developing, and retaining best-in-class talent across the globe. Our Talent Acquisition team leverages both internal and external partnerships, data-driven strategies, and a strong employer brand to identify and recruit highly skilled professionals who align with our mission and values.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Total Rewards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At PacBio, our Total Rewards philosophy centers on investing in our people - the foundation of our success. We are committed to offering competitive, equitable, and comprehensive compensation and benefits that recognize performance, support well-being, and promote long-term growth.</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compensation packages include base salary, short-term incentives such as annual bonuses and commissions, and long-term equity awards that align employees with the company’s success. In addition, we provide a broad range of benefits tailored by country and region, including life, disability, and health insurance; health savings and flexible spending accounts; generous paid time off; paid parental leave; and retirement savings plans such as our 401(k) program. Employees also have the opportunity to share in PacBio’s growth through our Employee Stock Purchase Program.</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strive to be an employer of choice in our industry by ensuring our Total Rewards are not only market-competitive, but also reflective of our commitment to supporting employees’ financial, physical, and emotional well-being.</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Health, Safety, and Wellness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health, safety, and overall well-being of our employees are fundamental to our success and culture. We are deeply committed to investing in programs and resources that help our employees and their families thrive.</w:t>
      </w:r>
    </w:p>
    <w:p>
      <w:pPr>
        <w:pStyle w:val="TextBody"/>
        <w:bidi w:val="0"/>
        <w:spacing w:lineRule="auto" w:line="288" w:before="120" w:after="283"/>
        <w:jc w:val="both"/>
        <w:rPr/>
      </w:pPr>
      <w:r>
        <w:rPr>
          <w:rFonts w:ascii="Roboto;sans-serif" w:hAnsi="Roboto;sans-serif"/>
          <w:b w:val="false"/>
          <w:color w:val="000000"/>
          <w:sz w:val="20"/>
        </w:rPr>
        <w:t>We offer a wide range of</w:t>
      </w:r>
      <w:r>
        <w:rPr>
          <w:color w:val="000000"/>
        </w:rPr>
        <w:t xml:space="preserve"> </w:t>
      </w:r>
      <w:r>
        <w:rPr>
          <w:rFonts w:ascii="Roboto;sans-serif" w:hAnsi="Roboto;sans-serif"/>
          <w:b/>
          <w:color w:val="000000"/>
          <w:sz w:val="20"/>
        </w:rPr>
        <w:t>i</w:t>
      </w:r>
      <w:r>
        <w:rPr>
          <w:rFonts w:ascii="Roboto;sans-serif" w:hAnsi="Roboto;sans-serif"/>
          <w:b w:val="false"/>
          <w:color w:val="000000"/>
          <w:sz w:val="20"/>
        </w:rPr>
        <w:t>nnovative, flexible, and accessible health and wellness programs designed to promote physical, mental, and financial well-being. These benefits provide employees with security and peace of mind, supporting them through life events that may require time away from work or impact their financial stability.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 ensure employees can make the most of these offerings, our programs are regularly reviewed, enhanced, and featured on our internal benefits platform, keeping our workforce informed and engaged with the resources available to them.</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Diversity, Equity, and Inclusion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believe that diversity drives innovation and strengthens our organization. A diverse, equitable, and inclusive workforce enables us to better serve our global community and achieve lasting success.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mission is to embrace and value differences including race, ethnicity, religion, nationality, gender, age, sexual orientation, education, experience, and perspective. We are committed to fostering a workplace where all employees feel respected, empowered, and supported to contribute their best.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112520"/>
                <wp:effectExtent l="0" t="0" r="0" b="0"/>
                <wp:wrapNone/>
                <wp:docPr id="35" name="Frame1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3" descr=""/>
                                                <pic:cNvPicPr>
                                                  <a:picLocks noChangeAspect="1" noChangeArrowheads="1"/>
                                                </pic:cNvPicPr>
                                              </pic:nvPicPr>
                                              <pic:blipFill>
                                                <a:blip r:embed="rId23"/>
                                                <a:stretch>
                                                  <a:fillRect/>
                                                </a:stretch>
                                              </pic:blipFill>
                                              <pic:spPr bwMode="auto">
                                                <a:xfrm>
                                                  <a:off x="0" y="0"/>
                                                  <a:ext cx="457200" cy="95250"/>
                                                </a:xfrm>
                                                <a:prstGeom prst="rect">
                                                  <a:avLst/>
                                                </a:prstGeom>
                                              </pic:spPr>
                                            </pic:pic>
                                          </a:graphicData>
                                        </a:graphic>
                                      </wp:inline>
                                    </w:drawing>
                                  </w:r>
                                  <w:bookmarkStart w:id="21" w:name="i-13"/>
                                  <w:bookmarkEnd w:id="2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4"/>
                                          <a:stretch>
                                            <a:fillRect/>
                                          </a:stretch>
                                        </pic:blipFill>
                                        <pic:spPr bwMode="auto">
                                          <a:xfrm>
                                            <a:off x="0" y="0"/>
                                            <a:ext cx="457200" cy="95250"/>
                                          </a:xfrm>
                                          <a:prstGeom prst="rect">
                                            <a:avLst/>
                                          </a:prstGeom>
                                        </pic:spPr>
                                      </pic:pic>
                                    </a:graphicData>
                                  </a:graphic>
                                </wp:inline>
                              </w:drawing>
                            </w:r>
                            <w:bookmarkStart w:id="22" w:name="i-13"/>
                            <w:bookmarkEnd w:id="2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 advance these principles, we provide training and development programs that build awareness, promote inclusion, and help employees recognize and mitigate bias throughout the employee lifecycle. Our ongoing efforts focus on inclusive hiring practices, fair and equitable treatment, and organizational flexibility, supported by tools and resources that enable every employee to do their best work.</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Training and Development</w:t>
      </w:r>
    </w:p>
    <w:p>
      <w:pPr>
        <w:pStyle w:val="TextBody"/>
        <w:bidi w:val="0"/>
        <w:spacing w:lineRule="auto" w:line="288" w:before="0" w:after="0"/>
        <w:jc w:val="both"/>
        <w:rPr>
          <w:rFonts w:ascii="Roboto;sans-serif" w:hAnsi="Roboto;sans-serif"/>
          <w:b w:val="false"/>
          <w:color w:val="000000"/>
          <w:sz w:val="20"/>
        </w:rPr>
      </w:pPr>
      <w:r>
        <w:rPr>
          <w:rFonts w:ascii="Roboto;sans-serif" w:hAnsi="Roboto;sans-serif"/>
          <w:b w:val="false"/>
          <w:color w:val="000000"/>
          <w:sz w:val="20"/>
        </w:rPr>
        <w:t>We are committed to fostering a culture of continuous learning and growth. We encourage employees to be lifelong learners by offering ongoing opportunities for professional and leadership development. We provide required compliance training for employees, along with targeted, function-specific training where applicable, and ongoing learning through cross-functional collaboration and knowledge sharing.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While we emphasize real-time recognition of employee performance throughout the year, we also conduct a formal annual review process. This process not only informs pay and equity adjustments based on individual contributions but also helps identify areas where additional training and development can support each employee’s continued success.</w:t>
      </w:r>
    </w:p>
    <w:tbl>
      <w:tblPr>
        <w:tblW w:w="2985" w:type="dxa"/>
        <w:jc w:val="left"/>
        <w:tblInd w:w="0" w:type="dxa"/>
        <w:tblLayout w:type="fixed"/>
        <w:tblCellMar>
          <w:top w:w="28" w:type="dxa"/>
          <w:left w:w="28" w:type="dxa"/>
          <w:bottom w:w="28" w:type="dxa"/>
          <w:right w:w="28" w:type="dxa"/>
        </w:tblCellMar>
      </w:tblPr>
      <w:tblGrid>
        <w:gridCol w:w="955"/>
        <w:gridCol w:w="840"/>
        <w:gridCol w:w="1190"/>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 xml:space="preserve">Available Information </w:t>
            </w:r>
          </w:p>
        </w:tc>
      </w:tr>
    </w:tbl>
    <w:p>
      <w:pPr>
        <w:pStyle w:val="TextBody"/>
        <w:bidi w:val="0"/>
        <w:spacing w:lineRule="auto" w:line="288" w:before="120" w:after="283"/>
        <w:jc w:val="both"/>
        <w:rPr/>
      </w:pPr>
      <w:r>
        <w:rPr>
          <w:rFonts w:ascii="Roboto;sans-serif" w:hAnsi="Roboto;sans-serif"/>
          <w:b w:val="false"/>
          <w:color w:val="000000"/>
          <w:sz w:val="20"/>
        </w:rPr>
        <w:t xml:space="preserve">Our website is located at </w:t>
      </w:r>
      <w:r>
        <w:rPr>
          <w:rFonts w:ascii="Roboto;sans-serif" w:hAnsi="Roboto;sans-serif"/>
          <w:b w:val="false"/>
          <w:color w:val="000000"/>
          <w:sz w:val="20"/>
          <w:u w:val="single"/>
        </w:rPr>
        <w:t>www.pacb.com</w:t>
      </w:r>
      <w:r>
        <w:rPr>
          <w:rFonts w:ascii="Roboto;sans-serif" w:hAnsi="Roboto;sans-serif"/>
          <w:b w:val="false"/>
          <w:color w:val="000000"/>
          <w:sz w:val="20"/>
        </w:rPr>
        <w:t>. The information posted on, or that can be accessed through, our website is not incorporated by reference into this Annual Report on Form 10-K, and the inclusion of our website address is an inactive textual reference only. Our Annual Report on Form 10-K, Quarterly Reports on Form 10-Q, Current Reports on Form 8-K, and amendments to reports filed or furnished pursuant to Sections 13(a) and 15(d) of the Exchange Act are available free of charge through the “Investor Relations” section of our website as soon as reasonably practicable after we electronically file such material with, or furnish it to, the SEC. The SEC also maintains a website that contains our SEC filings. The address of the site is www.sec.gov.</w:t>
      </w:r>
    </w:p>
    <w:p>
      <w:pPr>
        <w:pStyle w:val="TextBody"/>
        <w:bidi w:val="0"/>
        <w:spacing w:lineRule="auto" w:line="288" w:before="120" w:after="283"/>
        <w:jc w:val="both"/>
        <w:rPr/>
      </w:pPr>
      <w:r>
        <w:rPr>
          <w:rFonts w:ascii="Roboto;sans-serif" w:hAnsi="Roboto;sans-serif"/>
          <w:b w:val="false"/>
          <w:color w:val="000000"/>
          <w:sz w:val="20"/>
        </w:rPr>
        <w:t xml:space="preserve">Additionally, we use our website (including the blog section of our website at </w:t>
      </w:r>
      <w:r>
        <w:rPr>
          <w:rFonts w:ascii="Roboto;sans-serif" w:hAnsi="Roboto;sans-serif"/>
          <w:b w:val="false"/>
          <w:color w:val="000000"/>
          <w:sz w:val="20"/>
          <w:u w:val="single"/>
        </w:rPr>
        <w:t>www.pacb.com/blog</w:t>
      </w:r>
      <w:r>
        <w:rPr>
          <w:rFonts w:ascii="Roboto;sans-serif" w:hAnsi="Roboto;sans-serif"/>
          <w:b w:val="false"/>
          <w:color w:val="000000"/>
          <w:sz w:val="20"/>
        </w:rPr>
        <w:t>) as well as our Bluesky (@pacbio.bsky.social), X (</w:t>
      </w:r>
      <w:r>
        <w:rPr>
          <w:rFonts w:ascii="Roboto;sans-serif" w:hAnsi="Roboto;sans-serif"/>
          <w:b w:val="false"/>
          <w:color w:val="000000"/>
          <w:sz w:val="20"/>
          <w:u w:val="single"/>
        </w:rPr>
        <w:t>@pacbio</w:t>
      </w:r>
      <w:r>
        <w:rPr>
          <w:rFonts w:ascii="Roboto;sans-serif" w:hAnsi="Roboto;sans-serif"/>
          <w:b w:val="false"/>
          <w:color w:val="000000"/>
          <w:sz w:val="20"/>
        </w:rPr>
        <w:t>), and LinkedIn (www.linkedin.com/company/pacific-biosciences) accounts as channels of distribution, where important company information is routinely posted and accessible, and to comply with our disclosure obligations under Regulation FD. Important information, including press releases, analyst presentations, and financial information regarding us, as well as corporate governance information, is routinely posted and accessible on the “Investor Relations” section of the website, which is accessible by clicking on the tab labeled “Company - Investors” on our website home page. The contents of our website and our social media accounts are not incorporated by reference into this Annual Report on Form 10-K or in any other report or document we file with the SEC, and any references to our website or X account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112520"/>
                <wp:effectExtent l="0" t="0" r="0" b="0"/>
                <wp:wrapNone/>
                <wp:docPr id="38" name="Frame1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25"/>
                                                <a:stretch>
                                                  <a:fillRect/>
                                                </a:stretch>
                                              </pic:blipFill>
                                              <pic:spPr bwMode="auto">
                                                <a:xfrm>
                                                  <a:off x="0" y="0"/>
                                                  <a:ext cx="457200" cy="95250"/>
                                                </a:xfrm>
                                                <a:prstGeom prst="rect">
                                                  <a:avLst/>
                                                </a:prstGeom>
                                              </pic:spPr>
                                            </pic:pic>
                                          </a:graphicData>
                                        </a:graphic>
                                      </wp:inline>
                                    </w:drawing>
                                  </w:r>
                                  <w:bookmarkStart w:id="23" w:name="i-14"/>
                                  <w:bookmarkEnd w:id="2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6"/>
                                          <a:stretch>
                                            <a:fillRect/>
                                          </a:stretch>
                                        </pic:blipFill>
                                        <pic:spPr bwMode="auto">
                                          <a:xfrm>
                                            <a:off x="0" y="0"/>
                                            <a:ext cx="457200" cy="95250"/>
                                          </a:xfrm>
                                          <a:prstGeom prst="rect">
                                            <a:avLst/>
                                          </a:prstGeom>
                                        </pic:spPr>
                                      </pic:pic>
                                    </a:graphicData>
                                  </a:graphic>
                                </wp:inline>
                              </w:drawing>
                            </w:r>
                            <w:bookmarkStart w:id="24" w:name="i-14"/>
                            <w:bookmarkEnd w:id="2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3420" w:type="dxa"/>
        <w:jc w:val="left"/>
        <w:tblInd w:w="0" w:type="dxa"/>
        <w:tblLayout w:type="fixed"/>
        <w:tblCellMar>
          <w:top w:w="28" w:type="dxa"/>
          <w:left w:w="28" w:type="dxa"/>
          <w:bottom w:w="28" w:type="dxa"/>
          <w:right w:w="28" w:type="dxa"/>
        </w:tblCellMar>
      </w:tblPr>
      <w:tblGrid>
        <w:gridCol w:w="1093"/>
        <w:gridCol w:w="962"/>
        <w:gridCol w:w="1365"/>
      </w:tblGrid>
      <w:tr>
        <w:trPr/>
        <w:tc>
          <w:tcPr>
            <w:tcW w:w="109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4"/>
              </w:rPr>
            </w:pPr>
            <w:r>
              <w:rPr>
                <w:rFonts w:ascii="Roboto;sans-serif" w:hAnsi="Roboto;sans-serif"/>
                <w:b/>
                <w:color w:val="DF1995"/>
                <w:sz w:val="24"/>
              </w:rPr>
              <w:t>ITEM 1A. RISK FACTORS</w:t>
            </w:r>
          </w:p>
        </w:tc>
      </w:tr>
    </w:tbl>
    <w:p>
      <w:pPr>
        <w:pStyle w:val="TextBody"/>
        <w:bidi w:val="0"/>
        <w:spacing w:lineRule="auto" w:line="288" w:before="120" w:after="283"/>
        <w:jc w:val="both"/>
        <w:rPr>
          <w:rFonts w:ascii="Roboto;sans-serif" w:hAnsi="Roboto;sans-serif"/>
          <w:b w:val="false"/>
          <w:i/>
          <w:color w:val="000000"/>
          <w:sz w:val="20"/>
        </w:rPr>
      </w:pPr>
      <w:r>
        <w:rPr>
          <w:rFonts w:ascii="Roboto;sans-serif" w:hAnsi="Roboto;sans-serif"/>
          <w:b w:val="false"/>
          <w:i/>
          <w:color w:val="000000"/>
          <w:sz w:val="20"/>
        </w:rPr>
        <w:t>You should carefully consider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 This situation is changing rapidly, and additional impacts may arise that we are not aware of currently.</w:t>
      </w:r>
    </w:p>
    <w:tbl>
      <w:tblPr>
        <w:tblW w:w="3000" w:type="dxa"/>
        <w:jc w:val="left"/>
        <w:tblInd w:w="0" w:type="dxa"/>
        <w:tblLayout w:type="fixed"/>
        <w:tblCellMar>
          <w:top w:w="28" w:type="dxa"/>
          <w:left w:w="28" w:type="dxa"/>
          <w:bottom w:w="28" w:type="dxa"/>
          <w:right w:w="28" w:type="dxa"/>
        </w:tblCellMar>
      </w:tblPr>
      <w:tblGrid>
        <w:gridCol w:w="960"/>
        <w:gridCol w:w="843"/>
        <w:gridCol w:w="1197"/>
      </w:tblGrid>
      <w:tr>
        <w:trPr/>
        <w:tc>
          <w:tcPr>
            <w:tcW w:w="9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Summary Risk Factors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is a summary of the principal risks that could adversely affect our business, operations, and financial results. Such risks are discussed more fully below and include, but are not limited to, risks related to:</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successfully market, commercialize, and sell current and future products and related maintenance services;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achieve profitability for our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implement required expense reduction initiatives;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repay our debt and fund our long-term operations;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impact of the disposition of assets related to our short-read DNA sequencing technology and related clustering, sequencing reagent, and detection technologies could have on our business, financial condition and results of operations;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successfully leverage and integrate our acquisitions and future acquisitions;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successfully research, develop and timely manufacture our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management of new product introductions and transitions, resultant costs, and ability of new products to generate promised performance;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recent significant changes to our leadership team and resultant disruptions to our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retention, recruitment, and training of senior management, key personnel, scientists and engineers;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further penetrate nucleic acid sequencing applications, as well as grow product demand;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reliance on outsourcing to other companies for manufacturing certain of our products, components and sub-assemblies, some of which are sole-sourced;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impact of tariffs recently imposed by the U.S. government and its trading partners in response, other possible tariffs or trade protection measures, import or export licensing requirements, new or different customs duties, trade embargoes and sanctions and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consistently manufacture our instruments and consumables to meet customers’ specifications, quantity, cost, or performance requirements;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high amount of competition we face in our industry;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attract customers and increase sales of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reliance on a limited number of customers for a significant portion of our revenues, including academic, research and government institutions, which may be impacted by reductions in funding or targeted cancellations of certain grants or contracts by the U.S. federal government;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complexity of our products giving rise to defects or errors;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unpredictable and lengthy sales cycles;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possibility that our goodwill or intangible assets could become impaired;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adverse effects resulting from political and economic tensions between the United States and other countries, including China and Russia, and other geopolitical uncertainties;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112520"/>
                <wp:effectExtent l="0" t="0" r="0" b="0"/>
                <wp:wrapNone/>
                <wp:docPr id="41" name="Frame1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27"/>
                                                <a:stretch>
                                                  <a:fillRect/>
                                                </a:stretch>
                                              </pic:blipFill>
                                              <pic:spPr bwMode="auto">
                                                <a:xfrm>
                                                  <a:off x="0" y="0"/>
                                                  <a:ext cx="457200" cy="95250"/>
                                                </a:xfrm>
                                                <a:prstGeom prst="rect">
                                                  <a:avLst/>
                                                </a:prstGeom>
                                              </pic:spPr>
                                            </pic:pic>
                                          </a:graphicData>
                                        </a:graphic>
                                      </wp:inline>
                                    </w:drawing>
                                  </w:r>
                                  <w:bookmarkStart w:id="25" w:name="i-15"/>
                                  <w:bookmarkEnd w:id="2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8"/>
                                          <a:stretch>
                                            <a:fillRect/>
                                          </a:stretch>
                                        </pic:blipFill>
                                        <pic:spPr bwMode="auto">
                                          <a:xfrm>
                                            <a:off x="0" y="0"/>
                                            <a:ext cx="457200" cy="95250"/>
                                          </a:xfrm>
                                          <a:prstGeom prst="rect">
                                            <a:avLst/>
                                          </a:prstGeom>
                                        </pic:spPr>
                                      </pic:pic>
                                    </a:graphicData>
                                  </a:graphic>
                                </wp:inline>
                              </w:drawing>
                            </w:r>
                            <w:bookmarkStart w:id="26" w:name="i-15"/>
                            <w:bookmarkEnd w:id="2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securing and maintaining patent or other intellectual property protection for our products and related improvements;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current and future legal proceedings filed against us claiming intellectual property infringement;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potential adverse impact of health epidemics;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 cybersecurity incidents and security breaches;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governmental regulations that burden operations or narrow the market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adverse effects resulting from new, increased, or enhanced trade tariffs, import restrictions, export restrictions, or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evolving ethical, legal, privacy, social, and regulatory concerns regarding genetic testing;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volatility of the price of our common stock;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stock price falling as a result of future offerings or sales of securities.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risk factors are not guarantees that no such conditions exist as of the date hereof and should not be interpreted as an affirmative statement that such risks or conditions have not materialized, in whole or in part.</w:t>
      </w:r>
    </w:p>
    <w:tbl>
      <w:tblPr>
        <w:tblW w:w="3960" w:type="dxa"/>
        <w:jc w:val="left"/>
        <w:tblInd w:w="0" w:type="dxa"/>
        <w:tblLayout w:type="fixed"/>
        <w:tblCellMar>
          <w:top w:w="28" w:type="dxa"/>
          <w:left w:w="28" w:type="dxa"/>
          <w:bottom w:w="28" w:type="dxa"/>
          <w:right w:w="28" w:type="dxa"/>
        </w:tblCellMar>
      </w:tblPr>
      <w:tblGrid>
        <w:gridCol w:w="1267"/>
        <w:gridCol w:w="1113"/>
        <w:gridCol w:w="1580"/>
      </w:tblGrid>
      <w:tr>
        <w:trPr/>
        <w:tc>
          <w:tcPr>
            <w:tcW w:w="126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Risks Related to Our Business</w:t>
            </w:r>
          </w:p>
        </w:tc>
      </w:tr>
    </w:tbl>
    <w:p>
      <w:pPr>
        <w:pStyle w:val="TextBody"/>
        <w:bidi w:val="0"/>
        <w:spacing w:lineRule="auto" w:line="288" w:before="120" w:after="283"/>
        <w:jc w:val="both"/>
        <w:rPr>
          <w:rFonts w:ascii="Roboto;sans-serif" w:hAnsi="Roboto;sans-serif"/>
          <w:b/>
          <w:i/>
          <w:color w:val="DF1995"/>
          <w:sz w:val="20"/>
        </w:rPr>
      </w:pPr>
      <w:bookmarkStart w:id="27" w:name="i65e8b4e9acca438bbac66d77c19216cf_669569"/>
      <w:bookmarkEnd w:id="27"/>
      <w:r>
        <w:rPr>
          <w:rFonts w:ascii="Roboto;sans-serif" w:hAnsi="Roboto;sans-serif"/>
          <w:b/>
          <w:i/>
          <w:color w:val="DF1995"/>
          <w:sz w:val="20"/>
        </w:rPr>
        <w:t>The commercialization and sales of our current or future products may be 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made and expect to continue making substantial investments to develop new products and enhance our existing products through our acquisitions and research and development efforts. For example, we commenced commercial shipments of Revio, our long-read sequencing system, in 2023. We also began taking orders and shipping our new Vega benchtop long-read sequencing system in the fourth quarter of 2024. Our future success is substantially dependent on our ability to successfully develop and commercialize our products, including in particular the Revio and Vega systems, as well as acquired technologies, which are anticipated to be used in demanding scientific research that requires substantial levels of accuracy and precision. In addition, we may not be successful in transitioning the customers of our prior generation products to our Revio and Vega products, or transitioning users of other third-party sequencing platforms to our portfolio of products, and have incurred and could continue to incur related obsolete inventory charges and losses on firm purchase commitments. Customers may also be slower than we anticipate in making new capital equipment acquisitions, especially in the current economic environment. Due to challenges we may experience in developing and marketing our existing products and launching new products, we may not be able to effectively: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manage the timeliness of our new product introductions and the rate at which sales of our new products may cannibalize sales of our existing products or manage sales and marketing of multiple sequencing platforms;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drive adoption of our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maintain our competitive position by continuing to attract and retain customers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provide appropriate levels of customer training and support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implement an effective marketing strategy to promote awareness of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develop and implement an effective sales and distribution strategy for our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develop, manufacture and commercialize new products or achieve an acceptable return on our manufacturing or research and development efforts and expenses;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comply with regulatory requirements applicable to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anticipate and adapt to changes in our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112520"/>
                <wp:effectExtent l="0" t="0" r="0" b="0"/>
                <wp:wrapNone/>
                <wp:docPr id="44" name="Frame1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6" descr=""/>
                                                <pic:cNvPicPr>
                                                  <a:picLocks noChangeAspect="1" noChangeArrowheads="1"/>
                                                </pic:cNvPicPr>
                                              </pic:nvPicPr>
                                              <pic:blipFill>
                                                <a:blip r:embed="rId29"/>
                                                <a:stretch>
                                                  <a:fillRect/>
                                                </a:stretch>
                                              </pic:blipFill>
                                              <pic:spPr bwMode="auto">
                                                <a:xfrm>
                                                  <a:off x="0" y="0"/>
                                                  <a:ext cx="457200" cy="95250"/>
                                                </a:xfrm>
                                                <a:prstGeom prst="rect">
                                                  <a:avLst/>
                                                </a:prstGeom>
                                              </pic:spPr>
                                            </pic:pic>
                                          </a:graphicData>
                                        </a:graphic>
                                      </wp:inline>
                                    </w:drawing>
                                  </w:r>
                                  <w:bookmarkStart w:id="28" w:name="i-16"/>
                                  <w:bookmarkEnd w:id="2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0"/>
                                          <a:stretch>
                                            <a:fillRect/>
                                          </a:stretch>
                                        </pic:blipFill>
                                        <pic:spPr bwMode="auto">
                                          <a:xfrm>
                                            <a:off x="0" y="0"/>
                                            <a:ext cx="457200" cy="95250"/>
                                          </a:xfrm>
                                          <a:prstGeom prst="rect">
                                            <a:avLst/>
                                          </a:prstGeom>
                                        </pic:spPr>
                                      </pic:pic>
                                    </a:graphicData>
                                  </a:graphic>
                                </wp:inline>
                              </w:drawing>
                            </w:r>
                            <w:bookmarkStart w:id="29" w:name="i-16"/>
                            <w:bookmarkEnd w:id="2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accommodate customer expectations and demands with respect to our products, increase product adoption by our existing customers or develop new customer relationships;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deliver our early access systems to our external early access testing sites or complete our external early access testing program on our currently expected timelines;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overcome unexpected challenges discovered during early access testing;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complete the scientific and technical validation of new products on our currently expected timeline or at all;</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deliver our future products in a timely manner to our customers;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grow our market share by marketing and selling our products for new and additional applications;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manage the significant burdens that expanding our existing or future products into current and new markets may impose on marketing, compliance, and other administrative and managerial resources;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maintain and develop strategic relationships with vendors, manufacturers, and other industry partners to acquire necessary materials for the production of, and to develop, manufacture and commercialize, our existing or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adapt or scale our manufacturing activities to meet performance specifications and potential demand at a reasonable cost;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avoid infringement and misappropriation of third-party intellectual property;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obtain and maintain any necessary licenses to third-party intellectual property on commercially reasonable terms;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obtain valid and enforceable patents that give us a competitive advantage or enforce existing patents;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protect our proprietary technology;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attract, retain, and motivate qualified personnel.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pStyle w:val="TextBody"/>
        <w:bidi w:val="0"/>
        <w:spacing w:lineRule="auto" w:line="288" w:before="120" w:after="283"/>
        <w:jc w:val="both"/>
        <w:rPr/>
      </w:pPr>
      <w:r>
        <w:rPr>
          <w:rFonts w:ascii="Roboto;sans-serif" w:hAnsi="Roboto;sans-serif"/>
          <w:b w:val="false"/>
          <w:color w:val="000000"/>
          <w:sz w:val="20"/>
        </w:rPr>
        <w:t xml:space="preserve">We evaluate goodwill and other intangible assets with indefinite useful lives for impairment annually and whenever events or changes in circumstances indicate that the fair value of such assets may be less than the carrying value. We also perform regular reviews to determine if any event has occurred that may indicate that the carrying values of our intangible assets with finite lives and other finite-lived assets are impaired. Events that would indicate impairment and trigger an interim impairment test include, but are not limited to, adverse changes in business or economic conditions, lower-than-expected performance of a product line or business, changes in strategic direction, unanticipated technological or competitive developments, loss of key personnel, and actions by governments or courts. The occurrence of any of these events, may require us to record future impairment charges. For example, we recorded $184.5 million of impairment charges during the year ended December 31, 2024 as described in additional detail in </w:t>
      </w:r>
      <w:r>
        <w:rPr>
          <w:rFonts w:ascii="Roboto;sans-serif" w:hAnsi="Roboto;sans-serif"/>
          <w:b w:val="false"/>
          <w:i/>
          <w:color w:val="000000"/>
          <w:sz w:val="20"/>
        </w:rPr>
        <w:t>Note 4.</w:t>
      </w:r>
      <w:r>
        <w:rPr>
          <w:color w:val="000000"/>
        </w:rPr>
        <w:t xml:space="preserve"> </w:t>
      </w:r>
      <w:r>
        <w:rPr>
          <w:rFonts w:ascii="Roboto;sans-serif" w:hAnsi="Roboto;sans-serif"/>
          <w:b w:val="false"/>
          <w:i/>
          <w:color w:val="000000"/>
          <w:sz w:val="20"/>
        </w:rPr>
        <w:t>Balance Sheet Components</w:t>
      </w:r>
      <w:r>
        <w:rPr>
          <w:color w:val="000000"/>
        </w:rPr>
        <w:t xml:space="preserve"> </w:t>
      </w:r>
      <w:r>
        <w:rPr>
          <w:rFonts w:ascii="Roboto;sans-serif" w:hAnsi="Roboto;sans-serif"/>
          <w:b w:val="false"/>
          <w:color w:val="000000"/>
          <w:sz w:val="20"/>
        </w:rPr>
        <w:t xml:space="preserve">in Part II, Item 8 of our Annual Report on Form 10-K for the fiscal year ended December 31, 2024, </w:t>
      </w:r>
      <w:r>
        <w:rPr>
          <w:rFonts w:ascii="Arial;sans-serif" w:hAnsi="Arial;sans-serif"/>
          <w:b w:val="false"/>
          <w:color w:val="000000"/>
          <w:sz w:val="20"/>
        </w:rPr>
        <w:t xml:space="preserve">and </w:t>
      </w:r>
      <w:r>
        <w:rPr>
          <w:rFonts w:ascii="Roboto;sans-serif" w:hAnsi="Roboto;sans-serif"/>
          <w:b w:val="false"/>
          <w:color w:val="000000"/>
          <w:sz w:val="20"/>
        </w:rPr>
        <w:t xml:space="preserve">$15.0 million of impairment charges during the year ended December 31, 2025, as described in additional detail in </w:t>
      </w:r>
      <w:hyperlink w:anchor="i9dad38eca65443b9a8bcd939ad72e7eb_106">
        <w:r>
          <w:rPr>
            <w:rStyle w:val="InternetLink"/>
          </w:rPr>
          <w:t>N</w:t>
        </w:r>
      </w:hyperlink>
      <w:hyperlink w:anchor="i9dad38eca65443b9a8bcd939ad72e7eb_106">
        <w:r>
          <w:rPr>
            <w:rStyle w:val="InternetLink"/>
          </w:rPr>
          <w:t xml:space="preserve">ote </w:t>
        </w:r>
      </w:hyperlink>
      <w:hyperlink w:anchor="i9dad38eca65443b9a8bcd939ad72e7eb_106">
        <w:r>
          <w:rPr>
            <w:rStyle w:val="InternetLink"/>
          </w:rPr>
          <w:t>4</w:t>
        </w:r>
      </w:hyperlink>
      <w:hyperlink w:anchor="i9dad38eca65443b9a8bcd939ad72e7eb_106">
        <w:r>
          <w:rPr>
            <w:rStyle w:val="InternetLink"/>
          </w:rPr>
          <w:t>. Balance Sheet Components</w:t>
        </w:r>
      </w:hyperlink>
      <w:r>
        <w:rPr>
          <w:color w:val="000000"/>
        </w:rPr>
        <w:t xml:space="preserve"> </w:t>
      </w:r>
      <w:r>
        <w:rPr>
          <w:rFonts w:ascii="Roboto;sans-serif" w:hAnsi="Roboto;sans-serif"/>
          <w:b w:val="false"/>
          <w:color w:val="000000"/>
          <w:sz w:val="20"/>
        </w:rPr>
        <w:t xml:space="preserve">in Part II, Item 8 of this Annual Report on Form 10-K. Additionally, amortization of acquired intangible assets during the year ended December 31, 2025 included $359.3 million of accelerated amortization pertaining to the Company's change in estimate of its remaining useful life of the developed technology acquired in connection with the 2021 Omniome acquisition as described in additional detail in </w:t>
      </w:r>
      <w:hyperlink w:anchor="i9dad38eca65443b9a8bcd939ad72e7eb_115">
        <w:r>
          <w:rPr>
            <w:rStyle w:val="InternetLink"/>
          </w:rPr>
          <w:t>N</w:t>
        </w:r>
      </w:hyperlink>
      <w:hyperlink w:anchor="i9dad38eca65443b9a8bcd939ad72e7eb_115">
        <w:r>
          <w:rPr>
            <w:rStyle w:val="InternetLink"/>
          </w:rPr>
          <w:t xml:space="preserve">ote </w:t>
        </w:r>
      </w:hyperlink>
      <w:hyperlink w:anchor="i9dad38eca65443b9a8bcd939ad72e7eb_115">
        <w:r>
          <w:rPr>
            <w:rStyle w:val="InternetLink"/>
          </w:rPr>
          <w:t>6</w:t>
        </w:r>
      </w:hyperlink>
      <w:hyperlink w:anchor="i9dad38eca65443b9a8bcd939ad72e7eb_115">
        <w:r>
          <w:rPr>
            <w:rStyle w:val="InternetLink"/>
          </w:rPr>
          <w:t>. Restructuring</w:t>
        </w:r>
      </w:hyperlink>
      <w:r>
        <w:rPr>
          <w:color w:val="000000"/>
        </w:rPr>
        <w:t xml:space="preserve"> </w:t>
      </w:r>
      <w:r>
        <w:rPr>
          <w:rFonts w:ascii="Roboto;sans-serif" w:hAnsi="Roboto;sans-serif"/>
          <w:b w:val="false"/>
          <w:color w:val="000000"/>
          <w:sz w:val="20"/>
        </w:rPr>
        <w:t>in Part II, Item 8 of this Annual Report on Form 10-K. Any such charges may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112520"/>
                <wp:effectExtent l="0" t="0" r="0" b="0"/>
                <wp:wrapNone/>
                <wp:docPr id="47" name="Frame1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7" descr=""/>
                                                <pic:cNvPicPr>
                                                  <a:picLocks noChangeAspect="1" noChangeArrowheads="1"/>
                                                </pic:cNvPicPr>
                                              </pic:nvPicPr>
                                              <pic:blipFill>
                                                <a:blip r:embed="rId31"/>
                                                <a:stretch>
                                                  <a:fillRect/>
                                                </a:stretch>
                                              </pic:blipFill>
                                              <pic:spPr bwMode="auto">
                                                <a:xfrm>
                                                  <a:off x="0" y="0"/>
                                                  <a:ext cx="457200" cy="95250"/>
                                                </a:xfrm>
                                                <a:prstGeom prst="rect">
                                                  <a:avLst/>
                                                </a:prstGeom>
                                              </pic:spPr>
                                            </pic:pic>
                                          </a:graphicData>
                                        </a:graphic>
                                      </wp:inline>
                                    </w:drawing>
                                  </w:r>
                                  <w:bookmarkStart w:id="30" w:name="i-17"/>
                                  <w:bookmarkEnd w:id="3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2"/>
                                          <a:stretch>
                                            <a:fillRect/>
                                          </a:stretch>
                                        </pic:blipFill>
                                        <pic:spPr bwMode="auto">
                                          <a:xfrm>
                                            <a:off x="0" y="0"/>
                                            <a:ext cx="457200" cy="95250"/>
                                          </a:xfrm>
                                          <a:prstGeom prst="rect">
                                            <a:avLst/>
                                          </a:prstGeom>
                                        </pic:spPr>
                                      </pic:pic>
                                    </a:graphicData>
                                  </a:graphic>
                                </wp:inline>
                              </w:drawing>
                            </w:r>
                            <w:bookmarkStart w:id="31" w:name="i-17"/>
                            <w:bookmarkEnd w:id="3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incurred losses to date, and we expect to continue to incur significant losses as we develop our business and we may never achieve profitability.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generally incurred net losses each quarter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 Although we initiated expense reduction plans during the second quarter of 2024 and initiated further expense reduction plans during the first quarter of 2025, we do not expect to be profitable in 2026, and there can be no assurance that these expense reduction initiatives will be successful in helping us achieve profitability.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net losses since inception and our expectation of incurring substantial losses and negative cash flow for the foreseeable future could: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make it more difficult for us to satisfy our obligations;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increase our vulnerability to general adverse economic and industry conditions;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limit our ability to fund future working capital, capital expenditures, research and development and other business opportunities;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increase the volatility of the price of our common stock;</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limit our flexibility to react to changes in our business and the industry in which we operate;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place us at a disadvantage to other companies that offer nucleic acid sequencing equipment or consumables;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limit our ability to borrow additional funds.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inflationary pressure, including as a result of supply shortages, has adversely impacted and could continue to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pStyle w:val="TextBody"/>
        <w:bidi w:val="0"/>
        <w:spacing w:lineRule="auto" w:line="288" w:before="120" w:after="283"/>
        <w:jc w:val="both"/>
        <w:rPr/>
      </w:pPr>
      <w:r>
        <w:rPr>
          <w:rFonts w:ascii="Roboto;sans-serif" w:hAnsi="Roboto;sans-serif"/>
          <w:b w:val="false"/>
          <w:color w:val="000000"/>
          <w:sz w:val="20"/>
        </w:rPr>
        <w:t xml:space="preserve">Any or all of the foregoing may have a material adverse effect on our business, operations, financial condition, and prospects. </w:t>
      </w:r>
      <w:r>
        <w:rPr>
          <w:rFonts w:ascii="Roboto;sans-serif" w:hAnsi="Roboto;sans-serif"/>
          <w:b w:val="false"/>
          <w:color w:val="000000"/>
          <w:sz w:val="20"/>
          <w:shd w:fill="FFFFFF" w:val="clear"/>
        </w:rPr>
        <w:t xml:space="preserve">An impairment in value of our tangible or intangible assets could also be recorded as a result of weaker economic conditions. </w:t>
      </w:r>
      <w:r>
        <w:rPr>
          <w:rFonts w:ascii="Roboto;sans-serif" w:hAnsi="Roboto;sans-serif"/>
          <w:b w:val="false"/>
          <w:color w:val="000000"/>
          <w:sz w:val="20"/>
        </w:rPr>
        <w:t>For more information on impairment considerations, see “</w:t>
      </w:r>
      <w:r>
        <w:rPr>
          <w:color w:val="000000"/>
        </w:rPr>
        <w:t>—</w:t>
      </w:r>
      <w:hyperlink w:anchor="i65e8b4e9acca438bbac66d77c19216cf_669569">
        <w:r>
          <w:rPr>
            <w:rStyle w:val="InternetLink"/>
            <w:rFonts w:ascii="Roboto;sans-serif" w:hAnsi="Roboto;sans-serif"/>
            <w:b w:val="false"/>
            <w:i/>
            <w:color w:val="0000FF"/>
            <w:sz w:val="20"/>
            <w:u w:val="single"/>
          </w:rPr>
          <w:t>The commercialization and sales of our current or future products may be 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hyperlink>
      <w:r>
        <w:rPr>
          <w:color w:val="000000"/>
        </w:rPr>
        <w:t xml:space="preserve">” </w:t>
      </w:r>
      <w:r>
        <w:rPr>
          <w:rFonts w:ascii="Roboto;sans-serif" w:hAnsi="Roboto;sans-serif"/>
          <w:b w:val="false"/>
          <w:color w:val="000000"/>
          <w:sz w:val="20"/>
        </w:rPr>
        <w:t>above.</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Expense reduction initiatives could be disruptive to our operations and adversely affect our results of operations and financial condition, and we may not realize some or all of the anticipated benefits of these initiatives, whether in the time frame anticipated or at all.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expense reduction initiatives comprise, among other things, workforce reductions, facilities downsizing and a refined pipeline of development activities. For example, during the second quarter of 2024 we initiated plans to reduce certain of our annualized run-rate operating expenses by the end of the year, with the intent of better aligning our organizational structure and resources with our strategic initiatives, and during the first quarter of 2025 we initiated further plans to reduce certain of our annualized run-rate operating expenses by the end of the year, given persistent uncertainty surrounding academic and NIH funding, along with the introduction and impact of new or changing tariffs. The implementation of these expense reduction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expense reduction initiatives and achieve the anticipated benefits within the expected time frame is subject to estimates and assumptions and may vary materially from our expectations, including as a result of factors that are beyond our control. Furthermore, our efforts to stabilize our business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112520"/>
                <wp:effectExtent l="0" t="0" r="0" b="0"/>
                <wp:wrapNone/>
                <wp:docPr id="50" name="Frame1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8" descr=""/>
                                                <pic:cNvPicPr>
                                                  <a:picLocks noChangeAspect="1" noChangeArrowheads="1"/>
                                                </pic:cNvPicPr>
                                              </pic:nvPicPr>
                                              <pic:blipFill>
                                                <a:blip r:embed="rId33"/>
                                                <a:stretch>
                                                  <a:fillRect/>
                                                </a:stretch>
                                              </pic:blipFill>
                                              <pic:spPr bwMode="auto">
                                                <a:xfrm>
                                                  <a:off x="0" y="0"/>
                                                  <a:ext cx="457200" cy="95250"/>
                                                </a:xfrm>
                                                <a:prstGeom prst="rect">
                                                  <a:avLst/>
                                                </a:prstGeom>
                                              </pic:spPr>
                                            </pic:pic>
                                          </a:graphicData>
                                        </a:graphic>
                                      </wp:inline>
                                    </w:drawing>
                                  </w:r>
                                  <w:bookmarkStart w:id="32" w:name="i-18"/>
                                  <w:bookmarkEnd w:id="3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4"/>
                                          <a:stretch>
                                            <a:fillRect/>
                                          </a:stretch>
                                        </pic:blipFill>
                                        <pic:spPr bwMode="auto">
                                          <a:xfrm>
                                            <a:off x="0" y="0"/>
                                            <a:ext cx="457200" cy="95250"/>
                                          </a:xfrm>
                                          <a:prstGeom prst="rect">
                                            <a:avLst/>
                                          </a:prstGeom>
                                        </pic:spPr>
                                      </pic:pic>
                                    </a:graphicData>
                                  </a:graphic>
                                </wp:inline>
                              </w:drawing>
                            </w:r>
                            <w:bookmarkStart w:id="33" w:name="i-18"/>
                            <w:bookmarkEnd w:id="3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bookmarkStart w:id="34" w:name="i65e8b4e9acca438bbac66d77c19216cf_107000"/>
      <w:bookmarkEnd w:id="34"/>
      <w:r>
        <w:rPr>
          <w:rFonts w:ascii="Roboto;sans-serif" w:hAnsi="Roboto;sans-serif"/>
          <w:b/>
          <w:i/>
          <w:color w:val="DF1995"/>
          <w:sz w:val="20"/>
        </w:rPr>
        <w:t>We are not cash flow positive and may not have sufficient cash to make required payments under the terms of our debt or fund our long-term planned operations.</w:t>
      </w:r>
    </w:p>
    <w:p>
      <w:pPr>
        <w:pStyle w:val="TextBody"/>
        <w:bidi w:val="0"/>
        <w:spacing w:lineRule="auto" w:line="288" w:before="120" w:after="283"/>
        <w:jc w:val="both"/>
        <w:rPr/>
      </w:pPr>
      <w:r>
        <w:rPr>
          <w:rFonts w:ascii="Roboto;sans-serif" w:hAnsi="Roboto;sans-serif"/>
          <w:b w:val="false"/>
          <w:color w:val="000000"/>
          <w:sz w:val="20"/>
        </w:rPr>
        <w:t xml:space="preserve">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significant debt, and we may incur additional debt in the future. As of December 31, 2025, we had outstanding approximately $200.0 million aggregate principal amount of our 1.50% Convertible Senior Notes due 2029 (the “2029 Notes”) and $441.0 million aggregate principal amount of our 1.375% Convertible Senior Notes due 2030 (the “2030 Notes” and together with the 2029 Notes, the “Notes”). As discussed in </w:t>
      </w:r>
      <w:hyperlink w:anchor="i9dad38eca65443b9a8bcd939ad72e7eb_109">
        <w:r>
          <w:rPr>
            <w:rStyle w:val="InternetLink"/>
          </w:rPr>
          <w:t xml:space="preserve">Note </w:t>
        </w:r>
      </w:hyperlink>
      <w:hyperlink w:anchor="i9dad38eca65443b9a8bcd939ad72e7eb_109">
        <w:r>
          <w:rPr>
            <w:rStyle w:val="InternetLink"/>
          </w:rPr>
          <w:t>5</w:t>
        </w:r>
      </w:hyperlink>
      <w:hyperlink w:anchor="i9dad38eca65443b9a8bcd939ad72e7eb_109">
        <w:r>
          <w:rPr>
            <w:rStyle w:val="InternetLink"/>
          </w:rPr>
          <w:t>. Convertible Senior Notes</w:t>
        </w:r>
      </w:hyperlink>
      <w:r>
        <w:rPr>
          <w:color w:val="0000FF"/>
        </w:rPr>
        <w:t xml:space="preserve"> </w:t>
      </w:r>
      <w:r>
        <w:rPr>
          <w:rFonts w:ascii="Roboto;sans-serif" w:hAnsi="Roboto;sans-serif"/>
          <w:b w:val="false"/>
          <w:color w:val="000000"/>
          <w:sz w:val="20"/>
        </w:rPr>
        <w:t>in Part II, Item 8 of this Annual Report on Form 10-K, we exchanged the remaining approximately $459.0 million in aggregate principal amount of our 1.50% Convertible Senior Notes due 2028 (the “2028 Notes”) for (i) $200.0 million aggregate principal amount of the 2029 Notes, (ii) 20,451,570 shares of common stock and (iii) $50.0 million of cash (the “2024 Exchange Transaction”). The 2024 Exchange Transaction closed on November 21, 2024. We may not have sufficient cash to make required payments under the terms of this debt, and should this occur, debt holders have rights senior to common stockholders to make claims on our assets. In addition, if we do not have sufficient cash to make the required payments at maturity, we may need to raise additional capital, which could result in dilution of our existing investors, or refinance or restructure our debt, which will depend on, among other things, the condition of the capital markets and our financial condition at such time, and which may be at higher interest rates.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We may be required to seek equity financing at a time when the market price for our common stock is low, which would further dilute ownership for existing common stockholders.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believe that our growth will depend, in part, on our ability to fund our commercialization efforts and our efforts to develop new products and improve our existing products.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and there can be no assurance that any of these actions would be successful. If our cash, cash equivalents and investments are insufficient to fund our projected operating requirements and we are unable to raise capital, it could have a material adverse effect on our business, financial condition and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The disposition of our assets related to our short-read DNA sequencing technology and related clustering, sequencing reagent, and detection technologies could have a material adverse effect on our business, financial condition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On January 30, 2026, we completed a disposition of assets to Buyer in accordance with the terms of the Asset Purchase Agreement, pursuant to which, among other matters, Buyer acquired certain intellectual property and other assets related to our short-read DNA sequencing technology and related clustering, sequencing reagent, and detection technologies.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Pursuant to the Asset Purchase Agreement, we have retained certain liabilities arising from our short-read DNA sequencing technology and related clustering, sequencing reagent, and detection technologies as they existed prior to the closing of the Asset Sale. While we are not aware of any such liabilities that may be material and have adequately accrued for these liabilities, there can be no assurances that additional expenditures will not be incurred in resolving these liabilities, which may have a material adverse effect on our business, operations, financial condition,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112520"/>
                <wp:effectExtent l="0" t="0" r="0" b="0"/>
                <wp:wrapNone/>
                <wp:docPr id="53" name="Frame2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9" descr=""/>
                                                <pic:cNvPicPr>
                                                  <a:picLocks noChangeAspect="1" noChangeArrowheads="1"/>
                                                </pic:cNvPicPr>
                                              </pic:nvPicPr>
                                              <pic:blipFill>
                                                <a:blip r:embed="rId35"/>
                                                <a:stretch>
                                                  <a:fillRect/>
                                                </a:stretch>
                                              </pic:blipFill>
                                              <pic:spPr bwMode="auto">
                                                <a:xfrm>
                                                  <a:off x="0" y="0"/>
                                                  <a:ext cx="457200" cy="95250"/>
                                                </a:xfrm>
                                                <a:prstGeom prst="rect">
                                                  <a:avLst/>
                                                </a:prstGeom>
                                              </pic:spPr>
                                            </pic:pic>
                                          </a:graphicData>
                                        </a:graphic>
                                      </wp:inline>
                                    </w:drawing>
                                  </w:r>
                                  <w:bookmarkStart w:id="35" w:name="i-19"/>
                                  <w:bookmarkEnd w:id="3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6"/>
                                          <a:stretch>
                                            <a:fillRect/>
                                          </a:stretch>
                                        </pic:blipFill>
                                        <pic:spPr bwMode="auto">
                                          <a:xfrm>
                                            <a:off x="0" y="0"/>
                                            <a:ext cx="457200" cy="95250"/>
                                          </a:xfrm>
                                          <a:prstGeom prst="rect">
                                            <a:avLst/>
                                          </a:prstGeom>
                                        </pic:spPr>
                                      </pic:pic>
                                    </a:graphicData>
                                  </a:graphic>
                                </wp:inline>
                              </w:drawing>
                            </w:r>
                            <w:bookmarkStart w:id="36" w:name="i-19"/>
                            <w:bookmarkEnd w:id="3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part of our business strategy, we have acquired and expect to continue to pursue acquisitions of complementary businesses, technologies, or assets. We may also pursue technology license arrangements, strategic alliances or investments that complement our business.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Acquisitions and strategic transactions involve numerous risks, any of which could harm our business and negatively affect our financial condition and results of operations,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intense competition for suitable acquisition targets, which could increase prices and adversely affect our ability to consummate deals on favorable or acceptable terms;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failure or material delay in closing a transaction;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transaction-related lawsuits or claims;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integrating the technologies, operations, existing contracts, and personnel of an acquired company;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retaining key employees or business partners of an acquired company;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retaining suppliers, partners, or customers of an acquired company;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challenges with integrating the brand identity of an acquired company with our own;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diversion of financial and management resources from existing operations or alternative acquisition opportunities;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failure to realize the anticipated benefits or synergies of a transaction;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developing technology post-acquisition;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risks that regulatory bodies may enact new laws or promulgate new regulations that are adverse to an acquired company or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risks that regulatory bodies do not approve our acquisitions or business combinations or delay such approvals;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theft of our trade secrets or confidential information that we share with potential acquisition candidates or other potential strategic partners;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 that an acquired company or investment in new services cannibalizes a portion of our existing business;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adverse market reaction to an acquisition or other strategic transaction.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 including potential impairments of goodwill and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112520"/>
                <wp:effectExtent l="0" t="0" r="0" b="0"/>
                <wp:wrapNone/>
                <wp:docPr id="56" name="Frame2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0" descr=""/>
                                                <pic:cNvPicPr>
                                                  <a:picLocks noChangeAspect="1" noChangeArrowheads="1"/>
                                                </pic:cNvPicPr>
                                              </pic:nvPicPr>
                                              <pic:blipFill>
                                                <a:blip r:embed="rId37"/>
                                                <a:stretch>
                                                  <a:fillRect/>
                                                </a:stretch>
                                              </pic:blipFill>
                                              <pic:spPr bwMode="auto">
                                                <a:xfrm>
                                                  <a:off x="0" y="0"/>
                                                  <a:ext cx="457200" cy="95250"/>
                                                </a:xfrm>
                                                <a:prstGeom prst="rect">
                                                  <a:avLst/>
                                                </a:prstGeom>
                                              </pic:spPr>
                                            </pic:pic>
                                          </a:graphicData>
                                        </a:graphic>
                                      </wp:inline>
                                    </w:drawing>
                                  </w:r>
                                  <w:bookmarkStart w:id="37" w:name="i-20"/>
                                  <w:bookmarkEnd w:id="3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8"/>
                                          <a:stretch>
                                            <a:fillRect/>
                                          </a:stretch>
                                        </pic:blipFill>
                                        <pic:spPr bwMode="auto">
                                          <a:xfrm>
                                            <a:off x="0" y="0"/>
                                            <a:ext cx="457200" cy="95250"/>
                                          </a:xfrm>
                                          <a:prstGeom prst="rect">
                                            <a:avLst/>
                                          </a:prstGeom>
                                        </pic:spPr>
                                      </pic:pic>
                                    </a:graphicData>
                                  </a:graphic>
                                </wp:inline>
                              </w:drawing>
                            </w:r>
                            <w:bookmarkStart w:id="38" w:name="i-20"/>
                            <w:bookmarkEnd w:id="3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If we are unable to successfully develop and timely manufacture our current and future products our business may be adversely affected.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Considering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Revio and Vega systems, and the products under development, including acquired technologies,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We have designed SMRT Cells and other consumables specifically for the Sequel, Sequel II/IIe, Revio and Vega systems, and may need to develop in the future, other customized SMRT Cells and consumables for our future products. Our production of the SMRT Cells for the Sequel and Sequel II/IIe systems has been and may in the future, including with respect to the Revio system, be below desired levels and yields, and we have experienced and may experience in the future manufacturing delays, product or quality defects, SMRT Cell variability, and other issues. The performance of our consumables is critical to our customers’ successful utilization of our products, and any defects or performance issues with our consumables would adversely affect our business. All of the foregoing could have a material adverse effect on our ability to sell our products or result in other material adverse effects on our business, operations, financial condition, operations and prospects.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 and technical validation may not be completed on our currently expected timelines or at all. Such testing may also expose fundamental flaws in our products that may cause us to abandon the further development of such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the continued rollout of our current and future products, including with respect to the SMRT Cell, the Revio and Vega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and the Revio and Vega systems could materially and adversely affect our business,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112520"/>
                <wp:effectExtent l="0" t="0" r="0" b="0"/>
                <wp:wrapNone/>
                <wp:docPr id="59" name="Frame2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1" descr=""/>
                                                <pic:cNvPicPr>
                                                  <a:picLocks noChangeAspect="1" noChangeArrowheads="1"/>
                                                </pic:cNvPicPr>
                                              </pic:nvPicPr>
                                              <pic:blipFill>
                                                <a:blip r:embed="rId39"/>
                                                <a:stretch>
                                                  <a:fillRect/>
                                                </a:stretch>
                                              </pic:blipFill>
                                              <pic:spPr bwMode="auto">
                                                <a:xfrm>
                                                  <a:off x="0" y="0"/>
                                                  <a:ext cx="457200" cy="95250"/>
                                                </a:xfrm>
                                                <a:prstGeom prst="rect">
                                                  <a:avLst/>
                                                </a:prstGeom>
                                              </pic:spPr>
                                            </pic:pic>
                                          </a:graphicData>
                                        </a:graphic>
                                      </wp:inline>
                                    </w:drawing>
                                  </w:r>
                                  <w:bookmarkStart w:id="39" w:name="i-21"/>
                                  <w:bookmarkEnd w:id="3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0"/>
                                          <a:stretch>
                                            <a:fillRect/>
                                          </a:stretch>
                                        </pic:blipFill>
                                        <pic:spPr bwMode="auto">
                                          <a:xfrm>
                                            <a:off x="0" y="0"/>
                                            <a:ext cx="457200" cy="95250"/>
                                          </a:xfrm>
                                          <a:prstGeom prst="rect">
                                            <a:avLst/>
                                          </a:prstGeom>
                                        </pic:spPr>
                                      </pic:pic>
                                    </a:graphicData>
                                  </a:graphic>
                                </wp:inline>
                              </w:drawing>
                            </w:r>
                            <w:bookmarkStart w:id="40" w:name="i-21"/>
                            <w:bookmarkEnd w:id="4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dedicated significant resources to developing our current products. We are also engaged in substantial and complex research and development efforts, which, if successful, may result in the introduction of new products in the future, including in connection with the SMRT Cell and the Revio and Vega systems, in addition to other products currently under development, including acquired technologies. Our research and development efforts are complex and require us to incur substantial expenses and we may not be able to develop, manufacture and commercialize new products or obtain regulatory approval if necessary. We may divert significant resources to research and development initiatives that do not result in commercialized products, and even if these efforts do result in commercialized products, there can be no assurance that such products will compete successfully in the market or achieve an acceptable return, if any, on our research and development efforts and expenses. Moreover, our joint research and development efforts with partners require significant management attention and operational resources. If we are unable to successfully manage such joint research and development efforts, our future results may be adversely impacted. Furthermore, we will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must successfully manage new product introductions and transitions and the development of acquired technologies, for which we may incur significant costs during these transitions and development, and these efforts may not result in the benefits we anticipate.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successfully execute on the commercialization plan for our Revio HiFi long-read sequencing system and the Vega benchtop long-read sequencing system, and each of their related consumables, and any future products that may be developed for research, medical and clinical uses, including acquired technologies, it could have a material adverse effect on our business, financial condition and results of operations. In addition, the introduction of future products, including with respect to future long-read products, and related consumables, has led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including the recent commercialization of our Vega system,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Revio and Vega systems and each of their related consumables, and any future long-read products, our business, operations, financial condition, and prospects may be materially and adversely affected.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business may be adversely affected by epidemics or other public health emergencies.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business could be adversely impacted by the effects of epidemics or other public health emergencies. These impacts could include, but are not necessarily limited to:</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shutdowns or business disruptions experienced by manufacturers, suppliers and other third parties with whom we conduct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disruptions or interruptions to our supply chains;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applicable public health regulations that require us to modify our business practices and operations;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112520"/>
                <wp:effectExtent l="0" t="0" r="0" b="0"/>
                <wp:wrapNone/>
                <wp:docPr id="62" name="Frame2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2" descr=""/>
                                                <pic:cNvPicPr>
                                                  <a:picLocks noChangeAspect="1" noChangeArrowheads="1"/>
                                                </pic:cNvPicPr>
                                              </pic:nvPicPr>
                                              <pic:blipFill>
                                                <a:blip r:embed="rId41"/>
                                                <a:stretch>
                                                  <a:fillRect/>
                                                </a:stretch>
                                              </pic:blipFill>
                                              <pic:spPr bwMode="auto">
                                                <a:xfrm>
                                                  <a:off x="0" y="0"/>
                                                  <a:ext cx="457200" cy="95250"/>
                                                </a:xfrm>
                                                <a:prstGeom prst="rect">
                                                  <a:avLst/>
                                                </a:prstGeom>
                                              </pic:spPr>
                                            </pic:pic>
                                          </a:graphicData>
                                        </a:graphic>
                                      </wp:inline>
                                    </w:drawing>
                                  </w:r>
                                  <w:bookmarkStart w:id="41" w:name="i-22"/>
                                  <w:bookmarkEnd w:id="4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2"/>
                                          <a:stretch>
                                            <a:fillRect/>
                                          </a:stretch>
                                        </pic:blipFill>
                                        <pic:spPr bwMode="auto">
                                          <a:xfrm>
                                            <a:off x="0" y="0"/>
                                            <a:ext cx="457200" cy="95250"/>
                                          </a:xfrm>
                                          <a:prstGeom prst="rect">
                                            <a:avLst/>
                                          </a:prstGeom>
                                        </pic:spPr>
                                      </pic:pic>
                                    </a:graphicData>
                                  </a:graphic>
                                </wp:inline>
                              </w:drawing>
                            </w:r>
                            <w:bookmarkStart w:id="42" w:name="i-22"/>
                            <w:bookmarkEnd w:id="4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disruption to customer demand for our products.</w:t>
      </w:r>
    </w:p>
    <w:p>
      <w:pPr>
        <w:pStyle w:val="TextBody"/>
        <w:bidi w:val="0"/>
        <w:spacing w:lineRule="auto" w:line="288" w:before="120" w:after="283"/>
        <w:jc w:val="both"/>
        <w:rPr/>
      </w:pPr>
      <w:r>
        <w:rPr>
          <w:rFonts w:ascii="Roboto;sans-serif" w:hAnsi="Roboto;sans-serif"/>
          <w:b w:val="false"/>
          <w:color w:val="000000"/>
          <w:sz w:val="20"/>
          <w:shd w:fill="FFFFFF" w:val="clear"/>
        </w:rPr>
        <w:t xml:space="preserve">The extent to which any epidemic or other public health emergency impacts our business and financial results inherently depends on future developments, which are highly uncertain and cannot be predicted, including new information which may emerge concerning the severity of a particular public health matter and the actions to contain it or treat its impact, among others. Even after an epidemic or public health emergency has subsided, </w:t>
      </w:r>
      <w:r>
        <w:rPr>
          <w:rFonts w:ascii="Roboto;sans-serif" w:hAnsi="Roboto;sans-serif"/>
          <w:b w:val="false"/>
          <w:color w:val="000000"/>
          <w:sz w:val="20"/>
        </w:rPr>
        <w:t>we may continue to experience an adverse impact to our business as a result of economic aftershocks, including recessionary effects and inflationary pressures.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Significant changes to our leadership team and the resulting management transitions might harm our future operating results.</w:t>
      </w:r>
    </w:p>
    <w:p>
      <w:pPr>
        <w:pStyle w:val="TextBody"/>
        <w:bidi w:val="0"/>
        <w:spacing w:lineRule="auto" w:line="288" w:before="120" w:after="283"/>
        <w:jc w:val="both"/>
        <w:rPr/>
      </w:pPr>
      <w:r>
        <w:rPr>
          <w:rFonts w:ascii="Roboto;sans-serif" w:hAnsi="Roboto;sans-serif"/>
          <w:b w:val="false"/>
          <w:color w:val="000000"/>
          <w:sz w:val="20"/>
        </w:rPr>
        <w:t xml:space="preserve">We have in recent years experienced significant changes to our leadership team, and 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w:t>
      </w:r>
      <w:r>
        <w:rPr>
          <w:rFonts w:ascii="Roboto;sans-serif" w:hAnsi="Roboto;sans-serif"/>
          <w:b w:val="false"/>
          <w:color w:val="000000"/>
          <w:sz w:val="20"/>
          <w:shd w:fill="FFFFFF" w:val="clear"/>
        </w:rPr>
        <w:t>transition</w:t>
      </w:r>
      <w:r>
        <w:rPr>
          <w:color w:val="000000"/>
        </w:rPr>
        <w:t xml:space="preserve"> </w:t>
      </w:r>
      <w:r>
        <w:rPr>
          <w:rFonts w:ascii="Roboto;sans-serif" w:hAnsi="Roboto;sans-serif"/>
          <w:b w:val="false"/>
          <w:color w:val="000000"/>
          <w:sz w:val="20"/>
        </w:rPr>
        <w:t>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may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from time to time. Our industry, is characterized by high demand and intense competition for talent, and the turnover rate has been and may continue to be high. Our employees can leave our company with little to no prior notice and would be free to work for a competitor. We compete for qualified management and scientific personnel with other life science companies, academic institutions and research institutions, particularly those focusing on genomics. We also compete for qualified sales personnel to support the commercialization of our existing and new products. Workforce reductions, such as the workforce reduction we implemented in 2024 and 2025, and other expense reduction efforts may be negatively received by potential or current employees, and accordingly result in attrition or difficulty in recruiting desirable candidates. Additionally, we may face challenges in retaining and recruiting key personnel due to sustained declines in our stock price that could reduce the retentive value of stock options, restricted stock units and other equity awards we issue as compensation. We may not be able to provide adequate cash or other incentives to adequately counterbalance any negative perceptions about the value of our equity awards. Moreover, the value of any equity awards that we do grant to our personnel may be significantly affected by movements in our stock price that are beyond our control.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Further, changes to U.S. immigration policies, such as the implementation of more restrictive interpretations by the U.S. Citizenship and Immigration Services of regulatory requirements for H-1B and other visa programs, could restrain the flow of technical and professional talent into the U.S. and may inhibit our ability to hire and increase the cost of qualified personnel. If some of our employees’ temporary work permits expire and are not renewed, we may face increased turnover rates and labor shortages, which could result in higher labor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112520"/>
                <wp:effectExtent l="0" t="0" r="0" b="0"/>
                <wp:wrapNone/>
                <wp:docPr id="65" name="Frame2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3" descr=""/>
                                                <pic:cNvPicPr>
                                                  <a:picLocks noChangeAspect="1" noChangeArrowheads="1"/>
                                                </pic:cNvPicPr>
                                              </pic:nvPicPr>
                                              <pic:blipFill>
                                                <a:blip r:embed="rId43"/>
                                                <a:stretch>
                                                  <a:fillRect/>
                                                </a:stretch>
                                              </pic:blipFill>
                                              <pic:spPr bwMode="auto">
                                                <a:xfrm>
                                                  <a:off x="0" y="0"/>
                                                  <a:ext cx="457200" cy="95250"/>
                                                </a:xfrm>
                                                <a:prstGeom prst="rect">
                                                  <a:avLst/>
                                                </a:prstGeom>
                                              </pic:spPr>
                                            </pic:pic>
                                          </a:graphicData>
                                        </a:graphic>
                                      </wp:inline>
                                    </w:drawing>
                                  </w:r>
                                  <w:bookmarkStart w:id="43" w:name="i-23"/>
                                  <w:bookmarkEnd w:id="4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4"/>
                                          <a:stretch>
                                            <a:fillRect/>
                                          </a:stretch>
                                        </pic:blipFill>
                                        <pic:spPr bwMode="auto">
                                          <a:xfrm>
                                            <a:off x="0" y="0"/>
                                            <a:ext cx="457200" cy="95250"/>
                                          </a:xfrm>
                                          <a:prstGeom prst="rect">
                                            <a:avLst/>
                                          </a:prstGeom>
                                        </pic:spPr>
                                      </pic:pic>
                                    </a:graphicData>
                                  </a:graphic>
                                </wp:inline>
                              </w:drawing>
                            </w:r>
                            <w:bookmarkStart w:id="44" w:name="i-23"/>
                            <w:bookmarkEnd w:id="4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our products may not grow sufficiently to cover our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business currently depends on a limited number of products and there can be no assurance that we will be successful in adding new products or securing additional customers for our current and future products. If we are unable to successfully develop acquired technologies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We also need to maintain reliable supply chains for the various components in our new products and consumables to support large-scale commercial production.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If the demand for our products grows slower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our gross margins and operating results may decline,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112520"/>
                <wp:effectExtent l="0" t="0" r="0" b="0"/>
                <wp:wrapNone/>
                <wp:docPr id="68" name="Frame2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4" descr=""/>
                                                <pic:cNvPicPr>
                                                  <a:picLocks noChangeAspect="1" noChangeArrowheads="1"/>
                                                </pic:cNvPicPr>
                                              </pic:nvPicPr>
                                              <pic:blipFill>
                                                <a:blip r:embed="rId45"/>
                                                <a:stretch>
                                                  <a:fillRect/>
                                                </a:stretch>
                                              </pic:blipFill>
                                              <pic:spPr bwMode="auto">
                                                <a:xfrm>
                                                  <a:off x="0" y="0"/>
                                                  <a:ext cx="457200" cy="95250"/>
                                                </a:xfrm>
                                                <a:prstGeom prst="rect">
                                                  <a:avLst/>
                                                </a:prstGeom>
                                              </pic:spPr>
                                            </pic:pic>
                                          </a:graphicData>
                                        </a:graphic>
                                      </wp:inline>
                                    </w:drawing>
                                  </w:r>
                                  <w:bookmarkStart w:id="45" w:name="i-24"/>
                                  <w:bookmarkEnd w:id="4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6"/>
                                          <a:stretch>
                                            <a:fillRect/>
                                          </a:stretch>
                                        </pic:blipFill>
                                        <pic:spPr bwMode="auto">
                                          <a:xfrm>
                                            <a:off x="0" y="0"/>
                                            <a:ext cx="457200" cy="95250"/>
                                          </a:xfrm>
                                          <a:prstGeom prst="rect">
                                            <a:avLst/>
                                          </a:prstGeom>
                                        </pic:spPr>
                                      </pic:pic>
                                    </a:graphicData>
                                  </a:graphic>
                                </wp:inline>
                              </w:drawing>
                            </w:r>
                            <w:bookmarkStart w:id="46" w:name="i-24"/>
                            <w:bookmarkEnd w:id="4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cash flows and liquidity may be negatively impacted, our long-term growth strategy may not be realized, and our business may not succeed. </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rely on other companies for the manufacture of certain of our products,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products and critical components from a single source, including suppliers for our SMRT Cells, reagents, and instruments. We cannot assure you that products or product supplies will not be limited or interrupted, especially with respect to our sole source third-party manufacturing and supply collaborators, or that products or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manufacturers and vendors in the event they cease to provide their products or services to us or fail to provide sufficient quantities in a timely manner. If we are required to purchase these products or components from alternative sources, it could take several months or longer to qualify the alternative sources. If we are unable to source these products or product components from sole-source third-party manufacturing and supply collaborators for any reason, including acts of terrorism, hostilities, military conflict and acts of war, including between China and Taiwan, or secure a sufficient supply of these products or product components on a timely basis and at an acceptable cost, or if these products or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operations of our third-party manufacturing partners and suppliers have had and may in the future be disrupted by conditions unrelated to our business or operations or that are beyond our control, including but not limited to changing international trade policies, inflation, supply chain disruptions, and conditions    related to epidemics or pandemics.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We have and may continue to face challenges in our supply chain, which has and may continue to adversely impact margins. During periods of shortage or delay, the price of products or components may increase or the products or components may not be available at all. Our suppliers have raised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Various government policies have had, and may continue to have in the future, a negative impact on manufacturing and/or supply chains, in addition to customer demand for our products and demand through certain distributors. As a result of global economic or political instability, such as the uncertainty in the Middle East, an escalation of the war in Ukraine, potential uncertainty related to Taiwan and its relationship with China, changing international trade policies, other disease outbreaks, or supply issues, we or our contractors could experience shortages, business disruptions or delays for materials sourced or manufactured in the affected countries, and their ability to supply us with instruments, products or components may be affected. Occasionally, system components and reagents reach the end of their life cycles or become obsolete, requiring us to source alternatives.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related to epidemics or pandemics are lifted, supply issues or business disruptions are resolved and/or other sources can be developed.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112520"/>
                <wp:effectExtent l="0" t="0" r="0" b="0"/>
                <wp:wrapNone/>
                <wp:docPr id="71" name="Frame2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5" descr=""/>
                                                <pic:cNvPicPr>
                                                  <a:picLocks noChangeAspect="1" noChangeArrowheads="1"/>
                                                </pic:cNvPicPr>
                                              </pic:nvPicPr>
                                              <pic:blipFill>
                                                <a:blip r:embed="rId47"/>
                                                <a:stretch>
                                                  <a:fillRect/>
                                                </a:stretch>
                                              </pic:blipFill>
                                              <pic:spPr bwMode="auto">
                                                <a:xfrm>
                                                  <a:off x="0" y="0"/>
                                                  <a:ext cx="457200" cy="95250"/>
                                                </a:xfrm>
                                                <a:prstGeom prst="rect">
                                                  <a:avLst/>
                                                </a:prstGeom>
                                              </pic:spPr>
                                            </pic:pic>
                                          </a:graphicData>
                                        </a:graphic>
                                      </wp:inline>
                                    </w:drawing>
                                  </w:r>
                                  <w:bookmarkStart w:id="47" w:name="i-25"/>
                                  <w:bookmarkEnd w:id="4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8"/>
                                          <a:stretch>
                                            <a:fillRect/>
                                          </a:stretch>
                                        </pic:blipFill>
                                        <pic:spPr bwMode="auto">
                                          <a:xfrm>
                                            <a:off x="0" y="0"/>
                                            <a:ext cx="457200" cy="95250"/>
                                          </a:xfrm>
                                          <a:prstGeom prst="rect">
                                            <a:avLst/>
                                          </a:prstGeom>
                                        </pic:spPr>
                                      </pic:pic>
                                    </a:graphicData>
                                  </a:graphic>
                                </wp:inline>
                              </w:drawing>
                            </w:r>
                            <w:bookmarkStart w:id="48" w:name="i-25"/>
                            <w:bookmarkEnd w:id="4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current manufacturing process is also characterized by long lead times between the placement of orders for and delivery of our products. If we do not accurately anticipate our needs or if we receive insufficient products or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may be unable to consistently manufacture our instruments and consumables, including SMRT Cells and reagents, to the necessary specifications or in quantities necessary to meet demand at an acceptable cost or at an acceptable performance level.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flow cells and of reagents for our long-read technologies, involve a long and complex manufacturing process and has been and may in the future be below desired yields and resulting output levels. We have experienced and may experience in the future manufacturing delays, product defects, variability in the performance of SMRT Cells, flow cells and other products, inadequate reserves for inventory, or other issues.</w:t>
      </w:r>
    </w:p>
    <w:p>
      <w:pPr>
        <w:pStyle w:val="TextBody"/>
        <w:bidi w:val="0"/>
        <w:spacing w:lineRule="auto" w:line="288" w:before="120" w:after="283"/>
        <w:jc w:val="both"/>
        <w:rPr/>
      </w:pPr>
      <w:r>
        <w:rPr>
          <w:rFonts w:ascii="Roboto;sans-serif" w:hAnsi="Roboto;sans-serif"/>
          <w:b w:val="false"/>
          <w:color w:val="000000"/>
          <w:sz w:val="20"/>
        </w:rPr>
        <w:t xml:space="preserve">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flow cells, or sub-performing reagent lots may have a material adverse </w:t>
      </w:r>
      <w:r>
        <w:rPr>
          <w:rFonts w:ascii="Roboto;sans-serif" w:hAnsi="Roboto;sans-serif"/>
          <w:b w:val="false"/>
          <w:color w:val="000000"/>
          <w:sz w:val="20"/>
          <w:shd w:fill="FFFFFF" w:val="clear"/>
        </w:rPr>
        <w:t>effect</w:t>
      </w:r>
      <w:r>
        <w:rPr>
          <w:color w:val="000000"/>
        </w:rPr>
        <w:t xml:space="preserve"> </w:t>
      </w:r>
      <w:r>
        <w:rPr>
          <w:rFonts w:ascii="Roboto;sans-serif" w:hAnsi="Roboto;sans-serif"/>
          <w:b w:val="false"/>
          <w:color w:val="000000"/>
          <w:sz w:val="20"/>
        </w:rPr>
        <w:t>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our suppliers are unable to meet our increased demand at a time when the supply chain is under duress due to potential dislocations and disruptions in product and employee availability (whether due to pandemics, government policy or otherwise).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Rapidly changing technology in life sciences and research diagnostics could make our products obsolete unless we continue to develop, manufacture and commercialize new and improved products and pursue new opportunities.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industry is characterized by rapid and significant technological changes, frequent new product introductions and enhancements and evolving industry standards. These new and evolving technologies may be superior to, impair, or render obsolete the products we currently offer or the technologies currently underlying our products.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and the Revio and Vega systems, could diminish future demand for our products and may materially and adversely harm our future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112520"/>
                <wp:effectExtent l="0" t="0" r="0" b="0"/>
                <wp:wrapNone/>
                <wp:docPr id="74" name="Frame2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6" descr=""/>
                                                <pic:cNvPicPr>
                                                  <a:picLocks noChangeAspect="1" noChangeArrowheads="1"/>
                                                </pic:cNvPicPr>
                                              </pic:nvPicPr>
                                              <pic:blipFill>
                                                <a:blip r:embed="rId49"/>
                                                <a:stretch>
                                                  <a:fillRect/>
                                                </a:stretch>
                                              </pic:blipFill>
                                              <pic:spPr bwMode="auto">
                                                <a:xfrm>
                                                  <a:off x="0" y="0"/>
                                                  <a:ext cx="457200" cy="95250"/>
                                                </a:xfrm>
                                                <a:prstGeom prst="rect">
                                                  <a:avLst/>
                                                </a:prstGeom>
                                              </pic:spPr>
                                            </pic:pic>
                                          </a:graphicData>
                                        </a:graphic>
                                      </wp:inline>
                                    </w:drawing>
                                  </w:r>
                                  <w:bookmarkStart w:id="49" w:name="i-26"/>
                                  <w:bookmarkEnd w:id="4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0"/>
                                          <a:stretch>
                                            <a:fillRect/>
                                          </a:stretch>
                                        </pic:blipFill>
                                        <pic:spPr bwMode="auto">
                                          <a:xfrm>
                                            <a:off x="0" y="0"/>
                                            <a:ext cx="457200" cy="95250"/>
                                          </a:xfrm>
                                          <a:prstGeom prst="rect">
                                            <a:avLst/>
                                          </a:prstGeom>
                                        </pic:spPr>
                                      </pic:pic>
                                    </a:graphicData>
                                  </a:graphic>
                                </wp:inline>
                              </w:drawing>
                            </w:r>
                            <w:bookmarkStart w:id="50" w:name="i-26"/>
                            <w:bookmarkEnd w:id="5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The size of the markets for our products, including our Revio and Vega instruments, may be smaller than estimated, and new market opportunities may not develop as quickly as we expect, or at all, limiting our ability to successfully sell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market for sequencing systems and consumables products is evolving, making it difficult to accurately predict the size of the markets for our current and future products, including our Revio and Vega instruments. Our estimates of the total addressable market for our current and future products are based on a number of internal and third-party estimates and assumptions that may be incorrect, including the assumptions that academic, governmental, corporate, or other sources of funding will continue to be available to life sciences researchers at times and in amounts necessary to allow them to purchase our products. In addition, sales of new products may take time to develop and mature and we cannot be certain that these market opportunities will develop as we expect.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and growth opportunities for our products may be incorrect.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future growth of the market for our current and future products depends on many factors beyond our control, including recognition and acceptance of our products by the research and scientific communities, the growth, prevalence and costs of competing products and solutions and the development of robust ecosystems supporting our products and their methodologies. For example, the market acceptance and growth of long-read sequencing technologies, like our Revio and Vega systems, depends on a variety of factors, including the availability and cost-effectiveness of related tools for high quality sample collection and preparation and advanced bioinformatic tools to process results; as well as the perceived advantages and disadvantages of long-read sequencing compared to short-read or other sequencing technologies: consequently, if potential customers conclude the costs of adopting long-read sequencing technologies outweigh the benefits, the market for our Revio and Vega systems may be negatively impaired. There can be no assurance that our current or future products will gain traction in the market. If the markets for our current and future products are smaller than estimated or do not develop as we expect, our growth may be limited, and it could materially and adversely affect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Increased market adoption of our products by customers may depend on the availability of sample preparation and informatics tools, some of which may be developed by third parties.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operate in a highly competitive industry and if we are not able to compete effectively, our business and operating results will likely be harmed.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are a significant number of companies offering nucleic acid sequencing products and/or services, including Illumina, BGI Genomics (also known as MGI or Complete Genomics), Thermo, ONT Ltd., Roche, Bionano, and Qiagen. Other companies recently entering the market include Ultima, Element and Singular.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112520"/>
                <wp:effectExtent l="0" t="0" r="0" b="0"/>
                <wp:wrapNone/>
                <wp:docPr id="77" name="Frame2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7" descr=""/>
                                                <pic:cNvPicPr>
                                                  <a:picLocks noChangeAspect="1" noChangeArrowheads="1"/>
                                                </pic:cNvPicPr>
                                              </pic:nvPicPr>
                                              <pic:blipFill>
                                                <a:blip r:embed="rId51"/>
                                                <a:stretch>
                                                  <a:fillRect/>
                                                </a:stretch>
                                              </pic:blipFill>
                                              <pic:spPr bwMode="auto">
                                                <a:xfrm>
                                                  <a:off x="0" y="0"/>
                                                  <a:ext cx="457200" cy="95250"/>
                                                </a:xfrm>
                                                <a:prstGeom prst="rect">
                                                  <a:avLst/>
                                                </a:prstGeom>
                                              </pic:spPr>
                                            </pic:pic>
                                          </a:graphicData>
                                        </a:graphic>
                                      </wp:inline>
                                    </w:drawing>
                                  </w:r>
                                  <w:bookmarkStart w:id="51" w:name="i-27"/>
                                  <w:bookmarkEnd w:id="5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2"/>
                                          <a:stretch>
                                            <a:fillRect/>
                                          </a:stretch>
                                        </pic:blipFill>
                                        <pic:spPr bwMode="auto">
                                          <a:xfrm>
                                            <a:off x="0" y="0"/>
                                            <a:ext cx="457200" cy="95250"/>
                                          </a:xfrm>
                                          <a:prstGeom prst="rect">
                                            <a:avLst/>
                                          </a:prstGeom>
                                        </pic:spPr>
                                      </pic:pic>
                                    </a:graphicData>
                                  </a:graphic>
                                </wp:inline>
                              </w:drawing>
                            </w:r>
                            <w:bookmarkStart w:id="52" w:name="i-27"/>
                            <w:bookmarkEnd w:id="5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may be unable to successfully increase sales of our current products or market and sell our future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ability to achieve profitability depends, in part,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attract, retain and manage qualified sales, marketing, and service personnel necessary to expand market acceptance for our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performance and commercial availability expectations of our existing and potential customers with respect to new and existing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availability of potential sales and distribution partners to sell our technologies, and our ability to attract and retain such sales and distribution partners;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time and cost of maintaining and growing a specialized sales, marketing and service force for a particular application, which may be difficult to justify in light of the revenue generated;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sales, marketing and service force may be unable to execute successful commercial activities.</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 xml:space="preserve">We have, and may in the future, use promotional pricing and similar measures to attract purchases of our products. These measures may not be successful in attracting purchases and, even if successful, may negatively impact our gross margins.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enlisted and may continue to enlist third parties to assist with sales, equipment leasing,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receive a significant portion of our revenue from a limited number of customers. While during the years ended December 31, 2025, 2024, and 2023, no customer accounted for 10% or more of our total revenue, many of our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112520"/>
                <wp:effectExtent l="0" t="0" r="0" b="0"/>
                <wp:wrapNone/>
                <wp:docPr id="80" name="Frame2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8" descr=""/>
                                                <pic:cNvPicPr>
                                                  <a:picLocks noChangeAspect="1" noChangeArrowheads="1"/>
                                                </pic:cNvPicPr>
                                              </pic:nvPicPr>
                                              <pic:blipFill>
                                                <a:blip r:embed="rId53"/>
                                                <a:stretch>
                                                  <a:fillRect/>
                                                </a:stretch>
                                              </pic:blipFill>
                                              <pic:spPr bwMode="auto">
                                                <a:xfrm>
                                                  <a:off x="0" y="0"/>
                                                  <a:ext cx="457200" cy="95250"/>
                                                </a:xfrm>
                                                <a:prstGeom prst="rect">
                                                  <a:avLst/>
                                                </a:prstGeom>
                                              </pic:spPr>
                                            </pic:pic>
                                          </a:graphicData>
                                        </a:graphic>
                                      </wp:inline>
                                    </w:drawing>
                                  </w:r>
                                  <w:bookmarkStart w:id="53" w:name="i-28"/>
                                  <w:bookmarkEnd w:id="5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4"/>
                                          <a:stretch>
                                            <a:fillRect/>
                                          </a:stretch>
                                        </pic:blipFill>
                                        <pic:spPr bwMode="auto">
                                          <a:xfrm>
                                            <a:off x="0" y="0"/>
                                            <a:ext cx="457200" cy="95250"/>
                                          </a:xfrm>
                                          <a:prstGeom prst="rect">
                                            <a:avLst/>
                                          </a:prstGeom>
                                        </pic:spPr>
                                      </pic:pic>
                                    </a:graphicData>
                                  </a:graphic>
                                </wp:inline>
                              </w:drawing>
                            </w:r>
                            <w:bookmarkStart w:id="54" w:name="i-28"/>
                            <w:bookmarkEnd w:id="5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many of our customers, including some of our larger customers, have negotiated, or may in the future negotiate, volume-based discounts or other more favorable terms from us or our sales and distribution partners, which have had and may have a negative effect on our gross margins or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products are highly complex, have recurring support requirements and could have unknown defects or errors, which may give rise to claims against us or divert application of our resources from other purposes.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highly complex and may develop or contain undetected defects or errors. Our customers have previously experienced reliability issues with our existing products, including the Sequel and Sequel II/IIe systems. In addition, it is possible our customers could experience reliability issues with current or future products, including the Revio and Vega systems. Despite internal and external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Revio and Vega systems, or enhancements to our existing products, including the SMRT Cell,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has and could in the future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 significant portion of our sales depends on customers’ spending budgets that may be subject to significant and unexpected variation which could have a negative effect on the demand for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including the persistent uncertainty surrounding NIH and academic funding, the spending priorities among various types of research equipment, policies regarding capital expenditures during economically uncertain periods and the potential impacts from health epidemics or pandemics.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112520"/>
                <wp:effectExtent l="0" t="0" r="0" b="0"/>
                <wp:wrapNone/>
                <wp:docPr id="83" name="Frame3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9" descr=""/>
                                                <pic:cNvPicPr>
                                                  <a:picLocks noChangeAspect="1" noChangeArrowheads="1"/>
                                                </pic:cNvPicPr>
                                              </pic:nvPicPr>
                                              <pic:blipFill>
                                                <a:blip r:embed="rId55"/>
                                                <a:stretch>
                                                  <a:fillRect/>
                                                </a:stretch>
                                              </pic:blipFill>
                                              <pic:spPr bwMode="auto">
                                                <a:xfrm>
                                                  <a:off x="0" y="0"/>
                                                  <a:ext cx="457200" cy="95250"/>
                                                </a:xfrm>
                                                <a:prstGeom prst="rect">
                                                  <a:avLst/>
                                                </a:prstGeom>
                                              </pic:spPr>
                                            </pic:pic>
                                          </a:graphicData>
                                        </a:graphic>
                                      </wp:inline>
                                    </w:drawing>
                                  </w:r>
                                  <w:bookmarkStart w:id="55" w:name="i-29"/>
                                  <w:bookmarkEnd w:id="5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6"/>
                                          <a:stretch>
                                            <a:fillRect/>
                                          </a:stretch>
                                        </pic:blipFill>
                                        <pic:spPr bwMode="auto">
                                          <a:xfrm>
                                            <a:off x="0" y="0"/>
                                            <a:ext cx="457200" cy="95250"/>
                                          </a:xfrm>
                                          <a:prstGeom prst="rect">
                                            <a:avLst/>
                                          </a:prstGeom>
                                        </pic:spPr>
                                      </pic:pic>
                                    </a:graphicData>
                                  </a:graphic>
                                </wp:inline>
                              </w:drawing>
                            </w:r>
                            <w:bookmarkStart w:id="56" w:name="i-29"/>
                            <w:bookmarkEnd w:id="5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may not be able to convert our orders in backlog into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Many events can cause an order to be delayed or not completed at all, some of which may be out of our control, including the potential impacts from health epidemics or pandemics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sales cycles are unpredictable and lengthy, which makes it difficult to forecast revenue and may increase the magnitude of quarterly or annual fluctuations in our operating results.</w:t>
      </w:r>
    </w:p>
    <w:p>
      <w:pPr>
        <w:pStyle w:val="TextBody"/>
        <w:bidi w:val="0"/>
        <w:spacing w:lineRule="auto" w:line="288" w:before="120" w:after="283"/>
        <w:jc w:val="both"/>
        <w:rPr/>
      </w:pPr>
      <w:r>
        <w:rPr>
          <w:rFonts w:ascii="Roboto;sans-serif" w:hAnsi="Roboto;sans-serif"/>
          <w:b w:val="false"/>
          <w:color w:val="000000"/>
          <w:sz w:val="20"/>
        </w:rPr>
        <w:t>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including as a result of seasonal factors, as discussed below, and a potential customer may require an extended evaluation and testing period. Our sales cycles may also lengthen, and those sales cycles may result in lower units sold per cycle, as we continue to introduce our Revio and Vega instruments and their associated consumables to the market, as our customers may have additional administrative, technical or other requirements associated with transitioning to new products and technologies. In anticipation of product orders, we may incur substantial costs before the sales cycle is complete and before we receive any customer payments. As a result, if a sale is not completed or is canceled or delayed, we may have incurred substantial expenses, making it more difficult for us to become profitable or otherwise negatively impacting our financial results. Even if our selling efforts are successful, the realization of revenue may be substantially delayed, our ability to forecast our future revenue may be more limited and our revenue may fluctuate significantly from quarter to quarter and year over year. For more information on the impact of these fluctuations on our results and stock price, see “—</w:t>
      </w:r>
      <w:hyperlink w:anchor="i65e8b4e9acca438bbac66d77c19216cf_670731">
        <w:r>
          <w:rPr>
            <w:rStyle w:val="InternetLink"/>
            <w:rFonts w:ascii="Roboto;sans-serif" w:hAnsi="Roboto;sans-serif"/>
            <w:b w:val="false"/>
            <w:color w:val="0000FF"/>
            <w:sz w:val="20"/>
            <w:u w:val="single"/>
          </w:rPr>
          <w:t>Our operating results fluctuate from quarter to quarter and year over year, which makes our future results difficult to predict and could negatively impact the market price of our common stock</w:t>
        </w:r>
      </w:hyperlink>
      <w:r>
        <w:rPr>
          <w:rFonts w:ascii="Roboto;sans-serif" w:hAnsi="Roboto;sans-serif"/>
          <w:b w:val="false"/>
          <w:color w:val="000000"/>
          <w:sz w:val="20"/>
        </w:rPr>
        <w:t>,” below.</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Because some of our customers and suppliers are based in China, our business, financial condition and results of operations could be adversely affected by the political and economic tensions between the United States and China.</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subject to risks associated with political conflicts between the U.S. and China. While during the years ended December 31, 2025, 2024, and 2023, no customer accounted for 10% or more of our total revenue, a portion of our revenue is generated from China. In addition, certain components, some of which are critical components, of our products are manufactured in China. These components are either sourced directly from companies in China or indirectly from third parties that source from companies in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112520"/>
                <wp:effectExtent l="0" t="0" r="0" b="0"/>
                <wp:wrapNone/>
                <wp:docPr id="86" name="Frame3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0" descr=""/>
                                                <pic:cNvPicPr>
                                                  <a:picLocks noChangeAspect="1" noChangeArrowheads="1"/>
                                                </pic:cNvPicPr>
                                              </pic:nvPicPr>
                                              <pic:blipFill>
                                                <a:blip r:embed="rId57"/>
                                                <a:stretch>
                                                  <a:fillRect/>
                                                </a:stretch>
                                              </pic:blipFill>
                                              <pic:spPr bwMode="auto">
                                                <a:xfrm>
                                                  <a:off x="0" y="0"/>
                                                  <a:ext cx="457200" cy="95250"/>
                                                </a:xfrm>
                                                <a:prstGeom prst="rect">
                                                  <a:avLst/>
                                                </a:prstGeom>
                                              </pic:spPr>
                                            </pic:pic>
                                          </a:graphicData>
                                        </a:graphic>
                                      </wp:inline>
                                    </w:drawing>
                                  </w:r>
                                  <w:bookmarkStart w:id="57" w:name="i-30"/>
                                  <w:bookmarkEnd w:id="5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8"/>
                                          <a:stretch>
                                            <a:fillRect/>
                                          </a:stretch>
                                        </pic:blipFill>
                                        <pic:spPr bwMode="auto">
                                          <a:xfrm>
                                            <a:off x="0" y="0"/>
                                            <a:ext cx="457200" cy="95250"/>
                                          </a:xfrm>
                                          <a:prstGeom prst="rect">
                                            <a:avLst/>
                                          </a:prstGeom>
                                        </pic:spPr>
                                      </pic:pic>
                                    </a:graphicData>
                                  </a:graphic>
                                </wp:inline>
                              </w:drawing>
                            </w:r>
                            <w:bookmarkStart w:id="58" w:name="i-30"/>
                            <w:bookmarkEnd w:id="5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pPr>
      <w:r>
        <w:rPr>
          <w:rFonts w:ascii="Roboto;sans-serif" w:hAnsi="Roboto;sans-serif"/>
          <w:b w:val="false"/>
          <w:color w:val="000000"/>
          <w:sz w:val="20"/>
        </w:rPr>
        <w:t>Consequently, we are subject to significant risks associated with the trading relationship between the U.S. and China, which is currently characterized by significant uncertainty. Tariffs imposed by the U.S. and China have increased, and may continue to increase, our costs. Additionally, export restrictions imposed by the U.S. may impact our ability to export certain products to customers or distributors in China and restrict our ability to use certain integrated circuits in our products, and it is possible that additional restrictions will be put in place that could impact our ability to provide our products to customers or distributors in China or source components from China. Moreover, the Chinese government may continue to retaliate against U.S. trade restrictions in ways that could impact our business, including through the imposition of additional tariffs on imports from the U.S. and/or the imposition of additional export controls affecting the export of certain items from China. 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 For more information, see “—</w:t>
      </w:r>
      <w:hyperlink w:anchor="i65e8b4e9acca438bbac66d77c19216cf_670736">
        <w:r>
          <w:rPr>
            <w:rStyle w:val="InternetLink"/>
            <w:rFonts w:ascii="Roboto;sans-serif" w:hAnsi="Roboto;sans-serif"/>
            <w:b w:val="false"/>
            <w:color w:val="0000FF"/>
            <w:sz w:val="20"/>
            <w:u w:val="single"/>
          </w:rPr>
          <w:t>Enhanced trade tariffs, import restrictions, export restrictions or other trade barriers may materially harm our business</w:t>
        </w:r>
      </w:hyperlink>
      <w:r>
        <w:rPr>
          <w:rFonts w:ascii="Roboto;sans-serif" w:hAnsi="Roboto;sans-serif"/>
          <w:b w:val="false"/>
          <w:color w:val="000000"/>
          <w:sz w:val="20"/>
        </w:rPr>
        <w: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risks could include: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interruptions to operations in China as a result of potential disease outbreaks or natural catastrophic events, which have in the past and can result in the future in business closures, transportation restrictions, import and export complications and cause shortages in the supply of raw materials or disruptions in manufacturing;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product supply disruptions and increased costs as a result of heightened exposure to changes in the policies of the Chinese government, political unrest or unstable economic conditions in China;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nationalization or other expropriation of private enterprises or intellectual property by the Chinese government.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Difficulties in this relationship may require us to take actions adverse to our business to comply with governmental restrictions on business and trade with China.</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face significant risks associated with doing business with Taiwanese suppliers and manufacturers due to the tense relationship between Taiwan and mainland China.</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Substantially all of our consumable chips are partly manufactured by a company based in Taiwan. Our supply of consumable chips and other critical components may be materially and adversely affected by diplomatic, geopolitical, military and other developments affecting the relationship between China and Taiwan. Recent military exercises in the Taiwan Strait have contributed to geopolitical uncertainty regarding the future of the relationship between China and Taiwan. Current or future diplomatic, geopolitical, military or other tensions between China and Taiwan, including trade disputes,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pStyle w:val="TextBody"/>
        <w:bidi w:val="0"/>
        <w:spacing w:lineRule="auto" w:line="288" w:before="180" w:after="283"/>
        <w:jc w:val="both"/>
        <w:rPr>
          <w:rFonts w:ascii="Roboto;sans-serif" w:hAnsi="Roboto;sans-serif"/>
          <w:b/>
          <w:i/>
          <w:color w:val="DF1995"/>
          <w:sz w:val="20"/>
        </w:rPr>
      </w:pPr>
      <w:bookmarkStart w:id="59" w:name="i65e8b4e9acca438bbac66d77c19216cf_670731"/>
      <w:bookmarkEnd w:id="59"/>
      <w:r>
        <w:rPr>
          <w:rFonts w:ascii="Roboto;sans-serif" w:hAnsi="Roboto;sans-serif"/>
          <w:b/>
          <w:i/>
          <w:color w:val="DF1995"/>
          <w:sz w:val="20"/>
        </w:rPr>
        <w:t>Our operating results fluctuate from quarter to quarter and year over year, which makes our future results difficult to predict and could negatively impact the market price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of our products, particularly our sequencing instruments, are subject to significant seasonality due to several factors, including the procurement and budgeting cycles of many of our customers, especially government-funded customers, which often coincide with government fiscal year ends and significant holidays disrupting business and sales activities in key markets. These factors have contributed, and in the future may contribute, to substantial fluctuations in our quarterly operating results.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operating results during any given period can also be impacted by numerous other factors, including the following: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market acceptance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attract new customers;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length of our sales cycles, as discussed above;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achieve economies of scale and other manufacturing efficiencies at the rate we anticipate;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112520"/>
                <wp:effectExtent l="0" t="0" r="0" b="0"/>
                <wp:wrapNone/>
                <wp:docPr id="89" name="Frame3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1" descr=""/>
                                                <pic:cNvPicPr>
                                                  <a:picLocks noChangeAspect="1" noChangeArrowheads="1"/>
                                                </pic:cNvPicPr>
                                              </pic:nvPicPr>
                                              <pic:blipFill>
                                                <a:blip r:embed="rId59"/>
                                                <a:stretch>
                                                  <a:fillRect/>
                                                </a:stretch>
                                              </pic:blipFill>
                                              <pic:spPr bwMode="auto">
                                                <a:xfrm>
                                                  <a:off x="0" y="0"/>
                                                  <a:ext cx="457200" cy="95250"/>
                                                </a:xfrm>
                                                <a:prstGeom prst="rect">
                                                  <a:avLst/>
                                                </a:prstGeom>
                                              </pic:spPr>
                                            </pic:pic>
                                          </a:graphicData>
                                        </a:graphic>
                                      </wp:inline>
                                    </w:drawing>
                                  </w:r>
                                  <w:bookmarkStart w:id="60" w:name="i-31"/>
                                  <w:bookmarkEnd w:id="6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0"/>
                                          <a:stretch>
                                            <a:fillRect/>
                                          </a:stretch>
                                        </pic:blipFill>
                                        <pic:spPr bwMode="auto">
                                          <a:xfrm>
                                            <a:off x="0" y="0"/>
                                            <a:ext cx="457200" cy="95250"/>
                                          </a:xfrm>
                                          <a:prstGeom prst="rect">
                                            <a:avLst/>
                                          </a:prstGeom>
                                        </pic:spPr>
                                      </pic:pic>
                                    </a:graphicData>
                                  </a:graphic>
                                </wp:inline>
                              </w:drawing>
                            </w:r>
                            <w:bookmarkStart w:id="61" w:name="i-31"/>
                            <w:bookmarkEnd w:id="6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publications of studies by us, our competitors or third parties;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timing and success of new product introductions by us or our competitors or other changes in the competitive dynamics of our industry, such as consolidation;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amount and timing of our costs and expenses;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our pricing policies or those of our competitors;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general economic, industry and market conditions;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impact of catastrophic events, including health epidemics or pandemics and military or other armed conflicts;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regulatory environment in which we operate;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expenses associated with warranty obligations or unforeseen product quality issues;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hiring, training, and retention of key employees, including our ability to grow our sales organization;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litigation or other claims against us for intellectual property infringement or otherwise;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obtain additional financing as necessary;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or trends in new technologies and industry standards.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Consequently,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Additionally, any bankruptcy of a customer or other party with whom we do business, or the failure of any such party to make payments when due, or any breach or default by any such party, or the loss of any significant partnerships, could impact our revenue recognition or result in material losses to us, which may have a material adverse impact on our business.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ability to use net operating losses and certain other tax attributes to offset future taxable income may be subject to substantial limitations.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Under Sections 382 and 383 of the Internal Revenue Code of 1986, as amended, a corporation that undergoes an “ownership change” is subject to limitations on its ability to utilize its pre-change net operating losses (“NOLs”) and other pre-change tax attributes, such as research and development credits, to offset its post-change taxable income or tax liability. An “ownership change” is generally defined as a greater than 50% change (by value) in a corporation’s equity ownership by “5 percent shareholders” over a rolling three-year period. We believe that we have had one or more ownership changes, and as a result our existing NOLs are currently subject to limitation. Future changes in our stock ownership could result in additional ownership changes, including potentially material changes, under Sections 382 and 383. Further, California has enacted legislation that limits the use of state NOLs for tax years beginning on or after January 1, 2024, and before January 1, 2027. Other limitations may also apply under state tax law. As a result of this legislation or other unforeseen reasons, we may not be able to utilize some or all of our NOLs even if we attain profitability.</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Changes in tax law and differences in interpretation of tax laws and regulations could adversely impact our business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operate in multiple jurisdictions and are subject to tax laws and regulations of the U.S. federal, state and local and non-U.S. governments. Tax laws, regulations and administrative practices in these jurisdictions may be subject to significant changes, with or without advance notice. Changes in tax laws, regulations or rulings, changes in interpretations of existing laws and regulations or changes in accounting principles could negatively and materially affect our financial position, cash flows,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112520"/>
                <wp:effectExtent l="0" t="0" r="0" b="0"/>
                <wp:wrapNone/>
                <wp:docPr id="92" name="Frame3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2" descr=""/>
                                                <pic:cNvPicPr>
                                                  <a:picLocks noChangeAspect="1" noChangeArrowheads="1"/>
                                                </pic:cNvPicPr>
                                              </pic:nvPicPr>
                                              <pic:blipFill>
                                                <a:blip r:embed="rId61"/>
                                                <a:stretch>
                                                  <a:fillRect/>
                                                </a:stretch>
                                              </pic:blipFill>
                                              <pic:spPr bwMode="auto">
                                                <a:xfrm>
                                                  <a:off x="0" y="0"/>
                                                  <a:ext cx="457200" cy="95250"/>
                                                </a:xfrm>
                                                <a:prstGeom prst="rect">
                                                  <a:avLst/>
                                                </a:prstGeom>
                                              </pic:spPr>
                                            </pic:pic>
                                          </a:graphicData>
                                        </a:graphic>
                                      </wp:inline>
                                    </w:drawing>
                                  </w:r>
                                  <w:bookmarkStart w:id="62" w:name="i-32"/>
                                  <w:bookmarkEnd w:id="6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2"/>
                                          <a:stretch>
                                            <a:fillRect/>
                                          </a:stretch>
                                        </pic:blipFill>
                                        <pic:spPr bwMode="auto">
                                          <a:xfrm>
                                            <a:off x="0" y="0"/>
                                            <a:ext cx="457200" cy="95250"/>
                                          </a:xfrm>
                                          <a:prstGeom prst="rect">
                                            <a:avLst/>
                                          </a:prstGeom>
                                        </pic:spPr>
                                      </pic:pic>
                                    </a:graphicData>
                                  </a:graphic>
                                </wp:inline>
                              </w:drawing>
                            </w:r>
                            <w:bookmarkStart w:id="63" w:name="i-32"/>
                            <w:bookmarkEnd w:id="6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facilities in California are located near earthquake faults, and the occurrence of an earthquake or other catastrophic disaster could cause damage to our facilities and equipment, which could require us to cease or curtail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facilities in California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tbl>
      <w:tblPr>
        <w:tblW w:w="5444" w:type="dxa"/>
        <w:jc w:val="left"/>
        <w:tblInd w:w="0" w:type="dxa"/>
        <w:tblLayout w:type="fixed"/>
        <w:tblCellMar>
          <w:top w:w="28" w:type="dxa"/>
          <w:left w:w="28" w:type="dxa"/>
          <w:bottom w:w="28" w:type="dxa"/>
          <w:right w:w="28" w:type="dxa"/>
        </w:tblCellMar>
      </w:tblPr>
      <w:tblGrid>
        <w:gridCol w:w="1742"/>
        <w:gridCol w:w="1532"/>
        <w:gridCol w:w="2170"/>
      </w:tblGrid>
      <w:tr>
        <w:trPr/>
        <w:tc>
          <w:tcPr>
            <w:tcW w:w="174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Risks Related to Our Intellectual Property</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Failure to secure patent or other intellectual property protection for our products and improvements to our products may reduce our ability to maintain any technological or competitive advantage over our current and potential competitors.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or our licensors might not have been the first to make the inventions covered by each of our pending patent applications or issued patents;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or our licensors might not have been the first to file patent applications for these inventions;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it is possible that neither our pending patent applications nor the pending patent applications of our licensors will result in issued patents;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enforcement of patents and proprietary rights in other countries may be problematic or unpredictable;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may not be able to prevent third parties from practicing our inventions in all countries outside the United States, or from selling or importing products made using our inventions in and into the United States or other jurisdictions;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or our partners may not adequately protect our trade secrets;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may not develop additional proprietary technologies that are patentable; or</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patents of others may limit our freedom to operate and prevent us from commercializing our technology in accordance with our plans.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occurrence of any of these events could impair our ability to operate without infringing upon the proprietary rights of others or prevent us from establishing or maintaining a competitive advantage over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112520"/>
                <wp:effectExtent l="0" t="0" r="0" b="0"/>
                <wp:wrapNone/>
                <wp:docPr id="95" name="Frame3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3" descr=""/>
                                                <pic:cNvPicPr>
                                                  <a:picLocks noChangeAspect="1" noChangeArrowheads="1"/>
                                                </pic:cNvPicPr>
                                              </pic:nvPicPr>
                                              <pic:blipFill>
                                                <a:blip r:embed="rId63"/>
                                                <a:stretch>
                                                  <a:fillRect/>
                                                </a:stretch>
                                              </pic:blipFill>
                                              <pic:spPr bwMode="auto">
                                                <a:xfrm>
                                                  <a:off x="0" y="0"/>
                                                  <a:ext cx="457200" cy="95250"/>
                                                </a:xfrm>
                                                <a:prstGeom prst="rect">
                                                  <a:avLst/>
                                                </a:prstGeom>
                                              </pic:spPr>
                                            </pic:pic>
                                          </a:graphicData>
                                        </a:graphic>
                                      </wp:inline>
                                    </w:drawing>
                                  </w:r>
                                  <w:bookmarkStart w:id="64" w:name="i-33"/>
                                  <w:bookmarkEnd w:id="6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4"/>
                                          <a:stretch>
                                            <a:fillRect/>
                                          </a:stretch>
                                        </pic:blipFill>
                                        <pic:spPr bwMode="auto">
                                          <a:xfrm>
                                            <a:off x="0" y="0"/>
                                            <a:ext cx="457200" cy="95250"/>
                                          </a:xfrm>
                                          <a:prstGeom prst="rect">
                                            <a:avLst/>
                                          </a:prstGeom>
                                        </pic:spPr>
                                      </pic:pic>
                                    </a:graphicData>
                                  </a:graphic>
                                </wp:inline>
                              </w:drawing>
                            </w:r>
                            <w:bookmarkStart w:id="65" w:name="i-33"/>
                            <w:bookmarkEnd w:id="6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Variability in intellectual property laws may adversely affect our intellectual property position.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Some of the intellectual property that is important to our business is owned by other companies or institutions and licensed to us, and changes to the rights we have licensed may adversely impact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112520"/>
                <wp:effectExtent l="0" t="0" r="0" b="0"/>
                <wp:wrapNone/>
                <wp:docPr id="98" name="Frame3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4" descr=""/>
                                                <pic:cNvPicPr>
                                                  <a:picLocks noChangeAspect="1" noChangeArrowheads="1"/>
                                                </pic:cNvPicPr>
                                              </pic:nvPicPr>
                                              <pic:blipFill>
                                                <a:blip r:embed="rId65"/>
                                                <a:stretch>
                                                  <a:fillRect/>
                                                </a:stretch>
                                              </pic:blipFill>
                                              <pic:spPr bwMode="auto">
                                                <a:xfrm>
                                                  <a:off x="0" y="0"/>
                                                  <a:ext cx="457200" cy="95250"/>
                                                </a:xfrm>
                                                <a:prstGeom prst="rect">
                                                  <a:avLst/>
                                                </a:prstGeom>
                                              </pic:spPr>
                                            </pic:pic>
                                          </a:graphicData>
                                        </a:graphic>
                                      </wp:inline>
                                    </w:drawing>
                                  </w:r>
                                  <w:bookmarkStart w:id="66" w:name="i-34"/>
                                  <w:bookmarkEnd w:id="6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6"/>
                                          <a:stretch>
                                            <a:fillRect/>
                                          </a:stretch>
                                        </pic:blipFill>
                                        <pic:spPr bwMode="auto">
                                          <a:xfrm>
                                            <a:off x="0" y="0"/>
                                            <a:ext cx="457200" cy="95250"/>
                                          </a:xfrm>
                                          <a:prstGeom prst="rect">
                                            <a:avLst/>
                                          </a:prstGeom>
                                        </pic:spPr>
                                      </pic:pic>
                                    </a:graphicData>
                                  </a:graphic>
                                </wp:inline>
                              </w:drawing>
                            </w:r>
                            <w:bookmarkStart w:id="67" w:name="i-34"/>
                            <w:bookmarkEnd w:id="6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intellectual property may be subject to challenges in the United States or foreign jurisdictions that could adversely affect our intellectual property position.</w:t>
      </w:r>
    </w:p>
    <w:p>
      <w:pPr>
        <w:pStyle w:val="TextBody"/>
        <w:bidi w:val="0"/>
        <w:spacing w:lineRule="auto" w:line="288" w:before="120" w:after="283"/>
        <w:jc w:val="both"/>
        <w:rPr/>
      </w:pPr>
      <w:r>
        <w:rPr>
          <w:rFonts w:ascii="Roboto;sans-serif" w:hAnsi="Roboto;sans-serif"/>
          <w:b w:val="false"/>
          <w:color w:val="000000"/>
          <w:sz w:val="20"/>
        </w:rPr>
        <w:t xml:space="preserve">Our pending, issued and granted U.S. and foreign patents and patent applications have been, are and may in the future be, subject to challenges by ONT Ltd., Oxford Nanopore Technologies, Inc. ("ONT Inc.") and Metrichor, Ltd. (“Metrichor” and, together with ONT Ltd. and ONT Inc., “ONT”) in addition to other parties asserting prior invention by others or invalidity on various grounds, through proceedings, such as </w:t>
      </w:r>
      <w:r>
        <w:rPr>
          <w:rFonts w:ascii="Roboto;sans-serif" w:hAnsi="Roboto;sans-serif"/>
          <w:b w:val="false"/>
          <w:color w:val="000000"/>
          <w:sz w:val="20"/>
          <w:shd w:fill="FFFFFF" w:val="clear"/>
        </w:rPr>
        <w:t>interferences</w:t>
      </w:r>
      <w:r>
        <w:rPr>
          <w:rFonts w:ascii="Roboto;sans-serif" w:hAnsi="Roboto;sans-serif"/>
          <w:b w:val="false"/>
          <w:color w:val="000000"/>
          <w:sz w:val="20"/>
        </w:rPr>
        <w:t xml:space="preserve">,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Roboto;sans-serif" w:hAnsi="Roboto;sans-serif"/>
          <w:b w:val="false"/>
          <w:i/>
          <w:color w:val="000000"/>
          <w:sz w:val="20"/>
        </w:rPr>
        <w:t>inter partes</w:t>
      </w:r>
      <w:r>
        <w:rPr>
          <w:color w:val="000000"/>
        </w:rPr>
        <w:t xml:space="preserve"> </w:t>
      </w:r>
      <w:r>
        <w:rPr>
          <w:rFonts w:ascii="Roboto;sans-serif" w:hAnsi="Roboto;sans-serif"/>
          <w:b w:val="false"/>
          <w:color w:val="000000"/>
          <w:sz w:val="20"/>
        </w:rPr>
        <w:t xml:space="preserve">reviews of certain patents that we have asserted against ONT Inc. and ONT Ltd. in litigation proceedings for patent infringement. While none of the </w:t>
      </w:r>
      <w:r>
        <w:rPr>
          <w:rFonts w:ascii="Roboto;sans-serif" w:hAnsi="Roboto;sans-serif"/>
          <w:b w:val="false"/>
          <w:i/>
          <w:color w:val="000000"/>
          <w:sz w:val="20"/>
        </w:rPr>
        <w:t>inter partes</w:t>
      </w:r>
      <w:r>
        <w:rPr>
          <w:color w:val="000000"/>
        </w:rPr>
        <w:t xml:space="preserve"> </w:t>
      </w:r>
      <w:r>
        <w:rPr>
          <w:rFonts w:ascii="Roboto;sans-serif" w:hAnsi="Roboto;sans-serif"/>
          <w:b w:val="false"/>
          <w:color w:val="000000"/>
          <w:sz w:val="20"/>
        </w:rPr>
        <w:t>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112520"/>
                <wp:effectExtent l="0" t="0" r="0" b="0"/>
                <wp:wrapNone/>
                <wp:docPr id="101" name="Frame3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5" descr=""/>
                                                <pic:cNvPicPr>
                                                  <a:picLocks noChangeAspect="1" noChangeArrowheads="1"/>
                                                </pic:cNvPicPr>
                                              </pic:nvPicPr>
                                              <pic:blipFill>
                                                <a:blip r:embed="rId67"/>
                                                <a:stretch>
                                                  <a:fillRect/>
                                                </a:stretch>
                                              </pic:blipFill>
                                              <pic:spPr bwMode="auto">
                                                <a:xfrm>
                                                  <a:off x="0" y="0"/>
                                                  <a:ext cx="457200" cy="95250"/>
                                                </a:xfrm>
                                                <a:prstGeom prst="rect">
                                                  <a:avLst/>
                                                </a:prstGeom>
                                              </pic:spPr>
                                            </pic:pic>
                                          </a:graphicData>
                                        </a:graphic>
                                      </wp:inline>
                                    </w:drawing>
                                  </w:r>
                                  <w:bookmarkStart w:id="68" w:name="i-35"/>
                                  <w:bookmarkEnd w:id="6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68"/>
                                          <a:stretch>
                                            <a:fillRect/>
                                          </a:stretch>
                                        </pic:blipFill>
                                        <pic:spPr bwMode="auto">
                                          <a:xfrm>
                                            <a:off x="0" y="0"/>
                                            <a:ext cx="457200" cy="95250"/>
                                          </a:xfrm>
                                          <a:prstGeom prst="rect">
                                            <a:avLst/>
                                          </a:prstGeom>
                                        </pic:spPr>
                                      </pic:pic>
                                    </a:graphicData>
                                  </a:graphic>
                                </wp:inline>
                              </w:drawing>
                            </w:r>
                            <w:bookmarkStart w:id="69" w:name="i-35"/>
                            <w:bookmarkEnd w:id="6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Some of our technology is subject to “march-in” rights by the U.S. government.</w:t>
      </w:r>
    </w:p>
    <w:p>
      <w:pPr>
        <w:pStyle w:val="TextBody"/>
        <w:bidi w:val="0"/>
        <w:spacing w:lineRule="auto" w:line="288" w:before="120" w:after="283"/>
        <w:jc w:val="both"/>
        <w:rPr/>
      </w:pPr>
      <w:r>
        <w:rPr>
          <w:rFonts w:ascii="Roboto;sans-serif" w:hAnsi="Roboto;sans-serif"/>
          <w:b w:val="false"/>
          <w:color w:val="000000"/>
          <w:sz w:val="20"/>
        </w:rPr>
        <w:t xml:space="preserve">Some of our patented technology was developed with U.S. federal government funding. When new technologies are </w:t>
      </w:r>
      <w:r>
        <w:rPr>
          <w:rFonts w:ascii="Roboto;sans-serif" w:hAnsi="Roboto;sans-serif"/>
          <w:b w:val="false"/>
          <w:color w:val="000000"/>
          <w:sz w:val="20"/>
          <w:shd w:fill="FFFFFF" w:val="clear"/>
        </w:rPr>
        <w:t>developed</w:t>
      </w:r>
      <w:r>
        <w:rPr>
          <w:color w:val="000000"/>
        </w:rPr>
        <w:t xml:space="preserve"> </w:t>
      </w:r>
      <w:r>
        <w:rPr>
          <w:rFonts w:ascii="Roboto;sans-serif" w:hAnsi="Roboto;sans-serif"/>
          <w:b w:val="false"/>
          <w:color w:val="000000"/>
          <w:sz w:val="20"/>
        </w:rPr>
        <w:t>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are involved in legal proceedings to enforce our intellectual property rights.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were previously involved in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112520"/>
                <wp:effectExtent l="0" t="0" r="0" b="0"/>
                <wp:wrapNone/>
                <wp:docPr id="104" name="Frame3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6" descr=""/>
                                                <pic:cNvPicPr>
                                                  <a:picLocks noChangeAspect="1" noChangeArrowheads="1"/>
                                                </pic:cNvPicPr>
                                              </pic:nvPicPr>
                                              <pic:blipFill>
                                                <a:blip r:embed="rId69"/>
                                                <a:stretch>
                                                  <a:fillRect/>
                                                </a:stretch>
                                              </pic:blipFill>
                                              <pic:spPr bwMode="auto">
                                                <a:xfrm>
                                                  <a:off x="0" y="0"/>
                                                  <a:ext cx="457200" cy="95250"/>
                                                </a:xfrm>
                                                <a:prstGeom prst="rect">
                                                  <a:avLst/>
                                                </a:prstGeom>
                                              </pic:spPr>
                                            </pic:pic>
                                          </a:graphicData>
                                        </a:graphic>
                                      </wp:inline>
                                    </w:drawing>
                                  </w:r>
                                  <w:bookmarkStart w:id="70" w:name="i-36"/>
                                  <w:bookmarkEnd w:id="7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6" descr=""/>
                                          <pic:cNvPicPr>
                                            <a:picLocks noChangeAspect="1" noChangeArrowheads="1"/>
                                          </pic:cNvPicPr>
                                        </pic:nvPicPr>
                                        <pic:blipFill>
                                          <a:blip r:embed="rId70"/>
                                          <a:stretch>
                                            <a:fillRect/>
                                          </a:stretch>
                                        </pic:blipFill>
                                        <pic:spPr bwMode="auto">
                                          <a:xfrm>
                                            <a:off x="0" y="0"/>
                                            <a:ext cx="457200" cy="95250"/>
                                          </a:xfrm>
                                          <a:prstGeom prst="rect">
                                            <a:avLst/>
                                          </a:prstGeom>
                                        </pic:spPr>
                                      </pic:pic>
                                    </a:graphicData>
                                  </a:graphic>
                                </wp:inline>
                              </w:drawing>
                            </w:r>
                            <w:bookmarkStart w:id="71" w:name="i-36"/>
                            <w:bookmarkEnd w:id="7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been, are currently, and could in the future be, subject to legal proceedings with third parties who may claim that our products infringe or misappropriate their intellectual property rights.</w:t>
      </w:r>
    </w:p>
    <w:p>
      <w:pPr>
        <w:pStyle w:val="TextBody"/>
        <w:bidi w:val="0"/>
        <w:spacing w:lineRule="auto" w:line="288" w:before="120" w:after="283"/>
        <w:jc w:val="both"/>
        <w:rPr/>
      </w:pPr>
      <w:r>
        <w:rPr>
          <w:rFonts w:ascii="Roboto;sans-serif" w:hAnsi="Roboto;sans-serif"/>
          <w:b w:val="false"/>
          <w:color w:val="000000"/>
          <w:sz w:val="20"/>
        </w:rPr>
        <w:t xml:space="preserve">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w:t>
      </w:r>
      <w:r>
        <w:rPr>
          <w:rFonts w:ascii="Roboto;sans-serif" w:hAnsi="Roboto;sans-serif"/>
          <w:b w:val="false"/>
          <w:color w:val="000000"/>
          <w:sz w:val="20"/>
          <w:shd w:fill="FFFFFF" w:val="clear"/>
        </w:rPr>
        <w:t>infringe</w:t>
      </w:r>
      <w:r>
        <w:rPr>
          <w:color w:val="000000"/>
        </w:rPr>
        <w:t xml:space="preserve"> </w:t>
      </w:r>
      <w:r>
        <w:rPr>
          <w:rFonts w:ascii="Roboto;sans-serif" w:hAnsi="Roboto;sans-serif"/>
          <w:b w:val="false"/>
          <w:color w:val="000000"/>
          <w:sz w:val="20"/>
        </w:rPr>
        <w:t>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we are involved in legal proceedings for alleged patent infringement and related matters in the United States with Personal Genomics of Taiwan, Inc. (“PGI”). In addition,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not yet registered some of our trademarks in all of our potential markets, and failure to secure those registrations could adversely affect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use of “open source” software could adversely affect our ability to sell our products and subject us to possible litigation.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 portion of the products or technologies developed and/or distributed by us incorporate “open source” software, and we may incorporate open source software into other products or technologies in the future.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112520"/>
                <wp:effectExtent l="0" t="0" r="0" b="0"/>
                <wp:wrapNone/>
                <wp:docPr id="107" name="Frame3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7" descr=""/>
                                                <pic:cNvPicPr>
                                                  <a:picLocks noChangeAspect="1" noChangeArrowheads="1"/>
                                                </pic:cNvPicPr>
                                              </pic:nvPicPr>
                                              <pic:blipFill>
                                                <a:blip r:embed="rId71"/>
                                                <a:stretch>
                                                  <a:fillRect/>
                                                </a:stretch>
                                              </pic:blipFill>
                                              <pic:spPr bwMode="auto">
                                                <a:xfrm>
                                                  <a:off x="0" y="0"/>
                                                  <a:ext cx="457200" cy="95250"/>
                                                </a:xfrm>
                                                <a:prstGeom prst="rect">
                                                  <a:avLst/>
                                                </a:prstGeom>
                                              </pic:spPr>
                                            </pic:pic>
                                          </a:graphicData>
                                        </a:graphic>
                                      </wp:inline>
                                    </w:drawing>
                                  </w:r>
                                  <w:bookmarkStart w:id="72" w:name="i-37"/>
                                  <w:bookmarkEnd w:id="7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7" descr=""/>
                                          <pic:cNvPicPr>
                                            <a:picLocks noChangeAspect="1" noChangeArrowheads="1"/>
                                          </pic:cNvPicPr>
                                        </pic:nvPicPr>
                                        <pic:blipFill>
                                          <a:blip r:embed="rId72"/>
                                          <a:stretch>
                                            <a:fillRect/>
                                          </a:stretch>
                                        </pic:blipFill>
                                        <pic:spPr bwMode="auto">
                                          <a:xfrm>
                                            <a:off x="0" y="0"/>
                                            <a:ext cx="457200" cy="95250"/>
                                          </a:xfrm>
                                          <a:prstGeom prst="rect">
                                            <a:avLst/>
                                          </a:prstGeom>
                                        </pic:spPr>
                                      </pic:pic>
                                    </a:graphicData>
                                  </a:graphic>
                                </wp:inline>
                              </w:drawing>
                            </w:r>
                            <w:bookmarkStart w:id="73" w:name="i-37"/>
                            <w:bookmarkEnd w:id="7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tbl>
      <w:tblPr>
        <w:tblW w:w="3674" w:type="dxa"/>
        <w:jc w:val="left"/>
        <w:tblInd w:w="0" w:type="dxa"/>
        <w:tblLayout w:type="fixed"/>
        <w:tblCellMar>
          <w:top w:w="28" w:type="dxa"/>
          <w:left w:w="28" w:type="dxa"/>
          <w:bottom w:w="28" w:type="dxa"/>
          <w:right w:w="28" w:type="dxa"/>
        </w:tblCellMar>
      </w:tblPr>
      <w:tblGrid>
        <w:gridCol w:w="1176"/>
        <w:gridCol w:w="1034"/>
        <w:gridCol w:w="1464"/>
      </w:tblGrid>
      <w:tr>
        <w:trPr/>
        <w:tc>
          <w:tcPr>
            <w:tcW w:w="117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Risks Related to Regulation</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We are, and may become, subject to governmental regulations that may impose burdens on our operations, and the markets for our products may be narrowed.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subject, both directly and indirectly, to the adverse impact of government regulation of our operations and markets. For example, export of our instruments may be subject to strict regulatory control in a number of jurisdictions, and we could experience disruption in our supply chain as a result of certain geopolitical events and conflicts and any related political or economic responses and counter-responses or otherwise by various global actors. On January 15, 2025, the United States Department of Commerce’s Bureau of Industry and Security (“BIS”) issued an Interim Final Rule (“IFR”) implementing targeted export controls on certain analytical instruments that are highly suitable for generating large, detailed biological datasets based upon the potential to exploit these techniques for asymmetric military advantage. While the Company’s products would not be included under the current IFR, future BIS or other government regulations could potentially apply to our products and/or negatively impact our ability to export those products to certain countries and markets. Additionally, restrictions on the ability to send certain products and technology related to semiconductors, semiconductor manufacturing, and supercomputing to China continue to increase in both product and country scope and may impact our ability to provide products to customers or distributors worldwide.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pStyle w:val="TextBody"/>
        <w:bidi w:val="0"/>
        <w:spacing w:lineRule="auto" w:line="288" w:before="120" w:after="283"/>
        <w:jc w:val="both"/>
        <w:rPr/>
      </w:pPr>
      <w:r>
        <w:rPr>
          <w:rFonts w:ascii="Roboto;sans-serif" w:hAnsi="Roboto;sans-serif"/>
          <w:b w:val="false"/>
          <w:color w:val="000000"/>
          <w:sz w:val="20"/>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Roboto;sans-serif" w:hAnsi="Roboto;sans-serif"/>
          <w:b w:val="false"/>
          <w:i/>
          <w:color w:val="000000"/>
          <w:sz w:val="20"/>
        </w:rPr>
        <w:t>in vitro</w:t>
      </w:r>
      <w:r>
        <w:rPr>
          <w:color w:val="000000"/>
        </w:rPr>
        <w:t xml:space="preserve"> </w:t>
      </w:r>
      <w:r>
        <w:rPr>
          <w:rFonts w:ascii="Roboto;sans-serif" w:hAnsi="Roboto;sans-serif"/>
          <w:b w:val="false"/>
          <w:color w:val="000000"/>
          <w:sz w:val="20"/>
        </w:rPr>
        <w:t>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112520"/>
                <wp:effectExtent l="0" t="0" r="0" b="0"/>
                <wp:wrapNone/>
                <wp:docPr id="110" name="Frame3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8" descr=""/>
                                                <pic:cNvPicPr>
                                                  <a:picLocks noChangeAspect="1" noChangeArrowheads="1"/>
                                                </pic:cNvPicPr>
                                              </pic:nvPicPr>
                                              <pic:blipFill>
                                                <a:blip r:embed="rId73"/>
                                                <a:stretch>
                                                  <a:fillRect/>
                                                </a:stretch>
                                              </pic:blipFill>
                                              <pic:spPr bwMode="auto">
                                                <a:xfrm>
                                                  <a:off x="0" y="0"/>
                                                  <a:ext cx="457200" cy="95250"/>
                                                </a:xfrm>
                                                <a:prstGeom prst="rect">
                                                  <a:avLst/>
                                                </a:prstGeom>
                                              </pic:spPr>
                                            </pic:pic>
                                          </a:graphicData>
                                        </a:graphic>
                                      </wp:inline>
                                    </w:drawing>
                                  </w:r>
                                  <w:bookmarkStart w:id="74" w:name="i-38"/>
                                  <w:bookmarkEnd w:id="7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8" descr=""/>
                                          <pic:cNvPicPr>
                                            <a:picLocks noChangeAspect="1" noChangeArrowheads="1"/>
                                          </pic:cNvPicPr>
                                        </pic:nvPicPr>
                                        <pic:blipFill>
                                          <a:blip r:embed="rId74"/>
                                          <a:stretch>
                                            <a:fillRect/>
                                          </a:stretch>
                                        </pic:blipFill>
                                        <pic:spPr bwMode="auto">
                                          <a:xfrm>
                                            <a:off x="0" y="0"/>
                                            <a:ext cx="457200" cy="95250"/>
                                          </a:xfrm>
                                          <a:prstGeom prst="rect">
                                            <a:avLst/>
                                          </a:prstGeom>
                                        </pic:spPr>
                                      </pic:pic>
                                    </a:graphicData>
                                  </a:graphic>
                                </wp:inline>
                              </w:drawing>
                            </w:r>
                            <w:bookmarkStart w:id="75" w:name="i-38"/>
                            <w:bookmarkEnd w:id="7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LDTs for clinical diagnostic use, which could subject our products to government regulation, and the regulatory clearance or approval and maintenance process for such products may be uncertain, expensive, and time-consuming.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particular,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FDA has historically exercised enforcement discretion in not enforcing the medical device regulations against laboratories developing and offering LDTs. In May 2024, the FDA issued a final rule that phases out its enforcement discretion for LDTs, unless exempt, and amends the FDA’s regulations to make explicit that in vitro diagnostics are medical devices under the Federal Food, Drug, and Cosmetic Act (“FDCA”), including when the manufacturer of the diagnostic product is a laboratory. On March 31, 2025, a U.S. District Court in Texas ruled that the FDA exceeded its authority and vacated and set aside this LDT final rule in its entirety. We cannot predict the potential impact of any future lawsuits brought against the FDA, and future legislative and administration actions on our business. Additionally, in June 2024, the U.S. Supreme Court overruled the Chevron doctrine, which gave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of the FDA, which could undermine the FDA’s authority and lead to uncertainties in the industry. We cannot predict the full impact of this decision on our business or that of our customers.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Further, under the current administration, agency reorganization, departure of high-profile regulators at the FDA, and layoffs due to the reduction in force initiative may impact the normal operations of federal agencies, including the FDA. NIH funding cuts can impact the business operations of our customers and decrease the demand for our products. It is unclear how our industry and the businesses of our customers will be impacted by executive orders, policies and regulations implemented under the current administration. There is significant uncertainty in the industry.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Future legislative or administrative actions can impact the sales of our products and how customers use our products, and may require us to change our business model in order to maintain compliance with applicable laws. Changes to the current regulatory framework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the FDA determines our products or related applications should be subject to additional regulation as in vitro diagnostic devices based upon customers’ use of our products for clinical diagnostic or therapeutic decision-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112520"/>
                <wp:effectExtent l="0" t="0" r="0" b="0"/>
                <wp:wrapNone/>
                <wp:docPr id="113" name="Frame4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9" descr=""/>
                                                <pic:cNvPicPr>
                                                  <a:picLocks noChangeAspect="1" noChangeArrowheads="1"/>
                                                </pic:cNvPicPr>
                                              </pic:nvPicPr>
                                              <pic:blipFill>
                                                <a:blip r:embed="rId75"/>
                                                <a:stretch>
                                                  <a:fillRect/>
                                                </a:stretch>
                                              </pic:blipFill>
                                              <pic:spPr bwMode="auto">
                                                <a:xfrm>
                                                  <a:off x="0" y="0"/>
                                                  <a:ext cx="457200" cy="95250"/>
                                                </a:xfrm>
                                                <a:prstGeom prst="rect">
                                                  <a:avLst/>
                                                </a:prstGeom>
                                              </pic:spPr>
                                            </pic:pic>
                                          </a:graphicData>
                                        </a:graphic>
                                      </wp:inline>
                                    </w:drawing>
                                  </w:r>
                                  <w:bookmarkStart w:id="76" w:name="i-39"/>
                                  <w:bookmarkEnd w:id="7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9" descr=""/>
                                          <pic:cNvPicPr>
                                            <a:picLocks noChangeAspect="1" noChangeArrowheads="1"/>
                                          </pic:cNvPicPr>
                                        </pic:nvPicPr>
                                        <pic:blipFill>
                                          <a:blip r:embed="rId76"/>
                                          <a:stretch>
                                            <a:fillRect/>
                                          </a:stretch>
                                        </pic:blipFill>
                                        <pic:spPr bwMode="auto">
                                          <a:xfrm>
                                            <a:off x="0" y="0"/>
                                            <a:ext cx="457200" cy="95250"/>
                                          </a:xfrm>
                                          <a:prstGeom prst="rect">
                                            <a:avLst/>
                                          </a:prstGeom>
                                        </pic:spPr>
                                      </pic:pic>
                                    </a:graphicData>
                                  </a:graphic>
                                </wp:inline>
                              </w:drawing>
                            </w:r>
                            <w:bookmarkStart w:id="77" w:name="i-39"/>
                            <w:bookmarkEnd w:id="7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making purposes, our ability to market and sell our products could be impeded and our business, prospects, results of operations and financial condition may be adversely affected. In addition, the FDA could consider our products to be misbranded or adulterated under the FDCA and subject to recall and/or other enforcement action.</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pStyle w:val="TextBody"/>
        <w:bidi w:val="0"/>
        <w:spacing w:lineRule="auto" w:line="288" w:before="120" w:after="283"/>
        <w:jc w:val="both"/>
        <w:rPr/>
      </w:pPr>
      <w:r>
        <w:rPr>
          <w:rFonts w:ascii="Roboto;sans-serif" w:hAnsi="Roboto;sans-serif"/>
          <w:b w:val="false"/>
          <w:color w:val="000000"/>
          <w:sz w:val="20"/>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Roboto;sans-serif" w:hAnsi="Roboto;sans-serif"/>
          <w:b w:val="false"/>
          <w:i/>
          <w:color w:val="000000"/>
          <w:sz w:val="20"/>
        </w:rPr>
        <w:t>de novo</w:t>
      </w:r>
      <w:r>
        <w:rPr>
          <w:color w:val="000000"/>
        </w:rPr>
        <w:t xml:space="preserve"> </w:t>
      </w:r>
      <w:r>
        <w:rPr>
          <w:rFonts w:ascii="Roboto;sans-serif" w:hAnsi="Roboto;sans-serif"/>
          <w:b w:val="false"/>
          <w:color w:val="000000"/>
          <w:sz w:val="20"/>
        </w:rPr>
        <w:t>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sought and received regulatory clearance or approval for certain of our products, we would be subject to ongoing FDA obligations and continued regulatory oversight and review, including the general controls listed above and the FDA’s Quality System Regulations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Medical Device Regulation 2017/745 and In Vitro Diagnostic Regulation 2017/746, which could make obtaining regulatory approvals in Europe more challenging.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112520"/>
                <wp:effectExtent l="0" t="0" r="0" b="0"/>
                <wp:wrapNone/>
                <wp:docPr id="116" name="Frame4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0" descr=""/>
                                                <pic:cNvPicPr>
                                                  <a:picLocks noChangeAspect="1" noChangeArrowheads="1"/>
                                                </pic:cNvPicPr>
                                              </pic:nvPicPr>
                                              <pic:blipFill>
                                                <a:blip r:embed="rId77"/>
                                                <a:stretch>
                                                  <a:fillRect/>
                                                </a:stretch>
                                              </pic:blipFill>
                                              <pic:spPr bwMode="auto">
                                                <a:xfrm>
                                                  <a:off x="0" y="0"/>
                                                  <a:ext cx="457200" cy="95250"/>
                                                </a:xfrm>
                                                <a:prstGeom prst="rect">
                                                  <a:avLst/>
                                                </a:prstGeom>
                                              </pic:spPr>
                                            </pic:pic>
                                          </a:graphicData>
                                        </a:graphic>
                                      </wp:inline>
                                    </w:drawing>
                                  </w:r>
                                  <w:bookmarkStart w:id="78" w:name="i-40"/>
                                  <w:bookmarkEnd w:id="7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0" descr=""/>
                                          <pic:cNvPicPr>
                                            <a:picLocks noChangeAspect="1" noChangeArrowheads="1"/>
                                          </pic:cNvPicPr>
                                        </pic:nvPicPr>
                                        <pic:blipFill>
                                          <a:blip r:embed="rId78"/>
                                          <a:stretch>
                                            <a:fillRect/>
                                          </a:stretch>
                                        </pic:blipFill>
                                        <pic:spPr bwMode="auto">
                                          <a:xfrm>
                                            <a:off x="0" y="0"/>
                                            <a:ext cx="457200" cy="95250"/>
                                          </a:xfrm>
                                          <a:prstGeom prst="rect">
                                            <a:avLst/>
                                          </a:prstGeom>
                                        </pic:spPr>
                                      </pic:pic>
                                    </a:graphicData>
                                  </a:graphic>
                                </wp:inline>
                              </w:drawing>
                            </w:r>
                            <w:bookmarkStart w:id="79" w:name="i-40"/>
                            <w:bookmarkEnd w:id="7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pStyle w:val="TextBody"/>
        <w:bidi w:val="0"/>
        <w:spacing w:lineRule="auto" w:line="288" w:before="180" w:after="283"/>
        <w:jc w:val="both"/>
        <w:rPr>
          <w:rFonts w:ascii="Roboto;sans-serif" w:hAnsi="Roboto;sans-serif"/>
          <w:b/>
          <w:i/>
          <w:color w:val="DF1995"/>
          <w:sz w:val="20"/>
        </w:rPr>
      </w:pPr>
      <w:bookmarkStart w:id="80" w:name="i65e8b4e9acca438bbac66d77c19216cf_670736"/>
      <w:bookmarkEnd w:id="80"/>
      <w:r>
        <w:rPr>
          <w:rFonts w:ascii="Roboto;sans-serif" w:hAnsi="Roboto;sans-serif"/>
          <w:b/>
          <w:i/>
          <w:color w:val="DF1995"/>
          <w:sz w:val="20"/>
        </w:rPr>
        <w:t>Enhanced trade tariffs, import restrictions, export restrictions, or other trade barriers may materially harm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are continuing to expand our international operations as part of our growth strategy and have experienced an increasing concentration of sales in certain regions outside the United States, especially the Asia-Pacific region and in Europe. There is currently significant uncertainty about the future relationship between the United States and various other trading partners with respect to trade policies, treaties, government regulations, tariffs, and other similar policies affecting cross-border operations. The U.S. government has made and continues to make significant changes in U.S. trade policy, specifically tariffs, and may continue to take actions that could negatively impact our business. For example, since September 2018, the U.S. Trade Representative (the “USTR”) enacted various Section 301 tariffs on certain commodities from certain U.S. trading partners, most prominently China and Brazil, ranging from 7.5% to 100%. In addition, since February 2025, under authority of the International Emergency Economic Powers Act (“IEEPA”), the U.S. government enacted an additional 10% to 35% “fentanyl-related” ad valorem tariffs on virtually all goods from China, Canada, and Mexico, with an exception for items qualifying for duty-free treatment under the U.S.-Mexico-Canada Agreement (“USMCA”). Since March 2025, the U.S. government has also implemented new Section 232 tariffs of 10% to 50% on various commodities based on findings by the U.S. government that imports of these items threaten to impair U.S. national security, including but not limited to certain advanced semiconductors, articles of steel and aluminum; passenger vehicles, trucks, and automotive components; articles of copper; and timber, lumber, and articles of wood. The U.S. Department of Commerce has initiated Section 232 investigations into the import of additional products, including but not limited to semiconductors, semiconductor manufacturing equipment, processed critical minerals, derivative electronic products, pharmaceuticals and pharmaceutical products; when these investigations are complete, the U.S. government may decide to levy additional tariffs on such products. Additional IEEPA “reciprocal” tariffs of 10% to 125% ad valorem have been imposed since April 2025 on most imports from most U.S. trading partners, initially at a baseline 10% reciprocal tariff rate and now at various country-specific reciprocal tariff rates since August 2025—with limited exceptions for certain pharmaceuticals, semiconductors, computers, and certain other imports, and certain other exceptions as negotiated in trade deals reached between the U.S. and various key trading partners.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February 20, 2026, the Supreme Court ruled against President Trump’s use of IEEPA to impose tariffs on global trade partners. The case has been returned to the Court of International Trade for reconsideration in accordance with the Supreme Court ruling, and thus, the impact of this decision on previous tariffs that we have paid is not yet clear. In addition, President Trump has already stated that he will impose new tariffs under different authorities including Section 122 which has set a worldwide baseline tariff of 10%.</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 response to these and other U.S. trade measures, certain affected countries have taken retaliatory trade actions. For example, China has increased tariffs on U.S. exports to China and subjected additional items to export control requirements, including certain rare earth materials. These trade controls have and could continue to raise our costs. Furthermore, tariffs, trade restrictions, or trade barriers that have been, or may in the future be, placed on products such as ours by foreign governments, which have raised and could further raise amounts paid for some or all of our products, which may result in the loss of customers and our business, and our financial condition and results of operations may be harmed, although some of these risks have been contained by trade deals reached between the U.S. and affected governments, including China, the EU, Japan, Taiwan, and South Korea. For example, the trade deal reached between the U.S. and the EU in July 2025 resulted in the implementation of a 15% all-in reciprocal tariff on imports of EU goods into the U.S as of August 2025, and short-term trade deals reached between the U.S. and China have resulted in implementation of a reduced 10% reciprocal tariff on imports of certain Chinese goods into the U.S. through November 2026. However, these policies are subject to continued negotiation and effective policies may change over time. We may be unable to make changes in our supply chain quickly enough to avoid the impact of new or potential tariffs, or to do so on commercially reasonable terms. Uncertainty regarding the scope and amount of potential additional tariffs may also result in disruptions in our supply chain, particularly if such changes in applicable or potential tariffs makes current or planned production unprofitable. In addition, these tariff actions may also indirectly affect our business through impacts on our customers, who may be directly affected by some or all of these tariff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112520"/>
                <wp:effectExtent l="0" t="0" r="0" b="0"/>
                <wp:wrapNone/>
                <wp:docPr id="119" name="Frame4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1" descr=""/>
                                                <pic:cNvPicPr>
                                                  <a:picLocks noChangeAspect="1" noChangeArrowheads="1"/>
                                                </pic:cNvPicPr>
                                              </pic:nvPicPr>
                                              <pic:blipFill>
                                                <a:blip r:embed="rId79"/>
                                                <a:stretch>
                                                  <a:fillRect/>
                                                </a:stretch>
                                              </pic:blipFill>
                                              <pic:spPr bwMode="auto">
                                                <a:xfrm>
                                                  <a:off x="0" y="0"/>
                                                  <a:ext cx="457200" cy="95250"/>
                                                </a:xfrm>
                                                <a:prstGeom prst="rect">
                                                  <a:avLst/>
                                                </a:prstGeom>
                                              </pic:spPr>
                                            </pic:pic>
                                          </a:graphicData>
                                        </a:graphic>
                                      </wp:inline>
                                    </w:drawing>
                                  </w:r>
                                  <w:bookmarkStart w:id="81" w:name="i-41"/>
                                  <w:bookmarkEnd w:id="8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80"/>
                                          <a:stretch>
                                            <a:fillRect/>
                                          </a:stretch>
                                        </pic:blipFill>
                                        <pic:spPr bwMode="auto">
                                          <a:xfrm>
                                            <a:off x="0" y="0"/>
                                            <a:ext cx="457200" cy="95250"/>
                                          </a:xfrm>
                                          <a:prstGeom prst="rect">
                                            <a:avLst/>
                                          </a:prstGeom>
                                        </pic:spPr>
                                      </pic:pic>
                                    </a:graphicData>
                                  </a:graphic>
                                </wp:inline>
                              </w:drawing>
                            </w:r>
                            <w:bookmarkStart w:id="82" w:name="i-41"/>
                            <w:bookmarkEnd w:id="8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or indirectly affected by macroeconomic effects resulting from these or other tariff related actions, including potential risks associated with inflation or economic recession.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subject to U.S. export control laws and regulations, including the Export Administration Regulations administered by BIS. Under these laws and regulations, exports of our products as well as the underlying technology may require export authorization, including by license, a license exception, or other appropriate government authorizations. Furthermore, our products and services are subject to U.S. economic and trade sanctions laws and regulations administered by the U.S. Department of Treasury’s Office of Foreign Assets Control that prohibit the provision of services and the export of hardware, software, and technology to embargoed jurisdictions or sanctioned parties without the required export authorizations. The U.S. government has continued to increase controls initially imposed in 2022 restricting the ability to send certain products and technology related to semiconductors, semiconductor manufacturing, and supercomputing including expanding the list of advanced integrated circuits subject to heightened export controls, expanding the list of destinations requiring export authorization for such items, and adding new restrictions based on the headquarters location of the parties involved. In many cases, these licenses are subject to a policy of denial and will not be issued. The U.S. government also continues to add additional entities in China and other countries to restricted party lists impacting the ability of U.S. companies to provide items to these entities. These existing and future laws and regulations may impact our ability to export certain products to customers or distributors in China or other locations and may restrict our ability to use certain integrated circuits in our products. If we need to obtain any necessary export licenses or other authorizations for a particular sale, the process may be time-consuming and may result in the delay or loss of opportunities to sell our products. In addition, these licenses may not be issued. In April 2025, the Company received inquiries from BIS regarding a distributor based in Hong Kong and that distributor's customer located in China. In May 2025, following a review of sales to China, the Company responded to BIS's inquiries and submitted a voluntary self-disclosure to BIS related to a limited number of transactions. This self-disclosure was closed out by BIS in September 2025 without penalties with a warning letter.</w:t>
      </w:r>
    </w:p>
    <w:p>
      <w:pPr>
        <w:pStyle w:val="TextBody"/>
        <w:bidi w:val="0"/>
        <w:spacing w:lineRule="auto" w:line="288" w:before="120" w:after="283"/>
        <w:jc w:val="both"/>
        <w:rPr/>
      </w:pPr>
      <w:r>
        <w:rPr>
          <w:rFonts w:ascii="Roboto;sans-serif" w:hAnsi="Roboto;sans-serif"/>
          <w:b w:val="false"/>
          <w:color w:val="000000"/>
          <w:sz w:val="20"/>
        </w:rPr>
        <w:t>There is currently significant uncertainty about the future relationship between the U.S. and various other countries, most significantly China, with respect to trade restrictions, treaties, foreign investment laws, data transfer restrictions, and other limitations on cross-border operations. The U.S. government has made and continues to make significant additional changes in U.S. trade policy and may continue to take future actions that could introduce additional restrictions and negatively impact our business.</w:t>
      </w:r>
      <w:r>
        <w:rPr>
          <w:color w:val="000000"/>
        </w:rPr>
        <w:t xml:space="preserve"> </w:t>
      </w:r>
      <w:r>
        <w:rPr>
          <w:rFonts w:ascii="Roboto;sans-serif" w:hAnsi="Roboto;sans-serif"/>
          <w:b w:val="false"/>
          <w:color w:val="000000"/>
          <w:sz w:val="20"/>
        </w:rPr>
        <w:t>For example, legislation in Congress known as the BIOSECURE Act was passed as part of the 2026 National Defense Authorization Act, which limits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This legislation, or similar laws and regulations in the future, could adversely impact our current or future third-party arrangements with certain companies, including those in China or Chinese-owned U.S. companies, which could delay or impact our clinical trials and consequently delay or obstruct successful commercialization of our product candidates.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lineRule="auto" w:line="288" w:before="120" w:after="283"/>
        <w:jc w:val="both"/>
        <w:rPr/>
      </w:pPr>
      <w:r>
        <w:rPr>
          <w:rFonts w:ascii="Roboto;sans-serif" w:hAnsi="Roboto;sans-serif"/>
          <w:b w:val="false"/>
          <w:color w:val="000000"/>
          <w:sz w:val="20"/>
        </w:rPr>
        <w:t>Compliance with these laws and regulations may be costly. In addition, if we are found to be in violation of U.S. economic sanctions or trade control laws, it could result in fines and penalties. We may also be adversely affected through other penalties, business disruption, loss of export privileges, reputational harm, loss of access to certain markets, or otherwise.</w:t>
      </w:r>
      <w:r>
        <w:rPr>
          <w:color w:val="DF1995"/>
        </w:rPr>
        <w:t xml:space="preserv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It is possible that our ability to export our products to customers or distributors may be further restricted in the future. For example, on January 15, 2025, BIS issued an IFR implementing targeted export controls on certain analytical instruments that are highly suitable for generating large, detailed biological datasets based upon the potential to exploit these techniques for asymmetric military advantage. While the Company’s products would not be included under the current IFR, future BIS or other government regulations could potentially apply to our products and/or negatively impact our ability to export those products to certain countries and markets.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Chinese government has introduced and may in the future introduce retaliatory measures in response to existing or future U.S. export controls, tariffs and other trade restrictions and it is possible that the Chinese,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112520"/>
                <wp:effectExtent l="0" t="0" r="0" b="0"/>
                <wp:wrapNone/>
                <wp:docPr id="122" name="Frame4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2" descr=""/>
                                                <pic:cNvPicPr>
                                                  <a:picLocks noChangeAspect="1" noChangeArrowheads="1"/>
                                                </pic:cNvPicPr>
                                              </pic:nvPicPr>
                                              <pic:blipFill>
                                                <a:blip r:embed="rId81"/>
                                                <a:stretch>
                                                  <a:fillRect/>
                                                </a:stretch>
                                              </pic:blipFill>
                                              <pic:spPr bwMode="auto">
                                                <a:xfrm>
                                                  <a:off x="0" y="0"/>
                                                  <a:ext cx="457200" cy="95250"/>
                                                </a:xfrm>
                                                <a:prstGeom prst="rect">
                                                  <a:avLst/>
                                                </a:prstGeom>
                                              </pic:spPr>
                                            </pic:pic>
                                          </a:graphicData>
                                        </a:graphic>
                                      </wp:inline>
                                    </w:drawing>
                                  </w:r>
                                  <w:bookmarkStart w:id="83" w:name="i-42"/>
                                  <w:bookmarkEnd w:id="8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2" descr=""/>
                                          <pic:cNvPicPr>
                                            <a:picLocks noChangeAspect="1" noChangeArrowheads="1"/>
                                          </pic:cNvPicPr>
                                        </pic:nvPicPr>
                                        <pic:blipFill>
                                          <a:blip r:embed="rId82"/>
                                          <a:stretch>
                                            <a:fillRect/>
                                          </a:stretch>
                                        </pic:blipFill>
                                        <pic:spPr bwMode="auto">
                                          <a:xfrm>
                                            <a:off x="0" y="0"/>
                                            <a:ext cx="457200" cy="95250"/>
                                          </a:xfrm>
                                          <a:prstGeom prst="rect">
                                            <a:avLst/>
                                          </a:prstGeom>
                                        </pic:spPr>
                                      </pic:pic>
                                    </a:graphicData>
                                  </a:graphic>
                                </wp:inline>
                              </w:drawing>
                            </w:r>
                            <w:bookmarkStart w:id="84" w:name="i-42"/>
                            <w:bookmarkEnd w:id="8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or other foreign governments will implement additional retaliatory measures which could impact our business. It is possible that additional restrictions will be put in place that could impact our ability to provide our products to customers or distributors in China or source components from China.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and foreign governments will act with respect to export controls, tariffs, international trade agreements and similar policies, there could be additional tax or other regulatory changes in the future. Any such changes could, directly or indirectly, adversely impact our financial results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international business could expose us to business, regulatory, political, operational, financial, and economic risks associated with doing business outside of the United States.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Engaging in international business inherently involves a number of difficulties and risks,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required compliance with existing and changing foreign regulatory requirements and laws that are or may be applicable to our business in the future, such as the European Union’s General Data Protection Regulation (“GDPR”), the UK General Data Protection Regulation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required compliance with U.S. laws such as the Foreign Corrupt Practices Act, and other U.S. federal laws and trade and economic sanctions and other regulations established by the Office of Foreign Asset Control;</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export requirements and import or trade restrictions;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laws and business practices favoring local companies;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restrictions on both inbound and outbound cross-border investment;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foreign currency exchange, longer payment cycles and difficulties in enforcing agreements and collecting receivables through certain foreign legal systems;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ongoing geopolitical tensions related to the political uncertainty and military actions associated with the war in Ukraine, resulting sanctions imposed by the U.S. and other countries, and retaliatory actions taken by Russia in response to such sanctions;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potentially adverse tax consequences, tariffs, customs charges, bureaucratic requirements, and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and costs of staffing and managing foreign operations;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protecting, maintaining, enforcing, or procuring intellectual property rights and defending against intellectual property claims under the law and judicial systems of other countries.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operations involve the use of hazardous materials, and we must comply with environmental, health and safety laws, which can be expensive and may adversely affect our business, operating results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112520"/>
                <wp:effectExtent l="0" t="0" r="0" b="0"/>
                <wp:wrapNone/>
                <wp:docPr id="125" name="Frame4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3" descr=""/>
                                                <pic:cNvPicPr>
                                                  <a:picLocks noChangeAspect="1" noChangeArrowheads="1"/>
                                                </pic:cNvPicPr>
                                              </pic:nvPicPr>
                                              <pic:blipFill>
                                                <a:blip r:embed="rId83"/>
                                                <a:stretch>
                                                  <a:fillRect/>
                                                </a:stretch>
                                              </pic:blipFill>
                                              <pic:spPr bwMode="auto">
                                                <a:xfrm>
                                                  <a:off x="0" y="0"/>
                                                  <a:ext cx="457200" cy="95250"/>
                                                </a:xfrm>
                                                <a:prstGeom prst="rect">
                                                  <a:avLst/>
                                                </a:prstGeom>
                                              </pic:spPr>
                                            </pic:pic>
                                          </a:graphicData>
                                        </a:graphic>
                                      </wp:inline>
                                    </w:drawing>
                                  </w:r>
                                  <w:bookmarkStart w:id="85" w:name="i-43"/>
                                  <w:bookmarkEnd w:id="8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3" descr=""/>
                                          <pic:cNvPicPr>
                                            <a:picLocks noChangeAspect="1" noChangeArrowheads="1"/>
                                          </pic:cNvPicPr>
                                        </pic:nvPicPr>
                                        <pic:blipFill>
                                          <a:blip r:embed="rId84"/>
                                          <a:stretch>
                                            <a:fillRect/>
                                          </a:stretch>
                                        </pic:blipFill>
                                        <pic:spPr bwMode="auto">
                                          <a:xfrm>
                                            <a:off x="0" y="0"/>
                                            <a:ext cx="457200" cy="95250"/>
                                          </a:xfrm>
                                          <a:prstGeom prst="rect">
                                            <a:avLst/>
                                          </a:prstGeom>
                                        </pic:spPr>
                                      </pic:pic>
                                    </a:graphicData>
                                  </a:graphic>
                                </wp:inline>
                              </w:drawing>
                            </w:r>
                            <w:bookmarkStart w:id="86" w:name="i-43"/>
                            <w:bookmarkEnd w:id="8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Ethical, legal, privacy, data protection and social concerns or governmental restrictions surrounding the use of genetic information could reduce demand for our technology.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any of which could have a material adverse effect on our business, financial condition,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Regulations related to conflict minerals has caused us to incur, and will continue to cause us to incur, additional expenses and could limit the supply and increase the costs of certain materials used in the manufacture of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subject to requirements under the Dodd-Frank Wall Street Reform and Consumer Protection Act of 2010 that require us to conduct diligence and report on whether or not our products contain conflict minerals.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tbl>
      <w:tblPr>
        <w:tblW w:w="5775" w:type="dxa"/>
        <w:jc w:val="left"/>
        <w:tblInd w:w="0" w:type="dxa"/>
        <w:tblLayout w:type="fixed"/>
        <w:tblCellMar>
          <w:top w:w="28" w:type="dxa"/>
          <w:left w:w="28" w:type="dxa"/>
          <w:bottom w:w="28" w:type="dxa"/>
          <w:right w:w="28" w:type="dxa"/>
        </w:tblCellMar>
      </w:tblPr>
      <w:tblGrid>
        <w:gridCol w:w="1846"/>
        <w:gridCol w:w="1625"/>
        <w:gridCol w:w="2304"/>
      </w:tblGrid>
      <w:tr>
        <w:trPr/>
        <w:tc>
          <w:tcPr>
            <w:tcW w:w="184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Risks Related to Owning Our Common Stock</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The price of our common stock has been, is, and may continue to be, highly volatile, and you may be unable to sell your shares at or above the price you paid to acquire them.</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market price of our common stock is highly volatile, and we expect it to continue to be volatile for the foreseeable future in response to many risk factors listed in this section, and others beyond our control,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actual or anticipated fluctuations in our financial condition and operating results;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announcements of new products, technological innovations or strategic partnerships by us or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112520"/>
                <wp:effectExtent l="0" t="0" r="0" b="0"/>
                <wp:wrapNone/>
                <wp:docPr id="128" name="Frame4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4" descr=""/>
                                                <pic:cNvPicPr>
                                                  <a:picLocks noChangeAspect="1" noChangeArrowheads="1"/>
                                                </pic:cNvPicPr>
                                              </pic:nvPicPr>
                                              <pic:blipFill>
                                                <a:blip r:embed="rId85"/>
                                                <a:stretch>
                                                  <a:fillRect/>
                                                </a:stretch>
                                              </pic:blipFill>
                                              <pic:spPr bwMode="auto">
                                                <a:xfrm>
                                                  <a:off x="0" y="0"/>
                                                  <a:ext cx="457200" cy="95250"/>
                                                </a:xfrm>
                                                <a:prstGeom prst="rect">
                                                  <a:avLst/>
                                                </a:prstGeom>
                                              </pic:spPr>
                                            </pic:pic>
                                          </a:graphicData>
                                        </a:graphic>
                                      </wp:inline>
                                    </w:drawing>
                                  </w:r>
                                  <w:bookmarkStart w:id="87" w:name="i-44"/>
                                  <w:bookmarkEnd w:id="8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4" descr=""/>
                                          <pic:cNvPicPr>
                                            <a:picLocks noChangeAspect="1" noChangeArrowheads="1"/>
                                          </pic:cNvPicPr>
                                        </pic:nvPicPr>
                                        <pic:blipFill>
                                          <a:blip r:embed="rId86"/>
                                          <a:stretch>
                                            <a:fillRect/>
                                          </a:stretch>
                                        </pic:blipFill>
                                        <pic:spPr bwMode="auto">
                                          <a:xfrm>
                                            <a:off x="0" y="0"/>
                                            <a:ext cx="457200" cy="95250"/>
                                          </a:xfrm>
                                          <a:prstGeom prst="rect">
                                            <a:avLst/>
                                          </a:prstGeom>
                                        </pic:spPr>
                                      </pic:pic>
                                    </a:graphicData>
                                  </a:graphic>
                                </wp:inline>
                              </w:drawing>
                            </w:r>
                            <w:bookmarkStart w:id="88" w:name="i-44"/>
                            <w:bookmarkEnd w:id="8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announcements by us, our customers, partners, or suppliers relating directly or indirectly to our products, services or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overall conditions in our industry and market;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addition or loss of significant customers;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laws or regulations applicable to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actual or anticipated changes in our growth rate relative to our competitors;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announcements by us or our competitors of significant acquisitions, strategic partnerships, joint ventures, capital commitments or achievement of significant milestones;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additions or departures of key personnel;</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competition from existing products or new products that may emerge;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issuance of new or updated research or reports by securities analysts;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fluctuations in the valuation of companies perceived by investors to be comparable to us;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disputes or other developments related to proprietary rights, including patents, litigation matters or our ability to obtain intellectual property protection for our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 or expectation of additional financing efforts;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sales of our common stock by us or our stockholders;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stock price and volume fluctuations attributable to inconsistent trading volume levels of our shares;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reports, guidance and ratings issued by securities or industry analysts;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operating results below the expectations of securities analysts or investors;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general economic and market conditions, which could be impacted by various events including health epidemics or pandemics, interest rate fluctuations, increases in fuel prices, foreign currency fluctuations, changing international trade policies, acts of terrorism, hostilities or the perception that hostilities may be imminent, and military conflict and acts of war.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any of the forgoing occurs, it would cause our stock price or trading volume to decline. Stock markets in general and the market for companies in our industry in particular have experienced price and volume fluctuations; these fluctuations have been, and may continue to be, exacerbated by current macroeconomic trends and geopolitical events.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if our stockholders sell, or indicate an intent to sell, a large number of shares of our common stock in the public market, it could cause our stock price to fall, particularly if such sales occur over a short period of time (for example, following delivery of shares upon achievement of milestones in our acquisition agreements).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112520"/>
                <wp:effectExtent l="0" t="0" r="0" b="0"/>
                <wp:wrapNone/>
                <wp:docPr id="131" name="Frame4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5" descr=""/>
                                                <pic:cNvPicPr>
                                                  <a:picLocks noChangeAspect="1" noChangeArrowheads="1"/>
                                                </pic:cNvPicPr>
                                              </pic:nvPicPr>
                                              <pic:blipFill>
                                                <a:blip r:embed="rId87"/>
                                                <a:stretch>
                                                  <a:fillRect/>
                                                </a:stretch>
                                              </pic:blipFill>
                                              <pic:spPr bwMode="auto">
                                                <a:xfrm>
                                                  <a:off x="0" y="0"/>
                                                  <a:ext cx="457200" cy="95250"/>
                                                </a:xfrm>
                                                <a:prstGeom prst="rect">
                                                  <a:avLst/>
                                                </a:prstGeom>
                                              </pic:spPr>
                                            </pic:pic>
                                          </a:graphicData>
                                        </a:graphic>
                                      </wp:inline>
                                    </w:drawing>
                                  </w:r>
                                  <w:bookmarkStart w:id="89" w:name="i-45"/>
                                  <w:bookmarkEnd w:id="8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5" descr=""/>
                                          <pic:cNvPicPr>
                                            <a:picLocks noChangeAspect="1" noChangeArrowheads="1"/>
                                          </pic:cNvPicPr>
                                        </pic:nvPicPr>
                                        <pic:blipFill>
                                          <a:blip r:embed="rId88"/>
                                          <a:stretch>
                                            <a:fillRect/>
                                          </a:stretch>
                                        </pic:blipFill>
                                        <pic:spPr bwMode="auto">
                                          <a:xfrm>
                                            <a:off x="0" y="0"/>
                                            <a:ext cx="457200" cy="95250"/>
                                          </a:xfrm>
                                          <a:prstGeom prst="rect">
                                            <a:avLst/>
                                          </a:prstGeom>
                                        </pic:spPr>
                                      </pic:pic>
                                    </a:graphicData>
                                  </a:graphic>
                                </wp:inline>
                              </w:drawing>
                            </w:r>
                            <w:bookmarkStart w:id="90" w:name="i-45"/>
                            <w:bookmarkEnd w:id="9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Concentration of ownership by our principal stockholders may result in control by such stockholders of the composition of our board of directors.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existing principal stockholders, holders of Notes, executive officers, directors, and their affiliates beneficially own, or following conversion of the Notes could own, a significant number of our outstanding shares of common stock. In addition, such parties may acquire additional control by purchasing stock that we issue in connection with our future fundraising efforts. These parties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authorize our board of directors to issue, without further action by the stockholders, up to 50,000,000 shares of undesignated preferred stock and up to approximately 1,000,000,000 shares of authorized but unissued shares of common stock;</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specify that special meetings of our stockholders can be called only by our board of directors, the Chair of the Board, the Chief Executive Officer or the President;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establish advance notice procedures for stockholder approvals to be brought before an annual meeting of our stockholders, including proposed nominations of persons for election to our board of directors;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establish that our board of directors is divided into three classes, Class I, Class II and Class III, with each class serving staggered terms (until our board of directors is fully declassified beginning with the 2027 annual meeting of stockholders);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provide that our directors may be removed only for cause;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provide that vacancies on our board of directors may be filled only by a majority of directors then in office, even though less than a quorum.</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determine the validity of our amended and restated certificate of incorporation or our amended and restated bylaws; or (v) any action asserting a claim governed by the internal affairs doctrine, except as to each of (i)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112520"/>
                <wp:effectExtent l="0" t="0" r="0" b="0"/>
                <wp:wrapNone/>
                <wp:docPr id="134" name="Frame4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6" descr=""/>
                                                <pic:cNvPicPr>
                                                  <a:picLocks noChangeAspect="1" noChangeArrowheads="1"/>
                                                </pic:cNvPicPr>
                                              </pic:nvPicPr>
                                              <pic:blipFill>
                                                <a:blip r:embed="rId89"/>
                                                <a:stretch>
                                                  <a:fillRect/>
                                                </a:stretch>
                                              </pic:blipFill>
                                              <pic:spPr bwMode="auto">
                                                <a:xfrm>
                                                  <a:off x="0" y="0"/>
                                                  <a:ext cx="457200" cy="95250"/>
                                                </a:xfrm>
                                                <a:prstGeom prst="rect">
                                                  <a:avLst/>
                                                </a:prstGeom>
                                              </pic:spPr>
                                            </pic:pic>
                                          </a:graphicData>
                                        </a:graphic>
                                      </wp:inline>
                                    </w:drawing>
                                  </w:r>
                                  <w:bookmarkStart w:id="91" w:name="i-46"/>
                                  <w:bookmarkEnd w:id="9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6" descr=""/>
                                          <pic:cNvPicPr>
                                            <a:picLocks noChangeAspect="1" noChangeArrowheads="1"/>
                                          </pic:cNvPicPr>
                                        </pic:nvPicPr>
                                        <pic:blipFill>
                                          <a:blip r:embed="rId90"/>
                                          <a:stretch>
                                            <a:fillRect/>
                                          </a:stretch>
                                        </pic:blipFill>
                                        <pic:spPr bwMode="auto">
                                          <a:xfrm>
                                            <a:off x="0" y="0"/>
                                            <a:ext cx="457200" cy="95250"/>
                                          </a:xfrm>
                                          <a:prstGeom prst="rect">
                                            <a:avLst/>
                                          </a:prstGeom>
                                        </pic:spPr>
                                      </pic:pic>
                                    </a:graphicData>
                                  </a:graphic>
                                </wp:inline>
                              </w:drawing>
                            </w:r>
                            <w:bookmarkStart w:id="92" w:name="i-46"/>
                            <w:bookmarkEnd w:id="9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through (v) above, for any claim as to which such court determines that there is an indispensable party not subject to the jurisdiction of such court.</w:t>
      </w:r>
    </w:p>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will be the exclusive forum for resolving any complaint asserting a cause of action arising under the Securities Act including, without limitation and for the avoidance of doubt, any auditor, underwriter, expert, control person or other defendant.</w:t>
      </w:r>
    </w:p>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large number of authorized but unissued shares of common stock may potentially dilute existing stockholders’ stockholdings.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do not intend to pay dividends for the foreseeable future.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tbl>
      <w:tblPr>
        <w:tblW w:w="3570" w:type="dxa"/>
        <w:jc w:val="left"/>
        <w:tblInd w:w="0" w:type="dxa"/>
        <w:tblLayout w:type="fixed"/>
        <w:tblCellMar>
          <w:top w:w="28" w:type="dxa"/>
          <w:left w:w="28" w:type="dxa"/>
          <w:bottom w:w="28" w:type="dxa"/>
          <w:right w:w="28" w:type="dxa"/>
        </w:tblCellMar>
      </w:tblPr>
      <w:tblGrid>
        <w:gridCol w:w="1142"/>
        <w:gridCol w:w="1004"/>
        <w:gridCol w:w="1424"/>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Risks Related to Our Notes</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we had outstanding approximately $200.0 million aggregate principal amount of our 2029 Notes and $441.0 million aggregate principal amount of our 2030 Notes. The 2029 Notes will mature on August 15, 2029, subject to earlier conversion, redemption or repurchase, including upon a fundamental change. The 2030 Notes will mature on December 15, 2030, subject to earlier conversion, redemption or repurchase, including upon a fundamental change. The 2029 Notes and the 2030 Notes are collectively referred to as the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Holders of each series of Notes will have the right to require us to repurchase all or a portion of their Notes upon the occurrence of a fundamental change before the maturity date at a repurchase price equal to 100% of the principal amount of the Notes of the applicable series to be repurchased, plus unpaid interest to, but excluding, the applicable maturity date. In addition, upon conversion of the Notes of a series, unless we elect to deliver solely shares of our common stock to settle such conversion (other than paying cash in lieu of delivering any fractional share), we will be required to settle a portion or all of our conversion obligation in cash in respect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12520"/>
                <wp:effectExtent l="0" t="0" r="0" b="0"/>
                <wp:wrapNone/>
                <wp:docPr id="137" name="Frame4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7" descr=""/>
                                                <pic:cNvPicPr>
                                                  <a:picLocks noChangeAspect="1" noChangeArrowheads="1"/>
                                                </pic:cNvPicPr>
                                              </pic:nvPicPr>
                                              <pic:blipFill>
                                                <a:blip r:embed="rId91"/>
                                                <a:stretch>
                                                  <a:fillRect/>
                                                </a:stretch>
                                              </pic:blipFill>
                                              <pic:spPr bwMode="auto">
                                                <a:xfrm>
                                                  <a:off x="0" y="0"/>
                                                  <a:ext cx="457200" cy="95250"/>
                                                </a:xfrm>
                                                <a:prstGeom prst="rect">
                                                  <a:avLst/>
                                                </a:prstGeom>
                                              </pic:spPr>
                                            </pic:pic>
                                          </a:graphicData>
                                        </a:graphic>
                                      </wp:inline>
                                    </w:drawing>
                                  </w:r>
                                  <w:bookmarkStart w:id="93" w:name="i-47"/>
                                  <w:bookmarkEnd w:id="9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7" descr=""/>
                                          <pic:cNvPicPr>
                                            <a:picLocks noChangeAspect="1" noChangeArrowheads="1"/>
                                          </pic:cNvPicPr>
                                        </pic:nvPicPr>
                                        <pic:blipFill>
                                          <a:blip r:embed="rId92"/>
                                          <a:stretch>
                                            <a:fillRect/>
                                          </a:stretch>
                                        </pic:blipFill>
                                        <pic:spPr bwMode="auto">
                                          <a:xfrm>
                                            <a:off x="0" y="0"/>
                                            <a:ext cx="457200" cy="95250"/>
                                          </a:xfrm>
                                          <a:prstGeom prst="rect">
                                            <a:avLst/>
                                          </a:prstGeom>
                                        </pic:spPr>
                                      </pic:pic>
                                    </a:graphicData>
                                  </a:graphic>
                                </wp:inline>
                              </w:drawing>
                            </w:r>
                            <w:bookmarkStart w:id="94" w:name="i-47"/>
                            <w:bookmarkEnd w:id="9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of the Notes being converted. Moreover, we will be required to repay the Notes of the applicable series in cash at the applicable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our ability to repurchase the Notes or to pay cash upon conversions of Notes or at the applicable maturity may be limited by law, regulatory authority or agreements governing our future indebtedness. Our failure to repurchase Notes of a series at a time when the repurchase is required by the applicable indenture or to pay cash upon conversions of such Notes or at the applicable maturity as required by the applicable indenture would constitute a default under such indenture. A default under either indenture or the occurrence of a fundamental change under either indenture itself could also lead to a default under agreements governing our future indebtedness. Moreover, the occurrence of a fundamental change under either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applicable series of Notes.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The Side Letter to our 2029 Notes imposes operating restrictions on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November 21, 2024, in connection with the issuance of the 2029 Notes, the Company and SB Northstar LP (“SBN”) entered into a letter agreement (the “Letter Agreement”) pursuant to which the Company and SBN agreed that, for so long as SBN and its affiliates hold at least $180 million aggregate principal amount of the 2029 Notes, the Company and its subsidiaries are subject to certain negative covenants that restrict the Company’s and its subsidiaries’ ability to incur additional indebtedness and create liens, in each case, subject to the exceptions set forth in the Letter Agreement, including exceptions which permit the Company to incur up to $75 million in aggregate principal amount of secured indebtedness pursuant to Credit Facilities (as defined in the Letter Agreement).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Additionally, the Letter Agreement restricts the ability of the Company and its subsidiaries from guaranteeing any indebtedness or incurring certain indebtedness outside of the ordinary course of business unless, in each case, the Company and its subsidiaries concurrently provide a guarantee of the Company’s obligations under the 2029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These covenants may adversely affect our ability to finance our operations, meet or otherwise address our capital needs, pursue business opportunities or react to market conditions, or otherwise restrict our activities or business plans.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breach of any of the covenants under the Letter Agreement could result in an event of default under the 2029 Notes. As of December 31, 2025, we were in compliance with all covenants under the Letter Agreement. However, if an event of default occurs, SBN could accelerate our obligations under the 2029 Notes. Any such acceleration could result in an event of default under our other indebtedness, including the 2030 Notes.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If the Notes are converted, it may adversely affect our financial condition and operating results.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Holders of either series of Notes are entitled to convert their respective series of Notes at any time at their option. If one or more holders elect to convert the Notes of the applicable series,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issuances of shares of common stock upon conversion of our Notes could depress the market price of our common stock and impair our ability to raise capital through the sale of additional equity securities. The existence of the Notes may encourage short selling by market participants because the conversion of the Notes could depress the price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12520"/>
                <wp:effectExtent l="0" t="0" r="0" b="0"/>
                <wp:wrapNone/>
                <wp:docPr id="140" name="Frame4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48" descr=""/>
                                                <pic:cNvPicPr>
                                                  <a:picLocks noChangeAspect="1" noChangeArrowheads="1"/>
                                                </pic:cNvPicPr>
                                              </pic:nvPicPr>
                                              <pic:blipFill>
                                                <a:blip r:embed="rId93"/>
                                                <a:stretch>
                                                  <a:fillRect/>
                                                </a:stretch>
                                              </pic:blipFill>
                                              <pic:spPr bwMode="auto">
                                                <a:xfrm>
                                                  <a:off x="0" y="0"/>
                                                  <a:ext cx="457200" cy="95250"/>
                                                </a:xfrm>
                                                <a:prstGeom prst="rect">
                                                  <a:avLst/>
                                                </a:prstGeom>
                                              </pic:spPr>
                                            </pic:pic>
                                          </a:graphicData>
                                        </a:graphic>
                                      </wp:inline>
                                    </w:drawing>
                                  </w:r>
                                  <w:bookmarkStart w:id="95" w:name="i-48"/>
                                  <w:bookmarkEnd w:id="9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8" descr=""/>
                                          <pic:cNvPicPr>
                                            <a:picLocks noChangeAspect="1" noChangeArrowheads="1"/>
                                          </pic:cNvPicPr>
                                        </pic:nvPicPr>
                                        <pic:blipFill>
                                          <a:blip r:embed="rId94"/>
                                          <a:stretch>
                                            <a:fillRect/>
                                          </a:stretch>
                                        </pic:blipFill>
                                        <pic:spPr bwMode="auto">
                                          <a:xfrm>
                                            <a:off x="0" y="0"/>
                                            <a:ext cx="457200" cy="95250"/>
                                          </a:xfrm>
                                          <a:prstGeom prst="rect">
                                            <a:avLst/>
                                          </a:prstGeom>
                                        </pic:spPr>
                                      </pic:pic>
                                    </a:graphicData>
                                  </a:graphic>
                                </wp:inline>
                              </w:drawing>
                            </w:r>
                            <w:bookmarkStart w:id="96" w:name="i-48"/>
                            <w:bookmarkEnd w:id="9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2760" w:type="dxa"/>
        <w:jc w:val="left"/>
        <w:tblInd w:w="0" w:type="dxa"/>
        <w:tblLayout w:type="fixed"/>
        <w:tblCellMar>
          <w:top w:w="28" w:type="dxa"/>
          <w:left w:w="28" w:type="dxa"/>
          <w:bottom w:w="28" w:type="dxa"/>
          <w:right w:w="28" w:type="dxa"/>
        </w:tblCellMar>
      </w:tblPr>
      <w:tblGrid>
        <w:gridCol w:w="883"/>
        <w:gridCol w:w="776"/>
        <w:gridCol w:w="1101"/>
      </w:tblGrid>
      <w:tr>
        <w:trPr/>
        <w:tc>
          <w:tcPr>
            <w:tcW w:w="8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General Risk Factors</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Unfavorable global economic or political conditions could adversely affect our business, financial condition or results of operations.</w:t>
      </w:r>
    </w:p>
    <w:p>
      <w:pPr>
        <w:pStyle w:val="TextBody"/>
        <w:bidi w:val="0"/>
        <w:spacing w:lineRule="auto" w:line="288" w:before="120" w:after="283"/>
        <w:jc w:val="both"/>
        <w:rPr/>
      </w:pPr>
      <w:r>
        <w:rPr>
          <w:rFonts w:ascii="Roboto;sans-serif" w:hAnsi="Roboto;sans-serif"/>
          <w:b w:val="false"/>
          <w:color w:val="000000"/>
          <w:sz w:val="20"/>
        </w:rPr>
        <w:t xml:space="preserve">General conditions in the global economy and in the global financial markets could adversely affect our results of operations, and the overall demand for nucleic acid sequencing products may be particularly vulnerable to unfavorable economic conditions. A global financial crisis, inflation or a global or regional political disruption, acts of terrorism, hostilities, military conflict and acts of war, including any further escalation of the conflict in the Middle East and the war in Ukraine, as well as the related responses,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w:t>
      </w:r>
      <w:r>
        <w:rPr>
          <w:rFonts w:ascii="Roboto;sans-serif" w:hAnsi="Roboto;sans-serif"/>
          <w:b w:val="false"/>
          <w:color w:val="000000"/>
          <w:sz w:val="20"/>
          <w:shd w:fill="FFFFFF" w:val="clear"/>
        </w:rPr>
        <w:t xml:space="preserve">An impairment in value of our tangible or intangible assets could also be recorded as a result of weaker economic conditions. </w:t>
      </w:r>
      <w:r>
        <w:rPr>
          <w:rFonts w:ascii="Roboto;sans-serif" w:hAnsi="Roboto;sans-serif"/>
          <w:b w:val="false"/>
          <w:color w:val="000000"/>
          <w:sz w:val="20"/>
        </w:rPr>
        <w:t>Any of the foregoing could harm our business and we cannot anticipate all of the ways in which the political or economic climate and financial market conditions could adversely impact our business. For more information on impairment considerations, see “</w:t>
      </w:r>
      <w:r>
        <w:rPr>
          <w:color w:val="000000"/>
        </w:rPr>
        <w:t>—</w:t>
      </w:r>
      <w:hyperlink w:anchor="i65e8b4e9acca438bbac66d77c19216cf_669569">
        <w:r>
          <w:rPr>
            <w:rStyle w:val="InternetLink"/>
            <w:rFonts w:ascii="Roboto;sans-serif" w:hAnsi="Roboto;sans-serif"/>
            <w:b w:val="false"/>
            <w:i/>
            <w:color w:val="0000FF"/>
            <w:sz w:val="20"/>
            <w:u w:val="single"/>
          </w:rPr>
          <w:t>The commercialization and sales of our current or future products may be 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hyperlink>
      <w:r>
        <w:rPr>
          <w:rFonts w:ascii="Roboto;sans-serif" w:hAnsi="Roboto;sans-serif"/>
          <w:b w:val="false"/>
          <w:i/>
          <w:color w:val="000000"/>
          <w:sz w:val="20"/>
        </w:rPr>
        <w:t>.</w:t>
      </w:r>
      <w:r>
        <w:rPr>
          <w:color w:val="000000"/>
        </w:rPr>
        <w:t xml:space="preserve">” </w:t>
      </w:r>
      <w:r>
        <w:rPr>
          <w:rFonts w:ascii="Roboto;sans-serif" w:hAnsi="Roboto;sans-serif"/>
          <w:b w:val="false"/>
          <w:color w:val="000000"/>
          <w:sz w:val="20"/>
        </w:rPr>
        <w:t>above.</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Delivery of our products could be delayed or disrupted by factors beyond our control, and we could lose customers as a result.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Doing business internationally creates operational and financial risks for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challenges in staffing and managing foreign operations;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potentially longer sales cycles and more time required to engage and educate customers on the benefits of our platform outside of the United States;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potential need for localized software and documentation;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reduced protection for intellectual property rights in some countries and practical difficulties of enforcing intellectual property and contract rights abroad;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challenges with defending against intellectual property claims in other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12520"/>
                <wp:effectExtent l="0" t="0" r="0" b="0"/>
                <wp:wrapNone/>
                <wp:docPr id="143" name="Frame5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9" descr=""/>
                                                <pic:cNvPicPr>
                                                  <a:picLocks noChangeAspect="1" noChangeArrowheads="1"/>
                                                </pic:cNvPicPr>
                                              </pic:nvPicPr>
                                              <pic:blipFill>
                                                <a:blip r:embed="rId95"/>
                                                <a:stretch>
                                                  <a:fillRect/>
                                                </a:stretch>
                                              </pic:blipFill>
                                              <pic:spPr bwMode="auto">
                                                <a:xfrm>
                                                  <a:off x="0" y="0"/>
                                                  <a:ext cx="457200" cy="95250"/>
                                                </a:xfrm>
                                                <a:prstGeom prst="rect">
                                                  <a:avLst/>
                                                </a:prstGeom>
                                              </pic:spPr>
                                            </pic:pic>
                                          </a:graphicData>
                                        </a:graphic>
                                      </wp:inline>
                                    </w:drawing>
                                  </w:r>
                                  <w:bookmarkStart w:id="97" w:name="i-49"/>
                                  <w:bookmarkEnd w:id="9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9" descr=""/>
                                          <pic:cNvPicPr>
                                            <a:picLocks noChangeAspect="1" noChangeArrowheads="1"/>
                                          </pic:cNvPicPr>
                                        </pic:nvPicPr>
                                        <pic:blipFill>
                                          <a:blip r:embed="rId96"/>
                                          <a:stretch>
                                            <a:fillRect/>
                                          </a:stretch>
                                        </pic:blipFill>
                                        <pic:spPr bwMode="auto">
                                          <a:xfrm>
                                            <a:off x="0" y="0"/>
                                            <a:ext cx="457200" cy="95250"/>
                                          </a:xfrm>
                                          <a:prstGeom prst="rect">
                                            <a:avLst/>
                                          </a:prstGeom>
                                        </pic:spPr>
                                      </pic:pic>
                                    </a:graphicData>
                                  </a:graphic>
                                </wp:inline>
                              </w:drawing>
                            </w:r>
                            <w:bookmarkStart w:id="98" w:name="i-49"/>
                            <w:bookmarkEnd w:id="9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restrictions on both inbound and outbound cross-border investment, including enhanced oversight by the Committee on Foreign Investment in the United States (“CFIUS”) and substantial restrictions on investment from China;</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U.S. and foreign government trade restrictions, including those which may impose restrictions on the importation, exportation, re-exportation, sale, shipment or other transfer of programming, technology, components, and/or services to foreign persons;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diplomatic and trade relationships, including new, increased, or enhanced tariffs, trade protection measures, import or export licensing requirements, trade embargoes, sanctions, and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tariffs imposed by the U.S. on goods from other countries and tariffs imposed by other countries on U.S. goods, which may be imposed on products such as ours, the scope and duration of which, if implemented, remains uncertain;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deterioration of political relations among, between, and within the U.S., Russia, China, Japan, Korea, Mexico, Canada, the United Kingdom (“U.K.”), and the European Union ("E.U."), which could have a material adverse effect on our sales and operations in these countries;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social, political, and economic conditions or in laws, regulations and policies governing foreign trade, manufacturing, development, and investment both domestically as well as in the other countries and jurisdictions into which we sell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obtaining export licenses or in overcoming other trade barriers and restrictions resulting in delivery delays;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fluctuations in currency exchange rates and the related effect on our results of operations;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increased financial accounting and reporting burdens and complexities;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 limits to travel as a result of epidemics or pandemics;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disruptions to global trade due to disease outbreaks or conflicts;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 increases on tariffs or restrictions on trade generally;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significant taxes or other burdens of complying with a variety of foreign laws and regulations, including laws and regulations relating to privacy and data protection such as the E.U. General Data Protection Regulation.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applicable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12520"/>
                <wp:effectExtent l="0" t="0" r="0" b="0"/>
                <wp:wrapNone/>
                <wp:docPr id="146" name="Frame5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0" descr=""/>
                                                <pic:cNvPicPr>
                                                  <a:picLocks noChangeAspect="1" noChangeArrowheads="1"/>
                                                </pic:cNvPicPr>
                                              </pic:nvPicPr>
                                              <pic:blipFill>
                                                <a:blip r:embed="rId97"/>
                                                <a:stretch>
                                                  <a:fillRect/>
                                                </a:stretch>
                                              </pic:blipFill>
                                              <pic:spPr bwMode="auto">
                                                <a:xfrm>
                                                  <a:off x="0" y="0"/>
                                                  <a:ext cx="457200" cy="95250"/>
                                                </a:xfrm>
                                                <a:prstGeom prst="rect">
                                                  <a:avLst/>
                                                </a:prstGeom>
                                              </pic:spPr>
                                            </pic:pic>
                                          </a:graphicData>
                                        </a:graphic>
                                      </wp:inline>
                                    </w:drawing>
                                  </w:r>
                                  <w:bookmarkStart w:id="99" w:name="i-50"/>
                                  <w:bookmarkEnd w:id="9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0" descr=""/>
                                          <pic:cNvPicPr>
                                            <a:picLocks noChangeAspect="1" noChangeArrowheads="1"/>
                                          </pic:cNvPicPr>
                                        </pic:nvPicPr>
                                        <pic:blipFill>
                                          <a:blip r:embed="rId98"/>
                                          <a:stretch>
                                            <a:fillRect/>
                                          </a:stretch>
                                        </pic:blipFill>
                                        <pic:spPr bwMode="auto">
                                          <a:xfrm>
                                            <a:off x="0" y="0"/>
                                            <a:ext cx="457200" cy="95250"/>
                                          </a:xfrm>
                                          <a:prstGeom prst="rect">
                                            <a:avLst/>
                                          </a:prstGeom>
                                        </pic:spPr>
                                      </pic:pic>
                                    </a:graphicData>
                                  </a:graphic>
                                </wp:inline>
                              </w:drawing>
                            </w:r>
                            <w:bookmarkStart w:id="100" w:name="i-50"/>
                            <w:bookmarkEnd w:id="10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If we fail to maintain proper and effective internal controls, our ability to produce accurate financial statements on a timely basis could be impaired, which would adversely affect our business and our stock price.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business could be negatively impacted by changes in the United States political environment.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depend on the availability of genetic data and its utilization in clinical research by academic and governmental research institutions, commercial testing and service laboratories, genome centers, public health labs, hospitals and clinical research institutes, CROs, pharmaceutical companies, and agricultural companies. As a result, changes in the regulatory environment affecting such institutions could adversely affect our business or results of operations. For example, reduced allocations to government agencies that fund research and development activities, such as the recent announcements regarding NIH funding involving a cap on the institute’s indirect funding rates, or targeted cancellations by the U.S. federal government of certain grants or contracts may significantly impact the markets in which we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12520"/>
                <wp:effectExtent l="0" t="0" r="0" b="0"/>
                <wp:wrapNone/>
                <wp:docPr id="149" name="Frame5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1" descr=""/>
                                                <pic:cNvPicPr>
                                                  <a:picLocks noChangeAspect="1" noChangeArrowheads="1"/>
                                                </pic:cNvPicPr>
                                              </pic:nvPicPr>
                                              <pic:blipFill>
                                                <a:blip r:embed="rId99"/>
                                                <a:stretch>
                                                  <a:fillRect/>
                                                </a:stretch>
                                              </pic:blipFill>
                                              <pic:spPr bwMode="auto">
                                                <a:xfrm>
                                                  <a:off x="0" y="0"/>
                                                  <a:ext cx="457200" cy="95250"/>
                                                </a:xfrm>
                                                <a:prstGeom prst="rect">
                                                  <a:avLst/>
                                                </a:prstGeom>
                                              </pic:spPr>
                                            </pic:pic>
                                          </a:graphicData>
                                        </a:graphic>
                                      </wp:inline>
                                    </w:drawing>
                                  </w:r>
                                  <w:bookmarkStart w:id="101" w:name="i-51"/>
                                  <w:bookmarkEnd w:id="10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1" descr=""/>
                                          <pic:cNvPicPr>
                                            <a:picLocks noChangeAspect="1" noChangeArrowheads="1"/>
                                          </pic:cNvPicPr>
                                        </pic:nvPicPr>
                                        <pic:blipFill>
                                          <a:blip r:embed="rId100"/>
                                          <a:stretch>
                                            <a:fillRect/>
                                          </a:stretch>
                                        </pic:blipFill>
                                        <pic:spPr bwMode="auto">
                                          <a:xfrm>
                                            <a:off x="0" y="0"/>
                                            <a:ext cx="457200" cy="95250"/>
                                          </a:xfrm>
                                          <a:prstGeom prst="rect">
                                            <a:avLst/>
                                          </a:prstGeom>
                                        </pic:spPr>
                                      </pic:pic>
                                    </a:graphicData>
                                  </a:graphic>
                                </wp:inline>
                              </w:drawing>
                            </w:r>
                            <w:bookmarkStart w:id="102" w:name="i-51"/>
                            <w:bookmarkEnd w:id="10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is significant ongoing uncertainty with respect to potential legislation, regulation and government policy at the federal level, as well as the state and local levels. Specific legislative and regulatory proposals discussed or implemented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Disruption of critical information technology systems or material breaches in the security of our systems could harm our business, customer relations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Information technology (“IT”) helps us to operate efficiently, interface with customers, maintain financial accuracy and efficiently and accurately produce our financial statements. IT systems are used extensively in virtually all aspects of our business, including in our products, sales forecast, order fulfillment and billing, customer service, logistics, and management of data from running samples on our products. Our success depends, in part, on the continued and uninterrupted performance of our IT systems. Our IT systems, including those used in our products,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incidents and security breaches to which we could be vulnerable by state-sponsored or affiliated actors or others in connection with political uncertainty and conflict in the Middle East and the war in Ukraine.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 Some of our IT infrastructure still utilizes outdated legacy systems, software and hardware, some of which may be approaching end-of-life or end of support, and that may be particularly susceptible to cybersecurity breaches, errors and operational failures. Upgrading, replacing and enhancing such infrastructure may be expensive and put the continuity of our operations at risk while a failure to do so may make us more susceptible to the risks discussed above.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do not allocate and effectively manage the resources necessary to build and sustain the proper IT infrastructure, including those used in our products, we could be subject to transaction errors, processing inefficiencies, loss of customers, business disruptions or loss of or damage to intellectual property.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112520"/>
                <wp:effectExtent l="0" t="0" r="0" b="0"/>
                <wp:wrapNone/>
                <wp:docPr id="152" name="Frame5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2" descr=""/>
                                                <pic:cNvPicPr>
                                                  <a:picLocks noChangeAspect="1" noChangeArrowheads="1"/>
                                                </pic:cNvPicPr>
                                              </pic:nvPicPr>
                                              <pic:blipFill>
                                                <a:blip r:embed="rId101"/>
                                                <a:stretch>
                                                  <a:fillRect/>
                                                </a:stretch>
                                              </pic:blipFill>
                                              <pic:spPr bwMode="auto">
                                                <a:xfrm>
                                                  <a:off x="0" y="0"/>
                                                  <a:ext cx="457200" cy="95250"/>
                                                </a:xfrm>
                                                <a:prstGeom prst="rect">
                                                  <a:avLst/>
                                                </a:prstGeom>
                                              </pic:spPr>
                                            </pic:pic>
                                          </a:graphicData>
                                        </a:graphic>
                                      </wp:inline>
                                    </w:drawing>
                                  </w:r>
                                  <w:bookmarkStart w:id="103" w:name="i-52"/>
                                  <w:bookmarkEnd w:id="10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2" descr=""/>
                                          <pic:cNvPicPr>
                                            <a:picLocks noChangeAspect="1" noChangeArrowheads="1"/>
                                          </pic:cNvPicPr>
                                        </pic:nvPicPr>
                                        <pic:blipFill>
                                          <a:blip r:embed="rId102"/>
                                          <a:stretch>
                                            <a:fillRect/>
                                          </a:stretch>
                                        </pic:blipFill>
                                        <pic:spPr bwMode="auto">
                                          <a:xfrm>
                                            <a:off x="0" y="0"/>
                                            <a:ext cx="457200" cy="95250"/>
                                          </a:xfrm>
                                          <a:prstGeom prst="rect">
                                            <a:avLst/>
                                          </a:prstGeom>
                                        </pic:spPr>
                                      </pic:pic>
                                    </a:graphicData>
                                  </a:graphic>
                                </wp:inline>
                              </w:drawing>
                            </w:r>
                            <w:bookmarkStart w:id="104" w:name="i-52"/>
                            <w:bookmarkEnd w:id="10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Security breaches and other disruptions could compromise our information and expose us to liability, which would cause our business and reputation to suffer.</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our business, we collect and store sensitive data, including intellectual property, our proprietary business information and that of our customers, suppliers and business partners, and personal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or incident could compromise our systems and networks and the information stored or otherwise processed there could be accessed, publicly disclosed, lost, stolen or otherwise processed in an unauthorized manner.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our third-party service providers’ systems. We and our third-party service providers may face difficulties in identifying, or promptly responding to, potential security breaches and other instances of unauthorized access to, or disclosure, other processing, or loss or unavailability of, information. Any hacking or other attack on our or our third-party service providers’ or vendors’ systems, and any unauthorized access to, or disclosure, other processing, or loss or unavailability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and data integrity issues,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and security incidents, which could cause us to incur significant additional expenses. Retaliatory acts by Russia in response to Western sanctions or otherwise in connection with the war in Ukraine could include cyber-attacks that could disrupt the economy generally or that may either directly or indirectly impact our operations specifically.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12520"/>
                <wp:effectExtent l="0" t="0" r="0" b="0"/>
                <wp:wrapNone/>
                <wp:docPr id="155" name="Frame5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3" descr=""/>
                                                <pic:cNvPicPr>
                                                  <a:picLocks noChangeAspect="1" noChangeArrowheads="1"/>
                                                </pic:cNvPicPr>
                                              </pic:nvPicPr>
                                              <pic:blipFill>
                                                <a:blip r:embed="rId103"/>
                                                <a:stretch>
                                                  <a:fillRect/>
                                                </a:stretch>
                                              </pic:blipFill>
                                              <pic:spPr bwMode="auto">
                                                <a:xfrm>
                                                  <a:off x="0" y="0"/>
                                                  <a:ext cx="457200" cy="95250"/>
                                                </a:xfrm>
                                                <a:prstGeom prst="rect">
                                                  <a:avLst/>
                                                </a:prstGeom>
                                              </pic:spPr>
                                            </pic:pic>
                                          </a:graphicData>
                                        </a:graphic>
                                      </wp:inline>
                                    </w:drawing>
                                  </w:r>
                                  <w:bookmarkStart w:id="105" w:name="i-53"/>
                                  <w:bookmarkEnd w:id="10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3" descr=""/>
                                          <pic:cNvPicPr>
                                            <a:picLocks noChangeAspect="1" noChangeArrowheads="1"/>
                                          </pic:cNvPicPr>
                                        </pic:nvPicPr>
                                        <pic:blipFill>
                                          <a:blip r:embed="rId104"/>
                                          <a:stretch>
                                            <a:fillRect/>
                                          </a:stretch>
                                        </pic:blipFill>
                                        <pic:spPr bwMode="auto">
                                          <a:xfrm>
                                            <a:off x="0" y="0"/>
                                            <a:ext cx="457200" cy="95250"/>
                                          </a:xfrm>
                                          <a:prstGeom prst="rect">
                                            <a:avLst/>
                                          </a:prstGeom>
                                        </pic:spPr>
                                      </pic:pic>
                                    </a:graphicData>
                                  </a:graphic>
                                </wp:inline>
                              </w:drawing>
                            </w:r>
                            <w:bookmarkStart w:id="106" w:name="i-53"/>
                            <w:bookmarkEnd w:id="10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use of artificial intelligence and machine learning technologies may result in reputational harm or liability.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incorporated and may continue to incorporate additional artificial intelligence and machine learning, or AIML, technologies into our sequencing platforms, marketing programs, and analysis software, and these solutions and features are advantageous to describing, enhancing, and maximizing the capabilities of our differentiated technologies and to our future growth over time. We rely and expect to rely on AIML technologies such as basecalling, variant calling, epigenetic analysis and tertiary analysis, but there can be no assurance that we will realize the desired or anticipated benefits from AIML or any at all. We may also fail to properly implement or utilize AIML technologies. Our competitors or other third parties may incorporate AIML into their products, platforms, software and services or otherwise within their business more quickly or more successfully than us, which could impair our ability to compete effectively and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are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our business, we currently, and in the future will, collect, store, transfer, use or process sensitive data, including personal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12520"/>
                <wp:effectExtent l="0" t="0" r="0" b="0"/>
                <wp:wrapNone/>
                <wp:docPr id="158" name="Frame5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4" descr=""/>
                                                <pic:cNvPicPr>
                                                  <a:picLocks noChangeAspect="1" noChangeArrowheads="1"/>
                                                </pic:cNvPicPr>
                                              </pic:nvPicPr>
                                              <pic:blipFill>
                                                <a:blip r:embed="rId105"/>
                                                <a:stretch>
                                                  <a:fillRect/>
                                                </a:stretch>
                                              </pic:blipFill>
                                              <pic:spPr bwMode="auto">
                                                <a:xfrm>
                                                  <a:off x="0" y="0"/>
                                                  <a:ext cx="457200" cy="95250"/>
                                                </a:xfrm>
                                                <a:prstGeom prst="rect">
                                                  <a:avLst/>
                                                </a:prstGeom>
                                              </pic:spPr>
                                            </pic:pic>
                                          </a:graphicData>
                                        </a:graphic>
                                      </wp:inline>
                                    </w:drawing>
                                  </w:r>
                                  <w:bookmarkStart w:id="107" w:name="i-54"/>
                                  <w:bookmarkEnd w:id="10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4" descr=""/>
                                          <pic:cNvPicPr>
                                            <a:picLocks noChangeAspect="1" noChangeArrowheads="1"/>
                                          </pic:cNvPicPr>
                                        </pic:nvPicPr>
                                        <pic:blipFill>
                                          <a:blip r:embed="rId106"/>
                                          <a:stretch>
                                            <a:fillRect/>
                                          </a:stretch>
                                        </pic:blipFill>
                                        <pic:spPr bwMode="auto">
                                          <a:xfrm>
                                            <a:off x="0" y="0"/>
                                            <a:ext cx="457200" cy="95250"/>
                                          </a:xfrm>
                                          <a:prstGeom prst="rect">
                                            <a:avLst/>
                                          </a:prstGeom>
                                        </pic:spPr>
                                      </pic:pic>
                                    </a:graphicData>
                                  </a:graphic>
                                </wp:inline>
                              </w:drawing>
                            </w:r>
                            <w:bookmarkStart w:id="108" w:name="i-54"/>
                            <w:bookmarkEnd w:id="10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pPr>
      <w:r>
        <w:rPr>
          <w:rFonts w:ascii="Roboto;sans-serif" w:hAnsi="Roboto;sans-serif"/>
          <w:b w:val="false"/>
          <w:color w:val="000000"/>
          <w:sz w:val="20"/>
        </w:rPr>
        <w:t xml:space="preserve">In the United States, various federal and state regulators, including governmental agencies like the Consumer Financial Protection </w:t>
      </w:r>
      <w:r>
        <w:rPr>
          <w:rFonts w:ascii="Roboto;sans-serif" w:hAnsi="Roboto;sans-serif"/>
          <w:b w:val="false"/>
          <w:color w:val="000000"/>
          <w:sz w:val="20"/>
          <w:shd w:fill="FFFFFF" w:val="clear"/>
        </w:rPr>
        <w:t>Bureau, the Department of Justice,</w:t>
      </w:r>
      <w:r>
        <w:rPr>
          <w:color w:val="000000"/>
        </w:rPr>
        <w:t xml:space="preserve"> </w:t>
      </w:r>
      <w:r>
        <w:rPr>
          <w:rFonts w:ascii="Roboto;sans-serif" w:hAnsi="Roboto;sans-serif"/>
          <w:b w:val="false"/>
          <w:color w:val="000000"/>
          <w:sz w:val="20"/>
        </w:rPr>
        <w:t>and the Federal Trade Commission, have adopted, or are considering adopting, laws and regulations concerning personal information and data security. For example, the Department of Justice issued a final rule which took effect in April 2025 that places limitations, and in some cases prohibitions, on certain transfers of sensitive personal data to business partners located in 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(“CPRA”), which significantly expanded the CCPA as of January 1, 2023, including by introducing additional obligations such as data minimization and storage limitations and granting additional rights to consumers, among others. The enactment of the CCPA has prompted similar legislative developments in other states, and numerous other states have proposed, and in certain cases enacted, legislation relating to privacy and data security, many of which are similar to the CCPA and CPRA. Similar laws are being considered by other state legislatures. In addition, laws in all 50 U.S. states require businesses to provide notice to consumers whose personal information has been disclosed as a result of a data breach. State laws are changing rapidly and there has been discussion in the U.S. Congress of a new comprehensive federal data privacy law. These and future laws and regulations may increase our compliance costs and potential liability.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disrupted, breached or otherwise compromised due to employee error, malfeasance or other malicious or inadvertent disruptions. Any such breach or disruption could compromise our networks, and the information stored there could be accessed, manipulated, publicly disclosed, lost, stolen, made unavailable, or otherwise processed without authorization. Any such disruption, access, breach, unavailability, theft, loss or other unauthorized processing of information, or the perception that any of these has occurred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12520"/>
                <wp:effectExtent l="0" t="0" r="0" b="0"/>
                <wp:wrapNone/>
                <wp:docPr id="161" name="Frame5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5" descr=""/>
                                                <pic:cNvPicPr>
                                                  <a:picLocks noChangeAspect="1" noChangeArrowheads="1"/>
                                                </pic:cNvPicPr>
                                              </pic:nvPicPr>
                                              <pic:blipFill>
                                                <a:blip r:embed="rId107"/>
                                                <a:stretch>
                                                  <a:fillRect/>
                                                </a:stretch>
                                              </pic:blipFill>
                                              <pic:spPr bwMode="auto">
                                                <a:xfrm>
                                                  <a:off x="0" y="0"/>
                                                  <a:ext cx="457200" cy="95250"/>
                                                </a:xfrm>
                                                <a:prstGeom prst="rect">
                                                  <a:avLst/>
                                                </a:prstGeom>
                                              </pic:spPr>
                                            </pic:pic>
                                          </a:graphicData>
                                        </a:graphic>
                                      </wp:inline>
                                    </w:drawing>
                                  </w:r>
                                  <w:bookmarkStart w:id="109" w:name="i-55"/>
                                  <w:bookmarkEnd w:id="10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5" descr=""/>
                                          <pic:cNvPicPr>
                                            <a:picLocks noChangeAspect="1" noChangeArrowheads="1"/>
                                          </pic:cNvPicPr>
                                        </pic:nvPicPr>
                                        <pic:blipFill>
                                          <a:blip r:embed="rId108"/>
                                          <a:stretch>
                                            <a:fillRect/>
                                          </a:stretch>
                                        </pic:blipFill>
                                        <pic:spPr bwMode="auto">
                                          <a:xfrm>
                                            <a:off x="0" y="0"/>
                                            <a:ext cx="457200" cy="95250"/>
                                          </a:xfrm>
                                          <a:prstGeom prst="rect">
                                            <a:avLst/>
                                          </a:prstGeom>
                                        </pic:spPr>
                                      </pic:pic>
                                    </a:graphicData>
                                  </a:graphic>
                                </wp:inline>
                              </w:drawing>
                            </w:r>
                            <w:bookmarkStart w:id="110" w:name="i-55"/>
                            <w:bookmarkEnd w:id="11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While we have in place formal policies and procedures related to the storage, collection, and processing of information, and have conducted data privacy audits, we continue to evaluate our compliance needs, including the need to conduct additional internal and external data privacy audits or adopt additional policies and procedures,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Increased scrutiny of our environmental, social or governance responsibilities may result in additional costs and risks, and may adversely impact our reputation, employee retention, and willingness of customers and suppliers to do business with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Certain investor advocacy groups, institutional investors, investment funds, proxy advisory services, stockholders, and customers are focused on environmental, social, and governance (“ESG”) practices of companies. We have also seen public interest and governmental regulation related to public companies’ ESG practices.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and potential or current investors may elect to invest in other companies with ESG practices that are perceived to be better than ours. In addition, ESG reporting and disclosure may result in additional costs and require additional resources to monitor, report, and comply with our various ESG practices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65" w:type="dxa"/>
        <w:jc w:val="left"/>
        <w:tblInd w:w="0" w:type="dxa"/>
        <w:tblLayout w:type="fixed"/>
        <w:tblCellMar>
          <w:top w:w="28" w:type="dxa"/>
          <w:left w:w="28" w:type="dxa"/>
          <w:bottom w:w="28" w:type="dxa"/>
          <w:right w:w="28" w:type="dxa"/>
        </w:tblCellMar>
      </w:tblPr>
      <w:tblGrid>
        <w:gridCol w:w="1877"/>
        <w:gridCol w:w="1649"/>
        <w:gridCol w:w="2339"/>
      </w:tblGrid>
      <w:tr>
        <w:trPr/>
        <w:tc>
          <w:tcPr>
            <w:tcW w:w="1877"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4"/>
              </w:rPr>
            </w:pPr>
            <w:r>
              <w:rPr>
                <w:rFonts w:ascii="Roboto;sans-serif" w:hAnsi="Roboto;sans-serif"/>
                <w:b/>
                <w:color w:val="DF1995"/>
                <w:sz w:val="24"/>
              </w:rPr>
              <w:t>ITEM 1B. UNRESOLVED STAFF COMMENTS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60" w:type="dxa"/>
        <w:jc w:val="left"/>
        <w:tblInd w:w="0" w:type="dxa"/>
        <w:tblLayout w:type="fixed"/>
        <w:tblCellMar>
          <w:top w:w="28" w:type="dxa"/>
          <w:left w:w="28" w:type="dxa"/>
          <w:bottom w:w="28" w:type="dxa"/>
          <w:right w:w="28" w:type="dxa"/>
        </w:tblCellMar>
      </w:tblPr>
      <w:tblGrid>
        <w:gridCol w:w="1172"/>
        <w:gridCol w:w="1031"/>
        <w:gridCol w:w="1457"/>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4"/>
              </w:rPr>
            </w:pPr>
            <w:r>
              <w:rPr>
                <w:rFonts w:ascii="Roboto;sans-serif" w:hAnsi="Roboto;sans-serif"/>
                <w:b/>
                <w:color w:val="DF1995"/>
                <w:sz w:val="24"/>
              </w:rPr>
              <w:t>ITEM 1C. CYBERSECURITY</w:t>
            </w:r>
          </w:p>
        </w:tc>
      </w:tr>
    </w:tbl>
    <w:tbl>
      <w:tblPr>
        <w:tblW w:w="4169" w:type="dxa"/>
        <w:jc w:val="left"/>
        <w:tblInd w:w="0" w:type="dxa"/>
        <w:tblLayout w:type="fixed"/>
        <w:tblCellMar>
          <w:top w:w="28" w:type="dxa"/>
          <w:left w:w="28" w:type="dxa"/>
          <w:bottom w:w="28" w:type="dxa"/>
          <w:right w:w="28" w:type="dxa"/>
        </w:tblCellMar>
      </w:tblPr>
      <w:tblGrid>
        <w:gridCol w:w="1334"/>
        <w:gridCol w:w="1173"/>
        <w:gridCol w:w="1662"/>
      </w:tblGrid>
      <w:tr>
        <w:trPr/>
        <w:tc>
          <w:tcPr>
            <w:tcW w:w="1334"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80" w:after="283"/>
              <w:jc w:val="both"/>
              <w:rPr>
                <w:rFonts w:ascii="Roboto;sans-serif" w:hAnsi="Roboto;sans-serif"/>
                <w:b/>
                <w:color w:val="DF1995"/>
                <w:sz w:val="22"/>
              </w:rPr>
            </w:pPr>
            <w:r>
              <w:rPr>
                <w:rFonts w:ascii="Roboto;sans-serif" w:hAnsi="Roboto;sans-serif"/>
                <w:b/>
                <w:color w:val="DF1995"/>
                <w:sz w:val="22"/>
              </w:rPr>
              <w:t>Risk Management and Strategy</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12520"/>
                <wp:effectExtent l="0" t="0" r="0" b="0"/>
                <wp:wrapNone/>
                <wp:docPr id="164" name="Frame5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6" descr=""/>
                                                <pic:cNvPicPr>
                                                  <a:picLocks noChangeAspect="1" noChangeArrowheads="1"/>
                                                </pic:cNvPicPr>
                                              </pic:nvPicPr>
                                              <pic:blipFill>
                                                <a:blip r:embed="rId109"/>
                                                <a:stretch>
                                                  <a:fillRect/>
                                                </a:stretch>
                                              </pic:blipFill>
                                              <pic:spPr bwMode="auto">
                                                <a:xfrm>
                                                  <a:off x="0" y="0"/>
                                                  <a:ext cx="457200" cy="95250"/>
                                                </a:xfrm>
                                                <a:prstGeom prst="rect">
                                                  <a:avLst/>
                                                </a:prstGeom>
                                              </pic:spPr>
                                            </pic:pic>
                                          </a:graphicData>
                                        </a:graphic>
                                      </wp:inline>
                                    </w:drawing>
                                  </w:r>
                                  <w:bookmarkStart w:id="111" w:name="i-56"/>
                                  <w:bookmarkEnd w:id="11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6" descr=""/>
                                          <pic:cNvPicPr>
                                            <a:picLocks noChangeAspect="1" noChangeArrowheads="1"/>
                                          </pic:cNvPicPr>
                                        </pic:nvPicPr>
                                        <pic:blipFill>
                                          <a:blip r:embed="rId110"/>
                                          <a:stretch>
                                            <a:fillRect/>
                                          </a:stretch>
                                        </pic:blipFill>
                                        <pic:spPr bwMode="auto">
                                          <a:xfrm>
                                            <a:off x="0" y="0"/>
                                            <a:ext cx="457200" cy="95250"/>
                                          </a:xfrm>
                                          <a:prstGeom prst="rect">
                                            <a:avLst/>
                                          </a:prstGeom>
                                        </pic:spPr>
                                      </pic:pic>
                                    </a:graphicData>
                                  </a:graphic>
                                </wp:inline>
                              </w:drawing>
                            </w:r>
                            <w:bookmarkStart w:id="112" w:name="i-56"/>
                            <w:bookmarkEnd w:id="11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external risks, the likelihood and potential damage that could result from such risks, and the sufficiency of existing policies, procedures, systems, and safeguards in place to manage such risks.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Following these risk assessments, we evaluate whether and how to re-design, implement, and maintain reasonable safeguards to minimize identified risks; reasonably address any identified gaps in existing safeguards; and regularly monitor the effectiveness of our safeguards. We devote resources and designate high-level personnel, including our Head of Information Technology who reports to our Chief Operating Officer, to manage the risk assessment and mitigation process.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part of our overall risk management system, we monitor and test our safeguards, including through annual third-party vulnerability assessments. We train our employees on these safeguards, in collaboration with human resources, IT, and departmental management. Personnel at all levels and departments are made aware of our cybersecurity policies through training.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engage assessors, consultants, auditors, or other third parties in connection with our risk assessment processes. These service providers assist us with the design and implementation of our cybersecurity policies and procedures, as well as in monitoring and testing our safeguards.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have established procedures to evaluate and respond to cybersecurity incidents, including cybersecurity incidents at third-party service providers which have a potential to impact our data and systems. Our cybersecurity risk management is intended to address such risks, as well as other risks related to third parties. </w:t>
      </w:r>
    </w:p>
    <w:p>
      <w:pPr>
        <w:pStyle w:val="TextBody"/>
        <w:bidi w:val="0"/>
        <w:spacing w:lineRule="auto" w:line="288" w:before="120" w:after="283"/>
        <w:jc w:val="both"/>
        <w:rPr/>
      </w:pPr>
      <w:r>
        <w:rPr>
          <w:rFonts w:ascii="Roboto;sans-serif" w:hAnsi="Roboto;sans-serif"/>
          <w:b w:val="false"/>
          <w:color w:val="000000"/>
          <w:sz w:val="20"/>
        </w:rPr>
        <w:t>We have not previously experienced a cybersecurity incident that was determined to be material. For additional information regarding whether any risks from cybersecurity threats are reasonably likely to materially affect our company, including our business strategy, results of operations, or financial condition, please refer to Item 1A, “</w:t>
      </w:r>
      <w:hyperlink w:anchor="i9dad38eca65443b9a8bcd939ad72e7eb_19">
        <w:r>
          <w:rPr>
            <w:rStyle w:val="InternetLink"/>
            <w:rFonts w:ascii="Roboto;sans-serif" w:hAnsi="Roboto;sans-serif"/>
            <w:b w:val="false"/>
            <w:color w:val="0000FF"/>
            <w:sz w:val="20"/>
            <w:u w:val="single"/>
          </w:rPr>
          <w:t>Risk Factors</w:t>
        </w:r>
      </w:hyperlink>
      <w:r>
        <w:rPr>
          <w:rFonts w:ascii="Roboto;sans-serif" w:hAnsi="Roboto;sans-serif"/>
          <w:b w:val="false"/>
          <w:color w:val="000000"/>
          <w:sz w:val="20"/>
        </w:rPr>
        <w:t>,” in this Annual Report on Form 10-K.</w:t>
      </w:r>
    </w:p>
    <w:tbl>
      <w:tblPr>
        <w:tblW w:w="1666" w:type="dxa"/>
        <w:jc w:val="left"/>
        <w:tblInd w:w="0" w:type="dxa"/>
        <w:tblLayout w:type="fixed"/>
        <w:tblCellMar>
          <w:top w:w="28" w:type="dxa"/>
          <w:left w:w="28" w:type="dxa"/>
          <w:bottom w:w="28" w:type="dxa"/>
          <w:right w:w="28" w:type="dxa"/>
        </w:tblCellMar>
      </w:tblPr>
      <w:tblGrid>
        <w:gridCol w:w="533"/>
        <w:gridCol w:w="469"/>
        <w:gridCol w:w="664"/>
      </w:tblGrid>
      <w:tr>
        <w:trPr/>
        <w:tc>
          <w:tcPr>
            <w:tcW w:w="53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80" w:after="283"/>
              <w:jc w:val="both"/>
              <w:rPr>
                <w:rFonts w:ascii="Roboto;sans-serif" w:hAnsi="Roboto;sans-serif"/>
                <w:b/>
                <w:color w:val="DF1995"/>
                <w:sz w:val="22"/>
              </w:rPr>
            </w:pPr>
            <w:r>
              <w:rPr>
                <w:rFonts w:ascii="Roboto;sans-serif" w:hAnsi="Roboto;sans-serif"/>
                <w:b/>
                <w:color w:val="DF1995"/>
                <w:sz w:val="22"/>
              </w:rPr>
              <w:t>Governance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One of the key functions of our board of directors is to provide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corporate governance and nominating committee.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Head of Information Technology and our cyber committee, which includes Facilities, HR, IT, Software, Legal, and Management, are primarily responsible to assess and manage our material risks from cybersecurity threats.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Head of Information Technology and our management committee on cybersecurity oversee our cybersecurity policies and processes, including those described in “Risk Management and Strategy” above. Our Head of Information Technology is informed about and monitors the prevention, detection, mitigation, and remediation of cybersecurity incidents by leading cybersecurity risk management and working directly with our IT team. Our Head of Information Technology also provides appropriate information and updates to our management committee on cybersecurity.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Head of Information Technology and representatives from our management committee on cybersecurity provide annual briefings to the audit committee regarding our company’s cybersecurity risks and activities, including any recent cybersecurity incidents and related responses, cybersecurity systems testing, activities of third parties, and the like. Our corporate governance and nominating committee provides regular updates to the board of directors on such reports.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54" w:type="dxa"/>
        <w:jc w:val="left"/>
        <w:tblInd w:w="0" w:type="dxa"/>
        <w:tblLayout w:type="fixed"/>
        <w:tblCellMar>
          <w:top w:w="28" w:type="dxa"/>
          <w:left w:w="28" w:type="dxa"/>
          <w:bottom w:w="28" w:type="dxa"/>
          <w:right w:w="28" w:type="dxa"/>
        </w:tblCellMar>
      </w:tblPr>
      <w:tblGrid>
        <w:gridCol w:w="946"/>
        <w:gridCol w:w="832"/>
        <w:gridCol w:w="1176"/>
      </w:tblGrid>
      <w:tr>
        <w:trPr/>
        <w:tc>
          <w:tcPr>
            <w:tcW w:w="9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4"/>
              </w:rPr>
            </w:pPr>
            <w:r>
              <w:rPr>
                <w:rFonts w:ascii="Roboto;sans-serif" w:hAnsi="Roboto;sans-serif"/>
                <w:b/>
                <w:color w:val="DF1995"/>
                <w:sz w:val="24"/>
              </w:rPr>
              <w:t>ITEM 2. PROPERTIES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corporate headquarters, research and development facilities, and manufacturing and distribution centers are located in Menlo Park, California, where we lease approximately 180,200 square feet under a lease expiring on April 30, 2034. Additionally, our European headquarters is located in London, where we lease approximately 7,300 square feet under a lease expiring November 30, 2026. Including these leases, we lease approximately 189,600 square feet globally.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believe that our existing facilities, together with suitable additional or alternative space available on commercially reasonable terms, will be sufficient to meet our needs.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12520"/>
                <wp:effectExtent l="0" t="0" r="0" b="0"/>
                <wp:wrapNone/>
                <wp:docPr id="167" name="Frame5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57" descr=""/>
                                                <pic:cNvPicPr>
                                                  <a:picLocks noChangeAspect="1" noChangeArrowheads="1"/>
                                                </pic:cNvPicPr>
                                              </pic:nvPicPr>
                                              <pic:blipFill>
                                                <a:blip r:embed="rId111"/>
                                                <a:stretch>
                                                  <a:fillRect/>
                                                </a:stretch>
                                              </pic:blipFill>
                                              <pic:spPr bwMode="auto">
                                                <a:xfrm>
                                                  <a:off x="0" y="0"/>
                                                  <a:ext cx="457200" cy="95250"/>
                                                </a:xfrm>
                                                <a:prstGeom prst="rect">
                                                  <a:avLst/>
                                                </a:prstGeom>
                                              </pic:spPr>
                                            </pic:pic>
                                          </a:graphicData>
                                        </a:graphic>
                                      </wp:inline>
                                    </w:drawing>
                                  </w:r>
                                  <w:bookmarkStart w:id="113" w:name="i-57"/>
                                  <w:bookmarkEnd w:id="11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57" descr=""/>
                                          <pic:cNvPicPr>
                                            <a:picLocks noChangeAspect="1" noChangeArrowheads="1"/>
                                          </pic:cNvPicPr>
                                        </pic:nvPicPr>
                                        <pic:blipFill>
                                          <a:blip r:embed="rId112"/>
                                          <a:stretch>
                                            <a:fillRect/>
                                          </a:stretch>
                                        </pic:blipFill>
                                        <pic:spPr bwMode="auto">
                                          <a:xfrm>
                                            <a:off x="0" y="0"/>
                                            <a:ext cx="457200" cy="95250"/>
                                          </a:xfrm>
                                          <a:prstGeom prst="rect">
                                            <a:avLst/>
                                          </a:prstGeom>
                                        </pic:spPr>
                                      </pic:pic>
                                    </a:graphicData>
                                  </a:graphic>
                                </wp:inline>
                              </w:drawing>
                            </w:r>
                            <w:bookmarkStart w:id="114" w:name="i-57"/>
                            <w:bookmarkEnd w:id="11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4124" w:type="dxa"/>
        <w:jc w:val="left"/>
        <w:tblInd w:w="0" w:type="dxa"/>
        <w:tblLayout w:type="fixed"/>
        <w:tblCellMar>
          <w:top w:w="28" w:type="dxa"/>
          <w:left w:w="28" w:type="dxa"/>
          <w:bottom w:w="28" w:type="dxa"/>
          <w:right w:w="28" w:type="dxa"/>
        </w:tblCellMar>
      </w:tblPr>
      <w:tblGrid>
        <w:gridCol w:w="1321"/>
        <w:gridCol w:w="1160"/>
        <w:gridCol w:w="1643"/>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4"/>
              </w:rPr>
            </w:pPr>
            <w:r>
              <w:rPr>
                <w:rFonts w:ascii="Roboto;sans-serif" w:hAnsi="Roboto;sans-serif"/>
                <w:b/>
                <w:color w:val="DF1995"/>
                <w:sz w:val="24"/>
              </w:rPr>
              <w:t>ITEM 3. LEGAL PROCEEDINGS</w:t>
            </w:r>
          </w:p>
        </w:tc>
      </w:tr>
    </w:tbl>
    <w:tbl>
      <w:tblPr>
        <w:tblW w:w="4080" w:type="dxa"/>
        <w:jc w:val="left"/>
        <w:tblInd w:w="0" w:type="dxa"/>
        <w:tblLayout w:type="fixed"/>
        <w:tblCellMar>
          <w:top w:w="28" w:type="dxa"/>
          <w:left w:w="28" w:type="dxa"/>
          <w:bottom w:w="28" w:type="dxa"/>
          <w:right w:w="28" w:type="dxa"/>
        </w:tblCellMar>
      </w:tblPr>
      <w:tblGrid>
        <w:gridCol w:w="1307"/>
        <w:gridCol w:w="1149"/>
        <w:gridCol w:w="1624"/>
      </w:tblGrid>
      <w:tr>
        <w:trPr/>
        <w:tc>
          <w:tcPr>
            <w:tcW w:w="130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U.S. District Court Proceedings</w:t>
            </w:r>
          </w:p>
        </w:tc>
      </w:tr>
    </w:tbl>
    <w:p>
      <w:pPr>
        <w:pStyle w:val="TextBody"/>
        <w:bidi w:val="0"/>
        <w:spacing w:lineRule="auto" w:line="288" w:before="120" w:after="283"/>
        <w:jc w:val="both"/>
        <w:rPr/>
      </w:pPr>
      <w:r>
        <w:rPr>
          <w:rFonts w:ascii="Roboto;sans-serif" w:hAnsi="Roboto;sans-serif"/>
          <w:b w:val="false"/>
          <w:color w:val="000000"/>
          <w:sz w:val="20"/>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w:t>
      </w:r>
      <w:r>
        <w:rPr>
          <w:color w:val="000000"/>
        </w:rPr>
        <w:t xml:space="preserve"> </w:t>
      </w:r>
      <w:r>
        <w:rPr>
          <w:rFonts w:ascii="Roboto;sans-serif" w:hAnsi="Roboto;sans-serif"/>
          <w:b w:val="false"/>
          <w:color w:val="000000"/>
          <w:sz w:val="20"/>
          <w:shd w:fill="FFFFFF" w:val="clear"/>
        </w:rPr>
        <w:t>The complaint alleges that our Sequel systems and Sequel II systems infringe the ‘441 Patent. The complaint seeks unspecified monetary damages and an order enjoining us from infringing the ’441 Patent.</w:t>
      </w:r>
      <w:r>
        <w:rPr>
          <w:color w:val="000000"/>
        </w:rPr>
        <w:t xml:space="preserve"> </w:t>
      </w:r>
      <w:r>
        <w:rPr>
          <w:rFonts w:ascii="Roboto;sans-serif" w:hAnsi="Roboto;sans-serif"/>
          <w:b w:val="false"/>
          <w:color w:val="000000"/>
          <w:sz w:val="20"/>
        </w:rPr>
        <w:t>On November 20, 2019, we filed our answer to the complaint, denying infringement and seeking declaratory judgements of non-infringement and invalidity of the ‘441 Patent.</w:t>
      </w:r>
    </w:p>
    <w:p>
      <w:pPr>
        <w:pStyle w:val="TextBody"/>
        <w:bidi w:val="0"/>
        <w:spacing w:lineRule="auto" w:line="288" w:before="120" w:after="283"/>
        <w:jc w:val="both"/>
        <w:rPr/>
      </w:pPr>
      <w:r>
        <w:rPr>
          <w:rFonts w:ascii="Roboto;sans-serif" w:hAnsi="Roboto;sans-serif"/>
          <w:b w:val="false"/>
          <w:color w:val="000000"/>
          <w:sz w:val="20"/>
        </w:rPr>
        <w:t xml:space="preserve">On June 22, 2020, we filed a petition requesting institution of an inter-partes review ("IPR") to the Patent Trial and Appeals Board (the “Board”) at the United States Patent Office </w:t>
      </w:r>
      <w:r>
        <w:rPr>
          <w:rFonts w:ascii="Roboto;sans-serif" w:hAnsi="Roboto;sans-serif"/>
          <w:b w:val="false"/>
          <w:color w:val="000000"/>
          <w:sz w:val="20"/>
          <w:shd w:fill="FFFFFF" w:val="clear"/>
        </w:rPr>
        <w:t>(IPR2020-01163)</w:t>
      </w:r>
      <w:r>
        <w:rPr>
          <w:color w:val="000000"/>
        </w:rPr>
        <w:t xml:space="preserve"> </w:t>
      </w:r>
      <w:r>
        <w:rPr>
          <w:rFonts w:ascii="Roboto;sans-serif" w:hAnsi="Roboto;sans-serif"/>
          <w:b w:val="false"/>
          <w:color w:val="000000"/>
          <w:sz w:val="20"/>
        </w:rPr>
        <w:t xml:space="preserve">requesting the Board to find a set of claims in the ‘441 Patent invalid. On June 27, 2020, we filed a second petition </w:t>
      </w:r>
      <w:r>
        <w:rPr>
          <w:rFonts w:ascii="Roboto;sans-serif" w:hAnsi="Roboto;sans-serif"/>
          <w:b w:val="false"/>
          <w:color w:val="000000"/>
          <w:sz w:val="20"/>
          <w:shd w:fill="FFFFFF" w:val="clear"/>
        </w:rPr>
        <w:t xml:space="preserve">(IPR2020-01200) </w:t>
      </w:r>
      <w:r>
        <w:rPr>
          <w:rFonts w:ascii="Roboto;sans-serif" w:hAnsi="Roboto;sans-serif"/>
          <w:b w:val="false"/>
          <w:color w:val="000000"/>
          <w:sz w:val="20"/>
        </w:rPr>
        <w:t xml:space="preserve">requesting institution of an IPR requesting the Board to find another set of claims in the ‘441 Patent invalid. The two petitions (the “PacBio IPR Petitions”) together asserted that all of the claims relevant to the PGI complaint are invalid. On January 19, 2021, the Board ordered that both PacBio IPR Petitions be instituted on all grounds presented. On January 18, 2022, the Board issued decisions on the two IPRs. In one IPR, all challenged claims were found unpatentable, including PGI’s core device claims. In the second IPR, the Board did not find the disputed claims unpatentable. </w:t>
      </w:r>
      <w:r>
        <w:rPr>
          <w:rFonts w:ascii="Roboto;sans-serif" w:hAnsi="Roboto;sans-serif"/>
          <w:b w:val="false"/>
          <w:color w:val="000000"/>
          <w:sz w:val="20"/>
          <w:shd w:fill="FFFFFF" w:val="clear"/>
        </w:rPr>
        <w:t xml:space="preserve">PGI and PacBio each </w:t>
      </w:r>
      <w:r>
        <w:rPr>
          <w:rFonts w:ascii="Roboto;sans-serif" w:hAnsi="Roboto;sans-serif"/>
          <w:b w:val="false"/>
          <w:color w:val="000000"/>
          <w:sz w:val="20"/>
        </w:rPr>
        <w:t xml:space="preserve">appealed to the U.S. Court of Appeals for the Federal Circuit, which </w:t>
      </w:r>
      <w:r>
        <w:rPr>
          <w:rFonts w:ascii="Roboto;sans-serif" w:hAnsi="Roboto;sans-serif"/>
          <w:b w:val="false"/>
          <w:color w:val="000000"/>
          <w:sz w:val="20"/>
          <w:shd w:fill="FFFFFF" w:val="clear"/>
        </w:rPr>
        <w:t>affirmed both IPR decisions on</w:t>
      </w:r>
      <w:r>
        <w:rPr>
          <w:color w:val="000000"/>
        </w:rPr>
        <w:t xml:space="preserve"> </w:t>
      </w:r>
      <w:r>
        <w:rPr>
          <w:rFonts w:ascii="Roboto;sans-serif" w:hAnsi="Roboto;sans-serif"/>
          <w:b w:val="false"/>
          <w:color w:val="000000"/>
          <w:sz w:val="20"/>
        </w:rPr>
        <w:t>January 9, 2024.</w:t>
      </w:r>
    </w:p>
    <w:p>
      <w:pPr>
        <w:pStyle w:val="TextBody"/>
        <w:bidi w:val="0"/>
        <w:spacing w:lineRule="auto" w:line="288" w:before="120" w:after="283"/>
        <w:jc w:val="both"/>
        <w:rPr/>
      </w:pPr>
      <w:r>
        <w:rPr>
          <w:rFonts w:ascii="Roboto;sans-serif" w:hAnsi="Roboto;sans-serif"/>
          <w:b w:val="false"/>
          <w:color w:val="000000"/>
          <w:sz w:val="20"/>
        </w:rPr>
        <w:t xml:space="preserve">On August 25, 2020, the court ordered a stay of the PGI District Court matter based on a joint stipulation by the parties pending a final written decision on the IPRs. Following the final written decisions on the IPRs described above, on February 2, 2022, the judge ordered that the PGI District Court matter be reopened. However, in a subsequent order dated September 15, 2022, the judge stayed the PGI District Court matter pending a final decision by the U.S. Court of Appeals for the Federal Circuit regarding the appeal described above. </w:t>
      </w:r>
      <w:r>
        <w:rPr>
          <w:rFonts w:ascii="Roboto;sans-serif" w:hAnsi="Roboto;sans-serif"/>
          <w:b w:val="false"/>
          <w:color w:val="000000"/>
          <w:sz w:val="20"/>
          <w:shd w:fill="FFFFFF" w:val="clear"/>
        </w:rPr>
        <w:t xml:space="preserve">On February 26, 2024, we moved to transfer the case from the District of Delaware to the Northern District of California and that motion was granted on June 18, 2024. On March 18, 2024, the parties filed a joint status report in which PGI requested the Court set a revised scheduling order and we requested grant of our motion to transfer and proposed an alternate scheduling order. A case management conference was held on October 10, 2024 and the Court set a trial date of October 5, 2026. </w:t>
      </w:r>
      <w:r>
        <w:rPr>
          <w:rFonts w:ascii="Roboto;sans-serif" w:hAnsi="Roboto;sans-serif"/>
          <w:b w:val="false"/>
          <w:color w:val="000000"/>
          <w:sz w:val="20"/>
        </w:rPr>
        <w:t>We plan to vigorously defend against the remaining claims.</w:t>
      </w:r>
    </w:p>
    <w:tbl>
      <w:tblPr>
        <w:tblW w:w="2519" w:type="dxa"/>
        <w:jc w:val="left"/>
        <w:tblInd w:w="0" w:type="dxa"/>
        <w:tblLayout w:type="fixed"/>
        <w:tblCellMar>
          <w:top w:w="28" w:type="dxa"/>
          <w:left w:w="28" w:type="dxa"/>
          <w:bottom w:w="28" w:type="dxa"/>
          <w:right w:w="28" w:type="dxa"/>
        </w:tblCellMar>
      </w:tblPr>
      <w:tblGrid>
        <w:gridCol w:w="807"/>
        <w:gridCol w:w="709"/>
        <w:gridCol w:w="1003"/>
      </w:tblGrid>
      <w:tr>
        <w:trPr/>
        <w:tc>
          <w:tcPr>
            <w:tcW w:w="8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Other Proceedings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70" w:type="dxa"/>
        <w:jc w:val="left"/>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4"/>
              </w:rPr>
            </w:pPr>
            <w:r>
              <w:rPr>
                <w:rFonts w:ascii="Roboto;sans-serif" w:hAnsi="Roboto;sans-serif"/>
                <w:b/>
                <w:color w:val="DF1995"/>
                <w:sz w:val="24"/>
              </w:rPr>
              <w:t>ITEM 4. MINE SAFETY DISCLOSURES</w:t>
            </w:r>
          </w:p>
        </w:tc>
      </w:tr>
    </w:tbl>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12520"/>
                <wp:effectExtent l="0" t="0" r="0" b="0"/>
                <wp:wrapNone/>
                <wp:docPr id="170" name="Frame5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58" descr=""/>
                                                <pic:cNvPicPr>
                                                  <a:picLocks noChangeAspect="1" noChangeArrowheads="1"/>
                                                </pic:cNvPicPr>
                                              </pic:nvPicPr>
                                              <pic:blipFill>
                                                <a:blip r:embed="rId113"/>
                                                <a:stretch>
                                                  <a:fillRect/>
                                                </a:stretch>
                                              </pic:blipFill>
                                              <pic:spPr bwMode="auto">
                                                <a:xfrm>
                                                  <a:off x="0" y="0"/>
                                                  <a:ext cx="457200" cy="95250"/>
                                                </a:xfrm>
                                                <a:prstGeom prst="rect">
                                                  <a:avLst/>
                                                </a:prstGeom>
                                              </pic:spPr>
                                            </pic:pic>
                                          </a:graphicData>
                                        </a:graphic>
                                      </wp:inline>
                                    </w:drawing>
                                  </w:r>
                                  <w:bookmarkStart w:id="115" w:name="i-58"/>
                                  <w:bookmarkEnd w:id="11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58" descr=""/>
                                          <pic:cNvPicPr>
                                            <a:picLocks noChangeAspect="1" noChangeArrowheads="1"/>
                                          </pic:cNvPicPr>
                                        </pic:nvPicPr>
                                        <pic:blipFill>
                                          <a:blip r:embed="rId114"/>
                                          <a:stretch>
                                            <a:fillRect/>
                                          </a:stretch>
                                        </pic:blipFill>
                                        <pic:spPr bwMode="auto">
                                          <a:xfrm>
                                            <a:off x="0" y="0"/>
                                            <a:ext cx="457200" cy="95250"/>
                                          </a:xfrm>
                                          <a:prstGeom prst="rect">
                                            <a:avLst/>
                                          </a:prstGeom>
                                        </pic:spPr>
                                      </pic:pic>
                                    </a:graphicData>
                                  </a:graphic>
                                </wp:inline>
                              </w:drawing>
                            </w:r>
                            <w:bookmarkStart w:id="116" w:name="i-58"/>
                            <w:bookmarkEnd w:id="11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center"/>
        <w:rPr>
          <w:rFonts w:ascii="Roboto;sans-serif" w:hAnsi="Roboto;sans-serif"/>
          <w:b/>
          <w:color w:val="DF1995"/>
          <w:sz w:val="24"/>
        </w:rPr>
      </w:pPr>
      <w:r>
        <w:rPr>
          <w:rFonts w:ascii="Roboto;sans-serif" w:hAnsi="Roboto;sans-serif"/>
          <w:b/>
          <w:color w:val="DF1995"/>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8"/>
        <w:gridCol w:w="2870"/>
        <w:gridCol w:w="4067"/>
      </w:tblGrid>
      <w:tr>
        <w:trPr/>
        <w:tc>
          <w:tcPr>
            <w:tcW w:w="3268"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jc w:val="left"/>
              <w:rPr>
                <w:rFonts w:ascii="Roboto;sans-serif" w:hAnsi="Roboto;sans-serif"/>
                <w:b/>
                <w:color w:val="DF1995"/>
                <w:sz w:val="24"/>
              </w:rPr>
            </w:pPr>
            <w:r>
              <w:rPr>
                <w:rFonts w:ascii="Roboto;sans-serif" w:hAnsi="Roboto;sans-serif"/>
                <w:b/>
                <w:color w:val="DF1995"/>
                <w:sz w:val="24"/>
              </w:rPr>
              <w:t xml:space="preserve">ITEM 5. MARKET FOR REGISTRANT’S COMMON EQUITY, RELATED STOCKHOLDER MATTERS AND ISSUER PURCHASES OF EQUITY SECURITIES </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common stock is traded on The Nasdaq Global Select Market under the symbol “PACB.”</w:t>
      </w:r>
    </w:p>
    <w:tbl>
      <w:tblPr>
        <w:tblW w:w="2429" w:type="dxa"/>
        <w:jc w:val="left"/>
        <w:tblInd w:w="0" w:type="dxa"/>
        <w:tblLayout w:type="fixed"/>
        <w:tblCellMar>
          <w:top w:w="28" w:type="dxa"/>
          <w:left w:w="28" w:type="dxa"/>
          <w:bottom w:w="28" w:type="dxa"/>
          <w:right w:w="28" w:type="dxa"/>
        </w:tblCellMar>
      </w:tblPr>
      <w:tblGrid>
        <w:gridCol w:w="777"/>
        <w:gridCol w:w="683"/>
        <w:gridCol w:w="969"/>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Holders of Record</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January 31, 2026, there were approximately 75 stockholders of record of our common stock, although we believe that there are a significantly larger number of beneficial owners of our common stock.</w:t>
      </w:r>
    </w:p>
    <w:tbl>
      <w:tblPr>
        <w:tblW w:w="2114" w:type="dxa"/>
        <w:jc w:val="left"/>
        <w:tblInd w:w="0" w:type="dxa"/>
        <w:tblLayout w:type="fixed"/>
        <w:tblCellMar>
          <w:top w:w="28" w:type="dxa"/>
          <w:left w:w="28" w:type="dxa"/>
          <w:bottom w:w="28" w:type="dxa"/>
          <w:right w:w="28" w:type="dxa"/>
        </w:tblCellMar>
      </w:tblPr>
      <w:tblGrid>
        <w:gridCol w:w="676"/>
        <w:gridCol w:w="594"/>
        <w:gridCol w:w="844"/>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Dividend Policy</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never declared or paid any cash dividend on our common stock and have no present plans to do so. We intend to retain earnings for use in the operation and expansion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12520"/>
                <wp:effectExtent l="0" t="0" r="0" b="0"/>
                <wp:wrapNone/>
                <wp:docPr id="173" name="Frame6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59" descr=""/>
                                                <pic:cNvPicPr>
                                                  <a:picLocks noChangeAspect="1" noChangeArrowheads="1"/>
                                                </pic:cNvPicPr>
                                              </pic:nvPicPr>
                                              <pic:blipFill>
                                                <a:blip r:embed="rId115"/>
                                                <a:stretch>
                                                  <a:fillRect/>
                                                </a:stretch>
                                              </pic:blipFill>
                                              <pic:spPr bwMode="auto">
                                                <a:xfrm>
                                                  <a:off x="0" y="0"/>
                                                  <a:ext cx="457200" cy="95250"/>
                                                </a:xfrm>
                                                <a:prstGeom prst="rect">
                                                  <a:avLst/>
                                                </a:prstGeom>
                                              </pic:spPr>
                                            </pic:pic>
                                          </a:graphicData>
                                        </a:graphic>
                                      </wp:inline>
                                    </w:drawing>
                                  </w:r>
                                  <w:bookmarkStart w:id="117" w:name="i-59"/>
                                  <w:bookmarkEnd w:id="11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59" descr=""/>
                                          <pic:cNvPicPr>
                                            <a:picLocks noChangeAspect="1" noChangeArrowheads="1"/>
                                          </pic:cNvPicPr>
                                        </pic:nvPicPr>
                                        <pic:blipFill>
                                          <a:blip r:embed="rId116"/>
                                          <a:stretch>
                                            <a:fillRect/>
                                          </a:stretch>
                                        </pic:blipFill>
                                        <pic:spPr bwMode="auto">
                                          <a:xfrm>
                                            <a:off x="0" y="0"/>
                                            <a:ext cx="457200" cy="95250"/>
                                          </a:xfrm>
                                          <a:prstGeom prst="rect">
                                            <a:avLst/>
                                          </a:prstGeom>
                                        </pic:spPr>
                                      </pic:pic>
                                    </a:graphicData>
                                  </a:graphic>
                                </wp:inline>
                              </w:drawing>
                            </w:r>
                            <w:bookmarkStart w:id="118" w:name="i-59"/>
                            <w:bookmarkEnd w:id="11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2625" w:type="dxa"/>
        <w:jc w:val="left"/>
        <w:tblInd w:w="0" w:type="dxa"/>
        <w:tblLayout w:type="fixed"/>
        <w:tblCellMar>
          <w:top w:w="28" w:type="dxa"/>
          <w:left w:w="28" w:type="dxa"/>
          <w:bottom w:w="28" w:type="dxa"/>
          <w:right w:w="28" w:type="dxa"/>
        </w:tblCellMar>
      </w:tblPr>
      <w:tblGrid>
        <w:gridCol w:w="841"/>
        <w:gridCol w:w="739"/>
        <w:gridCol w:w="1045"/>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Performance Graph</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performance graph included in this Annual Report on Form 10-K shall not be deemed “filed” for purposes of Section 18 of the Exchange Act, or incorporated by reference into any filing of Pacific Biosciences under the Securities Act or the Exchange Act, except as shall be expressly set forth by specific reference in such filing.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graph shows a comparison from December 31, 2020 through December 31, 2025 of the cumulative total return for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pStyle w:val="TextBody"/>
        <w:bidi w:val="0"/>
        <w:spacing w:before="120" w:after="283"/>
        <w:jc w:val="center"/>
        <w:rPr/>
      </w:pPr>
      <w:r>
        <w:rPr/>
        <w:drawing>
          <wp:inline distT="0" distB="0" distL="0" distR="0">
            <wp:extent cx="6286500" cy="5219700"/>
            <wp:effectExtent l="0" t="0" r="0" b="0"/>
            <wp:docPr id="17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0" descr=""/>
                    <pic:cNvPicPr>
                      <a:picLocks noChangeAspect="1" noChangeArrowheads="1"/>
                    </pic:cNvPicPr>
                  </pic:nvPicPr>
                  <pic:blipFill>
                    <a:blip r:embed="rId117"/>
                    <a:stretch>
                      <a:fillRect/>
                    </a:stretch>
                  </pic:blipFill>
                  <pic:spPr bwMode="auto">
                    <a:xfrm>
                      <a:off x="0" y="0"/>
                      <a:ext cx="6286500" cy="5219700"/>
                    </a:xfrm>
                    <a:prstGeom prst="rect">
                      <a:avLst/>
                    </a:prstGeom>
                  </pic:spPr>
                </pic:pic>
              </a:graphicData>
            </a:graphic>
          </wp:inline>
        </w:drawing>
      </w:r>
      <w:bookmarkStart w:id="119" w:name="i-60"/>
      <w:bookmarkEnd w:id="119"/>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79" w:type="dxa"/>
        <w:jc w:val="left"/>
        <w:tblInd w:w="0" w:type="dxa"/>
        <w:tblLayout w:type="fixed"/>
        <w:tblCellMar>
          <w:top w:w="28" w:type="dxa"/>
          <w:left w:w="28" w:type="dxa"/>
          <w:bottom w:w="28" w:type="dxa"/>
          <w:right w:w="28" w:type="dxa"/>
        </w:tblCellMar>
      </w:tblPr>
      <w:tblGrid>
        <w:gridCol w:w="921"/>
        <w:gridCol w:w="808"/>
        <w:gridCol w:w="1150"/>
      </w:tblGrid>
      <w:tr>
        <w:trPr/>
        <w:tc>
          <w:tcPr>
            <w:tcW w:w="92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6. [RESERVED]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12520"/>
                <wp:effectExtent l="0" t="0" r="0" b="0"/>
                <wp:wrapNone/>
                <wp:docPr id="177" name="Frame6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1" descr=""/>
                                                <pic:cNvPicPr>
                                                  <a:picLocks noChangeAspect="1" noChangeArrowheads="1"/>
                                                </pic:cNvPicPr>
                                              </pic:nvPicPr>
                                              <pic:blipFill>
                                                <a:blip r:embed="rId118"/>
                                                <a:stretch>
                                                  <a:fillRect/>
                                                </a:stretch>
                                              </pic:blipFill>
                                              <pic:spPr bwMode="auto">
                                                <a:xfrm>
                                                  <a:off x="0" y="0"/>
                                                  <a:ext cx="457200" cy="95250"/>
                                                </a:xfrm>
                                                <a:prstGeom prst="rect">
                                                  <a:avLst/>
                                                </a:prstGeom>
                                              </pic:spPr>
                                            </pic:pic>
                                          </a:graphicData>
                                        </a:graphic>
                                      </wp:inline>
                                    </w:drawing>
                                  </w:r>
                                  <w:bookmarkStart w:id="120" w:name="i-61"/>
                                  <w:bookmarkEnd w:id="12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1" descr=""/>
                                          <pic:cNvPicPr>
                                            <a:picLocks noChangeAspect="1" noChangeArrowheads="1"/>
                                          </pic:cNvPicPr>
                                        </pic:nvPicPr>
                                        <pic:blipFill>
                                          <a:blip r:embed="rId119"/>
                                          <a:stretch>
                                            <a:fillRect/>
                                          </a:stretch>
                                        </pic:blipFill>
                                        <pic:spPr bwMode="auto">
                                          <a:xfrm>
                                            <a:off x="0" y="0"/>
                                            <a:ext cx="457200" cy="95250"/>
                                          </a:xfrm>
                                          <a:prstGeom prst="rect">
                                            <a:avLst/>
                                          </a:prstGeom>
                                        </pic:spPr>
                                      </pic:pic>
                                    </a:graphicData>
                                  </a:graphic>
                                </wp:inline>
                              </w:drawing>
                            </w:r>
                            <w:bookmarkStart w:id="121" w:name="i-61"/>
                            <w:bookmarkEnd w:id="12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3264"/>
        <w:gridCol w:w="2868"/>
        <w:gridCol w:w="4073"/>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7. MANAGEMENT’S DISCUSSION AND ANALYSIS OF FINANCIAL CONDITION AND RESULTS OF OPERATIONS</w:t>
            </w:r>
          </w:p>
        </w:tc>
      </w:tr>
    </w:tbl>
    <w:p>
      <w:pPr>
        <w:pStyle w:val="TextBody"/>
        <w:bidi w:val="0"/>
        <w:spacing w:lineRule="auto" w:line="288" w:before="120" w:after="283"/>
        <w:jc w:val="both"/>
        <w:rPr>
          <w:rFonts w:ascii="Roboto;sans-serif" w:hAnsi="Roboto;sans-serif"/>
          <w:b w:val="false"/>
          <w:i/>
          <w:color w:val="000000"/>
          <w:sz w:val="20"/>
        </w:rPr>
      </w:pPr>
      <w:r>
        <w:rPr>
          <w:rFonts w:ascii="Roboto;sans-serif" w:hAnsi="Roboto;sans-serif"/>
          <w:b w:val="false"/>
          <w:i/>
          <w:color w:val="000000"/>
          <w:sz w:val="20"/>
        </w:rPr>
        <w:t>You should read the following discussion and analysis of our financial condition and results of operations together with our consolidated financial statements and the related notes included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read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pStyle w:val="TextBody"/>
        <w:bidi w:val="0"/>
        <w:spacing w:lineRule="auto" w:line="288" w:before="120" w:after="60"/>
        <w:jc w:val="both"/>
        <w:rPr>
          <w:rFonts w:ascii="Roboto;sans-serif" w:hAnsi="Roboto;sans-serif"/>
          <w:b w:val="false"/>
          <w:color w:val="000000"/>
          <w:sz w:val="20"/>
        </w:rPr>
      </w:pPr>
      <w:r>
        <w:rPr>
          <w:rFonts w:ascii="Roboto;sans-serif" w:hAnsi="Roboto;sans-serif"/>
          <w:b w:val="false"/>
          <w:color w:val="000000"/>
          <w:sz w:val="20"/>
        </w:rPr>
        <w:t xml:space="preserve">Our Management’s Discussion and Analysis ("MD&amp;A") is organized in the following sections: </w:t>
      </w:r>
    </w:p>
    <w:tbl>
      <w:tblPr>
        <w:tblW w:w="4349" w:type="dxa"/>
        <w:jc w:val="left"/>
        <w:tblInd w:w="0" w:type="dxa"/>
        <w:tblLayout w:type="fixed"/>
        <w:tblCellMar>
          <w:top w:w="28" w:type="dxa"/>
          <w:left w:w="28" w:type="dxa"/>
          <w:bottom w:w="28" w:type="dxa"/>
          <w:right w:w="28" w:type="dxa"/>
        </w:tblCellMar>
      </w:tblPr>
      <w:tblGrid>
        <w:gridCol w:w="1391"/>
        <w:gridCol w:w="1222"/>
        <w:gridCol w:w="1736"/>
      </w:tblGrid>
      <w:tr>
        <w:trPr/>
        <w:tc>
          <w:tcPr>
            <w:tcW w:w="139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Overview and Outlook </w:t>
            </w:r>
          </w:p>
          <w:p>
            <w:pPr>
              <w:pStyle w:val="TableContents"/>
              <w:bidi w:val="0"/>
              <w:spacing w:lineRule="auto" w:line="288" w:before="60" w:after="283"/>
              <w:ind w:left="0" w:right="0" w:hanging="360"/>
              <w:jc w:val="both"/>
              <w:rPr/>
            </w:pPr>
            <w:r>
              <w:rPr>
                <w:color w:val="DF1995"/>
              </w:rPr>
              <w:t>•</w:t>
            </w:r>
            <w:r>
              <w:rPr>
                <w:rFonts w:ascii="Roboto;sans-serif" w:hAnsi="Roboto;sans-serif"/>
                <w:b w:val="false"/>
                <w:color w:val="000000"/>
                <w:sz w:val="20"/>
              </w:rPr>
              <w:t xml:space="preserve">Results of Operations </w:t>
            </w:r>
          </w:p>
          <w:p>
            <w:pPr>
              <w:pStyle w:val="TableContents"/>
              <w:bidi w:val="0"/>
              <w:spacing w:lineRule="auto" w:line="288" w:before="60" w:after="283"/>
              <w:ind w:left="0" w:right="0" w:hanging="360"/>
              <w:jc w:val="both"/>
              <w:rPr/>
            </w:pPr>
            <w:r>
              <w:rPr>
                <w:color w:val="DF1995"/>
              </w:rPr>
              <w:t>•</w:t>
            </w:r>
            <w:r>
              <w:rPr>
                <w:rFonts w:ascii="Roboto;sans-serif" w:hAnsi="Roboto;sans-serif"/>
                <w:b w:val="false"/>
                <w:color w:val="000000"/>
                <w:sz w:val="20"/>
              </w:rPr>
              <w:t>Liquidity and Capital Resources</w:t>
            </w:r>
          </w:p>
          <w:p>
            <w:pPr>
              <w:pStyle w:val="TableContents"/>
              <w:bidi w:val="0"/>
              <w:spacing w:lineRule="auto" w:line="288" w:before="60" w:after="283"/>
              <w:ind w:left="0" w:right="0" w:hanging="360"/>
              <w:jc w:val="both"/>
              <w:rPr/>
            </w:pPr>
            <w:r>
              <w:rPr>
                <w:color w:val="DF1995"/>
              </w:rPr>
              <w:t>•</w:t>
            </w:r>
            <w:r>
              <w:rPr>
                <w:rFonts w:ascii="Roboto;sans-serif" w:hAnsi="Roboto;sans-serif"/>
                <w:b w:val="false"/>
                <w:color w:val="000000"/>
                <w:sz w:val="20"/>
              </w:rPr>
              <w:t>Off Balance Sheet Arrangements</w:t>
            </w:r>
          </w:p>
          <w:p>
            <w:pPr>
              <w:pStyle w:val="TableContents"/>
              <w:bidi w:val="0"/>
              <w:spacing w:lineRule="auto" w:line="288" w:before="60" w:after="283"/>
              <w:ind w:left="0" w:right="0" w:hanging="360"/>
              <w:jc w:val="both"/>
              <w:rPr/>
            </w:pPr>
            <w:r>
              <w:rPr>
                <w:color w:val="DF1995"/>
              </w:rPr>
              <w:t>•</w:t>
            </w:r>
            <w:r>
              <w:rPr>
                <w:rFonts w:ascii="Roboto;sans-serif" w:hAnsi="Roboto;sans-serif"/>
                <w:b w:val="false"/>
                <w:color w:val="000000"/>
                <w:sz w:val="20"/>
              </w:rPr>
              <w:t>Critical Accounting Policies and Estimates</w:t>
            </w:r>
          </w:p>
          <w:p>
            <w:pPr>
              <w:pStyle w:val="TableContents"/>
              <w:bidi w:val="0"/>
              <w:spacing w:lineRule="auto" w:line="288" w:before="60" w:after="283"/>
              <w:ind w:left="0" w:right="0" w:hanging="360"/>
              <w:jc w:val="both"/>
              <w:rPr/>
            </w:pPr>
            <w:r>
              <w:rPr>
                <w:color w:val="DF1995"/>
              </w:rPr>
              <w:t>•</w:t>
            </w:r>
            <w:r>
              <w:rPr>
                <w:rFonts w:ascii="Roboto;sans-serif" w:hAnsi="Roboto;sans-serif"/>
                <w:b w:val="false"/>
                <w:color w:val="000000"/>
                <w:sz w:val="20"/>
              </w:rPr>
              <w:t>Recent Accounting Pronouncements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94" w:type="dxa"/>
        <w:jc w:val="left"/>
        <w:tblInd w:w="0" w:type="dxa"/>
        <w:tblLayout w:type="fixed"/>
        <w:tblCellMar>
          <w:top w:w="28" w:type="dxa"/>
          <w:left w:w="28" w:type="dxa"/>
          <w:bottom w:w="28" w:type="dxa"/>
          <w:right w:w="28" w:type="dxa"/>
        </w:tblCellMar>
      </w:tblPr>
      <w:tblGrid>
        <w:gridCol w:w="1119"/>
        <w:gridCol w:w="980"/>
        <w:gridCol w:w="1395"/>
      </w:tblGrid>
      <w:tr>
        <w:trPr/>
        <w:tc>
          <w:tcPr>
            <w:tcW w:w="111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OVERVIEW AND OUTLOOK</w:t>
            </w:r>
          </w:p>
        </w:tc>
      </w:tr>
    </w:tbl>
    <w:tbl>
      <w:tblPr>
        <w:tblW w:w="1844" w:type="dxa"/>
        <w:jc w:val="left"/>
        <w:tblInd w:w="0" w:type="dxa"/>
        <w:tblLayout w:type="fixed"/>
        <w:tblCellMar>
          <w:top w:w="28" w:type="dxa"/>
          <w:left w:w="28" w:type="dxa"/>
          <w:bottom w:w="28" w:type="dxa"/>
          <w:right w:w="28" w:type="dxa"/>
        </w:tblCellMar>
      </w:tblPr>
      <w:tblGrid>
        <w:gridCol w:w="590"/>
        <w:gridCol w:w="519"/>
        <w:gridCol w:w="735"/>
      </w:tblGrid>
      <w:tr>
        <w:trPr/>
        <w:tc>
          <w:tcPr>
            <w:tcW w:w="5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About PacBio</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a premier life science technology company that designs, develops, and manufactures advanced sequencing solutions that enable scientists and clinical researchers to improve their understanding of the genome and ultimately, resolve genetically complex problems.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and technology, which include our HiFi long-read sequencing technology, address a broad set of applications including human germline sequencing, plant and animal sciences, infectious disease and microbiology, oncology, and other emerging applications.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focus is on creating some of the world’s most advanced sequencing systems to provide our customers with the most complete and accurate view of genomes, transcriptomes, and epigenomes.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customers include academic and governmental research institutions, commercial testing and service laboratories, genome centers, public health labs, hospitals and clinical research institutes, CROs, pharmaceutical companies, and agricultural companies.</w:t>
      </w:r>
    </w:p>
    <w:tbl>
      <w:tblPr>
        <w:tblW w:w="2939" w:type="dxa"/>
        <w:jc w:val="left"/>
        <w:tblInd w:w="0" w:type="dxa"/>
        <w:tblLayout w:type="fixed"/>
        <w:tblCellMar>
          <w:top w:w="28" w:type="dxa"/>
          <w:left w:w="28" w:type="dxa"/>
          <w:bottom w:w="28" w:type="dxa"/>
          <w:right w:w="28" w:type="dxa"/>
        </w:tblCellMar>
      </w:tblPr>
      <w:tblGrid>
        <w:gridCol w:w="941"/>
        <w:gridCol w:w="826"/>
        <w:gridCol w:w="1172"/>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DF1995"/>
                <w:sz w:val="22"/>
              </w:rPr>
            </w:pPr>
            <w:r>
              <w:rPr>
                <w:rFonts w:ascii="Roboto;sans-serif" w:hAnsi="Roboto;sans-serif"/>
                <w:b/>
                <w:color w:val="DF1995"/>
                <w:sz w:val="22"/>
              </w:rPr>
              <w:t>Recent Developments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January 30, 2026, we completed a disposition of assets to Buyer in accordance with the terms of the Asset Purchase Agreement, pursuant to which, among other matters, Buyer acquired certain intellectual property and other assets related to our short-read DNA sequencing technology and related clustering, sequencing reagent, and detection technologies. As consideration for the Asset Sale, Buyer paid us $50.0 million in cash and assumed certain liabilities. In addition, Buyer granted us a non-exclusive license to certain intellectual property included in the purchased assets. In connection with the Asset Sale, Buyer will pay at our direction 4% of the net proceeds from the Purchase Price to the former equity holders of Apton related to the waiver of all remaining milestone obligations associated with our purchase of Apton in August 2023, which payment is expected in the first quarter of 2026. As a result, we received approximately $48.1 million in net cash proceeds from the Asset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12520"/>
                <wp:effectExtent l="0" t="0" r="0" b="0"/>
                <wp:wrapNone/>
                <wp:docPr id="180" name="Frame6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2" descr=""/>
                                                <pic:cNvPicPr>
                                                  <a:picLocks noChangeAspect="1" noChangeArrowheads="1"/>
                                                </pic:cNvPicPr>
                                              </pic:nvPicPr>
                                              <pic:blipFill>
                                                <a:blip r:embed="rId120"/>
                                                <a:stretch>
                                                  <a:fillRect/>
                                                </a:stretch>
                                              </pic:blipFill>
                                              <pic:spPr bwMode="auto">
                                                <a:xfrm>
                                                  <a:off x="0" y="0"/>
                                                  <a:ext cx="457200" cy="95250"/>
                                                </a:xfrm>
                                                <a:prstGeom prst="rect">
                                                  <a:avLst/>
                                                </a:prstGeom>
                                              </pic:spPr>
                                            </pic:pic>
                                          </a:graphicData>
                                        </a:graphic>
                                      </wp:inline>
                                    </w:drawing>
                                  </w:r>
                                  <w:bookmarkStart w:id="122" w:name="i-62"/>
                                  <w:bookmarkEnd w:id="12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2" descr=""/>
                                          <pic:cNvPicPr>
                                            <a:picLocks noChangeAspect="1" noChangeArrowheads="1"/>
                                          </pic:cNvPicPr>
                                        </pic:nvPicPr>
                                        <pic:blipFill>
                                          <a:blip r:embed="rId121"/>
                                          <a:stretch>
                                            <a:fillRect/>
                                          </a:stretch>
                                        </pic:blipFill>
                                        <pic:spPr bwMode="auto">
                                          <a:xfrm>
                                            <a:off x="0" y="0"/>
                                            <a:ext cx="457200" cy="95250"/>
                                          </a:xfrm>
                                          <a:prstGeom prst="rect">
                                            <a:avLst/>
                                          </a:prstGeom>
                                        </pic:spPr>
                                      </pic:pic>
                                    </a:graphicData>
                                  </a:graphic>
                                </wp:inline>
                              </w:drawing>
                            </w:r>
                            <w:bookmarkStart w:id="123" w:name="i-62"/>
                            <w:bookmarkEnd w:id="12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2729" w:type="dxa"/>
        <w:jc w:val="left"/>
        <w:tblInd w:w="0" w:type="dxa"/>
        <w:tblLayout w:type="fixed"/>
        <w:tblCellMar>
          <w:top w:w="28" w:type="dxa"/>
          <w:left w:w="28" w:type="dxa"/>
          <w:bottom w:w="28" w:type="dxa"/>
          <w:right w:w="28" w:type="dxa"/>
        </w:tblCellMar>
      </w:tblPr>
      <w:tblGrid>
        <w:gridCol w:w="873"/>
        <w:gridCol w:w="767"/>
        <w:gridCol w:w="1089"/>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Strategic Objectives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Looking ahead to 2026, our main objectives are to grow revenue and expand gross margins through the following five activities. These initiatives are designed to improve the economics of HiFi sequencing, expand adoption across clinical and research markets, and drive durable growth across our platform portfolio.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Accelerate samples onto the Revio platform through SPRQ-Nx chemistry and application kits.</w:t>
      </w:r>
      <w:r>
        <w:rPr>
          <w:color w:val="000000"/>
        </w:rPr>
        <w:t xml:space="preserve"> </w:t>
      </w:r>
      <w:r>
        <w:rPr>
          <w:rFonts w:ascii="Roboto;sans-serif" w:hAnsi="Roboto;sans-serif"/>
          <w:b w:val="false"/>
          <w:color w:val="000000"/>
          <w:sz w:val="20"/>
        </w:rPr>
        <w:t xml:space="preserve">SPRQ-Nx is designed to lower the cost of sequencing and improve sequencing efficiency, which we believe will support higher throughput, increased sample volumes, and broader adoption of HiFi sequencing in large-scale research studies and clinical applications.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 xml:space="preserve">Expand the capabilities of the Vega benchtop platform to broaden our market reach. </w:t>
      </w:r>
      <w:r>
        <w:rPr>
          <w:rFonts w:ascii="Roboto;sans-serif" w:hAnsi="Roboto;sans-serif"/>
          <w:b w:val="false"/>
          <w:color w:val="000000"/>
          <w:sz w:val="20"/>
        </w:rPr>
        <w:t xml:space="preserve">We plan to enable faster run times and enhanced user experience through software improvements, which are intended to support broader adoption and improve the overall economics of HiFi sequencing.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Progress our clinical strategy to improve outcomes and create durability.</w:t>
      </w:r>
      <w:r>
        <w:rPr>
          <w:color w:val="000000"/>
        </w:rPr>
        <w:t xml:space="preserve"> </w:t>
      </w:r>
      <w:r>
        <w:rPr>
          <w:rFonts w:ascii="Roboto;sans-serif" w:hAnsi="Roboto;sans-serif"/>
          <w:b w:val="false"/>
          <w:color w:val="000000"/>
          <w:sz w:val="20"/>
        </w:rPr>
        <w:t xml:space="preserve">Revio is increasingly being adopted in laboratory-developed test ("LDT") and clinical research settings, supporting consolidation of multiple tests, addressing complex genetic challenges, and driving sustained utilization of HiFi sequencing.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Advance data-driven interpretation through scalable HiFi datasets and analytics.</w:t>
      </w:r>
      <w:r>
        <w:rPr>
          <w:color w:val="000000"/>
        </w:rPr>
        <w:t xml:space="preserve"> </w:t>
      </w:r>
      <w:r>
        <w:rPr>
          <w:rFonts w:ascii="Roboto;sans-serif" w:hAnsi="Roboto;sans-serif"/>
          <w:b w:val="false"/>
          <w:color w:val="000000"/>
          <w:sz w:val="20"/>
        </w:rPr>
        <w:t xml:space="preserve">We are focused on leveraging the accuracy of HiFi sequencing and growing datasets to support advanced data analysis and AI-assisted interpretation approaches. Collaborative initiatives such as the HiFi Solves Global Consortium are designed to aggregate large, well-characterized HiFi datasets, which we believe can support improved understanding of complex genetic variation and disease biology while maintaining expert oversight.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Invest in future product launches to drive platform innovation.</w:t>
      </w:r>
      <w:r>
        <w:rPr>
          <w:color w:val="000000"/>
        </w:rPr>
        <w:t xml:space="preserve"> </w:t>
      </w:r>
      <w:r>
        <w:rPr>
          <w:rFonts w:ascii="Roboto;sans-serif" w:hAnsi="Roboto;sans-serif"/>
          <w:b w:val="false"/>
          <w:color w:val="000000"/>
          <w:sz w:val="20"/>
        </w:rPr>
        <w:t xml:space="preserve">We continue to develop sequencing solutions designed to increase throughput, simplify workflows, lower the cost to sequence a genome, and enhance downstream data analysis and interpretation capabilities, which we believe will allow us to address a larger portion of the market. </w:t>
      </w:r>
    </w:p>
    <w:p>
      <w:pPr>
        <w:pStyle w:val="TextBody"/>
        <w:bidi w:val="0"/>
        <w:spacing w:lineRule="auto" w:line="288" w:before="18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We continue to believe that with the capabilities of our technology, we can be a market leader in whole-genome clinical sequencing. Leading institutions have adopted our products to study rare and inherited disease. We believe the market opportunity for clinical sequencing is significant and could drive substantial revenue growth for the company. We plan to continue to pursue partner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tbl>
      <w:tblPr>
        <w:tblW w:w="2564" w:type="dxa"/>
        <w:jc w:val="left"/>
        <w:tblInd w:w="0" w:type="dxa"/>
        <w:tblLayout w:type="fixed"/>
        <w:tblCellMar>
          <w:top w:w="28" w:type="dxa"/>
          <w:left w:w="28" w:type="dxa"/>
          <w:bottom w:w="28" w:type="dxa"/>
          <w:right w:w="28" w:type="dxa"/>
        </w:tblCellMar>
      </w:tblPr>
      <w:tblGrid>
        <w:gridCol w:w="820"/>
        <w:gridCol w:w="721"/>
        <w:gridCol w:w="1023"/>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Financial Overview</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Key highlights of our 2025 consolidated financial results include the following:</w:t>
      </w:r>
    </w:p>
    <w:tbl>
      <w:tblPr>
        <w:tblW w:w="10205" w:type="dxa"/>
        <w:jc w:val="center"/>
        <w:tblInd w:w="0" w:type="dxa"/>
        <w:tblLayout w:type="fixed"/>
        <w:tblCellMar>
          <w:top w:w="28" w:type="dxa"/>
          <w:left w:w="28" w:type="dxa"/>
          <w:bottom w:w="28" w:type="dxa"/>
          <w:right w:w="28" w:type="dxa"/>
        </w:tblCellMar>
      </w:tblPr>
      <w:tblGrid>
        <w:gridCol w:w="838"/>
        <w:gridCol w:w="737"/>
        <w:gridCol w:w="743"/>
        <w:gridCol w:w="109"/>
        <w:gridCol w:w="109"/>
        <w:gridCol w:w="109"/>
        <w:gridCol w:w="746"/>
        <w:gridCol w:w="746"/>
        <w:gridCol w:w="600"/>
        <w:gridCol w:w="109"/>
        <w:gridCol w:w="109"/>
        <w:gridCol w:w="109"/>
        <w:gridCol w:w="834"/>
        <w:gridCol w:w="801"/>
        <w:gridCol w:w="669"/>
        <w:gridCol w:w="109"/>
        <w:gridCol w:w="109"/>
        <w:gridCol w:w="109"/>
        <w:gridCol w:w="825"/>
        <w:gridCol w:w="694"/>
        <w:gridCol w:w="991"/>
      </w:tblGrid>
      <w:tr>
        <w:trPr/>
        <w:tc>
          <w:tcPr>
            <w:tcW w:w="83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318"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FFFFFF"/>
                <w:sz w:val="20"/>
              </w:rPr>
            </w:pPr>
            <w:r>
              <w:rPr>
                <w:rFonts w:ascii="Roboto;sans-serif" w:hAnsi="Roboto;sans-serif"/>
                <w:b w:val="false"/>
                <w:color w:val="FFFFFF"/>
                <w:sz w:val="20"/>
              </w:rPr>
              <w:t>Revenue of</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40" w:before="0" w:after="0"/>
              <w:jc w:val="left"/>
              <w:rPr>
                <w:rFonts w:ascii="Roboto;sans-serif" w:hAnsi="Roboto;sans-serif"/>
                <w:b w:val="false"/>
                <w:color w:val="FFFFFF"/>
                <w:sz w:val="20"/>
              </w:rPr>
            </w:pPr>
            <w:r>
              <w:rPr>
                <w:rFonts w:ascii="Roboto;sans-serif" w:hAnsi="Roboto;sans-serif"/>
                <w:b w:val="false"/>
                <w:color w:val="FFFFFF"/>
                <w:sz w:val="20"/>
              </w:rPr>
              <w:t>Gross Profit of</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FFFFFF"/>
                <w:sz w:val="20"/>
              </w:rPr>
            </w:pPr>
            <w:r>
              <w:rPr>
                <w:rFonts w:ascii="Roboto;sans-serif" w:hAnsi="Roboto;sans-serif"/>
                <w:b w:val="false"/>
                <w:color w:val="FFFFFF"/>
                <w:sz w:val="20"/>
              </w:rPr>
              <w:t>Operating Loss of</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op w:val="single" w:sz="8" w:space="0" w:color="009CA2"/>
              <w:left w:val="single" w:sz="8" w:space="0" w:color="009CA2"/>
              <w:right w:val="single" w:sz="8" w:space="0" w:color="009CA2"/>
            </w:tcBorders>
            <w:shd w:fill="009CA2" w:val="clear"/>
            <w:tcMar>
              <w:top w:w="30" w:type="dxa"/>
              <w:bottom w:w="0" w:type="dxa"/>
            </w:tcMar>
            <w:vAlign w:val="center"/>
          </w:tcPr>
          <w:p>
            <w:pPr>
              <w:pStyle w:val="TableContents"/>
              <w:bidi w:val="0"/>
              <w:spacing w:lineRule="auto" w:line="240" w:before="0" w:after="0"/>
              <w:jc w:val="left"/>
              <w:rPr>
                <w:rFonts w:ascii="Roboto;sans-serif" w:hAnsi="Roboto;sans-serif"/>
                <w:b w:val="false"/>
                <w:color w:val="FFFFFF"/>
                <w:sz w:val="20"/>
              </w:rPr>
            </w:pPr>
            <w:r>
              <w:rPr>
                <w:rFonts w:ascii="Roboto;sans-serif" w:hAnsi="Roboto;sans-serif"/>
                <w:b w:val="false"/>
                <w:color w:val="FFFFFF"/>
                <w:sz w:val="20"/>
              </w:rPr>
              <w:t>Cash, cash equivalents, and investments of</w:t>
            </w:r>
          </w:p>
        </w:tc>
      </w:tr>
      <w:tr>
        <w:trPr/>
        <w:tc>
          <w:tcPr>
            <w:tcW w:w="2318"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color w:val="FFFFFF"/>
                <w:sz w:val="36"/>
              </w:rPr>
            </w:pPr>
            <w:r>
              <w:rPr>
                <w:rFonts w:ascii="Roboto;sans-serif" w:hAnsi="Roboto;sans-serif"/>
                <w:b/>
                <w:color w:val="FFFFFF"/>
                <w:sz w:val="36"/>
              </w:rPr>
              <w:t>$160.0 M</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color w:val="FFFFFF"/>
                <w:sz w:val="36"/>
              </w:rPr>
            </w:pPr>
            <w:r>
              <w:rPr>
                <w:rFonts w:ascii="Roboto;sans-serif" w:hAnsi="Roboto;sans-serif"/>
                <w:b/>
                <w:color w:val="FFFFFF"/>
                <w:sz w:val="36"/>
              </w:rPr>
              <w:t>$45.8 M</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op w:val="single" w:sz="8" w:space="0" w:color="009CA2"/>
              <w:left w:val="single" w:sz="8" w:space="0" w:color="009CA2"/>
            </w:tcBorders>
            <w:shd w:fill="009CA2" w:val="clear"/>
            <w:tcMar>
              <w:top w:w="30" w:type="dxa"/>
              <w:bottom w:w="0" w:type="dxa"/>
              <w:right w:w="0" w:type="dxa"/>
            </w:tcMar>
            <w:vAlign w:val="center"/>
          </w:tcPr>
          <w:p>
            <w:pPr>
              <w:pStyle w:val="TableContents"/>
              <w:bidi w:val="0"/>
              <w:spacing w:lineRule="auto" w:line="240" w:before="0" w:after="0"/>
              <w:jc w:val="left"/>
              <w:rPr>
                <w:rFonts w:ascii="Roboto;sans-serif" w:hAnsi="Roboto;sans-serif"/>
                <w:b/>
                <w:color w:val="FFFFFF"/>
                <w:sz w:val="36"/>
              </w:rPr>
            </w:pPr>
            <w:r>
              <w:rPr>
                <w:rFonts w:ascii="Roboto;sans-serif" w:hAnsi="Roboto;sans-serif"/>
                <w:b/>
                <w:color w:val="FFFFFF"/>
                <w:sz w:val="36"/>
              </w:rPr>
              <w:t>$553.9 M</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op w:val="single" w:sz="8" w:space="0" w:color="009CA2"/>
              <w:left w:val="single" w:sz="8" w:space="0" w:color="009CA2"/>
              <w:right w:val="single" w:sz="8" w:space="0" w:color="009CA2"/>
            </w:tcBorders>
            <w:shd w:fill="009CA2" w:val="clear"/>
            <w:tcMar>
              <w:top w:w="30" w:type="dxa"/>
              <w:bottom w:w="0" w:type="dxa"/>
            </w:tcMar>
            <w:vAlign w:val="center"/>
          </w:tcPr>
          <w:p>
            <w:pPr>
              <w:pStyle w:val="TableContents"/>
              <w:bidi w:val="0"/>
              <w:spacing w:lineRule="auto" w:line="240" w:before="0" w:after="283"/>
              <w:jc w:val="left"/>
              <w:rPr>
                <w:rFonts w:ascii="Roboto;sans-serif" w:hAnsi="Roboto;sans-serif"/>
                <w:b/>
                <w:color w:val="FFFFFF"/>
                <w:sz w:val="36"/>
              </w:rPr>
            </w:pPr>
            <w:r>
              <w:rPr>
                <w:rFonts w:ascii="Roboto;sans-serif" w:hAnsi="Roboto;sans-serif"/>
                <w:b/>
                <w:color w:val="FFFFFF"/>
                <w:sz w:val="36"/>
              </w:rPr>
              <w:t>$279.5 M</w:t>
            </w:r>
          </w:p>
        </w:tc>
      </w:tr>
      <w:tr>
        <w:trPr/>
        <w:tc>
          <w:tcPr>
            <w:tcW w:w="2318" w:type="dxa"/>
            <w:gridSpan w:val="3"/>
            <w:tcBorders>
              <w:top w:val="single" w:sz="8" w:space="0" w:color="009CA2"/>
              <w:left w:val="single" w:sz="8" w:space="0" w:color="009CA2"/>
              <w:bottom w:val="single" w:sz="8" w:space="0" w:color="009CA2"/>
            </w:tcBorders>
            <w:shd w:fill="009CA2" w:val="clear"/>
            <w:tcMar>
              <w:top w:w="30" w:type="dxa"/>
              <w:bottom w:w="30" w:type="dxa"/>
              <w:right w:w="0" w:type="dxa"/>
            </w:tcMar>
            <w:vAlign w:val="center"/>
          </w:tcPr>
          <w:p>
            <w:pPr>
              <w:pStyle w:val="TableContents"/>
              <w:bidi w:val="0"/>
              <w:spacing w:lineRule="auto" w:line="240" w:before="0" w:after="0"/>
              <w:jc w:val="left"/>
              <w:rPr>
                <w:rFonts w:ascii="Roboto;sans-serif" w:hAnsi="Roboto;sans-serif"/>
                <w:b w:val="false"/>
                <w:color w:val="FFFFFF"/>
                <w:sz w:val="20"/>
              </w:rPr>
            </w:pPr>
            <w:r>
              <w:rPr>
                <w:rFonts w:ascii="Roboto;sans-serif" w:hAnsi="Roboto;sans-serif"/>
                <w:b w:val="false"/>
                <w:color w:val="FFFFFF"/>
                <w:sz w:val="20"/>
              </w:rPr>
              <w:t>compared to $154.0 M in the prior year</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9CA2"/>
              <w:left w:val="single" w:sz="8" w:space="0" w:color="009CA2"/>
              <w:bottom w:val="single" w:sz="8" w:space="0" w:color="009CA2"/>
            </w:tcBorders>
            <w:shd w:fill="009CA2" w:val="clear"/>
            <w:tcMar>
              <w:top w:w="30" w:type="dxa"/>
              <w:bottom w:w="30" w:type="dxa"/>
              <w:right w:w="0" w:type="dxa"/>
            </w:tcMar>
            <w:vAlign w:val="center"/>
          </w:tcPr>
          <w:p>
            <w:pPr>
              <w:pStyle w:val="TableContents"/>
              <w:bidi w:val="0"/>
              <w:spacing w:lineRule="auto" w:line="240" w:before="0" w:after="0"/>
              <w:jc w:val="left"/>
              <w:rPr>
                <w:rFonts w:ascii="Roboto;sans-serif" w:hAnsi="Roboto;sans-serif"/>
                <w:b w:val="false"/>
                <w:color w:val="FFFFFF"/>
                <w:sz w:val="20"/>
              </w:rPr>
            </w:pPr>
            <w:r>
              <w:rPr>
                <w:rFonts w:ascii="Roboto;sans-serif" w:hAnsi="Roboto;sans-serif"/>
                <w:b w:val="false"/>
                <w:color w:val="FFFFFF"/>
                <w:sz w:val="20"/>
              </w:rPr>
              <w:t>compared to $37.3 M in the prior year</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op w:val="single" w:sz="8" w:space="0" w:color="009CA2"/>
              <w:left w:val="single" w:sz="8" w:space="0" w:color="009CA2"/>
              <w:bottom w:val="single" w:sz="8" w:space="0" w:color="009CA2"/>
            </w:tcBorders>
            <w:shd w:fill="009CA2" w:val="clear"/>
            <w:tcMar>
              <w:top w:w="30" w:type="dxa"/>
              <w:bottom w:w="30" w:type="dxa"/>
              <w:right w:w="0" w:type="dxa"/>
            </w:tcMar>
            <w:vAlign w:val="center"/>
          </w:tcPr>
          <w:p>
            <w:pPr>
              <w:pStyle w:val="TableContents"/>
              <w:bidi w:val="0"/>
              <w:spacing w:lineRule="auto" w:line="240" w:before="0" w:after="0"/>
              <w:jc w:val="left"/>
              <w:rPr>
                <w:rFonts w:ascii="Roboto;sans-serif" w:hAnsi="Roboto;sans-serif"/>
                <w:b w:val="false"/>
                <w:color w:val="FFFFFF"/>
                <w:sz w:val="20"/>
              </w:rPr>
            </w:pPr>
            <w:r>
              <w:rPr>
                <w:rFonts w:ascii="Roboto;sans-serif" w:hAnsi="Roboto;sans-serif"/>
                <w:b w:val="false"/>
                <w:color w:val="FFFFFF"/>
                <w:sz w:val="20"/>
              </w:rPr>
              <w:t>compared to $474.3 M in the prior year</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op w:val="single" w:sz="8" w:space="0" w:color="009CA2"/>
              <w:left w:val="single" w:sz="8" w:space="0" w:color="009CA2"/>
              <w:bottom w:val="single" w:sz="8" w:space="0" w:color="009CA2"/>
              <w:right w:val="single" w:sz="8" w:space="0" w:color="009CA2"/>
            </w:tcBorders>
            <w:shd w:fill="009CA2" w:val="clear"/>
            <w:tcMar>
              <w:top w:w="30" w:type="dxa"/>
              <w:bottom w:w="30" w:type="dxa"/>
            </w:tcMar>
            <w:vAlign w:val="center"/>
          </w:tcPr>
          <w:p>
            <w:pPr>
              <w:pStyle w:val="TableContents"/>
              <w:bidi w:val="0"/>
              <w:spacing w:lineRule="auto" w:line="240" w:before="0" w:after="0"/>
              <w:jc w:val="left"/>
              <w:rPr>
                <w:rFonts w:ascii="Roboto;sans-serif" w:hAnsi="Roboto;sans-serif"/>
                <w:b w:val="false"/>
                <w:color w:val="FFFFFF"/>
                <w:sz w:val="20"/>
              </w:rPr>
            </w:pPr>
            <w:r>
              <w:rPr>
                <w:rFonts w:ascii="Roboto;sans-serif" w:hAnsi="Roboto;sans-serif"/>
                <w:b w:val="false"/>
                <w:color w:val="FFFFFF"/>
                <w:sz w:val="20"/>
              </w:rPr>
              <w:t>compared to $389.9 M last year</w:t>
            </w:r>
          </w:p>
        </w:tc>
      </w:tr>
    </w:tbl>
    <w:p>
      <w:pPr>
        <w:pStyle w:val="TextBody"/>
        <w:bidi w:val="0"/>
        <w:spacing w:lineRule="auto" w:line="288" w:before="180" w:after="283"/>
        <w:ind w:left="0" w:right="0" w:hanging="360"/>
        <w:jc w:val="both"/>
        <w:rPr/>
      </w:pPr>
      <w:r>
        <w:rPr>
          <w:color w:val="DF1995"/>
        </w:rPr>
        <w:t>•</w:t>
      </w:r>
      <w:r>
        <w:rPr>
          <w:rFonts w:ascii="Roboto;sans-serif" w:hAnsi="Roboto;sans-serif"/>
          <w:b w:val="false"/>
          <w:color w:val="000000"/>
          <w:sz w:val="20"/>
        </w:rPr>
        <w:t xml:space="preserve">Revenue was comprised of approximately $82.0 million in consumables revenue, $53.8 million in instrument revenue, and $24.2 million in service and other revenue for the year ended December 31, 2025. Revenue was comprised $70.3 million in consumables revenue, $65.8 million in instrument revenue, and $17.9 million in service and other revenue for the year ended December 31, 2024. The increase in total revenue was primarily due to higher consumable sales, Vega instrument sales,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12520"/>
                <wp:effectExtent l="0" t="0" r="0" b="0"/>
                <wp:wrapNone/>
                <wp:docPr id="183" name="Frame6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3" descr=""/>
                                                <pic:cNvPicPr>
                                                  <a:picLocks noChangeAspect="1" noChangeArrowheads="1"/>
                                                </pic:cNvPicPr>
                                              </pic:nvPicPr>
                                              <pic:blipFill>
                                                <a:blip r:embed="rId122"/>
                                                <a:stretch>
                                                  <a:fillRect/>
                                                </a:stretch>
                                              </pic:blipFill>
                                              <pic:spPr bwMode="auto">
                                                <a:xfrm>
                                                  <a:off x="0" y="0"/>
                                                  <a:ext cx="457200" cy="95250"/>
                                                </a:xfrm>
                                                <a:prstGeom prst="rect">
                                                  <a:avLst/>
                                                </a:prstGeom>
                                              </pic:spPr>
                                            </pic:pic>
                                          </a:graphicData>
                                        </a:graphic>
                                      </wp:inline>
                                    </w:drawing>
                                  </w:r>
                                  <w:bookmarkStart w:id="124" w:name="i-63"/>
                                  <w:bookmarkEnd w:id="12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3" descr=""/>
                                          <pic:cNvPicPr>
                                            <a:picLocks noChangeAspect="1" noChangeArrowheads="1"/>
                                          </pic:cNvPicPr>
                                        </pic:nvPicPr>
                                        <pic:blipFill>
                                          <a:blip r:embed="rId123"/>
                                          <a:stretch>
                                            <a:fillRect/>
                                          </a:stretch>
                                        </pic:blipFill>
                                        <pic:spPr bwMode="auto">
                                          <a:xfrm>
                                            <a:off x="0" y="0"/>
                                            <a:ext cx="457200" cy="95250"/>
                                          </a:xfrm>
                                          <a:prstGeom prst="rect">
                                            <a:avLst/>
                                          </a:prstGeom>
                                        </pic:spPr>
                                      </pic:pic>
                                    </a:graphicData>
                                  </a:graphic>
                                </wp:inline>
                              </w:drawing>
                            </w:r>
                            <w:bookmarkStart w:id="125" w:name="i-63"/>
                            <w:bookmarkEnd w:id="12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service and other revenue, partially offset by lower Revio instrument sales as compared to the prior year.</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Gross profit increased for the year ended December 31, 2025 compared to the year ended December 31, 2024. The increase was primarily driven by higher consumable volumes, which drove a more favorable product mix. Gross margins may be affected by product mix, manufacturing efficiencies, changes in warranty costs, average selling price fluctuations, future product launches, changes to inventory reserves, costs of raw materials, and tariffs.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Loss from operations increased for the year ended December 31, 2025 compared to the year ended December 31, 2024 primarily due to $383.1 million of restructuring-related costs. See </w:t>
      </w:r>
      <w:hyperlink w:anchor="i9dad38eca65443b9a8bcd939ad72e7eb_115">
        <w:r>
          <w:rPr>
            <w:rStyle w:val="InternetLink"/>
            <w:rFonts w:ascii="Roboto;sans-serif" w:hAnsi="Roboto;sans-serif"/>
            <w:b w:val="false"/>
            <w:i/>
            <w:color w:val="0000FF"/>
            <w:sz w:val="20"/>
            <w:u w:val="single"/>
          </w:rPr>
          <w:t>Note 6. Restructuring</w:t>
        </w:r>
      </w:hyperlink>
      <w:r>
        <w:rPr>
          <w:color w:val="000000"/>
        </w:rPr>
        <w:t xml:space="preserve"> </w:t>
      </w:r>
      <w:r>
        <w:rPr>
          <w:rFonts w:ascii="Roboto;sans-serif" w:hAnsi="Roboto;sans-serif"/>
          <w:b w:val="false"/>
          <w:color w:val="000000"/>
          <w:sz w:val="20"/>
        </w:rPr>
        <w:t>in Part II, Item 8 of this Annual Report on Form 10-K for additional information about restructuring activities. These restructuring-related costs were partially offset by a $169.5 million decrease in impairment charges and a $17.9 million change in fair value of contingent consideration. As a result of the restructuring, core operating expenses, consisting of research and development and sales, general and administrative expenses, decreased by $71.1 million.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Cash, cash equivalents, and investments were $279.5 million at December 31, 2025, which represents a 28% decrease compared to the balance of $389.9 million at December 31,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believe that our sales cycles for Revio instruments continues to be elongated due to, among other reasons, continued capital funding constraints in academic and research markets, procurement timing considerations, and longer adoption cycles among new customers, which have affected the timing of certain instrument orders.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Macroeconomic dynamics impacting the Company in the future may include rising inflation, geopolitical tensions, volatile capital markets, tariffs, uncertainty in the United States related to NIH and academic funding, and fluctuating exchange rates. These factors could continue to impact our revenues and results of operations in future periods; however, the magnitude and duration of these impacts is highly uncertain and inherently unpredictable.</w:t>
      </w:r>
    </w:p>
    <w:p>
      <w:pPr>
        <w:pStyle w:val="TextBody"/>
        <w:bidi w:val="0"/>
        <w:spacing w:lineRule="auto" w:line="288" w:before="120" w:after="283"/>
        <w:jc w:val="both"/>
        <w:rPr/>
      </w:pPr>
      <w:r>
        <w:rPr>
          <w:rFonts w:ascii="Roboto;sans-serif" w:hAnsi="Roboto;sans-serif"/>
          <w:b w:val="false"/>
          <w:color w:val="000000"/>
          <w:sz w:val="20"/>
        </w:rPr>
        <w:t xml:space="preserve">On an ongoing basis, we evaluate our significant estimates, including those related to the valuation of goodwill, indefinite-lived and finite-lived assets. However, these estimates could change in future periods based on events or changes in circumstances, which could result in material future impairment charges. We recorded $15.0 million of impairment charges during the first quarter of 2025. See additional discussion below in Results of Operations, as well as </w:t>
      </w:r>
      <w:hyperlink w:anchor="i9dad38eca65443b9a8bcd939ad72e7eb_106">
        <w:r>
          <w:rPr>
            <w:rStyle w:val="InternetLink"/>
            <w:rFonts w:ascii="Roboto;sans-serif" w:hAnsi="Roboto;sans-serif"/>
            <w:b w:val="false"/>
            <w:i/>
            <w:color w:val="0000FF"/>
            <w:sz w:val="20"/>
            <w:u w:val="single"/>
          </w:rPr>
          <w:t>Note 4. Balance Sheet Components</w:t>
        </w:r>
      </w:hyperlink>
      <w:r>
        <w:rPr>
          <w:color w:val="000000"/>
        </w:rPr>
        <w:t xml:space="preserve"> </w:t>
      </w:r>
      <w:r>
        <w:rPr>
          <w:rFonts w:ascii="Roboto;sans-serif" w:hAnsi="Roboto;sans-serif"/>
          <w:b w:val="false"/>
          <w:color w:val="000000"/>
          <w:sz w:val="20"/>
        </w:rPr>
        <w:t>in Part II, Item 8 of this Annual Report on Form 10-K for further information. Additionally, refer to the Critical Accounting Policies and Estimates section later in this Item 7 for further discussion on the Company's asset impairment assessments.</w:t>
      </w:r>
    </w:p>
    <w:p>
      <w:pPr>
        <w:pStyle w:val="TextBody"/>
        <w:bidi w:val="0"/>
        <w:spacing w:lineRule="auto" w:line="288" w:before="120" w:after="283"/>
        <w:jc w:val="both"/>
        <w:rPr/>
      </w:pPr>
      <w:r>
        <w:rPr>
          <w:rFonts w:ascii="Roboto;sans-serif" w:hAnsi="Roboto;sans-serif"/>
          <w:b w:val="false"/>
          <w:color w:val="000000"/>
          <w:sz w:val="20"/>
        </w:rPr>
        <w:t xml:space="preserve">See the </w:t>
      </w:r>
      <w:hyperlink w:anchor="i9dad38eca65443b9a8bcd939ad72e7eb_19">
        <w:r>
          <w:rPr>
            <w:rStyle w:val="InternetLink"/>
            <w:rFonts w:ascii="Roboto;sans-serif" w:hAnsi="Roboto;sans-serif"/>
            <w:b w:val="false"/>
            <w:i/>
            <w:color w:val="0000FF"/>
            <w:sz w:val="20"/>
            <w:u w:val="single"/>
          </w:rPr>
          <w:t>Risk Factors</w:t>
        </w:r>
      </w:hyperlink>
      <w:r>
        <w:rPr>
          <w:color w:val="000000"/>
        </w:rPr>
        <w:t xml:space="preserve"> </w:t>
      </w:r>
      <w:r>
        <w:rPr>
          <w:rFonts w:ascii="Roboto;sans-serif" w:hAnsi="Roboto;sans-serif"/>
          <w:b w:val="false"/>
          <w:color w:val="000000"/>
          <w:sz w:val="20"/>
        </w:rPr>
        <w:t>section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12520"/>
                <wp:effectExtent l="0" t="0" r="0" b="0"/>
                <wp:wrapNone/>
                <wp:docPr id="186" name="Frame6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4" descr=""/>
                                                <pic:cNvPicPr>
                                                  <a:picLocks noChangeAspect="1" noChangeArrowheads="1"/>
                                                </pic:cNvPicPr>
                                              </pic:nvPicPr>
                                              <pic:blipFill>
                                                <a:blip r:embed="rId124"/>
                                                <a:stretch>
                                                  <a:fillRect/>
                                                </a:stretch>
                                              </pic:blipFill>
                                              <pic:spPr bwMode="auto">
                                                <a:xfrm>
                                                  <a:off x="0" y="0"/>
                                                  <a:ext cx="457200" cy="95250"/>
                                                </a:xfrm>
                                                <a:prstGeom prst="rect">
                                                  <a:avLst/>
                                                </a:prstGeom>
                                              </pic:spPr>
                                            </pic:pic>
                                          </a:graphicData>
                                        </a:graphic>
                                      </wp:inline>
                                    </w:drawing>
                                  </w:r>
                                  <w:bookmarkStart w:id="126" w:name="i-64"/>
                                  <w:bookmarkEnd w:id="12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4" descr=""/>
                                          <pic:cNvPicPr>
                                            <a:picLocks noChangeAspect="1" noChangeArrowheads="1"/>
                                          </pic:cNvPicPr>
                                        </pic:nvPicPr>
                                        <pic:blipFill>
                                          <a:blip r:embed="rId125"/>
                                          <a:stretch>
                                            <a:fillRect/>
                                          </a:stretch>
                                        </pic:blipFill>
                                        <pic:spPr bwMode="auto">
                                          <a:xfrm>
                                            <a:off x="0" y="0"/>
                                            <a:ext cx="457200" cy="95250"/>
                                          </a:xfrm>
                                          <a:prstGeom prst="rect">
                                            <a:avLst/>
                                          </a:prstGeom>
                                        </pic:spPr>
                                      </pic:pic>
                                    </a:graphicData>
                                  </a:graphic>
                                </wp:inline>
                              </w:drawing>
                            </w:r>
                            <w:bookmarkStart w:id="127" w:name="i-64"/>
                            <w:bookmarkEnd w:id="12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3464" w:type="dxa"/>
        <w:jc w:val="left"/>
        <w:tblInd w:w="0" w:type="dxa"/>
        <w:tblLayout w:type="fixed"/>
        <w:tblCellMar>
          <w:top w:w="28" w:type="dxa"/>
          <w:left w:w="28" w:type="dxa"/>
          <w:bottom w:w="28" w:type="dxa"/>
          <w:right w:w="28" w:type="dxa"/>
        </w:tblCellMar>
      </w:tblPr>
      <w:tblGrid>
        <w:gridCol w:w="1108"/>
        <w:gridCol w:w="972"/>
        <w:gridCol w:w="1384"/>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RESULTS OF OPERATIONS</w:t>
            </w:r>
          </w:p>
        </w:tc>
      </w:tr>
    </w:tbl>
    <w:p>
      <w:pPr>
        <w:pStyle w:val="TextBody"/>
        <w:bidi w:val="0"/>
        <w:spacing w:lineRule="auto" w:line="288" w:before="120" w:after="283"/>
        <w:jc w:val="both"/>
        <w:rPr/>
      </w:pPr>
      <w:r>
        <w:rPr>
          <w:rFonts w:ascii="Roboto;sans-serif" w:hAnsi="Roboto;sans-serif"/>
          <w:b w:val="false"/>
          <w:color w:val="000000"/>
          <w:sz w:val="20"/>
        </w:rPr>
        <w:t>A</w:t>
      </w:r>
      <w:r>
        <w:rPr>
          <w:color w:val="000000"/>
          <w:shd w:fill="FFFFFF" w:val="clear"/>
        </w:rPr>
        <w:t xml:space="preserve"> </w:t>
      </w:r>
      <w:r>
        <w:rPr>
          <w:rFonts w:ascii="Roboto;sans-serif" w:hAnsi="Roboto;sans-serif"/>
          <w:b w:val="false"/>
          <w:color w:val="000000"/>
          <w:sz w:val="20"/>
          <w:shd w:fill="FFFFFF" w:val="clear"/>
        </w:rPr>
        <w:t xml:space="preserve">detailed discussion of our consolidated financial results comparison between </w:t>
      </w:r>
      <w:r>
        <w:rPr>
          <w:rFonts w:ascii="Roboto;sans-serif" w:hAnsi="Roboto;sans-serif"/>
          <w:b w:val="false"/>
          <w:color w:val="000000"/>
          <w:sz w:val="20"/>
        </w:rPr>
        <w:t>2025</w:t>
      </w:r>
      <w:r>
        <w:rPr>
          <w:color w:val="000000"/>
          <w:shd w:fill="FFFFFF" w:val="clear"/>
        </w:rPr>
        <w:t xml:space="preserve"> </w:t>
      </w:r>
      <w:r>
        <w:rPr>
          <w:rFonts w:ascii="Roboto;sans-serif" w:hAnsi="Roboto;sans-serif"/>
          <w:b w:val="false"/>
          <w:color w:val="000000"/>
          <w:sz w:val="20"/>
          <w:shd w:fill="FFFFFF" w:val="clear"/>
        </w:rPr>
        <w:t xml:space="preserve">and </w:t>
      </w:r>
      <w:r>
        <w:rPr>
          <w:rFonts w:ascii="Roboto;sans-serif" w:hAnsi="Roboto;sans-serif"/>
          <w:b w:val="false"/>
          <w:color w:val="000000"/>
          <w:sz w:val="20"/>
        </w:rPr>
        <w:t>2024</w:t>
      </w:r>
      <w:r>
        <w:rPr>
          <w:color w:val="000000"/>
          <w:shd w:fill="FFFFFF" w:val="clear"/>
        </w:rPr>
        <w:t xml:space="preserve"> </w:t>
      </w:r>
      <w:r>
        <w:rPr>
          <w:rFonts w:ascii="Roboto;sans-serif" w:hAnsi="Roboto;sans-serif"/>
          <w:b w:val="false"/>
          <w:color w:val="000000"/>
          <w:sz w:val="20"/>
          <w:shd w:fill="FFFFFF" w:val="clear"/>
        </w:rPr>
        <w:t xml:space="preserve">is presented below. A discussion of the changes in our results of operations between the years ended </w:t>
      </w:r>
      <w:r>
        <w:rPr>
          <w:rFonts w:ascii="Roboto;sans-serif" w:hAnsi="Roboto;sans-serif"/>
          <w:b w:val="false"/>
          <w:color w:val="000000"/>
          <w:sz w:val="20"/>
        </w:rPr>
        <w:t>December 31, 2024</w:t>
      </w:r>
      <w:r>
        <w:rPr>
          <w:color w:val="000000"/>
          <w:shd w:fill="FFFFFF" w:val="clear"/>
        </w:rPr>
        <w:t xml:space="preserve"> </w:t>
      </w:r>
      <w:r>
        <w:rPr>
          <w:rFonts w:ascii="Roboto;sans-serif" w:hAnsi="Roboto;sans-serif"/>
          <w:b w:val="false"/>
          <w:color w:val="000000"/>
          <w:sz w:val="20"/>
          <w:shd w:fill="FFFFFF" w:val="clear"/>
        </w:rPr>
        <w:t xml:space="preserve">and </w:t>
      </w:r>
      <w:r>
        <w:rPr>
          <w:rFonts w:ascii="Roboto;sans-serif" w:hAnsi="Roboto;sans-serif"/>
          <w:b w:val="false"/>
          <w:color w:val="000000"/>
          <w:sz w:val="20"/>
        </w:rPr>
        <w:t>December 31, 2023</w:t>
      </w:r>
      <w:r>
        <w:rPr>
          <w:rFonts w:ascii="Roboto;sans-serif" w:hAnsi="Roboto;sans-serif"/>
          <w:b w:val="false"/>
          <w:color w:val="000000"/>
          <w:sz w:val="20"/>
          <w:shd w:fill="FFFFFF" w:val="clear"/>
        </w:rPr>
        <w:t xml:space="preserve">, has been omitted from this Annual Report on Form 10-K but may be found in </w:t>
      </w:r>
      <w:r>
        <w:rPr>
          <w:rFonts w:ascii="Roboto;sans-serif" w:hAnsi="Roboto;sans-serif"/>
          <w:b w:val="false"/>
          <w:i/>
          <w:color w:val="000000"/>
          <w:sz w:val="20"/>
          <w:shd w:fill="FFFFFF" w:val="clear"/>
        </w:rPr>
        <w:t xml:space="preserve">Item 7. Management’s Discussion and Analysis of Financial Condition and Results of Operations </w:t>
      </w:r>
      <w:r>
        <w:rPr>
          <w:rFonts w:ascii="Roboto;sans-serif" w:hAnsi="Roboto;sans-serif"/>
          <w:b w:val="false"/>
          <w:color w:val="000000"/>
          <w:sz w:val="20"/>
          <w:shd w:fill="FFFFFF" w:val="clear"/>
        </w:rPr>
        <w:t xml:space="preserve">of our </w:t>
      </w:r>
      <w:r>
        <w:rPr>
          <w:rFonts w:ascii="Roboto;sans-serif" w:hAnsi="Roboto;sans-serif"/>
          <w:b w:val="false"/>
          <w:i/>
          <w:color w:val="000000"/>
          <w:sz w:val="20"/>
          <w:shd w:fill="FFFFFF" w:val="clear"/>
        </w:rPr>
        <w:t xml:space="preserve">Annual Report on </w:t>
      </w:r>
      <w:hyperlink r:id="rId126">
        <w:r>
          <w:rPr>
            <w:rStyle w:val="InternetLink"/>
            <w:rFonts w:ascii="Roboto;sans-serif" w:hAnsi="Roboto;sans-serif"/>
            <w:b w:val="false"/>
            <w:i/>
            <w:color w:val="0000FF"/>
            <w:sz w:val="20"/>
            <w:u w:val="single"/>
            <w:shd w:fill="FFFFFF" w:val="clear"/>
          </w:rPr>
          <w:t>Form 10-K</w:t>
        </w:r>
      </w:hyperlink>
      <w:r>
        <w:rPr>
          <w:color w:val="000000"/>
          <w:shd w:fill="FFFFFF" w:val="clear"/>
        </w:rPr>
        <w:t xml:space="preserve"> </w:t>
      </w:r>
      <w:r>
        <w:rPr>
          <w:rFonts w:ascii="Roboto;sans-serif" w:hAnsi="Roboto;sans-serif"/>
          <w:b w:val="false"/>
          <w:color w:val="000000"/>
          <w:sz w:val="20"/>
          <w:shd w:fill="FFFFFF" w:val="clear"/>
        </w:rPr>
        <w:t xml:space="preserve">for the year ended </w:t>
      </w:r>
      <w:r>
        <w:rPr>
          <w:rFonts w:ascii="Roboto;sans-serif" w:hAnsi="Roboto;sans-serif"/>
          <w:b w:val="false"/>
          <w:color w:val="000000"/>
          <w:sz w:val="20"/>
        </w:rPr>
        <w:t>December 31, 2024</w:t>
      </w:r>
      <w:r>
        <w:rPr>
          <w:rFonts w:ascii="Roboto;sans-serif" w:hAnsi="Roboto;sans-serif"/>
          <w:b w:val="false"/>
          <w:color w:val="000000"/>
          <w:sz w:val="20"/>
          <w:shd w:fill="FFFFFF" w:val="clear"/>
        </w:rPr>
        <w:t xml:space="preserve">, filed with the Securities and Exchange Commission on </w:t>
      </w:r>
      <w:r>
        <w:rPr>
          <w:rFonts w:ascii="Roboto;sans-serif" w:hAnsi="Roboto;sans-serif"/>
          <w:b w:val="false"/>
          <w:color w:val="000000"/>
          <w:sz w:val="20"/>
        </w:rPr>
        <w:t>March 17, 2025</w:t>
      </w:r>
      <w:r>
        <w:rPr>
          <w:rFonts w:ascii="Roboto;sans-serif" w:hAnsi="Roboto;sans-serif"/>
          <w:b w:val="false"/>
          <w:color w:val="000000"/>
          <w:sz w:val="20"/>
          <w:shd w:fill="FFFFFF" w:val="clear"/>
        </w:rPr>
        <w:t>, which is incorporated herein by reference, and is available free of charge on the SEC’s website at www.sec.gov and our corporate website (www.pacb.com).</w:t>
      </w:r>
    </w:p>
    <w:tbl>
      <w:tblPr>
        <w:tblW w:w="7859" w:type="dxa"/>
        <w:jc w:val="left"/>
        <w:tblInd w:w="0" w:type="dxa"/>
        <w:tblLayout w:type="fixed"/>
        <w:tblCellMar>
          <w:top w:w="28" w:type="dxa"/>
          <w:left w:w="28" w:type="dxa"/>
          <w:bottom w:w="28" w:type="dxa"/>
          <w:right w:w="28" w:type="dxa"/>
        </w:tblCellMar>
      </w:tblPr>
      <w:tblGrid>
        <w:gridCol w:w="2515"/>
        <w:gridCol w:w="2210"/>
        <w:gridCol w:w="3134"/>
      </w:tblGrid>
      <w:tr>
        <w:trPr/>
        <w:tc>
          <w:tcPr>
            <w:tcW w:w="251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785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Comparison of the Years Ended December 31, 2025 and 2024</w:t>
            </w:r>
          </w:p>
        </w:tc>
      </w:tr>
    </w:tbl>
    <w:tbl>
      <w:tblPr>
        <w:tblW w:w="10205" w:type="dxa"/>
        <w:jc w:val="left"/>
        <w:tblInd w:w="0" w:type="dxa"/>
        <w:tblLayout w:type="fixed"/>
        <w:tblCellMar>
          <w:top w:w="28" w:type="dxa"/>
          <w:left w:w="28" w:type="dxa"/>
          <w:bottom w:w="28" w:type="dxa"/>
          <w:right w:w="28" w:type="dxa"/>
        </w:tblCellMar>
      </w:tblPr>
      <w:tblGrid>
        <w:gridCol w:w="1433"/>
        <w:gridCol w:w="1191"/>
        <w:gridCol w:w="1194"/>
        <w:gridCol w:w="226"/>
        <w:gridCol w:w="1020"/>
        <w:gridCol w:w="109"/>
        <w:gridCol w:w="109"/>
        <w:gridCol w:w="109"/>
        <w:gridCol w:w="109"/>
        <w:gridCol w:w="226"/>
        <w:gridCol w:w="1020"/>
        <w:gridCol w:w="109"/>
        <w:gridCol w:w="109"/>
        <w:gridCol w:w="109"/>
        <w:gridCol w:w="109"/>
        <w:gridCol w:w="226"/>
        <w:gridCol w:w="1020"/>
        <w:gridCol w:w="109"/>
        <w:gridCol w:w="109"/>
        <w:gridCol w:w="109"/>
        <w:gridCol w:w="109"/>
        <w:gridCol w:w="323"/>
        <w:gridCol w:w="323"/>
        <w:gridCol w:w="695"/>
      </w:tblGrid>
      <w:tr>
        <w:trPr/>
        <w:tc>
          <w:tcPr>
            <w:tcW w:w="143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 except per share amounts)</w:t>
            </w:r>
          </w:p>
        </w:tc>
        <w:tc>
          <w:tcPr>
            <w:tcW w:w="1355"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355"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20"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135,758 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0"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0"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24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24,247 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246"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160,005 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154,014 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55"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24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89,763 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24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15,390 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24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4,894 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on purchase commitment</w:t>
            </w:r>
          </w:p>
        </w:tc>
        <w:tc>
          <w:tcPr>
            <w:tcW w:w="124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4,178 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319</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246"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114,225 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116,732 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246"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45,780 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355"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24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97,307 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24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141,493 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175,017 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(33,524)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charges</w:t>
            </w:r>
          </w:p>
        </w:tc>
        <w:tc>
          <w:tcPr>
            <w:tcW w:w="124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15,000 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24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364,541 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1,925</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24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(18,700)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2,100</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246"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599,641 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511,595 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88,046 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246"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(553,861)</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(474,313)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(79,548)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18"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Gain on debt restructuring</w:t>
            </w:r>
          </w:p>
        </w:tc>
        <w:tc>
          <w:tcPr>
            <w:tcW w:w="124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(154,407)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24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(6,954)</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24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14,757 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1246"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(546,058)</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(309,535)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(236,523)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Income tax provision</w:t>
            </w:r>
          </w:p>
        </w:tc>
        <w:tc>
          <w:tcPr>
            <w:tcW w:w="124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318 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loss</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20"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(546,376)</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(309,851)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(236,525)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w:t>
            </w:r>
          </w:p>
        </w:tc>
        <w:tc>
          <w:tcPr>
            <w:tcW w:w="69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12520"/>
                <wp:effectExtent l="0" t="0" r="0" b="0"/>
                <wp:wrapNone/>
                <wp:docPr id="189" name="Frame6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5" descr=""/>
                                                <pic:cNvPicPr>
                                                  <a:picLocks noChangeAspect="1" noChangeArrowheads="1"/>
                                                </pic:cNvPicPr>
                                              </pic:nvPicPr>
                                              <pic:blipFill>
                                                <a:blip r:embed="rId127"/>
                                                <a:stretch>
                                                  <a:fillRect/>
                                                </a:stretch>
                                              </pic:blipFill>
                                              <pic:spPr bwMode="auto">
                                                <a:xfrm>
                                                  <a:off x="0" y="0"/>
                                                  <a:ext cx="457200" cy="95250"/>
                                                </a:xfrm>
                                                <a:prstGeom prst="rect">
                                                  <a:avLst/>
                                                </a:prstGeom>
                                              </pic:spPr>
                                            </pic:pic>
                                          </a:graphicData>
                                        </a:graphic>
                                      </wp:inline>
                                    </w:drawing>
                                  </w:r>
                                  <w:bookmarkStart w:id="128" w:name="i-65"/>
                                  <w:bookmarkEnd w:id="12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5" descr=""/>
                                          <pic:cNvPicPr>
                                            <a:picLocks noChangeAspect="1" noChangeArrowheads="1"/>
                                          </pic:cNvPicPr>
                                        </pic:nvPicPr>
                                        <pic:blipFill>
                                          <a:blip r:embed="rId128"/>
                                          <a:stretch>
                                            <a:fillRect/>
                                          </a:stretch>
                                        </pic:blipFill>
                                        <pic:spPr bwMode="auto">
                                          <a:xfrm>
                                            <a:off x="0" y="0"/>
                                            <a:ext cx="457200" cy="95250"/>
                                          </a:xfrm>
                                          <a:prstGeom prst="rect">
                                            <a:avLst/>
                                          </a:prstGeom>
                                        </pic:spPr>
                                      </pic:pic>
                                    </a:graphicData>
                                  </a:graphic>
                                </wp:inline>
                              </w:drawing>
                            </w:r>
                            <w:bookmarkStart w:id="129" w:name="i-65"/>
                            <w:bookmarkEnd w:id="12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1276" w:type="dxa"/>
        <w:jc w:val="left"/>
        <w:tblInd w:w="0" w:type="dxa"/>
        <w:tblLayout w:type="fixed"/>
        <w:tblCellMar>
          <w:top w:w="28" w:type="dxa"/>
          <w:left w:w="28" w:type="dxa"/>
          <w:bottom w:w="28" w:type="dxa"/>
          <w:right w:w="28" w:type="dxa"/>
        </w:tblCellMar>
      </w:tblPr>
      <w:tblGrid>
        <w:gridCol w:w="408"/>
        <w:gridCol w:w="359"/>
        <w:gridCol w:w="509"/>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Revenue</w:t>
            </w:r>
          </w:p>
        </w:tc>
      </w:tr>
    </w:tbl>
    <w:tbl>
      <w:tblPr>
        <w:tblW w:w="1739" w:type="dxa"/>
        <w:jc w:val="left"/>
        <w:tblInd w:w="0" w:type="dxa"/>
        <w:tblLayout w:type="fixed"/>
        <w:tblCellMar>
          <w:top w:w="28" w:type="dxa"/>
          <w:left w:w="28" w:type="dxa"/>
          <w:bottom w:w="28" w:type="dxa"/>
          <w:right w:w="28" w:type="dxa"/>
        </w:tblCellMar>
      </w:tblPr>
      <w:tblGrid>
        <w:gridCol w:w="556"/>
        <w:gridCol w:w="488"/>
        <w:gridCol w:w="695"/>
      </w:tblGrid>
      <w:tr>
        <w:trPr/>
        <w:tc>
          <w:tcPr>
            <w:tcW w:w="5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Total Revenue</w:t>
            </w:r>
          </w:p>
        </w:tc>
      </w:tr>
    </w:tbl>
    <w:p>
      <w:pPr>
        <w:pStyle w:val="TextBody"/>
        <w:bidi w:val="0"/>
        <w:spacing w:before="120" w:after="283"/>
        <w:jc w:val="both"/>
        <w:rPr/>
      </w:pPr>
      <w:r>
        <w:rPr/>
        <w:drawing>
          <wp:inline distT="0" distB="0" distL="0" distR="0">
            <wp:extent cx="1638300" cy="1828800"/>
            <wp:effectExtent l="0" t="0" r="0" b="0"/>
            <wp:docPr id="19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66" descr=""/>
                    <pic:cNvPicPr>
                      <a:picLocks noChangeAspect="1" noChangeArrowheads="1"/>
                    </pic:cNvPicPr>
                  </pic:nvPicPr>
                  <pic:blipFill>
                    <a:blip r:embed="rId129"/>
                    <a:stretch>
                      <a:fillRect/>
                    </a:stretch>
                  </pic:blipFill>
                  <pic:spPr bwMode="auto">
                    <a:xfrm>
                      <a:off x="0" y="0"/>
                      <a:ext cx="1638300" cy="1828800"/>
                    </a:xfrm>
                    <a:prstGeom prst="rect">
                      <a:avLst/>
                    </a:prstGeom>
                  </pic:spPr>
                </pic:pic>
              </a:graphicData>
            </a:graphic>
          </wp:inline>
        </w:drawing>
      </w:r>
      <w:bookmarkStart w:id="130" w:name="i-66"/>
      <w:bookmarkEnd w:id="130"/>
    </w:p>
    <w:p>
      <w:pPr>
        <w:pStyle w:val="TextBody"/>
        <w:bidi w:val="0"/>
        <w:spacing w:before="300" w:after="283"/>
        <w:jc w:val="both"/>
        <w:rPr/>
      </w:pPr>
      <w:r>
        <w:rPr/>
      </w:r>
    </w:p>
    <w:p>
      <w:pPr>
        <w:pStyle w:val="TextBody"/>
        <w:bidi w:val="0"/>
        <w:spacing w:lineRule="auto" w:line="288" w:before="300" w:after="283"/>
        <w:jc w:val="both"/>
        <w:rPr>
          <w:rFonts w:ascii="Roboto;sans-serif" w:hAnsi="Roboto;sans-serif"/>
          <w:b w:val="false"/>
          <w:color w:val="000000"/>
          <w:sz w:val="20"/>
        </w:rPr>
      </w:pPr>
      <w:r>
        <w:rPr>
          <w:rFonts w:ascii="Roboto;sans-serif" w:hAnsi="Roboto;sans-serif"/>
          <w:b w:val="false"/>
          <w:color w:val="000000"/>
          <w:sz w:val="20"/>
        </w:rPr>
        <w:t>Total revenue increased $6.0 million for the year ended December 31, 2025, as compared to the year ended December 31,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Product revenue decreased slightly compared to prior year. Instrument revenue decreased $12.0 million, or 18% and consumables revenue increased $11.6 million, or 16%.</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Service and other revenue increased $6.4 million, or 36%, primarily driven by an increase in Revio service contracts.</w: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Consumables Revenue</w:t>
            </w:r>
          </w:p>
        </w:tc>
      </w:tr>
    </w:tbl>
    <w:p>
      <w:pPr>
        <w:pStyle w:val="TextBody"/>
        <w:bidi w:val="0"/>
        <w:spacing w:before="180" w:after="283"/>
        <w:jc w:val="both"/>
        <w:rPr/>
      </w:pPr>
      <w:r>
        <w:rPr/>
        <w:drawing>
          <wp:inline distT="0" distB="0" distL="0" distR="0">
            <wp:extent cx="1638300" cy="1457325"/>
            <wp:effectExtent l="0" t="0" r="0" b="0"/>
            <wp:docPr id="19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7" descr=""/>
                    <pic:cNvPicPr>
                      <a:picLocks noChangeAspect="1" noChangeArrowheads="1"/>
                    </pic:cNvPicPr>
                  </pic:nvPicPr>
                  <pic:blipFill>
                    <a:blip r:embed="rId130"/>
                    <a:stretch>
                      <a:fillRect/>
                    </a:stretch>
                  </pic:blipFill>
                  <pic:spPr bwMode="auto">
                    <a:xfrm>
                      <a:off x="0" y="0"/>
                      <a:ext cx="1638300" cy="1457325"/>
                    </a:xfrm>
                    <a:prstGeom prst="rect">
                      <a:avLst/>
                    </a:prstGeom>
                  </pic:spPr>
                </pic:pic>
              </a:graphicData>
            </a:graphic>
          </wp:inline>
        </w:drawing>
      </w:r>
      <w:bookmarkStart w:id="131" w:name="i-67"/>
      <w:bookmarkEnd w:id="131"/>
    </w:p>
    <w:p>
      <w:pPr>
        <w:pStyle w:val="TextBody"/>
        <w:bidi w:val="0"/>
        <w:spacing w:before="180" w:after="283"/>
        <w:jc w:val="both"/>
        <w:rPr/>
      </w:pPr>
      <w:r>
        <w:rPr/>
      </w:r>
    </w:p>
    <w:p>
      <w:pPr>
        <w:pStyle w:val="TextBody"/>
        <w:bidi w:val="0"/>
        <w:spacing w:before="240" w:after="283"/>
        <w:jc w:val="both"/>
        <w:rPr/>
      </w:pPr>
      <w:r>
        <w:rPr/>
      </w:r>
    </w:p>
    <w:p>
      <w:pPr>
        <w:pStyle w:val="TextBody"/>
        <w:bidi w:val="0"/>
        <w:spacing w:before="300" w:after="283"/>
        <w:jc w:val="both"/>
        <w:rPr/>
      </w:pPr>
      <w:r>
        <w:rPr/>
      </w:r>
    </w:p>
    <w:p>
      <w:pPr>
        <w:pStyle w:val="TextBody"/>
        <w:bidi w:val="0"/>
        <w:spacing w:lineRule="auto" w:line="288" w:before="300" w:after="283"/>
        <w:jc w:val="both"/>
        <w:rPr>
          <w:rFonts w:ascii="Roboto;sans-serif" w:hAnsi="Roboto;sans-serif"/>
          <w:b w:val="false"/>
          <w:color w:val="000000"/>
          <w:sz w:val="20"/>
        </w:rPr>
      </w:pPr>
      <w:r>
        <w:rPr>
          <w:rFonts w:ascii="Roboto;sans-serif" w:hAnsi="Roboto;sans-serif"/>
          <w:b w:val="false"/>
          <w:color w:val="000000"/>
          <w:sz w:val="20"/>
        </w:rPr>
        <w:t xml:space="preserve">The increase in consumables revenue for the year ended December 31, 2025 as compared to the year ended December 31, 2024 was primarily driven by higher Revio consumables sales, reflecting the continued expansion of the Revio instrument installed base.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Looking ahead, we expect consumables revenue to increase as we execute against our strategic objectives and expand utilization of our sequencing platforms. This growth is expected to be driven by a growing installed base of Revio and Vega instruments, enhancing platform economics that support higher throughput, and broader adoption across research and clinical research applications. In addition, continued investments in chemistry, application kits, and workflow enhancements are intended to expand addressable applications and increase consumables usage per instrument over time.</w:t>
      </w:r>
    </w:p>
    <w:tbl>
      <w:tblPr>
        <w:tblW w:w="2399" w:type="dxa"/>
        <w:jc w:val="left"/>
        <w:tblInd w:w="0" w:type="dxa"/>
        <w:tblLayout w:type="fixed"/>
        <w:tblCellMar>
          <w:top w:w="28" w:type="dxa"/>
          <w:left w:w="28" w:type="dxa"/>
          <w:bottom w:w="28" w:type="dxa"/>
          <w:right w:w="28" w:type="dxa"/>
        </w:tblCellMar>
      </w:tblPr>
      <w:tblGrid>
        <w:gridCol w:w="768"/>
        <w:gridCol w:w="674"/>
        <w:gridCol w:w="957"/>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Instrument Revenue</w:t>
            </w:r>
          </w:p>
        </w:tc>
      </w:tr>
    </w:tbl>
    <w:p>
      <w:pPr>
        <w:pStyle w:val="TextBody"/>
        <w:bidi w:val="0"/>
        <w:spacing w:before="120" w:after="283"/>
        <w:jc w:val="both"/>
        <w:rPr/>
      </w:pPr>
      <w:r>
        <w:rPr/>
        <w:drawing>
          <wp:inline distT="0" distB="0" distL="0" distR="0">
            <wp:extent cx="1638300" cy="1457325"/>
            <wp:effectExtent l="0" t="0" r="0" b="0"/>
            <wp:docPr id="19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8" descr=""/>
                    <pic:cNvPicPr>
                      <a:picLocks noChangeAspect="1" noChangeArrowheads="1"/>
                    </pic:cNvPicPr>
                  </pic:nvPicPr>
                  <pic:blipFill>
                    <a:blip r:embed="rId131"/>
                    <a:stretch>
                      <a:fillRect/>
                    </a:stretch>
                  </pic:blipFill>
                  <pic:spPr bwMode="auto">
                    <a:xfrm>
                      <a:off x="0" y="0"/>
                      <a:ext cx="1638300" cy="1457325"/>
                    </a:xfrm>
                    <a:prstGeom prst="rect">
                      <a:avLst/>
                    </a:prstGeom>
                  </pic:spPr>
                </pic:pic>
              </a:graphicData>
            </a:graphic>
          </wp:inline>
        </w:drawing>
      </w:r>
      <w:bookmarkStart w:id="132" w:name="i-68"/>
      <w:bookmarkEnd w:id="132"/>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lineRule="auto" w:line="288" w:before="300" w:after="283"/>
        <w:jc w:val="both"/>
        <w:rPr>
          <w:rFonts w:ascii="Roboto;sans-serif" w:hAnsi="Roboto;sans-serif"/>
          <w:b w:val="false"/>
          <w:color w:val="000000"/>
          <w:sz w:val="20"/>
        </w:rPr>
      </w:pPr>
      <w:r>
        <w:rPr>
          <w:rFonts w:ascii="Roboto;sans-serif" w:hAnsi="Roboto;sans-serif"/>
          <w:b w:val="false"/>
          <w:color w:val="000000"/>
          <w:sz w:val="20"/>
        </w:rPr>
        <w:t>Instrument revenue decreased for the year ended December 31, 2025 compared to the year ended December 31, 2024 primarily due to a lower number of Revio systems sold—61 units during the year ended December 31, 2025 compared to 97 Revio systems during the year ended December 31, 2024. This decline primarily reflects variability in customer purchasing behavior resulting from uncertainty surrounding the funding for new capital equipment, particularly among academic and research institutions.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decrease was partially offset by sales of Vega systems, with 140 units sold during the year ended December 31, 2025 following its commercial launch in the fourth quarter of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expect that instrument revenue may fluctuate based on timing of customer purchasing decisions, sales mix, and funding dynamics.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12520"/>
                <wp:effectExtent l="0" t="0" r="0" b="0"/>
                <wp:wrapNone/>
                <wp:docPr id="195" name="Frame6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69" descr=""/>
                                                <pic:cNvPicPr>
                                                  <a:picLocks noChangeAspect="1" noChangeArrowheads="1"/>
                                                </pic:cNvPicPr>
                                              </pic:nvPicPr>
                                              <pic:blipFill>
                                                <a:blip r:embed="rId132"/>
                                                <a:stretch>
                                                  <a:fillRect/>
                                                </a:stretch>
                                              </pic:blipFill>
                                              <pic:spPr bwMode="auto">
                                                <a:xfrm>
                                                  <a:off x="0" y="0"/>
                                                  <a:ext cx="457200" cy="95250"/>
                                                </a:xfrm>
                                                <a:prstGeom prst="rect">
                                                  <a:avLst/>
                                                </a:prstGeom>
                                              </pic:spPr>
                                            </pic:pic>
                                          </a:graphicData>
                                        </a:graphic>
                                      </wp:inline>
                                    </w:drawing>
                                  </w:r>
                                  <w:bookmarkStart w:id="133" w:name="i-69"/>
                                  <w:bookmarkEnd w:id="13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9" descr=""/>
                                          <pic:cNvPicPr>
                                            <a:picLocks noChangeAspect="1" noChangeArrowheads="1"/>
                                          </pic:cNvPicPr>
                                        </pic:nvPicPr>
                                        <pic:blipFill>
                                          <a:blip r:embed="rId133"/>
                                          <a:stretch>
                                            <a:fillRect/>
                                          </a:stretch>
                                        </pic:blipFill>
                                        <pic:spPr bwMode="auto">
                                          <a:xfrm>
                                            <a:off x="0" y="0"/>
                                            <a:ext cx="457200" cy="95250"/>
                                          </a:xfrm>
                                          <a:prstGeom prst="rect">
                                            <a:avLst/>
                                          </a:prstGeom>
                                        </pic:spPr>
                                      </pic:pic>
                                    </a:graphicData>
                                  </a:graphic>
                                </wp:inline>
                              </w:drawing>
                            </w:r>
                            <w:bookmarkStart w:id="134" w:name="i-69"/>
                            <w:bookmarkEnd w:id="13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4334" w:type="dxa"/>
        <w:jc w:val="left"/>
        <w:tblInd w:w="0" w:type="dxa"/>
        <w:tblLayout w:type="fixed"/>
        <w:tblCellMar>
          <w:top w:w="28" w:type="dxa"/>
          <w:left w:w="28" w:type="dxa"/>
          <w:bottom w:w="28" w:type="dxa"/>
          <w:right w:w="28" w:type="dxa"/>
        </w:tblCellMar>
      </w:tblPr>
      <w:tblGrid>
        <w:gridCol w:w="1386"/>
        <w:gridCol w:w="1219"/>
        <w:gridCol w:w="1729"/>
      </w:tblGrid>
      <w:tr>
        <w:trPr/>
        <w:tc>
          <w:tcPr>
            <w:tcW w:w="138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Cost of Revenue and Gross Profit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Total cost of revenue decreased $2.5 million, or 2%, during the year ended December 31, 2025, compared to the year ended December 31, 2024 primarily due to more favorable product mix driven by higher consumable sales and a decrease in amortization of acquired intangible assets. These decreases were partially offset by $8.1 million of excess inventory charges resulting from reduced external demand and $3.9 million of estimated losses on purchase commitments associated with anticipated excess inventory in connection with the Company’s expense reduction and strategic initiatives. Excess inventory charges were $3.6 million for the year ended December 31, 2024. Total cost of revenue included share-based compensation expense of $3.8 million and $5.7 million during the years ended December 31, 2025 and 2024, respectively.</w:t>
      </w:r>
    </w:p>
    <w:p>
      <w:pPr>
        <w:pStyle w:val="TextBody"/>
        <w:bidi w:val="0"/>
        <w:spacing w:lineRule="auto" w:line="288" w:before="120" w:after="283"/>
        <w:jc w:val="both"/>
        <w:rPr/>
      </w:pPr>
      <w:r>
        <w:rPr>
          <w:rFonts w:ascii="Roboto;sans-serif" w:hAnsi="Roboto;sans-serif"/>
          <w:b w:val="false"/>
          <w:color w:val="000000"/>
          <w:sz w:val="20"/>
        </w:rPr>
        <w:t xml:space="preserve">Gross profit increased $8.5 million, or 23%, for the year ended December 31, 2025, compared to the year ended December 31, 2024 driven by higher consumable volumes and the resulting improvement in product mix, partially offset by restructuring-related charges. See </w:t>
      </w:r>
      <w:hyperlink w:anchor="i9dad38eca65443b9a8bcd939ad72e7eb_115">
        <w:r>
          <w:rPr>
            <w:rStyle w:val="InternetLink"/>
          </w:rPr>
          <w:t xml:space="preserve">Note </w:t>
        </w:r>
      </w:hyperlink>
      <w:hyperlink w:anchor="i9dad38eca65443b9a8bcd939ad72e7eb_115">
        <w:r>
          <w:rPr>
            <w:rStyle w:val="InternetLink"/>
          </w:rPr>
          <w:t>6</w:t>
        </w:r>
      </w:hyperlink>
      <w:hyperlink w:anchor="i9dad38eca65443b9a8bcd939ad72e7eb_115">
        <w:r>
          <w:rPr>
            <w:rStyle w:val="InternetLink"/>
          </w:rPr>
          <w:t>. Restructuring</w:t>
        </w:r>
      </w:hyperlink>
      <w:r>
        <w:rPr>
          <w:color w:val="000000"/>
        </w:rPr>
        <w:t xml:space="preserve"> </w:t>
      </w:r>
      <w:r>
        <w:rPr>
          <w:rFonts w:ascii="Roboto;sans-serif" w:hAnsi="Roboto;sans-serif"/>
          <w:b w:val="false"/>
          <w:color w:val="000000"/>
          <w:sz w:val="20"/>
        </w:rPr>
        <w:t>in Part II, Item 8 of this Annual Report on Form 10-K for additional information about restructuring activities. Gross margins may be affected by product mix, manufacturing efficiencies, changes in warranty costs, average selling price fluctuations, future product launches, changes to inventory reserves, costs of raw materials and tariffs.</w:t>
      </w:r>
    </w:p>
    <w:tbl>
      <w:tblPr>
        <w:tblW w:w="4785" w:type="dxa"/>
        <w:jc w:val="left"/>
        <w:tblInd w:w="0" w:type="dxa"/>
        <w:tblLayout w:type="fixed"/>
        <w:tblCellMar>
          <w:top w:w="28" w:type="dxa"/>
          <w:left w:w="28" w:type="dxa"/>
          <w:bottom w:w="28" w:type="dxa"/>
          <w:right w:w="28" w:type="dxa"/>
        </w:tblCellMar>
      </w:tblPr>
      <w:tblGrid>
        <w:gridCol w:w="1532"/>
        <w:gridCol w:w="1345"/>
        <w:gridCol w:w="1908"/>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Research and Development Expense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Research and development expense decreased by $37.6 million, or 28%, for the year ended December 31, 2025, compared to the year ended December 31, 2024. The decrease was primarily driven by a decrease in personnel and related expenses, including share-based compensation expense, lower product development costs due to the transition of launched products from development to commercialization, and lower restructuring-related charges, partially offset by an increase in future product development activities. We recorded $2.8 million of restructuring-related charges during the year ended December 31, 2025 compared to $5.9 million for the year ended December 31, 2024. Research and development expense included share-based compensation of $11.2 million and $19.2 million during the years ended December 31, 2025 and 2024, respectively.</w:t>
      </w:r>
    </w:p>
    <w:tbl>
      <w:tblPr>
        <w:tblW w:w="5714" w:type="dxa"/>
        <w:jc w:val="left"/>
        <w:tblInd w:w="0" w:type="dxa"/>
        <w:tblLayout w:type="fixed"/>
        <w:tblCellMar>
          <w:top w:w="28" w:type="dxa"/>
          <w:left w:w="28" w:type="dxa"/>
          <w:bottom w:w="28" w:type="dxa"/>
          <w:right w:w="28" w:type="dxa"/>
        </w:tblCellMar>
      </w:tblPr>
      <w:tblGrid>
        <w:gridCol w:w="1828"/>
        <w:gridCol w:w="1607"/>
        <w:gridCol w:w="2279"/>
      </w:tblGrid>
      <w:tr>
        <w:trPr/>
        <w:tc>
          <w:tcPr>
            <w:tcW w:w="1828"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Sales, General, and Administrative Expense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general and administrative expense decreased by $33.5 million, or 19%, during the year ended December 31, 2025, compared to the year ended December 31, 2024. The decrease was primarily due to a decrease in personnel and related expenses, including share-based compensation expense, and lower restructuring-related charges. We recorded $6.1 million of restructuring-related charges during the year ended December 31, 2025 compared to $14.9 million for the year ended December 31, 2024. Sales, general, and administrative expense included share-based compensation expenses of $26.6 million and $46.2 million during the years ended December 31, 2025 and 2024, respectively.</w:t>
      </w:r>
    </w:p>
    <w:tbl>
      <w:tblPr>
        <w:tblW w:w="2759" w:type="dxa"/>
        <w:jc w:val="left"/>
        <w:tblInd w:w="0" w:type="dxa"/>
        <w:tblLayout w:type="fixed"/>
        <w:tblCellMar>
          <w:top w:w="28" w:type="dxa"/>
          <w:left w:w="28" w:type="dxa"/>
          <w:bottom w:w="28" w:type="dxa"/>
          <w:right w:w="28" w:type="dxa"/>
        </w:tblCellMar>
      </w:tblPr>
      <w:tblGrid>
        <w:gridCol w:w="884"/>
        <w:gridCol w:w="777"/>
        <w:gridCol w:w="1098"/>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Impairment Charges</w:t>
            </w:r>
          </w:p>
        </w:tc>
      </w:tr>
    </w:tbl>
    <w:p>
      <w:pPr>
        <w:pStyle w:val="TextBody"/>
        <w:bidi w:val="0"/>
        <w:spacing w:lineRule="auto" w:line="288" w:before="120" w:after="283"/>
        <w:jc w:val="both"/>
        <w:rPr/>
      </w:pPr>
      <w:r>
        <w:rPr>
          <w:rFonts w:ascii="Roboto;sans-serif" w:hAnsi="Roboto;sans-serif"/>
          <w:b w:val="false"/>
          <w:color w:val="000000"/>
          <w:sz w:val="20"/>
        </w:rPr>
        <w:t xml:space="preserve">We recorded impairment charges of $15.0 million during the first quarter of 2025, related to in-process research and development (“IPR&amp;D”). These charges resulted from an interim impairment assessment performed in response to identified indicators of impairment during the period. The impairment test concluded that the fair value of our IPR&amp;D assets was $0. See </w:t>
      </w:r>
      <w:hyperlink w:anchor="i9dad38eca65443b9a8bcd939ad72e7eb_106">
        <w:r>
          <w:rPr>
            <w:rStyle w:val="InternetLink"/>
            <w:rFonts w:ascii="Roboto;sans-serif" w:hAnsi="Roboto;sans-serif"/>
            <w:b w:val="false"/>
            <w:i/>
            <w:color w:val="0000FF"/>
            <w:sz w:val="20"/>
            <w:u w:val="single"/>
          </w:rPr>
          <w:t>Note 4. Balance Sheet Components</w:t>
        </w:r>
      </w:hyperlink>
      <w:r>
        <w:rPr>
          <w:color w:val="000000"/>
        </w:rPr>
        <w:t xml:space="preserve"> </w:t>
      </w:r>
      <w:r>
        <w:rPr>
          <w:rFonts w:ascii="Roboto;sans-serif" w:hAnsi="Roboto;sans-serif"/>
          <w:b w:val="false"/>
          <w:color w:val="000000"/>
          <w:sz w:val="20"/>
        </w:rPr>
        <w:t>in Part II, Item 8 of this Annual Report on Form 10-K for further details.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recorded impairment charges of $184.5 million during the year ended December 31, 2024 including $144.5 million of goodwill and $40.0 million of IPR&amp;D as a result of quantitative interim impairment tests.</w:t>
      </w:r>
    </w:p>
    <w:tbl>
      <w:tblPr>
        <w:tblW w:w="5639" w:type="dxa"/>
        <w:jc w:val="left"/>
        <w:tblInd w:w="0" w:type="dxa"/>
        <w:tblLayout w:type="fixed"/>
        <w:tblCellMar>
          <w:top w:w="28" w:type="dxa"/>
          <w:left w:w="28" w:type="dxa"/>
          <w:bottom w:w="28" w:type="dxa"/>
          <w:right w:w="28" w:type="dxa"/>
        </w:tblCellMar>
      </w:tblPr>
      <w:tblGrid>
        <w:gridCol w:w="1807"/>
        <w:gridCol w:w="1587"/>
        <w:gridCol w:w="2245"/>
      </w:tblGrid>
      <w:tr>
        <w:trPr/>
        <w:tc>
          <w:tcPr>
            <w:tcW w:w="180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Amortization of Acquired Intangible Assets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Amortization of acquired intangible assets during the year ended December 31, 2025 included $359.3 million of accelerated amortization recorded during the first quarter of 2025 which was related to developed technology from the 2021 Omniome acquisition, reflecting our revised estimate that the asset will no longer generate economic benefit. We expect significantly lower amortization expense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12520"/>
                <wp:effectExtent l="0" t="0" r="0" b="0"/>
                <wp:wrapNone/>
                <wp:docPr id="198" name="Frame6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70" descr=""/>
                                                <pic:cNvPicPr>
                                                  <a:picLocks noChangeAspect="1" noChangeArrowheads="1"/>
                                                </pic:cNvPicPr>
                                              </pic:nvPicPr>
                                              <pic:blipFill>
                                                <a:blip r:embed="rId134"/>
                                                <a:stretch>
                                                  <a:fillRect/>
                                                </a:stretch>
                                              </pic:blipFill>
                                              <pic:spPr bwMode="auto">
                                                <a:xfrm>
                                                  <a:off x="0" y="0"/>
                                                  <a:ext cx="457200" cy="95250"/>
                                                </a:xfrm>
                                                <a:prstGeom prst="rect">
                                                  <a:avLst/>
                                                </a:prstGeom>
                                              </pic:spPr>
                                            </pic:pic>
                                          </a:graphicData>
                                        </a:graphic>
                                      </wp:inline>
                                    </w:drawing>
                                  </w:r>
                                  <w:bookmarkStart w:id="135" w:name="i-70"/>
                                  <w:bookmarkEnd w:id="13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70" descr=""/>
                                          <pic:cNvPicPr>
                                            <a:picLocks noChangeAspect="1" noChangeArrowheads="1"/>
                                          </pic:cNvPicPr>
                                        </pic:nvPicPr>
                                        <pic:blipFill>
                                          <a:blip r:embed="rId135"/>
                                          <a:stretch>
                                            <a:fillRect/>
                                          </a:stretch>
                                        </pic:blipFill>
                                        <pic:spPr bwMode="auto">
                                          <a:xfrm>
                                            <a:off x="0" y="0"/>
                                            <a:ext cx="457200" cy="95250"/>
                                          </a:xfrm>
                                          <a:prstGeom prst="rect">
                                            <a:avLst/>
                                          </a:prstGeom>
                                        </pic:spPr>
                                      </pic:pic>
                                    </a:graphicData>
                                  </a:graphic>
                                </wp:inline>
                              </w:drawing>
                            </w:r>
                            <w:bookmarkStart w:id="136" w:name="i-70"/>
                            <w:bookmarkEnd w:id="13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6435" w:type="dxa"/>
        <w:jc w:val="left"/>
        <w:tblInd w:w="0" w:type="dxa"/>
        <w:tblLayout w:type="fixed"/>
        <w:tblCellMar>
          <w:top w:w="28" w:type="dxa"/>
          <w:left w:w="28" w:type="dxa"/>
          <w:bottom w:w="28" w:type="dxa"/>
          <w:right w:w="28" w:type="dxa"/>
        </w:tblCellMar>
      </w:tblPr>
      <w:tblGrid>
        <w:gridCol w:w="2060"/>
        <w:gridCol w:w="1812"/>
        <w:gridCol w:w="2563"/>
      </w:tblGrid>
      <w:tr>
        <w:trPr/>
        <w:tc>
          <w:tcPr>
            <w:tcW w:w="2060"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Change in Fair Value of Contingent Consideration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first quarter of 2025 we recognized a change in fair value of contingent consideration of $18.7 million, resulting in a contingent consideration liability of $0. This was primarily due to management's decision to cease development of the high-throughput short-read system, the associated changes in expected future revenues, and the requirement that the milestone event occur prior to the five-year anniversary of the acquisition closing date.</w:t>
      </w:r>
    </w:p>
    <w:p>
      <w:pPr>
        <w:pStyle w:val="TextBody"/>
        <w:bidi w:val="0"/>
        <w:spacing w:lineRule="auto" w:line="288" w:before="120" w:after="283"/>
        <w:jc w:val="both"/>
        <w:rPr/>
      </w:pPr>
      <w:r>
        <w:rPr>
          <w:rFonts w:ascii="Roboto;sans-serif" w:hAnsi="Roboto;sans-serif"/>
          <w:b w:val="false"/>
          <w:color w:val="000000"/>
          <w:sz w:val="20"/>
        </w:rPr>
        <w:t xml:space="preserve">On January 30, 2026, we completed a disposition of assets to Buyer in accordance with the terms of the Asset Purchase Agreement. In connection with the Asset Sale, Buyer will pay at our direction 4% of the net proceeds from the Purchase Price to the former equity holders of Apton related to the waiver of all remaining milestone obligations associated with our purchase of Apton in August 2023, which payment is expected in the first quarter of 2026. See </w:t>
      </w:r>
      <w:hyperlink w:anchor="i9dad38eca65443b9a8bcd939ad72e7eb_133">
        <w:r>
          <w:rPr>
            <w:rStyle w:val="InternetLink"/>
          </w:rPr>
          <w:t xml:space="preserve">Note </w:t>
        </w:r>
      </w:hyperlink>
      <w:hyperlink w:anchor="i9dad38eca65443b9a8bcd939ad72e7eb_133">
        <w:r>
          <w:rPr>
            <w:rStyle w:val="InternetLink"/>
          </w:rPr>
          <w:t>12</w:t>
        </w:r>
      </w:hyperlink>
      <w:hyperlink w:anchor="i9dad38eca65443b9a8bcd939ad72e7eb_133">
        <w:r>
          <w:rPr>
            <w:rStyle w:val="InternetLink"/>
          </w:rPr>
          <w:t xml:space="preserve">. </w:t>
        </w:r>
      </w:hyperlink>
      <w:hyperlink w:anchor="i9dad38eca65443b9a8bcd939ad72e7eb_133">
        <w:r>
          <w:rPr>
            <w:rStyle w:val="InternetLink"/>
          </w:rPr>
          <w:t>Subsequent Events</w:t>
        </w:r>
      </w:hyperlink>
      <w:r>
        <w:rPr>
          <w:color w:val="000000"/>
        </w:rPr>
        <w:t xml:space="preserve"> </w:t>
      </w:r>
      <w:r>
        <w:rPr>
          <w:rFonts w:ascii="Roboto;sans-serif" w:hAnsi="Roboto;sans-serif"/>
          <w:b w:val="false"/>
          <w:color w:val="000000"/>
          <w:sz w:val="20"/>
        </w:rPr>
        <w:t>in Part II, Item 8 of this Annual Report on Form 10-K for further details.</w:t>
      </w:r>
    </w:p>
    <w:tbl>
      <w:tblPr>
        <w:tblW w:w="3629" w:type="dxa"/>
        <w:jc w:val="left"/>
        <w:tblInd w:w="0" w:type="dxa"/>
        <w:tblLayout w:type="fixed"/>
        <w:tblCellMar>
          <w:top w:w="28" w:type="dxa"/>
          <w:left w:w="28" w:type="dxa"/>
          <w:bottom w:w="28" w:type="dxa"/>
          <w:right w:w="28" w:type="dxa"/>
        </w:tblCellMar>
      </w:tblPr>
      <w:tblGrid>
        <w:gridCol w:w="1162"/>
        <w:gridCol w:w="1022"/>
        <w:gridCol w:w="1445"/>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Gain on Debt Restructuring</w:t>
            </w:r>
          </w:p>
        </w:tc>
      </w:tr>
    </w:tbl>
    <w:p>
      <w:pPr>
        <w:pStyle w:val="TextBody"/>
        <w:bidi w:val="0"/>
        <w:spacing w:lineRule="auto" w:line="288" w:before="120" w:after="283"/>
        <w:jc w:val="both"/>
        <w:rPr/>
      </w:pPr>
      <w:r>
        <w:rPr>
          <w:rFonts w:ascii="Roboto;sans-serif" w:hAnsi="Roboto;sans-serif"/>
          <w:b w:val="false"/>
          <w:color w:val="000000"/>
          <w:sz w:val="20"/>
        </w:rPr>
        <w:t xml:space="preserve">Gain on debt restructuring of $154.4 million during the year ended December 31, 2024, represents the gain resulting from the Exchange Transaction, which qualified as a troubled debt restructuring under Accounting Standards Codification ("ASC") 470-60, Debt - Troubled Debt Restructurings by Debtors. Since the undiscounted cash flows of the new 2029 Notes were less than the carrying amount of the exchanged 2028 Notes, the carrying value of the 2029 Notes was determined based on the total undiscounted cash flows. The gain was calculated as the difference between the carrying amount of the old debt and the carrying amount of the new debt, adjusted for debt issuance costs. See </w:t>
      </w:r>
      <w:hyperlink w:anchor="i9dad38eca65443b9a8bcd939ad72e7eb_109">
        <w:r>
          <w:rPr>
            <w:rStyle w:val="InternetLink"/>
          </w:rPr>
          <w:t xml:space="preserve">Note 5. Convertible Senior </w:t>
        </w:r>
      </w:hyperlink>
      <w:hyperlink w:anchor="i9dad38eca65443b9a8bcd939ad72e7eb_109">
        <w:r>
          <w:rPr>
            <w:rStyle w:val="InternetLink"/>
          </w:rPr>
          <w:t>Notes</w:t>
        </w:r>
      </w:hyperlink>
      <w:r>
        <w:rPr>
          <w:color w:val="000000"/>
        </w:rPr>
        <w:t xml:space="preserve"> </w:t>
      </w:r>
      <w:r>
        <w:rPr>
          <w:rFonts w:ascii="Roboto;sans-serif" w:hAnsi="Roboto;sans-serif"/>
          <w:b w:val="false"/>
          <w:color w:val="000000"/>
          <w:sz w:val="20"/>
        </w:rPr>
        <w:t>in Part II, Item 8 of this Annual Report on Form 10-K for further details.</w:t>
      </w:r>
    </w:p>
    <w:tbl>
      <w:tblPr>
        <w:tblW w:w="2309" w:type="dxa"/>
        <w:jc w:val="left"/>
        <w:tblInd w:w="0" w:type="dxa"/>
        <w:tblLayout w:type="fixed"/>
        <w:tblCellMar>
          <w:top w:w="28" w:type="dxa"/>
          <w:left w:w="28" w:type="dxa"/>
          <w:bottom w:w="28" w:type="dxa"/>
          <w:right w:w="28" w:type="dxa"/>
        </w:tblCellMar>
      </w:tblPr>
      <w:tblGrid>
        <w:gridCol w:w="739"/>
        <w:gridCol w:w="649"/>
        <w:gridCol w:w="921"/>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Interest Expense</w:t>
            </w:r>
          </w:p>
        </w:tc>
      </w:tr>
    </w:tbl>
    <w:p>
      <w:pPr>
        <w:pStyle w:val="TextBody"/>
        <w:bidi w:val="0"/>
        <w:spacing w:lineRule="auto" w:line="288" w:before="120" w:after="283"/>
        <w:jc w:val="both"/>
        <w:rPr/>
      </w:pPr>
      <w:r>
        <w:rPr>
          <w:rFonts w:ascii="Roboto;sans-serif" w:hAnsi="Roboto;sans-serif"/>
          <w:b w:val="false"/>
          <w:color w:val="000000"/>
          <w:sz w:val="20"/>
        </w:rPr>
        <w:t xml:space="preserve">Interest expense during the years ended December 31, 2025 and 2024 was primarily comprised of interest on the convertible senior notes. The decrease was due to lower convertible notes balances as a result of the notes exchange transaction in November 2024. See </w:t>
      </w:r>
      <w:hyperlink w:anchor="i9dad38eca65443b9a8bcd939ad72e7eb_109">
        <w:r>
          <w:rPr>
            <w:rStyle w:val="InternetLink"/>
            <w:rFonts w:ascii="Roboto;sans-serif" w:hAnsi="Roboto;sans-serif"/>
            <w:b w:val="false"/>
            <w:i/>
            <w:color w:val="0000FF"/>
            <w:sz w:val="20"/>
            <w:u w:val="single"/>
          </w:rPr>
          <w:t>Note 5. Convertible Senior Notes</w:t>
        </w:r>
      </w:hyperlink>
      <w:r>
        <w:rPr>
          <w:color w:val="000000"/>
        </w:rPr>
        <w:t xml:space="preserve"> </w:t>
      </w:r>
      <w:r>
        <w:rPr>
          <w:rFonts w:ascii="Roboto;sans-serif" w:hAnsi="Roboto;sans-serif"/>
          <w:b w:val="false"/>
          <w:color w:val="000000"/>
          <w:sz w:val="20"/>
        </w:rPr>
        <w:t>in Part II, Item 8 of this Annual Report on Form 10-K for additional information.</w:t>
      </w:r>
    </w:p>
    <w:tbl>
      <w:tblPr>
        <w:tblW w:w="2504" w:type="dxa"/>
        <w:jc w:val="left"/>
        <w:tblInd w:w="0" w:type="dxa"/>
        <w:tblLayout w:type="fixed"/>
        <w:tblCellMar>
          <w:top w:w="28" w:type="dxa"/>
          <w:left w:w="28" w:type="dxa"/>
          <w:bottom w:w="28" w:type="dxa"/>
          <w:right w:w="28" w:type="dxa"/>
        </w:tblCellMar>
      </w:tblPr>
      <w:tblGrid>
        <w:gridCol w:w="802"/>
        <w:gridCol w:w="705"/>
        <w:gridCol w:w="997"/>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Other Income, Net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decrease in other income, net was primarily driven by lower investment income due to lower cash and investment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845" w:type="dxa"/>
        <w:jc w:val="left"/>
        <w:tblInd w:w="0" w:type="dxa"/>
        <w:tblLayout w:type="fixed"/>
        <w:tblCellMar>
          <w:top w:w="28" w:type="dxa"/>
          <w:left w:w="28" w:type="dxa"/>
          <w:bottom w:w="28" w:type="dxa"/>
          <w:right w:w="28" w:type="dxa"/>
        </w:tblCellMar>
      </w:tblPr>
      <w:tblGrid>
        <w:gridCol w:w="1551"/>
        <w:gridCol w:w="1359"/>
        <w:gridCol w:w="1935"/>
      </w:tblGrid>
      <w:tr>
        <w:trPr/>
        <w:tc>
          <w:tcPr>
            <w:tcW w:w="15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LIQUIDITY AND CAPITAL RESOURCES</w:t>
            </w:r>
          </w:p>
        </w:tc>
      </w:tr>
    </w:tbl>
    <w:p>
      <w:pPr>
        <w:pStyle w:val="TextBody"/>
        <w:bidi w:val="0"/>
        <w:spacing w:lineRule="auto" w:line="288" w:before="120" w:after="283"/>
        <w:jc w:val="both"/>
        <w:rPr/>
      </w:pPr>
      <w:r>
        <w:rPr>
          <w:rFonts w:ascii="Roboto;sans-serif" w:hAnsi="Roboto;sans-serif"/>
          <w:b w:val="false"/>
          <w:color w:val="000000"/>
          <w:sz w:val="20"/>
        </w:rPr>
        <w:t xml:space="preserve">Our primary sources of liquidity, other than our holdings of cash, cash equivalents, and investments, has primarily been through the issuance of debt or equity securities, together with cash flow from operating activities. For example, in January 2023, as discussed in </w:t>
      </w:r>
      <w:hyperlink w:anchor="i9dad38eca65443b9a8bcd939ad72e7eb_124">
        <w:r>
          <w:rPr>
            <w:rStyle w:val="InternetLink"/>
            <w:rFonts w:ascii="Roboto;sans-serif" w:hAnsi="Roboto;sans-serif"/>
            <w:b w:val="false"/>
            <w:i/>
            <w:color w:val="0000FF"/>
            <w:sz w:val="20"/>
            <w:u w:val="single"/>
          </w:rPr>
          <w:t>Note 9. Stockholders’ Equity</w:t>
        </w:r>
      </w:hyperlink>
      <w:r>
        <w:rPr>
          <w:color w:val="000000"/>
        </w:rPr>
        <w:t xml:space="preserve"> </w:t>
      </w:r>
      <w:r>
        <w:rPr>
          <w:rFonts w:ascii="Roboto;sans-serif" w:hAnsi="Roboto;sans-serif"/>
          <w:b w:val="false"/>
          <w:color w:val="000000"/>
          <w:sz w:val="20"/>
        </w:rPr>
        <w:t xml:space="preserve">in Part II, Item 8 of this Annual Report on Form 10-K, we issued and sold an aggregate of 20,125,000 shares of our common stock in a follow-on public offering for aggregate gross proceeds of approximately $201.3 million. We have historically incurred, and expect to continue to incur, operating losses and generate negative cash flows from operations on an annual basis due to the investments we intend to make as described in </w:t>
      </w:r>
      <w:hyperlink w:anchor="i9dad38eca65443b9a8bcd939ad72e7eb_52">
        <w:r>
          <w:rPr>
            <w:rStyle w:val="InternetLink"/>
            <w:rFonts w:ascii="Roboto;sans-serif" w:hAnsi="Roboto;sans-serif"/>
            <w:b w:val="false"/>
            <w:i/>
            <w:color w:val="0000FF"/>
            <w:sz w:val="20"/>
            <w:u w:val="single"/>
          </w:rPr>
          <w:t>Results of Operations</w:t>
        </w:r>
      </w:hyperlink>
      <w:r>
        <w:rPr>
          <w:color w:val="000000"/>
        </w:rPr>
        <w:t xml:space="preserve"> </w:t>
      </w:r>
      <w:r>
        <w:rPr>
          <w:rFonts w:ascii="Roboto;sans-serif" w:hAnsi="Roboto;sans-serif"/>
          <w:b w:val="false"/>
          <w:color w:val="000000"/>
          <w:sz w:val="20"/>
        </w:rPr>
        <w:t>above, and as a result, we may require additional capital resources to execute our strategic initiatives to grow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approved and implemented certain efficiency and expense reduction initiatives during 2025 and 2024. These expense reduction initiatives included workforce reductions, facilities downsizing and a refined pipeline of development programs.</w:t>
      </w:r>
    </w:p>
    <w:tbl>
      <w:tblPr>
        <w:tblW w:w="5429" w:type="dxa"/>
        <w:jc w:val="left"/>
        <w:tblInd w:w="0" w:type="dxa"/>
        <w:tblLayout w:type="fixed"/>
        <w:tblCellMar>
          <w:top w:w="28" w:type="dxa"/>
          <w:left w:w="28" w:type="dxa"/>
          <w:bottom w:w="28" w:type="dxa"/>
          <w:right w:w="28" w:type="dxa"/>
        </w:tblCellMar>
      </w:tblPr>
      <w:tblGrid>
        <w:gridCol w:w="1738"/>
        <w:gridCol w:w="1527"/>
        <w:gridCol w:w="2164"/>
      </w:tblGrid>
      <w:tr>
        <w:trPr/>
        <w:tc>
          <w:tcPr>
            <w:tcW w:w="17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Cash, Cash Equivalents, and Investments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we had $279.5 million in cash, cash equivalents, and investments, compared to $389.9 million at December 31, 2024. The decrease was primarily attributable to $111.2 million cash used in operating activities during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12520"/>
                <wp:effectExtent l="0" t="0" r="0" b="0"/>
                <wp:wrapNone/>
                <wp:docPr id="201" name="Frame6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1" descr=""/>
                                                <pic:cNvPicPr>
                                                  <a:picLocks noChangeAspect="1" noChangeArrowheads="1"/>
                                                </pic:cNvPicPr>
                                              </pic:nvPicPr>
                                              <pic:blipFill>
                                                <a:blip r:embed="rId136"/>
                                                <a:stretch>
                                                  <a:fillRect/>
                                                </a:stretch>
                                              </pic:blipFill>
                                              <pic:spPr bwMode="auto">
                                                <a:xfrm>
                                                  <a:off x="0" y="0"/>
                                                  <a:ext cx="457200" cy="95250"/>
                                                </a:xfrm>
                                                <a:prstGeom prst="rect">
                                                  <a:avLst/>
                                                </a:prstGeom>
                                              </pic:spPr>
                                            </pic:pic>
                                          </a:graphicData>
                                        </a:graphic>
                                      </wp:inline>
                                    </w:drawing>
                                  </w:r>
                                  <w:bookmarkStart w:id="137" w:name="i-71"/>
                                  <w:bookmarkEnd w:id="13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1" descr=""/>
                                          <pic:cNvPicPr>
                                            <a:picLocks noChangeAspect="1" noChangeArrowheads="1"/>
                                          </pic:cNvPicPr>
                                        </pic:nvPicPr>
                                        <pic:blipFill>
                                          <a:blip r:embed="rId137"/>
                                          <a:stretch>
                                            <a:fillRect/>
                                          </a:stretch>
                                        </pic:blipFill>
                                        <pic:spPr bwMode="auto">
                                          <a:xfrm>
                                            <a:off x="0" y="0"/>
                                            <a:ext cx="457200" cy="95250"/>
                                          </a:xfrm>
                                          <a:prstGeom prst="rect">
                                            <a:avLst/>
                                          </a:prstGeom>
                                        </pic:spPr>
                                      </pic:pic>
                                    </a:graphicData>
                                  </a:graphic>
                                </wp:inline>
                              </w:drawing>
                            </w:r>
                            <w:bookmarkStart w:id="138" w:name="i-71"/>
                            <w:bookmarkEnd w:id="13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3314" w:type="dxa"/>
        <w:jc w:val="left"/>
        <w:tblInd w:w="0" w:type="dxa"/>
        <w:tblLayout w:type="fixed"/>
        <w:tblCellMar>
          <w:top w:w="28" w:type="dxa"/>
          <w:left w:w="28" w:type="dxa"/>
          <w:bottom w:w="28" w:type="dxa"/>
          <w:right w:w="28" w:type="dxa"/>
        </w:tblCellMar>
      </w:tblPr>
      <w:tblGrid>
        <w:gridCol w:w="1061"/>
        <w:gridCol w:w="932"/>
        <w:gridCol w:w="1321"/>
      </w:tblGrid>
      <w:tr>
        <w:trPr/>
        <w:tc>
          <w:tcPr>
            <w:tcW w:w="10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Convertible Senior Notes</w:t>
            </w:r>
          </w:p>
        </w:tc>
      </w:tr>
    </w:tbl>
    <w:p>
      <w:pPr>
        <w:pStyle w:val="TextBody"/>
        <w:bidi w:val="0"/>
        <w:spacing w:lineRule="auto" w:line="288" w:before="120" w:after="283"/>
        <w:jc w:val="left"/>
        <w:rPr/>
      </w:pPr>
      <w:r>
        <w:rPr>
          <w:rFonts w:ascii="Roboto;sans-serif" w:hAnsi="Roboto;sans-serif"/>
          <w:b w:val="false"/>
          <w:color w:val="000000"/>
          <w:sz w:val="20"/>
        </w:rPr>
        <w:t>On February 9, 2021, we entered into an investment agreement with SB Northstar LP (“SBN”), a subsidiary of SoftBank Group Corp., relating to the issuance and sale to SBN of $900.0 million in aggregate principal amount of our 2028 Notes. The 2028 Notes were issued on February 16, 2021</w:t>
      </w:r>
      <w:r>
        <w:rPr>
          <w:color w:val="000000"/>
        </w:rPr>
        <w:t xml:space="preserve"> </w:t>
      </w:r>
      <w:r>
        <w:rPr>
          <w:rFonts w:ascii="Roboto;sans-serif" w:hAnsi="Roboto;sans-serif"/>
          <w:b w:val="false"/>
          <w:color w:val="000000"/>
          <w:sz w:val="20"/>
        </w:rPr>
        <w:t>and, as of November 21, 2024, no 2028 Notes were outstanding.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June 2023, we entered into a privately negotiated exchange agreement with a holder of our outstanding 2028 Notes, pursuant to which we issued $441.0 million in aggregate principal amount of our 2030 Notes in exchange for $441.0 million principal amount of the 2028 Notes, leaving approximately $459.0 million in aggregate principal amount outstanding of our 2028 Notes. Interest on the 2030 Notes is payable semi-annually in arrears on June 15 and December 15 commencing on December 15, 2023. The 2030 Notes will mature on December 15, 2030, subject to earlier conversion, redemption, or repurchase.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November 2024, we entered into an exchange agreement with SBN, pursuant to which we agreed to exchange the remaining approximately $459.0 million in aggregate principal amount of 2028 Notes outstanding for (i) $200.0 million aggregate principal amount of the 2029 Notes, (ii) 20,451,570 shares of common stock (the “Exchange Shares”) and (iii) $50.0 million of cash. The exchange and issuances closed on November 21, 2024 (the “Closing Date”). The 2029 Notes, the Exchange Shares, and shares of common stock issuable upon conversion of the 2029 Notes were subject to certain lock-up restrictions for a six-month period (the “Lock-Up Period”) beginning on the Closing Date of the Exchange Transaction; the lock-up restrictions will terminate immediately prior to the consummation of any change in control of the Company. The 2029 Notes bear interest at a rate of 1.50% per annum. Interest on the 2029 Notes is payable semi-annually in arrears on February 15 and August 15 and commencing on February 15, 2025. The 2029 Notes will mature on August 15, 2029, subject to earlier conversion, redemption or repurchase.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convertible at the option of the holder at any time from the expiration of the Lock-Up Period until the second scheduled trading day prior to the maturity date, including in connection with a redemption by the Company. The 2029 Notes are convertible into shares of our common stock based on an initial conversion rate of 204.5157 shares of common stock per $1,000 principal amount of the 2029 Notes (which is equal to an initial conversion price of approximately $4.89 per share of common stock), in each case subject to customary anti-dilution and other adjustments as a result of certain extraordinary transactions. Upon conversion of the 2029 Notes, we may elect to settle such conversion obligation in shares of our common stock, cash or a combination of shares of our common stock and cash.</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approximately $21.50 per share of common stock), in each case subject to customary anti-dilution and other adjustments as a result of certain extraordinary transactions. Upon conversion of the 2030 Notes, we may elect to settle such conversion obligation in shares of our common stock, cash or a combination of shares of our common stock and cash.</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With certain exceptions, upon a change of control of our company or the failure of our common stock to be listed on certain stock exchanges, the holders of the Notes may require that we repurchase all or part of the principal amount of those Notes at a purchase price of par plus unpaid interest up to, but excluding, the maturity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indenture governing the 2029 Notes and the 2030 Notes include customary “events of default,” which may result in the acceleration of the maturity of the Notes under the respective indentures. The indentures also include customary covenants for convertible notes of this type.</w:t>
      </w:r>
    </w:p>
    <w:p>
      <w:pPr>
        <w:pStyle w:val="TextBody"/>
        <w:bidi w:val="0"/>
        <w:spacing w:lineRule="auto" w:line="288" w:before="120" w:after="283"/>
        <w:jc w:val="both"/>
        <w:rPr/>
      </w:pPr>
      <w:r>
        <w:rPr>
          <w:rFonts w:ascii="Roboto;sans-serif" w:hAnsi="Roboto;sans-serif"/>
          <w:b w:val="false"/>
          <w:color w:val="000000"/>
          <w:sz w:val="20"/>
        </w:rPr>
        <w:t>Additionally, on November 21, 2024, in connection with the issuance of the 2029 Notes, the Company and SBN entered into the Letter Agreement pursuant to which the Company and SBN agreed that, for so long as SBN and its affiliates hold at least $180 million aggregate principal amount of the 2029 Notes, the Company and its subsidiaries are subject to certain negative covenants that restrict the Company’s and its subsidiaries’ ability to incur additional indebtedness and create liens, in each case, subject to the exceptions set forth in the Letter Agreement, including exceptions which permit the Company to incur up to $75 million in aggregate principal amount of secured indebtedness pursuant to Credit Facilities (as defined in the Letter Agreement).</w:t>
      </w:r>
      <w:r>
        <w:rPr>
          <w:color w:val="000000"/>
        </w:rPr>
        <w:t xml:space="preserve"> </w:t>
      </w:r>
      <w:r>
        <w:rPr>
          <w:rFonts w:ascii="Roboto;sans-serif" w:hAnsi="Roboto;sans-serif"/>
          <w:b w:val="false"/>
          <w:color w:val="000000"/>
          <w:sz w:val="20"/>
        </w:rPr>
        <w:t xml:space="preserve">In addition, the Letter Agreement restricts the ability of the Company and its subsidiaries from guaranteeing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12520"/>
                <wp:effectExtent l="0" t="0" r="0" b="0"/>
                <wp:wrapNone/>
                <wp:docPr id="204" name="Frame6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72" descr=""/>
                                                <pic:cNvPicPr>
                                                  <a:picLocks noChangeAspect="1" noChangeArrowheads="1"/>
                                                </pic:cNvPicPr>
                                              </pic:nvPicPr>
                                              <pic:blipFill>
                                                <a:blip r:embed="rId138"/>
                                                <a:stretch>
                                                  <a:fillRect/>
                                                </a:stretch>
                                              </pic:blipFill>
                                              <pic:spPr bwMode="auto">
                                                <a:xfrm>
                                                  <a:off x="0" y="0"/>
                                                  <a:ext cx="457200" cy="95250"/>
                                                </a:xfrm>
                                                <a:prstGeom prst="rect">
                                                  <a:avLst/>
                                                </a:prstGeom>
                                              </pic:spPr>
                                            </pic:pic>
                                          </a:graphicData>
                                        </a:graphic>
                                      </wp:inline>
                                    </w:drawing>
                                  </w:r>
                                  <w:bookmarkStart w:id="139" w:name="i-72"/>
                                  <w:bookmarkEnd w:id="13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2" descr=""/>
                                          <pic:cNvPicPr>
                                            <a:picLocks noChangeAspect="1" noChangeArrowheads="1"/>
                                          </pic:cNvPicPr>
                                        </pic:nvPicPr>
                                        <pic:blipFill>
                                          <a:blip r:embed="rId139"/>
                                          <a:stretch>
                                            <a:fillRect/>
                                          </a:stretch>
                                        </pic:blipFill>
                                        <pic:spPr bwMode="auto">
                                          <a:xfrm>
                                            <a:off x="0" y="0"/>
                                            <a:ext cx="457200" cy="95250"/>
                                          </a:xfrm>
                                          <a:prstGeom prst="rect">
                                            <a:avLst/>
                                          </a:prstGeom>
                                        </pic:spPr>
                                      </pic:pic>
                                    </a:graphicData>
                                  </a:graphic>
                                </wp:inline>
                              </w:drawing>
                            </w:r>
                            <w:bookmarkStart w:id="140" w:name="i-72"/>
                            <w:bookmarkEnd w:id="14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indebtedness or incurring certain indebtedness outside of the ordinary course of business unless, in each case, the Company and its subsidiaries concurrently provide a guarantee of the Company’s obligations under the 2029 Notes.</w:t>
      </w:r>
    </w:p>
    <w:p>
      <w:pPr>
        <w:pStyle w:val="TextBody"/>
        <w:bidi w:val="0"/>
        <w:spacing w:lineRule="auto" w:line="288" w:before="120" w:after="283"/>
        <w:jc w:val="both"/>
        <w:rPr/>
      </w:pPr>
      <w:r>
        <w:rPr>
          <w:rFonts w:ascii="Roboto;sans-serif" w:hAnsi="Roboto;sans-serif"/>
          <w:b w:val="false"/>
          <w:color w:val="000000"/>
          <w:sz w:val="20"/>
        </w:rPr>
        <w:t xml:space="preserve">See </w:t>
      </w:r>
      <w:hyperlink w:anchor="i9dad38eca65443b9a8bcd939ad72e7eb_109">
        <w:r>
          <w:rPr>
            <w:rStyle w:val="InternetLink"/>
            <w:rFonts w:ascii="Roboto;sans-serif" w:hAnsi="Roboto;sans-serif"/>
            <w:b w:val="false"/>
            <w:i/>
            <w:color w:val="0000FF"/>
            <w:sz w:val="20"/>
            <w:u w:val="single"/>
          </w:rPr>
          <w:t>Note 5. Convertible Senior Notes</w:t>
        </w:r>
      </w:hyperlink>
      <w:r>
        <w:rPr>
          <w:color w:val="000000"/>
        </w:rPr>
        <w:t xml:space="preserve"> </w:t>
      </w:r>
      <w:r>
        <w:rPr>
          <w:rFonts w:ascii="Roboto;sans-serif" w:hAnsi="Roboto;sans-serif"/>
          <w:b w:val="false"/>
          <w:color w:val="000000"/>
          <w:sz w:val="20"/>
        </w:rPr>
        <w:t>in Part II, Item 8 of this Annual Report on Form 10-K for further details.</w:t>
      </w:r>
    </w:p>
    <w:tbl>
      <w:tblPr>
        <w:tblW w:w="4289" w:type="dxa"/>
        <w:jc w:val="left"/>
        <w:tblInd w:w="0" w:type="dxa"/>
        <w:tblLayout w:type="fixed"/>
        <w:tblCellMar>
          <w:top w:w="28" w:type="dxa"/>
          <w:left w:w="28" w:type="dxa"/>
          <w:bottom w:w="28" w:type="dxa"/>
          <w:right w:w="28" w:type="dxa"/>
        </w:tblCellMar>
      </w:tblPr>
      <w:tblGrid>
        <w:gridCol w:w="1374"/>
        <w:gridCol w:w="1207"/>
        <w:gridCol w:w="1708"/>
      </w:tblGrid>
      <w:tr>
        <w:trPr/>
        <w:tc>
          <w:tcPr>
            <w:tcW w:w="137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Additional Capital Requirements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believe that our existing cash, cash equivalents, and investments will be sufficient to fund our projected operating and capital requirements for at least the next 12 months from the date of filing of this Annual Report on Form 10-K for the year ended December 31, 2025. Operating needs include planned costs to operate our business, including costs to fund working capital and capital expenditures. Recent and expected working and other capital requirements, in addition to the above matters, include: </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purchase orders and contractual obligations of approximately $71.3 million as of December 31, 2025, which consist of open purchase orders and contractual obligations in the ordinary course of business, including commitments with contract manufacturers and suppliers for which we have not received the goods or services.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As described in </w:t>
      </w:r>
      <w:hyperlink w:anchor="i9dad38eca65443b9a8bcd939ad72e7eb_118">
        <w:r>
          <w:rPr>
            <w:rStyle w:val="InternetLink"/>
            <w:rFonts w:ascii="Roboto;sans-serif" w:hAnsi="Roboto;sans-serif"/>
            <w:b w:val="false"/>
            <w:color w:val="0000FF"/>
            <w:sz w:val="20"/>
            <w:u w:val="single"/>
          </w:rPr>
          <w:t>Note 7 - Commitments and Contingencies</w:t>
        </w:r>
      </w:hyperlink>
      <w:r>
        <w:rPr>
          <w:color w:val="000000"/>
        </w:rPr>
        <w:t xml:space="preserve"> </w:t>
      </w:r>
      <w:r>
        <w:rPr>
          <w:rFonts w:ascii="Roboto;sans-serif" w:hAnsi="Roboto;sans-serif"/>
          <w:b w:val="false"/>
          <w:color w:val="000000"/>
          <w:sz w:val="20"/>
        </w:rPr>
        <w:t>in Part II, Item 8 of this Annual Report on Form 10-K, we have a Supply Agreement, that includes minimum annual purchase commitments for certain products through 2031. To secure supply under the agreement, we paid deposits totaling $15.0 million, of which $4.0 million and $3.0 million were refunded in 2025 and 2024, respectively. The supplier may retain all or a portion of the deposit if we fail to meet our minimum purchase commitments.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As described in </w:t>
      </w:r>
      <w:hyperlink w:anchor="i9dad38eca65443b9a8bcd939ad72e7eb_106">
        <w:r>
          <w:rPr>
            <w:rStyle w:val="InternetLink"/>
          </w:rPr>
          <w:t xml:space="preserve">Note </w:t>
        </w:r>
      </w:hyperlink>
      <w:hyperlink w:anchor="i9dad38eca65443b9a8bcd939ad72e7eb_106">
        <w:r>
          <w:rPr>
            <w:rStyle w:val="InternetLink"/>
          </w:rPr>
          <w:t>4</w:t>
        </w:r>
      </w:hyperlink>
      <w:hyperlink w:anchor="i9dad38eca65443b9a8bcd939ad72e7eb_106">
        <w:r>
          <w:rPr>
            <w:rStyle w:val="InternetLink"/>
          </w:rPr>
          <w:t xml:space="preserve"> - </w:t>
        </w:r>
      </w:hyperlink>
      <w:hyperlink w:anchor="i9dad38eca65443b9a8bcd939ad72e7eb_106">
        <w:r>
          <w:rPr>
            <w:rStyle w:val="InternetLink"/>
          </w:rPr>
          <w:t>Balance Sheet Components</w:t>
        </w:r>
      </w:hyperlink>
      <w:r>
        <w:rPr>
          <w:color w:val="000000"/>
        </w:rPr>
        <w:t xml:space="preserve"> </w:t>
      </w:r>
      <w:r>
        <w:rPr>
          <w:rFonts w:ascii="Roboto;sans-serif" w:hAnsi="Roboto;sans-serif"/>
          <w:b w:val="false"/>
          <w:color w:val="000000"/>
          <w:sz w:val="20"/>
        </w:rPr>
        <w:t>in Part II, Item 8 of this Annual Report on Form 10-K the Company entered into an agreement to acquire certain developed technology and related intellectual property from The Chinese University of Hong Kong for a total consideration of $9.7 million. In addition, the Company entered into a license agreement for complementary developed technology during the three months ended March 31, 2025. Both the acquired technology and license are classified as intangible assets and are being amortized over an estimated useful life of three years. As of December 31, 2025, $5.0 million of these intangible assets remained unpaid. This amount is included in accrued liabilities on the condensed consolidated balance sheets and is expected to be paid in 2026.</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research and development expenditures of $97.3 million in 2025 and $134.9 million in 2024. We expect to continue our investment in research and development in 2026, including enhancements of our existing products, and continued development of other new technology and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Cash outflows for capital expenditures of $2.7 million in 2025 and $6.2 million in 2024. We expect to continue to invest in capital expenditures in fiscal 2026 to continue to support manufacturing and expansion of our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Amounts related to future lease payments for operating lease obligations at December 31, 2025, totaling $98.2 million, with $4.0 million expected to be paid within the next 12 months.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Payments related to licensing and other arrangements, which are cancellable license agreements with third parties for certain patent rights and technology. Under the terms of these agreements, we may be obligated to pay royalties based on revenue from the sales of licensed products, or minimum royalties, whichever is greater, and license maintenance fees. The future license maintenance fees and minimum royalty payments under the license agreements are not deemed to be material.</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 xml:space="preserve">Our future capital requirements and the adequacy of our available funds will depend on many factors, including: </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successfully commercialize and develop products and solutions that address customer needs;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the pace of adoption of our products and our ability to obtain new customers in markets; </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the progress of our research and development programs and our ability to initiate or expand research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12520"/>
                <wp:effectExtent l="0" t="0" r="0" b="0"/>
                <wp:wrapNone/>
                <wp:docPr id="207" name="Frame7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3" descr=""/>
                                                <pic:cNvPicPr>
                                                  <a:picLocks noChangeAspect="1" noChangeArrowheads="1"/>
                                                </pic:cNvPicPr>
                                              </pic:nvPicPr>
                                              <pic:blipFill>
                                                <a:blip r:embed="rId140"/>
                                                <a:stretch>
                                                  <a:fillRect/>
                                                </a:stretch>
                                              </pic:blipFill>
                                              <pic:spPr bwMode="auto">
                                                <a:xfrm>
                                                  <a:off x="0" y="0"/>
                                                  <a:ext cx="457200" cy="95250"/>
                                                </a:xfrm>
                                                <a:prstGeom prst="rect">
                                                  <a:avLst/>
                                                </a:prstGeom>
                                              </pic:spPr>
                                            </pic:pic>
                                          </a:graphicData>
                                        </a:graphic>
                                      </wp:inline>
                                    </w:drawing>
                                  </w:r>
                                  <w:bookmarkStart w:id="141" w:name="i-73"/>
                                  <w:bookmarkEnd w:id="14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3" descr=""/>
                                          <pic:cNvPicPr>
                                            <a:picLocks noChangeAspect="1" noChangeArrowheads="1"/>
                                          </pic:cNvPicPr>
                                        </pic:nvPicPr>
                                        <pic:blipFill>
                                          <a:blip r:embed="rId141"/>
                                          <a:stretch>
                                            <a:fillRect/>
                                          </a:stretch>
                                        </pic:blipFill>
                                        <pic:spPr bwMode="auto">
                                          <a:xfrm>
                                            <a:off x="0" y="0"/>
                                            <a:ext cx="457200" cy="95250"/>
                                          </a:xfrm>
                                          <a:prstGeom prst="rect">
                                            <a:avLst/>
                                          </a:prstGeom>
                                        </pic:spPr>
                                      </pic:pic>
                                    </a:graphicData>
                                  </a:graphic>
                                </wp:inline>
                              </w:drawing>
                            </w:r>
                            <w:bookmarkStart w:id="142" w:name="i-73"/>
                            <w:bookmarkEnd w:id="14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manage manufacturing and production costs, including purchase obligations, and litigation costs, including the costs involved in preparing, filing, prosecuting, defending and enforcing intellectual property rights;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extent to which we engage in collaborations with partners and acquire other businesses or technologies.</w:t>
      </w:r>
    </w:p>
    <w:p>
      <w:pPr>
        <w:pStyle w:val="TextBody"/>
        <w:bidi w:val="0"/>
        <w:spacing w:lineRule="auto" w:line="288" w:before="180" w:after="283"/>
        <w:jc w:val="both"/>
        <w:rPr/>
      </w:pPr>
      <w:r>
        <w:rPr>
          <w:rFonts w:ascii="Roboto;sans-serif" w:hAnsi="Roboto;sans-serif"/>
          <w:b w:val="false"/>
          <w:color w:val="000000"/>
          <w:sz w:val="20"/>
        </w:rPr>
        <w:t>If economic, financial, business, or other factors adversely affect our ability to fund our projected operating cash requirements, we may be required to obtain funding through traditional or alternative sources of financing. Raising additional funds may result in dilution to existing shareholders. We cannot be certain that funds will be available on favorable terms, or at all. If we are required and unable to raise additional capital when desired, our business, operating results, and financial condition may be adversely affected. See our risk factor captioned “</w:t>
      </w:r>
      <w:hyperlink w:anchor="i65e8b4e9acca438bbac66d77c19216cf_1070002">
        <w:r>
          <w:rPr>
            <w:rStyle w:val="InternetLink"/>
            <w:rFonts w:ascii="Roboto;sans-serif" w:hAnsi="Roboto;sans-serif"/>
            <w:b w:val="false"/>
            <w:i/>
            <w:color w:val="0000FF"/>
            <w:sz w:val="20"/>
            <w:u w:val="single"/>
          </w:rPr>
          <w:t>We are not cash flow positive and may not have sufficient cash to make required payments under the terms of our debt or fund our long-term planned operations</w:t>
        </w:r>
      </w:hyperlink>
      <w:r>
        <w:rPr>
          <w:color w:val="000000"/>
        </w:rPr>
        <w:t xml:space="preserve">” </w:t>
      </w:r>
      <w:r>
        <w:rPr>
          <w:rFonts w:ascii="Roboto;sans-serif" w:hAnsi="Roboto;sans-serif"/>
          <w:b w:val="false"/>
          <w:color w:val="000000"/>
          <w:sz w:val="20"/>
        </w:rPr>
        <w:t>for more information.</w:t>
      </w:r>
    </w:p>
    <w:tbl>
      <w:tblPr>
        <w:tblW w:w="2730" w:type="dxa"/>
        <w:jc w:val="left"/>
        <w:tblInd w:w="0" w:type="dxa"/>
        <w:tblLayout w:type="fixed"/>
        <w:tblCellMar>
          <w:top w:w="28" w:type="dxa"/>
          <w:left w:w="28" w:type="dxa"/>
          <w:bottom w:w="28" w:type="dxa"/>
          <w:right w:w="28" w:type="dxa"/>
        </w:tblCellMar>
      </w:tblPr>
      <w:tblGrid>
        <w:gridCol w:w="874"/>
        <w:gridCol w:w="767"/>
        <w:gridCol w:w="1089"/>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Cash Flow Summary</w:t>
            </w:r>
          </w:p>
        </w:tc>
      </w:tr>
    </w:tbl>
    <w:tbl>
      <w:tblPr>
        <w:tblW w:w="9533" w:type="dxa"/>
        <w:jc w:val="left"/>
        <w:tblInd w:w="0" w:type="dxa"/>
        <w:tblLayout w:type="fixed"/>
        <w:tblCellMar>
          <w:top w:w="28" w:type="dxa"/>
          <w:left w:w="28" w:type="dxa"/>
          <w:bottom w:w="28" w:type="dxa"/>
          <w:right w:w="28" w:type="dxa"/>
        </w:tblCellMar>
      </w:tblPr>
      <w:tblGrid>
        <w:gridCol w:w="2326"/>
        <w:gridCol w:w="2041"/>
        <w:gridCol w:w="2052"/>
        <w:gridCol w:w="226"/>
        <w:gridCol w:w="1036"/>
        <w:gridCol w:w="109"/>
        <w:gridCol w:w="109"/>
        <w:gridCol w:w="109"/>
        <w:gridCol w:w="109"/>
        <w:gridCol w:w="226"/>
        <w:gridCol w:w="1036"/>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7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used in operating activities</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3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(111,209)</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(206,058)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provided by investing activities</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115,448 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124,004 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Cash provided by (used in) financing activities</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3,428 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(42,987)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increase (decrease) in cash, cash equivalents and restricted cash</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3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7,667 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(125,041)</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Operating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primary uses of cash in operating activities include the development of future products and product enhancements, manufacturing, and support functions related to our sales, general, and administrative activities.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used in operating activities for the year ended December 31, 2025, of $111.2 million was due primarily to a $546.4 million net loss that included non-cash items such as impairment charges of $15.0 million, share-based compensation of $41.7 million, amortization of intangible assets of $369.4 million, depreciation of $13.0 million, amortization of right-of-use assets of $4.0 million, and $4.4 million from changes in net operating assets and liabilities primarily driven by a decrease in prepaid expenses and other assets as well as increases in accrued expenses and accounts payable partially offset by increases in accounts receivable and inventory. These changes in non-cash items were partially offset by an $18.7 million decrease in the change in the fair value of the contingent consideration and accretion of discount and amortization of premium on marketable securities, net of $4.4 million.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used in operating activities for the year ended December 31, 2024, of $206.1 million was due primarily to a $309.9 million net loss that included non-cash items such as impairment charges of $184.5 million, share-based compensation of $71.0 million, amortization of intangible assets of $27.4 million, depreciation of $13.8 million, and amortization of right-of-use assets of $12.2 million, offset by a gain on debt restructuring of $154.4 million, and accretion of discount and amortization of premium on marketable securities, net of $13.0 million. Cash flow impact from changes in net operating assets and liabilities of $40.6 million, was primarily driven by an increase of $8.3 million in inventory, net, as well as decreases of $26.3 million in accrued expenses and $11.9 million in operating lease liabilities. These uses of cash were partially offset by a decrease of $9.1 million in accounts receivable, net.</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Investing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investing activities consist primarily of purchases, sales and maturities of investments as well as capital expenditures.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investing activities for the year ended December 31, 2025, was due primarily to maturities of investments of $340.1 million partially offset by purchases of investments of $216.9 million, $5.0 million in purchases of intangible assets, and capital expenditures of $2.7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12520"/>
                <wp:effectExtent l="0" t="0" r="0" b="0"/>
                <wp:wrapNone/>
                <wp:docPr id="210" name="Frame7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4" descr=""/>
                                                <pic:cNvPicPr>
                                                  <a:picLocks noChangeAspect="1" noChangeArrowheads="1"/>
                                                </pic:cNvPicPr>
                                              </pic:nvPicPr>
                                              <pic:blipFill>
                                                <a:blip r:embed="rId142"/>
                                                <a:stretch>
                                                  <a:fillRect/>
                                                </a:stretch>
                                              </pic:blipFill>
                                              <pic:spPr bwMode="auto">
                                                <a:xfrm>
                                                  <a:off x="0" y="0"/>
                                                  <a:ext cx="457200" cy="95250"/>
                                                </a:xfrm>
                                                <a:prstGeom prst="rect">
                                                  <a:avLst/>
                                                </a:prstGeom>
                                              </pic:spPr>
                                            </pic:pic>
                                          </a:graphicData>
                                        </a:graphic>
                                      </wp:inline>
                                    </w:drawing>
                                  </w:r>
                                  <w:bookmarkStart w:id="143" w:name="i-74"/>
                                  <w:bookmarkEnd w:id="14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4" descr=""/>
                                          <pic:cNvPicPr>
                                            <a:picLocks noChangeAspect="1" noChangeArrowheads="1"/>
                                          </pic:cNvPicPr>
                                        </pic:nvPicPr>
                                        <pic:blipFill>
                                          <a:blip r:embed="rId143"/>
                                          <a:stretch>
                                            <a:fillRect/>
                                          </a:stretch>
                                        </pic:blipFill>
                                        <pic:spPr bwMode="auto">
                                          <a:xfrm>
                                            <a:off x="0" y="0"/>
                                            <a:ext cx="457200" cy="95250"/>
                                          </a:xfrm>
                                          <a:prstGeom prst="rect">
                                            <a:avLst/>
                                          </a:prstGeom>
                                        </pic:spPr>
                                      </pic:pic>
                                    </a:graphicData>
                                  </a:graphic>
                                </wp:inline>
                              </w:drawing>
                            </w:r>
                            <w:bookmarkStart w:id="144" w:name="i-74"/>
                            <w:bookmarkEnd w:id="14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investing activities for the year ended December 31, 2024, was due primarily to maturities of investments of $594.0 million partially offset by purchases of investments of $498.6 million and capital expenditures of $6.2 million.</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 xml:space="preserve">Financing Activities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financing activities during the year ended December 31, 2025 resulted from $3.4 million of proceeds from the issuance of common stock through our equity compensation plans.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used in financing activities during the year ended December 31, 2024, was primarily due to payments made in conjunction with the convertible notes exchange of $50.2 million partially offset by proceeds of $7.7 million from the issuance of common stock through our equity compensation plans.</w:t>
      </w:r>
    </w:p>
    <w:tbl>
      <w:tblPr>
        <w:tblW w:w="5025" w:type="dxa"/>
        <w:jc w:val="left"/>
        <w:tblInd w:w="0" w:type="dxa"/>
        <w:tblLayout w:type="fixed"/>
        <w:tblCellMar>
          <w:top w:w="28" w:type="dxa"/>
          <w:left w:w="28" w:type="dxa"/>
          <w:bottom w:w="28" w:type="dxa"/>
          <w:right w:w="28" w:type="dxa"/>
        </w:tblCellMar>
      </w:tblPr>
      <w:tblGrid>
        <w:gridCol w:w="1608"/>
        <w:gridCol w:w="1412"/>
        <w:gridCol w:w="2005"/>
      </w:tblGrid>
      <w:tr>
        <w:trPr/>
        <w:tc>
          <w:tcPr>
            <w:tcW w:w="16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OFF-BALANCE SHEET ARRANGEMENTS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we did not have any off-balance sheet arrangements.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pStyle w:val="TextBody"/>
        <w:bidi w:val="0"/>
        <w:spacing w:lineRule="auto" w:line="288" w:before="120" w:after="283"/>
        <w:jc w:val="both"/>
        <w:rPr/>
      </w:pPr>
      <w:r>
        <w:rPr>
          <w:rFonts w:ascii="Roboto;sans-serif" w:hAnsi="Roboto;sans-serif"/>
          <w:b w:val="false"/>
          <w:color w:val="000000"/>
          <w:sz w:val="20"/>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hyperlink w:anchor="i9dad38eca65443b9a8bcd939ad72e7eb_31">
        <w:r>
          <w:rPr>
            <w:rStyle w:val="InternetLink"/>
            <w:rFonts w:ascii="Roboto;sans-serif" w:hAnsi="Roboto;sans-serif"/>
            <w:b w:val="false"/>
            <w:i/>
            <w:color w:val="0000FF"/>
            <w:sz w:val="20"/>
            <w:u w:val="single"/>
          </w:rPr>
          <w:t>Legal Proceedings</w:t>
        </w:r>
      </w:hyperlink>
      <w:r>
        <w:rPr>
          <w:color w:val="000000"/>
        </w:rPr>
        <w:t xml:space="preserve"> </w:t>
      </w:r>
      <w:r>
        <w:rPr>
          <w:rFonts w:ascii="Roboto;sans-serif" w:hAnsi="Roboto;sans-serif"/>
          <w:b w:val="false"/>
          <w:color w:val="000000"/>
          <w:sz w:val="20"/>
        </w:rPr>
        <w:t>in Part I, Item 3 of this Annual Report on Form 10-K, any associated expenses incurred are included within the related accrued litigation expense amounts. No additional liability associated with such indemnification agreements has been recorded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80" w:type="dxa"/>
        <w:jc w:val="left"/>
        <w:tblInd w:w="0" w:type="dxa"/>
        <w:tblLayout w:type="fixed"/>
        <w:tblCellMar>
          <w:top w:w="28" w:type="dxa"/>
          <w:left w:w="28" w:type="dxa"/>
          <w:bottom w:w="28" w:type="dxa"/>
          <w:right w:w="28" w:type="dxa"/>
        </w:tblCellMar>
      </w:tblPr>
      <w:tblGrid>
        <w:gridCol w:w="2076"/>
        <w:gridCol w:w="1823"/>
        <w:gridCol w:w="2581"/>
      </w:tblGrid>
      <w:tr>
        <w:trPr/>
        <w:tc>
          <w:tcPr>
            <w:tcW w:w="207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CRITICAL ACCOUNTING POLICIES AND ESTIMATES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Management’s Discussion and Analysis of Financial Condition and Results of Operations is based upon our consolidated financial statements, which we have prepared in accordance with U.S. GAAP. The preparation of these financial statements requires management to make estimates and assumptions that affect the reported amounts of assets, liabilities, revenue, cost of revenue, and operating expenses, and related disclosure of contingent assets and liabilities. Management based its estimates on historical experience and on various other assumptions that it believes to be reasonable under the circumstances, the results of which form the basis for making judgements about the carrying values of assets and liabilities that are not readily apparent from other sources. Actual results may differ materially from these estimates under different assumptions or conditions.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w:t>
      </w:r>
    </w:p>
    <w:tbl>
      <w:tblPr>
        <w:tblW w:w="2865" w:type="dxa"/>
        <w:jc w:val="left"/>
        <w:tblInd w:w="0" w:type="dxa"/>
        <w:tblLayout w:type="fixed"/>
        <w:tblCellMar>
          <w:top w:w="28" w:type="dxa"/>
          <w:left w:w="28" w:type="dxa"/>
          <w:bottom w:w="28" w:type="dxa"/>
          <w:right w:w="28" w:type="dxa"/>
        </w:tblCellMar>
      </w:tblPr>
      <w:tblGrid>
        <w:gridCol w:w="917"/>
        <w:gridCol w:w="806"/>
        <w:gridCol w:w="1142"/>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Revenue Recognition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revenue is generated primarily from the sale of products and services. Product revenue primarily consists of sales of our instruments and related consumables; service and other revenue consist primarily of revenue earned from product maintenance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12520"/>
                <wp:effectExtent l="0" t="0" r="0" b="0"/>
                <wp:wrapNone/>
                <wp:docPr id="213" name="Frame7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5" descr=""/>
                                                <pic:cNvPicPr>
                                                  <a:picLocks noChangeAspect="1" noChangeArrowheads="1"/>
                                                </pic:cNvPicPr>
                                              </pic:nvPicPr>
                                              <pic:blipFill>
                                                <a:blip r:embed="rId144"/>
                                                <a:stretch>
                                                  <a:fillRect/>
                                                </a:stretch>
                                              </pic:blipFill>
                                              <pic:spPr bwMode="auto">
                                                <a:xfrm>
                                                  <a:off x="0" y="0"/>
                                                  <a:ext cx="457200" cy="95250"/>
                                                </a:xfrm>
                                                <a:prstGeom prst="rect">
                                                  <a:avLst/>
                                                </a:prstGeom>
                                              </pic:spPr>
                                            </pic:pic>
                                          </a:graphicData>
                                        </a:graphic>
                                      </wp:inline>
                                    </w:drawing>
                                  </w:r>
                                  <w:bookmarkStart w:id="145" w:name="i-75"/>
                                  <w:bookmarkEnd w:id="14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75" descr=""/>
                                          <pic:cNvPicPr>
                                            <a:picLocks noChangeAspect="1" noChangeArrowheads="1"/>
                                          </pic:cNvPicPr>
                                        </pic:nvPicPr>
                                        <pic:blipFill>
                                          <a:blip r:embed="rId145"/>
                                          <a:stretch>
                                            <a:fillRect/>
                                          </a:stretch>
                                        </pic:blipFill>
                                        <pic:spPr bwMode="auto">
                                          <a:xfrm>
                                            <a:off x="0" y="0"/>
                                            <a:ext cx="457200" cy="95250"/>
                                          </a:xfrm>
                                          <a:prstGeom prst="rect">
                                            <a:avLst/>
                                          </a:prstGeom>
                                        </pic:spPr>
                                      </pic:pic>
                                    </a:graphicData>
                                  </a:graphic>
                                </wp:inline>
                              </w:drawing>
                            </w:r>
                            <w:bookmarkStart w:id="146" w:name="i-75"/>
                            <w:bookmarkEnd w:id="14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account for a contract with a customer when there is a legally enforceable contract between us and the customer, the rights of the parties are identified, the contract has commercial substance, and collectability of the contract consideration is probable. Revenues are recognized when control of the promised goods is transferred to our customers, or services are performed, in an amount that reflects the consideration we expect to be entitled to in exchange for those goods or services. Invoicing typically occurs upon shipment, or delivery in the case of an instrument, and payment is typically due within 30 days from invoice. In instances where the right to payment or transfer of title is contingent upon customer acceptance of the product, revenue is deferred until the acceptance criteria has been met. Revenue from instrument service contracts is recognized as the services are rendered, typically evenly over the contract term. Revenue from development agreements generally includes upfront and milestone payments. Revenue for these agreements is recognized when each separate performance obligation is satisfied.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may enter into, or periodically modify, contracts with customers that include a combination of promised products and services, resulting in arrangements containing multiple performance obligations. We determine whether each product or service is distinct, in order to identify the performance obligations in the contract and allocate the contract transaction price among the separate performance obligations. A product or service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 Therefore, instrument revenue is recognized upon transfer of control of the asset to the customer, which is generally upon delivery for sales made to our non-distributor customers and upon shipment for sales made to our distributor customers.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consideration for contracts with multiple performance obligations is allocated between separate performance obligations based on their individual standalone selling price. We determine the best estimate of standalone selling price primarily using historical average selling prices combined with an assessment of current market conditions. If the standalone selling price is not directly observable, we rely on estimates by considering multiple factors including, but not limited to, overall market conditions, including geographic or regional specific factors, internal costs, profit objectives, pricing practices, and other observable inputs. We recognize revenues as performance obligations are satisfied by transferring control of the product or service to the customer or over the term of a product maintenance agreement with a customer. Our revenue arrangements generally do not provide a right of return. Revenue is recorded net of discounts and sales taxes collected on behalf of governmental authorities. We update the transaction price for expected consideration, subject to constraint. Where we expect, at contract inception, the timing of payments to be consistent with the transfer of goods or services or the contract duration to be one year or less, we do not adjust the transaction price for the effects of a significant financing component.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Modification of existing contracts with customers could change the scope or the price of the contract, or both. When a contract modification occurs, we exercise judgment to determine if the modification should be accounted for as: (i) a separate contract, (ii) the termination of the original contract and creation of a new contract, (iii) a cumulative catch-up adjustment to the original contract, or a combination thereof. Further, contract modifications require the identification and evaluation of the performance obligations of the modified contract, allocation of revenue to the remaining performance obligations and determination of the period of recognition for each identified performance obligation.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Certain of our agreements provide options to customers which can be exercised at a future date, such as the option to purchase our product at discounted prices, among others. In accounting for customer options, we determine whether an option is a material right and this may require us to exercise judgment. If a contract provides the customer an option to acquire additional goods or services at a discount that exceeds the range of discounts that we typically give for that product or service for the same class of customer, or if the option provides the customer certain additional goods or services for free, the option is considered a material right and, therefore, a performance obligation. If the standalone selling price of the option is not directly observable, an estimated standalone selling price is utilized which considers adjustments for discounts that the customer could receive without exercising the option and the likelihood that the option will be exercised. </w:t>
      </w:r>
    </w:p>
    <w:p>
      <w:pPr>
        <w:pStyle w:val="TextBody"/>
        <w:bidi w:val="0"/>
        <w:spacing w:lineRule="auto" w:line="288" w:before="120" w:after="283"/>
        <w:jc w:val="both"/>
        <w:rPr/>
      </w:pPr>
      <w:r>
        <w:rPr>
          <w:rFonts w:ascii="Roboto;sans-serif" w:hAnsi="Roboto;sans-serif"/>
          <w:b w:val="false"/>
          <w:color w:val="000000"/>
          <w:sz w:val="20"/>
        </w:rPr>
        <w:t xml:space="preserve">Additionally, we generally provide a one-year warranty on instruments. We accrue the cost of the assurance warranty when revenue of the instrument is recognized. </w:t>
      </w:r>
      <w:r>
        <w:rPr>
          <w:rFonts w:ascii="Roboto;sans-serif" w:hAnsi="Roboto;sans-serif"/>
          <w:b w:val="false"/>
          <w:color w:val="000000"/>
          <w:sz w:val="20"/>
          <w:shd w:fill="FFFFFF" w:val="clear"/>
        </w:rPr>
        <w:t>Employee sales commissions are generally recorded as selling, general, and administrative expense when incurred as the amortization period for such costs, if capitalized, would have been one year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12520"/>
                <wp:effectExtent l="0" t="0" r="0" b="0"/>
                <wp:wrapNone/>
                <wp:docPr id="216" name="Frame7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76" descr=""/>
                                                <pic:cNvPicPr>
                                                  <a:picLocks noChangeAspect="1" noChangeArrowheads="1"/>
                                                </pic:cNvPicPr>
                                              </pic:nvPicPr>
                                              <pic:blipFill>
                                                <a:blip r:embed="rId146"/>
                                                <a:stretch>
                                                  <a:fillRect/>
                                                </a:stretch>
                                              </pic:blipFill>
                                              <pic:spPr bwMode="auto">
                                                <a:xfrm>
                                                  <a:off x="0" y="0"/>
                                                  <a:ext cx="457200" cy="95250"/>
                                                </a:xfrm>
                                                <a:prstGeom prst="rect">
                                                  <a:avLst/>
                                                </a:prstGeom>
                                              </pic:spPr>
                                            </pic:pic>
                                          </a:graphicData>
                                        </a:graphic>
                                      </wp:inline>
                                    </w:drawing>
                                  </w:r>
                                  <w:bookmarkStart w:id="147" w:name="i-76"/>
                                  <w:bookmarkEnd w:id="14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76" descr=""/>
                                          <pic:cNvPicPr>
                                            <a:picLocks noChangeAspect="1" noChangeArrowheads="1"/>
                                          </pic:cNvPicPr>
                                        </pic:nvPicPr>
                                        <pic:blipFill>
                                          <a:blip r:embed="rId147"/>
                                          <a:stretch>
                                            <a:fillRect/>
                                          </a:stretch>
                                        </pic:blipFill>
                                        <pic:spPr bwMode="auto">
                                          <a:xfrm>
                                            <a:off x="0" y="0"/>
                                            <a:ext cx="457200" cy="95250"/>
                                          </a:xfrm>
                                          <a:prstGeom prst="rect">
                                            <a:avLst/>
                                          </a:prstGeom>
                                        </pic:spPr>
                                      </pic:pic>
                                    </a:graphicData>
                                  </a:graphic>
                                </wp:inline>
                              </w:drawing>
                            </w:r>
                            <w:bookmarkStart w:id="148" w:name="i-76"/>
                            <w:bookmarkEnd w:id="14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1606" w:type="dxa"/>
        <w:jc w:val="left"/>
        <w:tblInd w:w="0" w:type="dxa"/>
        <w:tblLayout w:type="fixed"/>
        <w:tblCellMar>
          <w:top w:w="28" w:type="dxa"/>
          <w:left w:w="28" w:type="dxa"/>
          <w:bottom w:w="28" w:type="dxa"/>
          <w:right w:w="28" w:type="dxa"/>
        </w:tblCellMar>
      </w:tblPr>
      <w:tblGrid>
        <w:gridCol w:w="514"/>
        <w:gridCol w:w="452"/>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Inventories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Inventories are stated at the lower of cost or net realizable value. Cost is determined using the first-in, first-out (“FIFO”) method. Adjustments to reduce the cost of inventory to its net realizable value, if required, are made for estimated excess or obsolete balances. Cost includes depreciation, labor, material, and overhead costs, including product and process technology costs. Determining net realizable value of inventories involves judgements, including projecting future average selling prices, sales volumes, and costs to complete products in work in process inventories.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make inventory purchases and commitments to meet future shipment schedules based on forecasted demand for our products. The business environment in which we operate is subject to rapid changes in technology and customer demand. We perform a detailed assessment of inventory each period, which includes a review of, among other factors, demand requirements, product life cycle and development plans, component cost trends, product pricing, product expiration, and quality issues. Based on our analysis, we record adjustments to inventory for potentially excess, obsolete, or impaired goods, when appropriate, to report inventory at net realizable value. Inventory adjustments may be required if actual demand, component costs, supplier arrangements, or product life cycles differ from our estimates. Any such adjustments would result in a charge to our results of operations.</w:t>
      </w:r>
    </w:p>
    <w:tbl>
      <w:tblPr>
        <w:tblW w:w="3105" w:type="dxa"/>
        <w:jc w:val="left"/>
        <w:tblInd w:w="0" w:type="dxa"/>
        <w:tblLayout w:type="fixed"/>
        <w:tblCellMar>
          <w:top w:w="28" w:type="dxa"/>
          <w:left w:w="28" w:type="dxa"/>
          <w:bottom w:w="28" w:type="dxa"/>
          <w:right w:w="28" w:type="dxa"/>
        </w:tblCellMar>
      </w:tblPr>
      <w:tblGrid>
        <w:gridCol w:w="994"/>
        <w:gridCol w:w="873"/>
        <w:gridCol w:w="1238"/>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Business Combinations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Under the acquisition method of accounting, we allocate the fair value of the total consideration transferred to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These valuations require us to make estimates and assumptions, especially with respect to intangible assets. We record the excess consideration over the aggregate fair value of tangible and intangible assets, net of liabilities assumed, as goodwill. Costs that we incur to complete the business combination, such as legal and other professional fees, are expensed as they are incurred.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connection with certain acquisitions, contingent consideration can be earned by the sellers upon completion of certain future performance milestones. In these cases, a liability is recorded on the acquisition date for an estimate of the acquisition date fair value of the contingent consideration. Changes in the fair value of contingent consideration subsequent to the acquisition date are recognized in operating expenses on our consolidated statements of operations and comprehensive loss.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typically use the discounted cash flow method to value our acquired intangible assets. This method requires significant management judgment to forecast future operating results and utilizes significant assumptions such as assumed revenue projections, discount rates and obsolescence factors. The estimates we use to value and amortize intangible assets are consistent with the plans and estimates that we use to manage our business and are based on available historical information and industry estimates and averages. If the subsequent actual results and updated projections of the underlying business activity change compared with the assumptions and projections used to develop these values, we could experience impairment charges. In addition, we have estimated the economic lives of certain acquired assets and these lives are used to calculate depreciation and amortization expense. If our estimates of the economic lives change, depreciation or amortization expense could be accelerated or extended. We capitalize IPR&amp;D, which is considered indefinite lived until the completion or abandonment of the associated research and development efforts. Upon reaching the end of the relevant research and development project (i.e., upon commercialization), the IPR&amp;D asset is amortized over its estimated useful life. If the relevant research and development project is abandoned, the IPR&amp;D asset is expensed in the period of abandonment.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the initial accounting for a business combination is incomplete by the end of a reporting period that falls within the measurement period, we report provisional amounts in our financial statements. During the measurement period, we adjust the provisional amounts recognized at the acquisition date to reflect new information obtained about facts and circumstances that existed as of the acquisition date that, if known, would have affected the measurement of the amounts recognized as of that date. We record these adjustments to the provisional amounts with a corresponding offset to goodwill. Any adjustments identified after the measurement period are recorded on our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12520"/>
                <wp:effectExtent l="0" t="0" r="0" b="0"/>
                <wp:wrapNone/>
                <wp:docPr id="219" name="Frame7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77" descr=""/>
                                                <pic:cNvPicPr>
                                                  <a:picLocks noChangeAspect="1" noChangeArrowheads="1"/>
                                                </pic:cNvPicPr>
                                              </pic:nvPicPr>
                                              <pic:blipFill>
                                                <a:blip r:embed="rId148"/>
                                                <a:stretch>
                                                  <a:fillRect/>
                                                </a:stretch>
                                              </pic:blipFill>
                                              <pic:spPr bwMode="auto">
                                                <a:xfrm>
                                                  <a:off x="0" y="0"/>
                                                  <a:ext cx="457200" cy="95250"/>
                                                </a:xfrm>
                                                <a:prstGeom prst="rect">
                                                  <a:avLst/>
                                                </a:prstGeom>
                                              </pic:spPr>
                                            </pic:pic>
                                          </a:graphicData>
                                        </a:graphic>
                                      </wp:inline>
                                    </w:drawing>
                                  </w:r>
                                  <w:bookmarkStart w:id="149" w:name="i-77"/>
                                  <w:bookmarkEnd w:id="14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77" descr=""/>
                                          <pic:cNvPicPr>
                                            <a:picLocks noChangeAspect="1" noChangeArrowheads="1"/>
                                          </pic:cNvPicPr>
                                        </pic:nvPicPr>
                                        <pic:blipFill>
                                          <a:blip r:embed="rId149"/>
                                          <a:stretch>
                                            <a:fillRect/>
                                          </a:stretch>
                                        </pic:blipFill>
                                        <pic:spPr bwMode="auto">
                                          <a:xfrm>
                                            <a:off x="0" y="0"/>
                                            <a:ext cx="457200" cy="95250"/>
                                          </a:xfrm>
                                          <a:prstGeom prst="rect">
                                            <a:avLst/>
                                          </a:prstGeom>
                                        </pic:spPr>
                                      </pic:pic>
                                    </a:graphicData>
                                  </a:graphic>
                                </wp:inline>
                              </w:drawing>
                            </w:r>
                            <w:bookmarkStart w:id="150" w:name="i-77"/>
                            <w:bookmarkEnd w:id="15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acquired $55.0 million of IPR&amp;D, and $52.3 million of goodwill in connection with the acquisition of Apton Biosystems, Inc. in the third quarter of 2023.</w:t>
      </w:r>
    </w:p>
    <w:tbl>
      <w:tblPr>
        <w:tblW w:w="10205" w:type="dxa"/>
        <w:jc w:val="left"/>
        <w:tblInd w:w="0" w:type="dxa"/>
        <w:tblLayout w:type="fixed"/>
        <w:tblCellMar>
          <w:top w:w="28" w:type="dxa"/>
          <w:left w:w="28" w:type="dxa"/>
          <w:bottom w:w="28" w:type="dxa"/>
          <w:right w:w="28" w:type="dxa"/>
        </w:tblCellMar>
      </w:tblPr>
      <w:tblGrid>
        <w:gridCol w:w="3267"/>
        <w:gridCol w:w="2870"/>
        <w:gridCol w:w="4068"/>
      </w:tblGrid>
      <w:tr>
        <w:trPr/>
        <w:tc>
          <w:tcPr>
            <w:tcW w:w="3267"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pPr>
            <w:r>
              <w:rPr>
                <w:rFonts w:ascii="Roboto;sans-serif" w:hAnsi="Roboto;sans-serif"/>
                <w:b/>
                <w:color w:val="DF1995"/>
                <w:sz w:val="22"/>
              </w:rPr>
              <w:t xml:space="preserve">Goodwill and Intangible Assets with Indefinite Lives </w:t>
            </w:r>
            <w:r>
              <w:rPr>
                <w:color w:val="DF1995"/>
              </w:rPr>
              <w:t xml:space="preserve">— </w:t>
            </w:r>
            <w:r>
              <w:rPr>
                <w:rFonts w:ascii="Roboto;sans-serif" w:hAnsi="Roboto;sans-serif"/>
                <w:b/>
                <w:color w:val="DF1995"/>
                <w:sz w:val="22"/>
              </w:rPr>
              <w:t>Impairment Assessment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Goodwill and other intangible assets with indefinite useful lives (i.e., IPR&amp;D) are not amortized, however they are tested annually for impairment, as of the first day of the second and third quarter of our fiscal year, respectively, and whenever events or changes in circumstances indicate that it is more likely than not that the fair value is less than the carrying value. Events that could indicate impairment and trigger an interim impairment test include, but are not limited to, adverse changes in business or economic conditions, lower-than-expected performance of a product line or business, changes in strategic direction, unanticipated technological or competitive developments, loss of key personnel, and actions by governments or courts.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perform our goodwill impairment analysis at the reporting unit level. We have one reporting unit, which aligns with our reporting structure and availability of discrete financial information. During the goodwill impairment review, we assess qualitative factors to determine whether it is more likely than not that the fair value of our reporting unit is less than the carrying amount, including goodwill. The qualitative factors include, but are not limited to, macroeconomic conditions, industry and market considerations, and our overall financial performance. If, after assessing the totality of these qualitative factors, we determine that it is not more likely than not that the fair value of our reporting unit is less than the carrying amount, then no additional assessment is deemed necessary. Otherwise, we proceed to compare the estimated fair value of the reporting unit with the carrying value, including goodwill. If the carrying amount of the reporting unit exceeds the fair value, we record an impairment loss based on the difference. We generally perform our impairment test using a combination of an income and a market approach to determine the fair value of goodwill. The income approach utilizes estimated discounted cash flows, while the market approach utilizes comparable company information. If a quantitative assessment is performed, the evaluation includes management estimates of cash flow projections based on internal future projections and/or use of a market approach by looking at market values of comparable companies, including the observable implied multiples of those companies. Key assumptions include, but are not limited to, revenue and operating income growth rates, discount rates and other factors. We consider peer revenues and earnings trading multiples from companies that have operational and financial characteristics that are similar to the asset under measurement and estimated weighted-average costs of capital. Different assumptions from those made in our analysis could materially affect projected cash flows and the evaluation of assets for impairment. We also consider our market capitalization as a part of our analysis. We may elect to bypass the qualitative assessment in a period and proceed to perform the quantitative goodwill impairment test.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recognized $144.5 million of impairment charges to goodwill during the year ended December 31, 2024, as a result of quantitative interim impairment tests.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Based primarily on the decline in our stock price and overall market capitalization during the first quarter of 2025, driven in part by macroeconomic uncertainties, as well as our updated strategic plans and restructuring initiatives that prioritize accelerating adoption of HiFi sequencing and ceasing development of our high-throughput short-read platform, we concluded that changes to the timing and amount of expected future cash flows, among other factors, indicated that it was more likely than not that the fair value of the reporting unit was less than its carrying amount, requiring an interim goodwill impairment assessment. As a result of the quantitative interim impairment test performed as of March 31, 2025, we concluded that there was no impairment, as the estimated fair value of the entity-level reporting unit exceeded the carrying value.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 determine the fair value of the entity-level reporting unit as of March 31, 2025, we performed our impairment test using a combination of an income approach and a market approach to determine the fair value of the reporting unit. The income approach utilized estimated discounted cash flows, while the market approach utilized comparable company information. Significant assumptions used in the income approach included revenue growth expectations and a selected discount rate of 12.0%. The discount rate was based on the weighted average cost of capital, determined using market, industry data, and related risk factors. The assumptions used were inherently subject to uncertainty. The assessment is a level 3 measurement due to its reliance on certain unobservable inputs and management judgment. The assessed fair value was deemed reasonable based on a market capitalization reconciliation and a supportable control premium.</w:t>
      </w:r>
    </w:p>
    <w:p>
      <w:pPr>
        <w:pStyle w:val="TextBody"/>
        <w:bidi w:val="0"/>
        <w:spacing w:lineRule="auto" w:line="288" w:before="120" w:after="283"/>
        <w:jc w:val="both"/>
        <w:rPr/>
      </w:pPr>
      <w:r>
        <w:rPr>
          <w:rFonts w:ascii="Roboto;sans-serif" w:hAnsi="Roboto;sans-serif"/>
          <w:b w:val="false"/>
          <w:color w:val="000000"/>
          <w:sz w:val="20"/>
        </w:rPr>
        <w:t xml:space="preserve">We performed our annual assessment for goodwill impairment in the second quarter of 2025, noting no impairment. See </w:t>
      </w:r>
      <w:hyperlink w:anchor="i9dad38eca65443b9a8bcd939ad72e7eb_106">
        <w:r>
          <w:rPr>
            <w:rStyle w:val="InternetLink"/>
            <w:rFonts w:ascii="Roboto;sans-serif" w:hAnsi="Roboto;sans-serif"/>
            <w:b w:val="false"/>
            <w:i/>
            <w:color w:val="0000FF"/>
            <w:sz w:val="20"/>
            <w:u w:val="single"/>
          </w:rPr>
          <w:t>Note 4. Balance Sheet Components</w:t>
        </w:r>
      </w:hyperlink>
      <w:r>
        <w:rPr>
          <w:color w:val="000000"/>
        </w:rPr>
        <w:t xml:space="preserve"> </w:t>
      </w:r>
      <w:r>
        <w:rPr>
          <w:rFonts w:ascii="Roboto;sans-serif" w:hAnsi="Roboto;sans-serif"/>
          <w:b w:val="false"/>
          <w:color w:val="000000"/>
          <w:sz w:val="20"/>
        </w:rPr>
        <w:t>in Part II, Item 8 of this Annual Report on Form 10-K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12520"/>
                <wp:effectExtent l="0" t="0" r="0" b="0"/>
                <wp:wrapNone/>
                <wp:docPr id="222" name="Frame7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78" descr=""/>
                                                <pic:cNvPicPr>
                                                  <a:picLocks noChangeAspect="1" noChangeArrowheads="1"/>
                                                </pic:cNvPicPr>
                                              </pic:nvPicPr>
                                              <pic:blipFill>
                                                <a:blip r:embed="rId150"/>
                                                <a:stretch>
                                                  <a:fillRect/>
                                                </a:stretch>
                                              </pic:blipFill>
                                              <pic:spPr bwMode="auto">
                                                <a:xfrm>
                                                  <a:off x="0" y="0"/>
                                                  <a:ext cx="457200" cy="95250"/>
                                                </a:xfrm>
                                                <a:prstGeom prst="rect">
                                                  <a:avLst/>
                                                </a:prstGeom>
                                              </pic:spPr>
                                            </pic:pic>
                                          </a:graphicData>
                                        </a:graphic>
                                      </wp:inline>
                                    </w:drawing>
                                  </w:r>
                                  <w:bookmarkStart w:id="151" w:name="i-78"/>
                                  <w:bookmarkEnd w:id="15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78" descr=""/>
                                          <pic:cNvPicPr>
                                            <a:picLocks noChangeAspect="1" noChangeArrowheads="1"/>
                                          </pic:cNvPicPr>
                                        </pic:nvPicPr>
                                        <pic:blipFill>
                                          <a:blip r:embed="rId151"/>
                                          <a:stretch>
                                            <a:fillRect/>
                                          </a:stretch>
                                        </pic:blipFill>
                                        <pic:spPr bwMode="auto">
                                          <a:xfrm>
                                            <a:off x="0" y="0"/>
                                            <a:ext cx="457200" cy="95250"/>
                                          </a:xfrm>
                                          <a:prstGeom prst="rect">
                                            <a:avLst/>
                                          </a:prstGeom>
                                        </pic:spPr>
                                      </pic:pic>
                                    </a:graphicData>
                                  </a:graphic>
                                </wp:inline>
                              </w:drawing>
                            </w:r>
                            <w:bookmarkStart w:id="152" w:name="i-78"/>
                            <w:bookmarkEnd w:id="15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IPR&amp;D impairment review, we assess qualitative factors to determine whether it is more likely than not that the fair value of the IPR&amp;D is less than the carrying amount. The qualitative factors include, but are not limited to, macroeconomic conditions, industry-specific conditions, and company-specific conditions. If, after assessing the totality of these qualitative factors, we determine that it is not more likely than not that the fair value of the IPR&amp;D is less than the carrying amount, then no additional assessment is deemed necessary. Otherwise, we proceed to compare the estimated fair value of the IPR&amp;D with the carrying value. If the carrying amount of the IPR&amp;D exceeds the fair value, we record an impairment loss based on the difference. We generally perform our impairment test using an income approach to determine the fair value of IPR&amp;D. The income approach utilizes estimated discounted cash flows. If a quantitative assessment is performed, the evaluation includes management estimates of cash flow projections based on internal future projections. Key assumptions include, but are not limited to, revenue projections, revenue growth rates, discount rates and other factors. Different assumptions from those made in our analysis could materially affect projected cash flows and the evaluation of assets for impairment. We may elect to bypass the qualitative assessment in a period and proceed to perform the quantitative impairment test. There is substantial risk inherent in forecasting revenues and spend associated with research and development, including assumptions around the timing and level of resources and investment to be made.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recognized a $40.0 million impairment charge during the year ended December 31, 2024 as a result of a quantitative interim impairment test.</w:t>
      </w:r>
    </w:p>
    <w:p>
      <w:pPr>
        <w:pStyle w:val="TextBody"/>
        <w:bidi w:val="0"/>
        <w:spacing w:lineRule="auto" w:line="288" w:before="120" w:after="283"/>
        <w:jc w:val="both"/>
        <w:rPr/>
      </w:pPr>
      <w:r>
        <w:rPr>
          <w:rFonts w:ascii="Roboto;sans-serif" w:hAnsi="Roboto;sans-serif"/>
          <w:b w:val="false"/>
          <w:color w:val="000000"/>
          <w:sz w:val="20"/>
        </w:rPr>
        <w:t xml:space="preserve">During the first quarter of 2025, based on our decision to cease development of the high-throughput short-read sequencing platform, which would utilize the IPR&amp;D, and the resulting changes to the expected future cash flows, among other factors, we concluded that it was more likely than not that the fair value of the IPR&amp;D was less than its carrying amount, requiring an interim impairment assessment. Using a discounted cash flow model under the income approach, we determined the fair value was $0 and recorded a $15.0 million impairment charge. The decline in the fair value of the IPR&amp;D to $0 as of March 31, 2025 resulted primarily from changes in the timing of expected future cash flows as compared to the fair value as of December 31, 2024, driven by the restructuring initiatives that prioritize accelerating adoption of HiFi sequencing and resulted in ceasing development of our high-throughput short-read sequencing platform. The impairment charge is included on our consolidated statements of operations and comprehensive loss for the year ended December 31, 2025. Significant estimates and assumptions used in the income approach include timing of future cash flows, revenue growth assumptions, a selected discount rate of 14.0%, and a selected obsolescence factor of 11 years. The discount rate was based primarily on the weighted average cost of capital, determined using market, peer company, industry data, and related risk factors. The assessment is a level 3 measurement due to its reliance on certain unobservable inputs and management judgment. The assumptions used were inherently subject to uncertainty. See </w:t>
      </w:r>
      <w:hyperlink w:anchor="i9dad38eca65443b9a8bcd939ad72e7eb_106">
        <w:r>
          <w:rPr>
            <w:rStyle w:val="InternetLink"/>
            <w:rFonts w:ascii="Roboto;sans-serif" w:hAnsi="Roboto;sans-serif"/>
            <w:b w:val="false"/>
            <w:i/>
            <w:color w:val="0000FF"/>
            <w:sz w:val="20"/>
            <w:u w:val="single"/>
          </w:rPr>
          <w:t>Note 4. Balance Sheet Components</w:t>
        </w:r>
      </w:hyperlink>
      <w:r>
        <w:rPr>
          <w:color w:val="000000"/>
        </w:rPr>
        <w:t xml:space="preserve"> </w:t>
      </w:r>
      <w:r>
        <w:rPr>
          <w:rFonts w:ascii="Roboto;sans-serif" w:hAnsi="Roboto;sans-serif"/>
          <w:b w:val="false"/>
          <w:color w:val="000000"/>
          <w:sz w:val="20"/>
        </w:rPr>
        <w:t>in Part II, Item 8 of this Annual Report on Form 10-K for further information.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Assumptions and estimates about future values are complex and often subjective. They can be affected by a variety of factors, including external factors such as industry and economic trends, and internal factors such as changes in our business strategy and our internal forecasts. For example, if our future operating results do not meet current forecasts or if we experience a sustained decline in our market capitalization that is determined to be indicative of a reduction in fair value of our reporting unit, we may be required to record future impairment charges for goodwill. Impairment charges could materially decrease our future results of operations and result in lower asset values on our balance sheet. </w:t>
      </w:r>
    </w:p>
    <w:tbl>
      <w:tblPr>
        <w:tblW w:w="9689" w:type="dxa"/>
        <w:jc w:val="left"/>
        <w:tblInd w:w="0" w:type="dxa"/>
        <w:tblLayout w:type="fixed"/>
        <w:tblCellMar>
          <w:top w:w="28" w:type="dxa"/>
          <w:left w:w="28" w:type="dxa"/>
          <w:bottom w:w="28" w:type="dxa"/>
          <w:right w:w="28" w:type="dxa"/>
        </w:tblCellMar>
      </w:tblPr>
      <w:tblGrid>
        <w:gridCol w:w="3102"/>
        <w:gridCol w:w="2725"/>
        <w:gridCol w:w="3862"/>
      </w:tblGrid>
      <w:tr>
        <w:trPr/>
        <w:tc>
          <w:tcPr>
            <w:tcW w:w="3102"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3862" w:type="dxa"/>
            <w:tcBorders/>
            <w:vAlign w:val="center"/>
          </w:tcPr>
          <w:p>
            <w:pPr>
              <w:pStyle w:val="TableContents"/>
              <w:bidi w:val="0"/>
              <w:spacing w:before="0" w:after="283"/>
              <w:jc w:val="left"/>
              <w:rPr>
                <w:sz w:val="4"/>
                <w:szCs w:val="4"/>
              </w:rPr>
            </w:pPr>
            <w:r>
              <w:rPr>
                <w:sz w:val="4"/>
                <w:szCs w:val="4"/>
              </w:rPr>
            </w:r>
          </w:p>
        </w:tc>
      </w:tr>
      <w:tr>
        <w:trPr/>
        <w:tc>
          <w:tcPr>
            <w:tcW w:w="96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pPr>
            <w:r>
              <w:rPr>
                <w:rFonts w:ascii="Roboto;sans-serif" w:hAnsi="Roboto;sans-serif"/>
                <w:b/>
                <w:color w:val="DF1995"/>
                <w:sz w:val="22"/>
              </w:rPr>
              <w:t xml:space="preserve">Intangible Assets and Other Finite-Lived Assets </w:t>
            </w:r>
            <w:r>
              <w:rPr>
                <w:color w:val="DF1995"/>
              </w:rPr>
              <w:t xml:space="preserve">— </w:t>
            </w:r>
            <w:r>
              <w:rPr>
                <w:rFonts w:ascii="Roboto;sans-serif" w:hAnsi="Roboto;sans-serif"/>
                <w:b/>
                <w:color w:val="DF1995"/>
                <w:sz w:val="22"/>
              </w:rPr>
              <w:t>Impairment Assessment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capitalize finite-lived intangible assets and generally amortize such assets on a straight-line basis over their estimated useful lives. We review intangible assets with finite lives and other finite-lived assets for impairment whenever events or changes in circumstances indicate the carrying amount of an asset or asset group may not be recoverable. We assess the recoverability of assets based on the estimated undiscounted future cash flows expected to result from the use and eventual disposition of the asset. If the undiscounted future cash flows are less than the carrying amount, we estimate the fair value of the assets and record an impairment loss if the carrying value exceeds the fair value. In light of the changes in circumstances that led to the recoverability assessment, we also assess the remaining estimated useful life of the assets. Factors that may indicate potential impairment include a significant decline in our stock price and market capitalization compared to net book value, significant changes in the ability of an asset to generate positive cash flows for our strategic business objectives, and the pattern of utilization of a particular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12520"/>
                <wp:effectExtent l="0" t="0" r="0" b="0"/>
                <wp:wrapNone/>
                <wp:docPr id="225" name="Frame7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79" descr=""/>
                                                <pic:cNvPicPr>
                                                  <a:picLocks noChangeAspect="1" noChangeArrowheads="1"/>
                                                </pic:cNvPicPr>
                                              </pic:nvPicPr>
                                              <pic:blipFill>
                                                <a:blip r:embed="rId152"/>
                                                <a:stretch>
                                                  <a:fillRect/>
                                                </a:stretch>
                                              </pic:blipFill>
                                              <pic:spPr bwMode="auto">
                                                <a:xfrm>
                                                  <a:off x="0" y="0"/>
                                                  <a:ext cx="457200" cy="95250"/>
                                                </a:xfrm>
                                                <a:prstGeom prst="rect">
                                                  <a:avLst/>
                                                </a:prstGeom>
                                              </pic:spPr>
                                            </pic:pic>
                                          </a:graphicData>
                                        </a:graphic>
                                      </wp:inline>
                                    </w:drawing>
                                  </w:r>
                                  <w:bookmarkStart w:id="153" w:name="i-79"/>
                                  <w:bookmarkEnd w:id="15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79" descr=""/>
                                          <pic:cNvPicPr>
                                            <a:picLocks noChangeAspect="1" noChangeArrowheads="1"/>
                                          </pic:cNvPicPr>
                                        </pic:nvPicPr>
                                        <pic:blipFill>
                                          <a:blip r:embed="rId153"/>
                                          <a:stretch>
                                            <a:fillRect/>
                                          </a:stretch>
                                        </pic:blipFill>
                                        <pic:spPr bwMode="auto">
                                          <a:xfrm>
                                            <a:off x="0" y="0"/>
                                            <a:ext cx="457200" cy="95250"/>
                                          </a:xfrm>
                                          <a:prstGeom prst="rect">
                                            <a:avLst/>
                                          </a:prstGeom>
                                        </pic:spPr>
                                      </pic:pic>
                                    </a:graphicData>
                                  </a:graphic>
                                </wp:inline>
                              </w:drawing>
                            </w:r>
                            <w:bookmarkStart w:id="154" w:name="i-79"/>
                            <w:bookmarkEnd w:id="15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order to estimate the fair values of identifiable intangible assets with finite lives and other finite-lived assets, we estimate the present value of future cash flows from those assets. The key assumptions that we use in our cash flow model are the amount and timing of estimated future cash flows to be generated by the asset over an extended period of time and a rate of return that considers the relative risk of achieving the cash flows, the time value of money, and other factors that a willing market participant would consider. Management judgment is required to estimate the amount and timing of future cash flows and the relative risk of achieving those cash flows.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Assumptions and estimates about future values and remaining useful lives are complex and often subjective. They can be affected by a variety of factors, including external factors such as industry and economic trends, and internal factors such as changes in our business strategy and our internal forecasts. For example, if our future operating results do not meet current forecasts or if we experience a sustained decline in our market capitalization that is determined to be indicative of a reduction in fair value of the asset group, we may be required to record future impairment charges. Impairment charges could materially decrease our future results of operations and result in lower asset values on our balance sheet.</w:t>
      </w:r>
    </w:p>
    <w:tbl>
      <w:tblPr>
        <w:tblW w:w="3405" w:type="dxa"/>
        <w:jc w:val="left"/>
        <w:tblInd w:w="0" w:type="dxa"/>
        <w:tblLayout w:type="fixed"/>
        <w:tblCellMar>
          <w:top w:w="28" w:type="dxa"/>
          <w:left w:w="28" w:type="dxa"/>
          <w:bottom w:w="28" w:type="dxa"/>
          <w:right w:w="28" w:type="dxa"/>
        </w:tblCellMar>
      </w:tblPr>
      <w:tblGrid>
        <w:gridCol w:w="1090"/>
        <w:gridCol w:w="959"/>
        <w:gridCol w:w="1356"/>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bookmarkStart w:id="155" w:name="i9b1de92942ee4b1ca675ef9369479776_0-0-1-"/>
            <w:bookmarkEnd w:id="155"/>
            <w:r>
              <w:rPr>
                <w:rFonts w:ascii="Roboto;sans-serif" w:hAnsi="Roboto;sans-serif"/>
                <w:b/>
                <w:color w:val="DF1995"/>
                <w:sz w:val="22"/>
              </w:rPr>
              <w:t>Contingent Consideration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connection with the acquisition of Omniome in the third quarter of 2021, we entered into an arrangement where we were obligated to pay $200 million in cash and equity dependent upon the achievement of a milestone event upon the first commercial shipment of products developed from our acquired sequencing technology. In the third quarter of 2023, we commenced customer shipments of the Onso short-read sequencing instrument. The milestone payment associated with PacBio’s acquisition of Omniome was triggered in September 2023 once both the Onso instrument and related consumables had been shipped to one customer. Consequently, we paid the former Omniome securityholders milestone consideration of an aggregate of approximately $100.9 million in cash and approximately 9.0 million shares of our common stock in October 2023.</w:t>
      </w:r>
    </w:p>
    <w:p>
      <w:pPr>
        <w:pStyle w:val="TextBody"/>
        <w:bidi w:val="0"/>
        <w:spacing w:lineRule="auto" w:line="288" w:before="120" w:after="283"/>
        <w:jc w:val="both"/>
        <w:rPr/>
      </w:pPr>
      <w:r>
        <w:rPr>
          <w:rFonts w:ascii="Roboto;sans-serif" w:hAnsi="Roboto;sans-serif"/>
          <w:b w:val="false"/>
          <w:color w:val="000000"/>
          <w:sz w:val="20"/>
        </w:rPr>
        <w:t xml:space="preserve">In connection with the acquisition of Apton, we entered into an arrangement where we are obligated to pay former holders of Apton's outstanding equity interests $25.0 million upon the achievement of $50 million in revenue associated with a high throughput sequencer using Apton's technology, provided that the milestone event occurs prior to the five-year anniversary of the closing date of the acquisition, which we may elect to pay in cash, shares of our common stock or a combination of cash and shares of our common stock. See </w:t>
      </w:r>
      <w:hyperlink w:anchor="i9dad38eca65443b9a8bcd939ad72e7eb_97">
        <w:r>
          <w:rPr>
            <w:rStyle w:val="InternetLink"/>
          </w:rPr>
          <w:t>N</w:t>
        </w:r>
      </w:hyperlink>
      <w:hyperlink w:anchor="i9dad38eca65443b9a8bcd939ad72e7eb_97">
        <w:r>
          <w:rPr>
            <w:rStyle w:val="InternetLink"/>
          </w:rPr>
          <w:t xml:space="preserve">ote 2. </w:t>
        </w:r>
      </w:hyperlink>
      <w:hyperlink w:anchor="i9dad38eca65443b9a8bcd939ad72e7eb_97">
        <w:r>
          <w:rPr>
            <w:rStyle w:val="InternetLink"/>
          </w:rPr>
          <w:t>Business Acquisitions</w:t>
        </w:r>
      </w:hyperlink>
      <w:r>
        <w:rPr>
          <w:color w:val="000000"/>
        </w:rPr>
        <w:t xml:space="preserve"> </w:t>
      </w:r>
      <w:r>
        <w:rPr>
          <w:rFonts w:ascii="Roboto;sans-serif" w:hAnsi="Roboto;sans-serif"/>
          <w:b w:val="false"/>
          <w:color w:val="000000"/>
          <w:sz w:val="20"/>
        </w:rPr>
        <w:t>in Part II, Item 8 of this Annual Report on Form 10-K for further information.</w:t>
      </w:r>
    </w:p>
    <w:p>
      <w:pPr>
        <w:pStyle w:val="TextBody"/>
        <w:bidi w:val="0"/>
        <w:spacing w:lineRule="auto" w:line="288" w:before="120" w:after="283"/>
        <w:jc w:val="both"/>
        <w:rPr/>
      </w:pPr>
      <w:r>
        <w:rPr>
          <w:rFonts w:ascii="Roboto;sans-serif" w:hAnsi="Roboto;sans-serif"/>
          <w:b w:val="false"/>
          <w:color w:val="000000"/>
          <w:sz w:val="20"/>
        </w:rPr>
        <w:t xml:space="preserve">We estimate the fair value of the contingent consideration liability based on the simulated revenue of the Company through the five-year anniversary of the closing date of the acquisition. The key input used in the determination of the fair value included projected revenues of the high-throughput short-read products and services leveraging Apton's technology. Primarily due to management's decision to cease development of the high-throughput short-read system, and the resulting changes in the expected future revenues, among other factors, and as the milestone event must occur prior to the five-year anniversary of the closing date of the acquisition, the estimated fair value of the contingent consideration liability is $0. An increase in the fair value of the liability may result from changes in projected revenues, including accelerated timing or higher expected amounts, and from decreases in discount rates, including the risk-free rate and the estimated subordinated credit spread for a CCC credit rating. Refer to </w:t>
      </w:r>
      <w:hyperlink w:anchor="i9dad38eca65443b9a8bcd939ad72e7eb_103">
        <w:r>
          <w:rPr>
            <w:rStyle w:val="InternetLink"/>
            <w:rFonts w:ascii="Roboto;sans-serif" w:hAnsi="Roboto;sans-serif"/>
            <w:b w:val="false"/>
            <w:i/>
            <w:color w:val="0000FF"/>
            <w:sz w:val="20"/>
            <w:u w:val="single"/>
          </w:rPr>
          <w:t>Note 3. Financial Instruments</w:t>
        </w:r>
      </w:hyperlink>
      <w:r>
        <w:rPr>
          <w:color w:val="000000"/>
        </w:rPr>
        <w:t xml:space="preserve"> </w:t>
      </w:r>
      <w:r>
        <w:rPr>
          <w:rFonts w:ascii="Roboto;sans-serif" w:hAnsi="Roboto;sans-serif"/>
          <w:b w:val="false"/>
          <w:color w:val="000000"/>
          <w:sz w:val="20"/>
        </w:rPr>
        <w:t>in Part II, Item 8 of this Annual Report on Form 10-K for further discussion on valuation assumptions.</w:t>
      </w:r>
    </w:p>
    <w:p>
      <w:pPr>
        <w:pStyle w:val="TextBody"/>
        <w:bidi w:val="0"/>
        <w:spacing w:lineRule="auto" w:line="288" w:before="120" w:after="283"/>
        <w:jc w:val="both"/>
        <w:rPr/>
      </w:pPr>
      <w:r>
        <w:rPr>
          <w:rFonts w:ascii="Roboto;sans-serif" w:hAnsi="Roboto;sans-serif"/>
          <w:b w:val="false"/>
          <w:color w:val="000000"/>
          <w:sz w:val="20"/>
        </w:rPr>
        <w:t xml:space="preserve">On January 30, 2026, we completed a disposition of assets to Buyer in accordance with the terms of an Asset Purchase Agreement. In connection with the Asset Sale, Buyer will pay at our direction 4% of the net proceeds from the Purchase Price to the former equity holders of Apton related to the waiver of all remaining milestone obligations associated with our purchase of Apton in August 2023, which payment is expected in the first quarter of 2026. See </w:t>
      </w:r>
      <w:hyperlink w:anchor="i9dad38eca65443b9a8bcd939ad72e7eb_133">
        <w:r>
          <w:rPr>
            <w:rStyle w:val="InternetLink"/>
            <w:rFonts w:ascii="Roboto;sans-serif" w:hAnsi="Roboto;sans-serif"/>
            <w:b w:val="false"/>
            <w:i/>
            <w:color w:val="0000FF"/>
            <w:sz w:val="20"/>
            <w:u w:val="single"/>
          </w:rPr>
          <w:t>Note 12. Subsequent Events</w:t>
        </w:r>
      </w:hyperlink>
      <w:r>
        <w:rPr>
          <w:color w:val="000000"/>
        </w:rPr>
        <w:t xml:space="preserve"> </w:t>
      </w:r>
      <w:r>
        <w:rPr>
          <w:rFonts w:ascii="Roboto;sans-serif" w:hAnsi="Roboto;sans-serif"/>
          <w:b w:val="false"/>
          <w:color w:val="000000"/>
          <w:sz w:val="20"/>
        </w:rPr>
        <w:t>in Part II, Item 8 of this Annual Report on Form 10-K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505" w:type="dxa"/>
        <w:jc w:val="left"/>
        <w:tblInd w:w="0" w:type="dxa"/>
        <w:tblLayout w:type="fixed"/>
        <w:tblCellMar>
          <w:top w:w="28" w:type="dxa"/>
          <w:left w:w="28" w:type="dxa"/>
          <w:bottom w:w="28" w:type="dxa"/>
          <w:right w:w="28" w:type="dxa"/>
        </w:tblCellMar>
      </w:tblPr>
      <w:tblGrid>
        <w:gridCol w:w="1762"/>
        <w:gridCol w:w="1549"/>
        <w:gridCol w:w="2194"/>
      </w:tblGrid>
      <w:tr>
        <w:trPr/>
        <w:tc>
          <w:tcPr>
            <w:tcW w:w="176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RECENT ACCOUNTING PRONOUNCEMENTS</w:t>
            </w:r>
          </w:p>
        </w:tc>
      </w:tr>
    </w:tbl>
    <w:p>
      <w:pPr>
        <w:pStyle w:val="TextBody"/>
        <w:bidi w:val="0"/>
        <w:spacing w:lineRule="auto" w:line="288" w:before="120" w:after="283"/>
        <w:jc w:val="both"/>
        <w:rPr/>
      </w:pPr>
      <w:r>
        <w:rPr>
          <w:rFonts w:ascii="Roboto;sans-serif" w:hAnsi="Roboto;sans-serif"/>
          <w:b w:val="false"/>
          <w:color w:val="000000"/>
          <w:sz w:val="20"/>
        </w:rPr>
        <w:t xml:space="preserve">Please see </w:t>
      </w:r>
      <w:hyperlink w:anchor="i9dad38eca65443b9a8bcd939ad72e7eb_94">
        <w:r>
          <w:rPr>
            <w:rStyle w:val="InternetLink"/>
            <w:rFonts w:ascii="Roboto;sans-serif" w:hAnsi="Roboto;sans-serif"/>
            <w:b w:val="false"/>
            <w:i/>
            <w:color w:val="0000FF"/>
            <w:sz w:val="20"/>
            <w:u w:val="single"/>
          </w:rPr>
          <w:t>Note 1. Organization and Significant Accounting Policies</w:t>
        </w:r>
      </w:hyperlink>
      <w:r>
        <w:rPr>
          <w:rFonts w:ascii="Roboto;sans-serif" w:hAnsi="Roboto;sans-serif"/>
          <w:b w:val="false"/>
          <w:color w:val="000000"/>
          <w:sz w:val="20"/>
        </w:rPr>
        <w:t>, subsection titled “Recent Accounting Pronouncements”, in Part II, Item 8 of this Annual Report on Form 10-K for information regarding applicable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12520"/>
                <wp:effectExtent l="0" t="0" r="0" b="0"/>
                <wp:wrapNone/>
                <wp:docPr id="228" name="Frame7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80" descr=""/>
                                                <pic:cNvPicPr>
                                                  <a:picLocks noChangeAspect="1" noChangeArrowheads="1"/>
                                                </pic:cNvPicPr>
                                              </pic:nvPicPr>
                                              <pic:blipFill>
                                                <a:blip r:embed="rId154"/>
                                                <a:stretch>
                                                  <a:fillRect/>
                                                </a:stretch>
                                              </pic:blipFill>
                                              <pic:spPr bwMode="auto">
                                                <a:xfrm>
                                                  <a:off x="0" y="0"/>
                                                  <a:ext cx="457200" cy="95250"/>
                                                </a:xfrm>
                                                <a:prstGeom prst="rect">
                                                  <a:avLst/>
                                                </a:prstGeom>
                                              </pic:spPr>
                                            </pic:pic>
                                          </a:graphicData>
                                        </a:graphic>
                                      </wp:inline>
                                    </w:drawing>
                                  </w:r>
                                  <w:bookmarkStart w:id="156" w:name="i-80"/>
                                  <w:bookmarkEnd w:id="15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80" descr=""/>
                                          <pic:cNvPicPr>
                                            <a:picLocks noChangeAspect="1" noChangeArrowheads="1"/>
                                          </pic:cNvPicPr>
                                        </pic:nvPicPr>
                                        <pic:blipFill>
                                          <a:blip r:embed="rId155"/>
                                          <a:stretch>
                                            <a:fillRect/>
                                          </a:stretch>
                                        </pic:blipFill>
                                        <pic:spPr bwMode="auto">
                                          <a:xfrm>
                                            <a:off x="0" y="0"/>
                                            <a:ext cx="457200" cy="95250"/>
                                          </a:xfrm>
                                          <a:prstGeom prst="rect">
                                            <a:avLst/>
                                          </a:prstGeom>
                                        </pic:spPr>
                                      </pic:pic>
                                    </a:graphicData>
                                  </a:graphic>
                                </wp:inline>
                              </w:drawing>
                            </w:r>
                            <w:bookmarkStart w:id="157" w:name="i-80"/>
                            <w:bookmarkEnd w:id="15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3265"/>
        <w:gridCol w:w="2869"/>
        <w:gridCol w:w="4071"/>
      </w:tblGrid>
      <w:tr>
        <w:trPr/>
        <w:tc>
          <w:tcPr>
            <w:tcW w:w="3265"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 xml:space="preserve">ITEM 7A. QUANTITATIVE AND QUALITATIVE DISCLOSURES ABOUT MARKET RISK </w:t>
            </w:r>
          </w:p>
        </w:tc>
      </w:tr>
    </w:tbl>
    <w:tbl>
      <w:tblPr>
        <w:tblW w:w="3959" w:type="dxa"/>
        <w:jc w:val="left"/>
        <w:tblInd w:w="0" w:type="dxa"/>
        <w:tblLayout w:type="fixed"/>
        <w:tblCellMar>
          <w:top w:w="28" w:type="dxa"/>
          <w:left w:w="28" w:type="dxa"/>
          <w:bottom w:w="28" w:type="dxa"/>
          <w:right w:w="28" w:type="dxa"/>
        </w:tblCellMar>
      </w:tblPr>
      <w:tblGrid>
        <w:gridCol w:w="1268"/>
        <w:gridCol w:w="1112"/>
        <w:gridCol w:w="1579"/>
      </w:tblGrid>
      <w:tr>
        <w:trPr/>
        <w:tc>
          <w:tcPr>
            <w:tcW w:w="126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Interest Rate and Market Risk</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investment portfolio is exposed to market risk from changes in interest rates. The goals of our investment policy are preservation of capital, fulfillment of liquidity needs and fiduciary control of cash and cash equivalents and investments. We also seek to maximize income from our investments without assuming significant risk. To achieve our goals, we maintain a portfolio of cash equivalents and investments in a variety of securities of high credit quality. The securities in our investment portfolio are not leveraged, are classified as available for sale and are, due to their short-term nature, subject to minimal interest rate risk.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on December 31, 2025 would have affected the fair value of our investment portfolio by approximately $1.5 million.</w:t>
      </w:r>
    </w:p>
    <w:p>
      <w:pPr>
        <w:pStyle w:val="TextBody"/>
        <w:bidi w:val="0"/>
        <w:spacing w:lineRule="auto" w:line="288" w:before="120" w:after="283"/>
        <w:jc w:val="both"/>
        <w:rPr/>
      </w:pPr>
      <w:r>
        <w:rPr>
          <w:rFonts w:ascii="Roboto;sans-serif" w:hAnsi="Roboto;sans-serif"/>
          <w:b w:val="false"/>
          <w:color w:val="000000"/>
          <w:sz w:val="20"/>
        </w:rPr>
        <w:t xml:space="preserve">The carrying value of the 2029 Notes were recorded at the undiscounted cash flow amount on our consolidated balance sheets. The 2030 Notes were recorded at fair value as of the closing date of the related exchange transaction, less debt issuance costs, on our consolidated balance sheets. Because the 2029 Notes and 2030 Notes have fixed annual interest rates of 1.50% and 1.375%, respectively, we do not have any economic interest rate exposure or financial statement risk associated with changes in interest rates. The fair value of the Notes, however, may fluctuate when interest rates and the market price of our stock changes. See </w:t>
      </w:r>
      <w:hyperlink w:anchor="i9dad38eca65443b9a8bcd939ad72e7eb_109">
        <w:r>
          <w:rPr>
            <w:rStyle w:val="InternetLink"/>
            <w:rFonts w:ascii="Roboto;sans-serif" w:hAnsi="Roboto;sans-serif"/>
            <w:b w:val="false"/>
            <w:i/>
            <w:color w:val="0000FF"/>
            <w:sz w:val="20"/>
            <w:u w:val="single"/>
          </w:rPr>
          <w:t>Note 5. Convertible Senior Notes</w:t>
        </w:r>
      </w:hyperlink>
      <w:r>
        <w:rPr>
          <w:color w:val="000000"/>
        </w:rPr>
        <w:t xml:space="preserve"> </w:t>
      </w:r>
      <w:r>
        <w:rPr>
          <w:rFonts w:ascii="Roboto;sans-serif" w:hAnsi="Roboto;sans-serif"/>
          <w:b w:val="false"/>
          <w:color w:val="000000"/>
          <w:sz w:val="20"/>
        </w:rPr>
        <w:t>in Part II, Item 8 of this Annual Report on Form 10-K for additional information.</w:t>
      </w:r>
    </w:p>
    <w:tbl>
      <w:tblPr>
        <w:tblW w:w="3045" w:type="dxa"/>
        <w:jc w:val="left"/>
        <w:tblInd w:w="0" w:type="dxa"/>
        <w:tblLayout w:type="fixed"/>
        <w:tblCellMar>
          <w:top w:w="28" w:type="dxa"/>
          <w:left w:w="28" w:type="dxa"/>
          <w:bottom w:w="28" w:type="dxa"/>
          <w:right w:w="28" w:type="dxa"/>
        </w:tblCellMar>
      </w:tblPr>
      <w:tblGrid>
        <w:gridCol w:w="975"/>
        <w:gridCol w:w="857"/>
        <w:gridCol w:w="1213"/>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Foreign Exchange Risk</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revenue, expense, and capital purchasing activities are primarily transacted in U.S. dollars; however, a portion of our operations is conducted in foreign currencies. As a result, we have foreign exchange exposures relating to non-U.S. dollar denominated cash flows and monetary assets and liabilities that are denominated in currencies other than U.S. dollars. The value of the amounts is exposed to changes in currency exchange rates from the time the transactions are originated, until the time the cash settlement is converted into U.S. dollars. Our foreign currency exposure is primarily concentrated in the Euro. While we are exposed to market risks related to changes in foreign currency exchange rates, we do not believe a hypothetical 10% change in exchange rates would have a material impact on our financial position or results of operations. Actual gains and losses in the future may differ materially from these hypothetical gains and losses based on changes in the timing and amount of foreign currency exchange rate movements and our actual exposure. Our international operations are subject to risks typical of international operations, including, but not limited to, differing economic conditions, changes in political climate, differing tax structures, other regulations and restrictions, and foreign exchange rate volatility.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12520"/>
                <wp:effectExtent l="0" t="0" r="0" b="0"/>
                <wp:wrapNone/>
                <wp:docPr id="231" name="Frame7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81" descr=""/>
                                                <pic:cNvPicPr>
                                                  <a:picLocks noChangeAspect="1" noChangeArrowheads="1"/>
                                                </pic:cNvPicPr>
                                              </pic:nvPicPr>
                                              <pic:blipFill>
                                                <a:blip r:embed="rId156"/>
                                                <a:stretch>
                                                  <a:fillRect/>
                                                </a:stretch>
                                              </pic:blipFill>
                                              <pic:spPr bwMode="auto">
                                                <a:xfrm>
                                                  <a:off x="0" y="0"/>
                                                  <a:ext cx="457200" cy="95250"/>
                                                </a:xfrm>
                                                <a:prstGeom prst="rect">
                                                  <a:avLst/>
                                                </a:prstGeom>
                                              </pic:spPr>
                                            </pic:pic>
                                          </a:graphicData>
                                        </a:graphic>
                                      </wp:inline>
                                    </w:drawing>
                                  </w:r>
                                  <w:bookmarkStart w:id="158" w:name="i-81"/>
                                  <w:bookmarkEnd w:id="15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81" descr=""/>
                                          <pic:cNvPicPr>
                                            <a:picLocks noChangeAspect="1" noChangeArrowheads="1"/>
                                          </pic:cNvPicPr>
                                        </pic:nvPicPr>
                                        <pic:blipFill>
                                          <a:blip r:embed="rId157"/>
                                          <a:stretch>
                                            <a:fillRect/>
                                          </a:stretch>
                                        </pic:blipFill>
                                        <pic:spPr bwMode="auto">
                                          <a:xfrm>
                                            <a:off x="0" y="0"/>
                                            <a:ext cx="457200" cy="95250"/>
                                          </a:xfrm>
                                          <a:prstGeom prst="rect">
                                            <a:avLst/>
                                          </a:prstGeom>
                                        </pic:spPr>
                                      </pic:pic>
                                    </a:graphicData>
                                  </a:graphic>
                                </wp:inline>
                              </w:drawing>
                            </w:r>
                            <w:bookmarkStart w:id="159" w:name="i-81"/>
                            <w:bookmarkEnd w:id="15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8490" w:type="dxa"/>
        <w:jc w:val="left"/>
        <w:tblInd w:w="0" w:type="dxa"/>
        <w:tblLayout w:type="fixed"/>
        <w:tblCellMar>
          <w:top w:w="28" w:type="dxa"/>
          <w:left w:w="28" w:type="dxa"/>
          <w:bottom w:w="28" w:type="dxa"/>
          <w:right w:w="28" w:type="dxa"/>
        </w:tblCellMar>
      </w:tblPr>
      <w:tblGrid>
        <w:gridCol w:w="2717"/>
        <w:gridCol w:w="2390"/>
        <w:gridCol w:w="3383"/>
      </w:tblGrid>
      <w:tr>
        <w:trPr/>
        <w:tc>
          <w:tcPr>
            <w:tcW w:w="2717"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3383" w:type="dxa"/>
            <w:tcBorders/>
            <w:vAlign w:val="center"/>
          </w:tcPr>
          <w:p>
            <w:pPr>
              <w:pStyle w:val="TableContents"/>
              <w:bidi w:val="0"/>
              <w:spacing w:before="0" w:after="283"/>
              <w:jc w:val="left"/>
              <w:rPr>
                <w:sz w:val="4"/>
                <w:szCs w:val="4"/>
              </w:rPr>
            </w:pPr>
            <w:r>
              <w:rPr>
                <w:sz w:val="4"/>
                <w:szCs w:val="4"/>
              </w:rPr>
            </w:r>
          </w:p>
        </w:tc>
      </w:tr>
      <w:tr>
        <w:trPr/>
        <w:tc>
          <w:tcPr>
            <w:tcW w:w="8490"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8. FINANCIAL STATEMENTS AND SUPPLEMENTARY DATA</w:t>
            </w:r>
          </w:p>
        </w:tc>
      </w:tr>
    </w:tbl>
    <w:p>
      <w:pPr>
        <w:pStyle w:val="TextBody"/>
        <w:bidi w:val="0"/>
        <w:spacing w:lineRule="auto" w:line="288" w:before="300" w:after="283"/>
        <w:jc w:val="center"/>
        <w:rPr>
          <w:rFonts w:ascii="Roboto;sans-serif" w:hAnsi="Roboto;sans-serif"/>
          <w:b/>
          <w:color w:val="DF1995"/>
          <w:sz w:val="22"/>
        </w:rPr>
      </w:pPr>
      <w:r>
        <w:rPr>
          <w:rFonts w:ascii="Roboto;sans-serif" w:hAnsi="Roboto;sans-serif"/>
          <w:b/>
          <w:color w:val="DF1995"/>
          <w:sz w:val="22"/>
        </w:rPr>
        <w:t xml:space="preserve">PACIFIC BIOSCIENCES OF CALIFORNIA, INC. </w:t>
      </w:r>
    </w:p>
    <w:p>
      <w:pPr>
        <w:pStyle w:val="TextBody"/>
        <w:bidi w:val="0"/>
        <w:spacing w:lineRule="auto" w:line="288" w:before="0" w:after="0"/>
        <w:jc w:val="center"/>
        <w:rPr>
          <w:rFonts w:ascii="Roboto;sans-serif" w:hAnsi="Roboto;sans-serif"/>
          <w:b/>
          <w:color w:val="000000"/>
          <w:sz w:val="22"/>
        </w:rPr>
      </w:pPr>
      <w:r>
        <w:rPr>
          <w:rFonts w:ascii="Roboto;sans-serif" w:hAnsi="Roboto;sans-serif"/>
          <w:b/>
          <w:color w:val="000000"/>
          <w:sz w:val="22"/>
        </w:rPr>
        <w:t xml:space="preserve">Index to Consolidated Financial Statements </w:t>
      </w:r>
    </w:p>
    <w:tbl>
      <w:tblPr>
        <w:tblW w:w="8204" w:type="dxa"/>
        <w:jc w:val="left"/>
        <w:tblInd w:w="0" w:type="dxa"/>
        <w:tblLayout w:type="fixed"/>
        <w:tblCellMar>
          <w:top w:w="28" w:type="dxa"/>
          <w:left w:w="28" w:type="dxa"/>
          <w:bottom w:w="28" w:type="dxa"/>
          <w:right w:w="28" w:type="dxa"/>
        </w:tblCellMar>
      </w:tblPr>
      <w:tblGrid>
        <w:gridCol w:w="2608"/>
        <w:gridCol w:w="2290"/>
        <w:gridCol w:w="2301"/>
        <w:gridCol w:w="294"/>
        <w:gridCol w:w="294"/>
        <w:gridCol w:w="417"/>
      </w:tblGrid>
      <w:tr>
        <w:trPr/>
        <w:tc>
          <w:tcPr>
            <w:tcW w:w="2608"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Page(s)</w:t>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73">
              <w:r>
                <w:rPr>
                  <w:rStyle w:val="InternetLink"/>
                  <w:rFonts w:ascii="Roboto;sans-serif" w:hAnsi="Roboto;sans-serif"/>
                  <w:b w:val="false"/>
                  <w:color w:val="0000FF"/>
                  <w:sz w:val="20"/>
                  <w:u w:val="single"/>
                </w:rPr>
                <w:t xml:space="preserve">Report of Independent Registered Public Accounting Firm (PCAOB ID: </w:t>
              </w:r>
            </w:hyperlink>
            <w:r>
              <w:rPr>
                <w:rFonts w:ascii="Roboto;sans-serif" w:hAnsi="Roboto;sans-serif"/>
                <w:b w:val="false"/>
                <w:color w:val="000000"/>
                <w:sz w:val="20"/>
              </w:rPr>
              <w:t>42</w:t>
            </w:r>
            <w:hyperlink w:anchor="i9dad38eca65443b9a8bcd939ad72e7eb_73">
              <w:r>
                <w:rPr>
                  <w:rStyle w:val="InternetLink"/>
                  <w:rFonts w:ascii="Roboto;sans-serif" w:hAnsi="Roboto;sans-serif"/>
                  <w:b w:val="false"/>
                  <w:color w:val="0000FF"/>
                  <w:sz w:val="20"/>
                  <w:u w:val="single"/>
                </w:rPr>
                <w:t>)</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73">
              <w:r>
                <w:rPr>
                  <w:rStyle w:val="InternetLink"/>
                  <w:rFonts w:ascii="Roboto;sans-serif" w:hAnsi="Roboto;sans-serif"/>
                  <w:b w:val="false"/>
                  <w:strike w:val="false"/>
                  <w:dstrike w:val="false"/>
                  <w:color w:val="000000"/>
                  <w:sz w:val="20"/>
                  <w:u w:val="none"/>
                  <w:effect w:val="none"/>
                </w:rPr>
                <w:t>78</w:t>
              </w:r>
            </w:hyperlink>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Consolidated Financial Statements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79">
              <w:r>
                <w:rPr>
                  <w:rStyle w:val="InternetLink"/>
                  <w:rFonts w:ascii="Roboto;sans-serif" w:hAnsi="Roboto;sans-serif"/>
                  <w:b w:val="false"/>
                  <w:color w:val="0000FF"/>
                  <w:sz w:val="20"/>
                  <w:u w:val="single"/>
                </w:rPr>
                <w:t>Consolidated Balance Sheets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79">
              <w:r>
                <w:rPr>
                  <w:rStyle w:val="InternetLink"/>
                  <w:rFonts w:ascii="Roboto;sans-serif" w:hAnsi="Roboto;sans-serif"/>
                  <w:b w:val="false"/>
                  <w:strike w:val="false"/>
                  <w:dstrike w:val="false"/>
                  <w:color w:val="000000"/>
                  <w:sz w:val="20"/>
                  <w:u w:val="none"/>
                  <w:effect w:val="none"/>
                </w:rPr>
                <w:t>80</w:t>
              </w:r>
            </w:hyperlink>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82">
              <w:r>
                <w:rPr>
                  <w:rStyle w:val="InternetLink"/>
                  <w:rFonts w:ascii="Roboto;sans-serif" w:hAnsi="Roboto;sans-serif"/>
                  <w:b w:val="false"/>
                  <w:color w:val="0000FF"/>
                  <w:sz w:val="20"/>
                  <w:u w:val="single"/>
                </w:rPr>
                <w:t>Consolidated Statements of Operations and Comprehensive Loss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82">
              <w:r>
                <w:rPr>
                  <w:rStyle w:val="InternetLink"/>
                  <w:rFonts w:ascii="Roboto;sans-serif" w:hAnsi="Roboto;sans-serif"/>
                  <w:b w:val="false"/>
                  <w:strike w:val="false"/>
                  <w:dstrike w:val="false"/>
                  <w:color w:val="000000"/>
                  <w:sz w:val="20"/>
                  <w:u w:val="none"/>
                  <w:effect w:val="none"/>
                </w:rPr>
                <w:t>81</w:t>
              </w:r>
            </w:hyperlink>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85">
              <w:r>
                <w:rPr>
                  <w:rStyle w:val="InternetLink"/>
                  <w:rFonts w:ascii="Roboto;sans-serif" w:hAnsi="Roboto;sans-serif"/>
                  <w:b w:val="false"/>
                  <w:color w:val="0000FF"/>
                  <w:sz w:val="20"/>
                  <w:u w:val="single"/>
                </w:rPr>
                <w:t>Consolidated Statements of Stockholders’ Equity</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85">
              <w:r>
                <w:rPr>
                  <w:rStyle w:val="InternetLink"/>
                  <w:rFonts w:ascii="Roboto;sans-serif" w:hAnsi="Roboto;sans-serif"/>
                  <w:b w:val="false"/>
                  <w:strike w:val="false"/>
                  <w:dstrike w:val="false"/>
                  <w:color w:val="000000"/>
                  <w:sz w:val="20"/>
                  <w:u w:val="none"/>
                  <w:effect w:val="none"/>
                </w:rPr>
                <w:t>82</w:t>
              </w:r>
            </w:hyperlink>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88">
              <w:r>
                <w:rPr>
                  <w:rStyle w:val="InternetLink"/>
                  <w:rFonts w:ascii="Roboto;sans-serif" w:hAnsi="Roboto;sans-serif"/>
                  <w:b w:val="false"/>
                  <w:color w:val="0000FF"/>
                  <w:sz w:val="20"/>
                  <w:u w:val="single"/>
                </w:rPr>
                <w:t>Consolidated Statements of Cash Flows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88">
              <w:r>
                <w:rPr>
                  <w:rStyle w:val="InternetLink"/>
                  <w:rFonts w:ascii="Roboto;sans-serif" w:hAnsi="Roboto;sans-serif"/>
                  <w:b w:val="false"/>
                  <w:strike w:val="false"/>
                  <w:dstrike w:val="false"/>
                  <w:color w:val="000000"/>
                  <w:sz w:val="20"/>
                  <w:u w:val="none"/>
                  <w:effect w:val="none"/>
                </w:rPr>
                <w:t>83</w:t>
              </w:r>
            </w:hyperlink>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ad38eca65443b9a8bcd939ad72e7eb_91">
              <w:r>
                <w:rPr>
                  <w:rStyle w:val="InternetLink"/>
                  <w:rFonts w:ascii="Roboto;sans-serif" w:hAnsi="Roboto;sans-serif"/>
                  <w:b w:val="false"/>
                  <w:color w:val="0000FF"/>
                  <w:sz w:val="20"/>
                  <w:u w:val="single"/>
                </w:rPr>
                <w:t>Notes to Consolidated Financial Statements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ad38eca65443b9a8bcd939ad72e7eb_91">
              <w:r>
                <w:rPr>
                  <w:rStyle w:val="InternetLink"/>
                  <w:rFonts w:ascii="Roboto;sans-serif" w:hAnsi="Roboto;sans-serif"/>
                  <w:b w:val="false"/>
                  <w:strike w:val="false"/>
                  <w:dstrike w:val="false"/>
                  <w:color w:val="000000"/>
                  <w:sz w:val="20"/>
                  <w:u w:val="none"/>
                  <w:effect w:val="none"/>
                </w:rPr>
                <w:t>85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12520"/>
                <wp:effectExtent l="0" t="0" r="0" b="0"/>
                <wp:wrapNone/>
                <wp:docPr id="234" name="Frame7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82" descr=""/>
                                                <pic:cNvPicPr>
                                                  <a:picLocks noChangeAspect="1" noChangeArrowheads="1"/>
                                                </pic:cNvPicPr>
                                              </pic:nvPicPr>
                                              <pic:blipFill>
                                                <a:blip r:embed="rId158"/>
                                                <a:stretch>
                                                  <a:fillRect/>
                                                </a:stretch>
                                              </pic:blipFill>
                                              <pic:spPr bwMode="auto">
                                                <a:xfrm>
                                                  <a:off x="0" y="0"/>
                                                  <a:ext cx="457200" cy="95250"/>
                                                </a:xfrm>
                                                <a:prstGeom prst="rect">
                                                  <a:avLst/>
                                                </a:prstGeom>
                                              </pic:spPr>
                                            </pic:pic>
                                          </a:graphicData>
                                        </a:graphic>
                                      </wp:inline>
                                    </w:drawing>
                                  </w:r>
                                  <w:bookmarkStart w:id="160" w:name="i-82"/>
                                  <w:bookmarkEnd w:id="16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82" descr=""/>
                                          <pic:cNvPicPr>
                                            <a:picLocks noChangeAspect="1" noChangeArrowheads="1"/>
                                          </pic:cNvPicPr>
                                        </pic:nvPicPr>
                                        <pic:blipFill>
                                          <a:blip r:embed="rId159"/>
                                          <a:stretch>
                                            <a:fillRect/>
                                          </a:stretch>
                                        </pic:blipFill>
                                        <pic:spPr bwMode="auto">
                                          <a:xfrm>
                                            <a:off x="0" y="0"/>
                                            <a:ext cx="457200" cy="95250"/>
                                          </a:xfrm>
                                          <a:prstGeom prst="rect">
                                            <a:avLst/>
                                          </a:prstGeom>
                                        </pic:spPr>
                                      </pic:pic>
                                    </a:graphicData>
                                  </a:graphic>
                                </wp:inline>
                              </w:drawing>
                            </w:r>
                            <w:bookmarkStart w:id="161" w:name="i-82"/>
                            <w:bookmarkEnd w:id="16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center"/>
        <w:rPr>
          <w:rFonts w:ascii="Roboto;sans-serif" w:hAnsi="Roboto;sans-serif"/>
          <w:b/>
          <w:color w:val="000000"/>
          <w:sz w:val="20"/>
        </w:rPr>
      </w:pPr>
      <w:r>
        <w:rPr>
          <w:rFonts w:ascii="Roboto;sans-serif" w:hAnsi="Roboto;sans-serif"/>
          <w:b/>
          <w:color w:val="000000"/>
          <w:sz w:val="20"/>
        </w:rPr>
        <w:t>Report of Independent Registered Public Accounting Firm</w:t>
      </w:r>
    </w:p>
    <w:p>
      <w:pPr>
        <w:pStyle w:val="TextBody"/>
        <w:bidi w:val="0"/>
        <w:spacing w:lineRule="auto" w:line="288" w:before="300" w:after="283"/>
        <w:jc w:val="left"/>
        <w:rPr>
          <w:rFonts w:ascii="Roboto;sans-serif" w:hAnsi="Roboto;sans-serif"/>
          <w:b w:val="false"/>
          <w:color w:val="000000"/>
          <w:sz w:val="20"/>
        </w:rPr>
      </w:pPr>
      <w:r>
        <w:rPr>
          <w:rFonts w:ascii="Roboto;sans-serif" w:hAnsi="Roboto;sans-serif"/>
          <w:b w:val="false"/>
          <w:color w:val="000000"/>
          <w:sz w:val="20"/>
        </w:rPr>
        <w:t>To the Stockholders and the Board of Directors of Pacific Biosciences of California, Inc.</w:t>
      </w:r>
    </w:p>
    <w:p>
      <w:pPr>
        <w:pStyle w:val="TextBody"/>
        <w:bidi w:val="0"/>
        <w:spacing w:lineRule="auto" w:line="288" w:before="180" w:after="283"/>
        <w:jc w:val="both"/>
        <w:rPr>
          <w:rFonts w:ascii="Roboto;sans-serif" w:hAnsi="Roboto;sans-serif"/>
          <w:b/>
          <w:color w:val="000000"/>
          <w:sz w:val="20"/>
        </w:rPr>
      </w:pPr>
      <w:r>
        <w:rPr>
          <w:rFonts w:ascii="Roboto;sans-serif" w:hAnsi="Roboto;sans-serif"/>
          <w:b/>
          <w:color w:val="000000"/>
          <w:sz w:val="20"/>
        </w:rPr>
        <w:t>Opinion on the Financial Statements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audited the accompanying consolidated balance sheets of Pacific Biosciences of California, Inc. (the Company) as of December 31, 2025 and 2024, the related consolidated statements of operations and comprehensive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25, 2026 expressed an unqualified opinion thereon.</w:t>
      </w:r>
    </w:p>
    <w:p>
      <w:pPr>
        <w:pStyle w:val="TextBody"/>
        <w:bidi w:val="0"/>
        <w:spacing w:lineRule="auto" w:line="288" w:before="180" w:after="283"/>
        <w:jc w:val="left"/>
        <w:rPr>
          <w:rFonts w:ascii="Roboto;sans-serif" w:hAnsi="Roboto;sans-serif"/>
          <w:b/>
          <w:color w:val="000000"/>
          <w:sz w:val="20"/>
        </w:rPr>
      </w:pPr>
      <w:r>
        <w:rPr>
          <w:rFonts w:ascii="Roboto;sans-serif" w:hAnsi="Roboto;sans-serif"/>
          <w:b/>
          <w:color w:val="000000"/>
          <w:sz w:val="20"/>
        </w:rPr>
        <w:t>Basis for Opinion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180" w:after="283"/>
        <w:jc w:val="left"/>
        <w:rPr>
          <w:rFonts w:ascii="Roboto;sans-serif" w:hAnsi="Roboto;sans-serif"/>
          <w:b/>
          <w:color w:val="000000"/>
          <w:sz w:val="20"/>
        </w:rPr>
      </w:pPr>
      <w:r>
        <w:rPr>
          <w:rFonts w:ascii="Roboto;sans-serif" w:hAnsi="Roboto;sans-serif"/>
          <w:b/>
          <w:color w:val="000000"/>
          <w:sz w:val="20"/>
        </w:rPr>
        <w:t xml:space="preserve">Critical Audit Matter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12520"/>
                <wp:effectExtent l="0" t="0" r="0" b="0"/>
                <wp:wrapNone/>
                <wp:docPr id="237" name="Frame8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83" descr=""/>
                                                <pic:cNvPicPr>
                                                  <a:picLocks noChangeAspect="1" noChangeArrowheads="1"/>
                                                </pic:cNvPicPr>
                                              </pic:nvPicPr>
                                              <pic:blipFill>
                                                <a:blip r:embed="rId160"/>
                                                <a:stretch>
                                                  <a:fillRect/>
                                                </a:stretch>
                                              </pic:blipFill>
                                              <pic:spPr bwMode="auto">
                                                <a:xfrm>
                                                  <a:off x="0" y="0"/>
                                                  <a:ext cx="457200" cy="95250"/>
                                                </a:xfrm>
                                                <a:prstGeom prst="rect">
                                                  <a:avLst/>
                                                </a:prstGeom>
                                              </pic:spPr>
                                            </pic:pic>
                                          </a:graphicData>
                                        </a:graphic>
                                      </wp:inline>
                                    </w:drawing>
                                  </w:r>
                                  <w:bookmarkStart w:id="162" w:name="i-83"/>
                                  <w:bookmarkEnd w:id="16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83" descr=""/>
                                          <pic:cNvPicPr>
                                            <a:picLocks noChangeAspect="1" noChangeArrowheads="1"/>
                                          </pic:cNvPicPr>
                                        </pic:nvPicPr>
                                        <pic:blipFill>
                                          <a:blip r:embed="rId161"/>
                                          <a:stretch>
                                            <a:fillRect/>
                                          </a:stretch>
                                        </pic:blipFill>
                                        <pic:spPr bwMode="auto">
                                          <a:xfrm>
                                            <a:off x="0" y="0"/>
                                            <a:ext cx="457200" cy="95250"/>
                                          </a:xfrm>
                                          <a:prstGeom prst="rect">
                                            <a:avLst/>
                                          </a:prstGeom>
                                        </pic:spPr>
                                      </pic:pic>
                                    </a:graphicData>
                                  </a:graphic>
                                </wp:inline>
                              </w:drawing>
                            </w:r>
                            <w:bookmarkStart w:id="163" w:name="i-83"/>
                            <w:bookmarkEnd w:id="16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before="180" w:after="283"/>
        <w:jc w:val="both"/>
        <w:rPr/>
      </w:pPr>
      <w:r>
        <w:rPr/>
      </w:r>
    </w:p>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638"/>
        <w:gridCol w:w="561"/>
        <w:gridCol w:w="562"/>
        <w:gridCol w:w="2688"/>
        <w:gridCol w:w="2688"/>
        <w:gridCol w:w="2693"/>
        <w:gridCol w:w="109"/>
        <w:gridCol w:w="109"/>
        <w:gridCol w:w="157"/>
      </w:tblGrid>
      <w:tr>
        <w:trPr/>
        <w:tc>
          <w:tcPr>
            <w:tcW w:w="63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Roboto;sans-serif" w:hAnsi="Roboto;sans-serif"/>
                <w:b/>
                <w:i/>
                <w:color w:val="000000"/>
                <w:sz w:val="20"/>
              </w:rPr>
            </w:pPr>
            <w:r>
              <w:rPr>
                <w:rFonts w:ascii="Roboto;sans-serif" w:hAnsi="Roboto;sans-serif"/>
                <w:b/>
                <w:i/>
                <w:color w:val="000000"/>
                <w:sz w:val="20"/>
              </w:rPr>
              <w:t>Revenue recognition - Identification and evaluation of performance obligations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i/>
                <w:color w:val="000000"/>
                <w:sz w:val="20"/>
              </w:rPr>
            </w:pPr>
            <w:r>
              <w:rPr>
                <w:rFonts w:ascii="Roboto;sans-serif" w:hAnsi="Roboto;sans-serif"/>
                <w:b/>
                <w:i/>
                <w:color w:val="000000"/>
                <w:sz w:val="20"/>
              </w:rPr>
              <w:t xml:space="preserve">Description of the Matter </w:t>
            </w:r>
          </w:p>
        </w:tc>
        <w:tc>
          <w:tcPr>
            <w:tcW w:w="8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Roboto;sans-serif" w:hAnsi="Roboto;sans-serif"/>
                <w:b w:val="false"/>
                <w:color w:val="000000"/>
                <w:sz w:val="20"/>
              </w:rPr>
            </w:pPr>
            <w:r>
              <w:rPr>
                <w:rFonts w:ascii="Roboto;sans-serif" w:hAnsi="Roboto;sans-serif"/>
                <w:b w:val="false"/>
                <w:color w:val="000000"/>
                <w:sz w:val="20"/>
              </w:rPr>
              <w:t xml:space="preserve">For the year ended December 31, 2025, the Company recognized revenue of $160.0 million, including $135.8 million of product revenue, which consists primarily of instrument sales and related consumables. As described in Note 1 to the consolidated financial statements, the Company may enter into, or periodically modify, contracts with customers that include a combination of promised products and services, resulting in arrangements containing multiple performance obligations. The Company identifies performance obligations for promises to transfer distinct products or services to a customer. </w:t>
            </w:r>
          </w:p>
          <w:p>
            <w:pPr>
              <w:pStyle w:val="TableContents"/>
              <w:bidi w:val="0"/>
              <w:spacing w:before="0" w:after="0"/>
              <w:jc w:val="both"/>
              <w:rPr/>
            </w:pPr>
            <w:r>
              <w:rPr/>
            </w:r>
          </w:p>
          <w:p>
            <w:pPr>
              <w:pStyle w:val="TableContents"/>
              <w:bidi w:val="0"/>
              <w:spacing w:lineRule="auto" w:line="288" w:before="0" w:after="0"/>
              <w:jc w:val="both"/>
              <w:rPr>
                <w:rFonts w:ascii="Roboto;sans-serif" w:hAnsi="Roboto;sans-serif"/>
                <w:b w:val="false"/>
                <w:color w:val="000000"/>
                <w:sz w:val="20"/>
              </w:rPr>
            </w:pPr>
            <w:r>
              <w:rPr>
                <w:rFonts w:ascii="Roboto;sans-serif" w:hAnsi="Roboto;sans-serif"/>
                <w:b w:val="false"/>
                <w:color w:val="000000"/>
                <w:sz w:val="20"/>
              </w:rPr>
              <w:t>Auditing management’s identification and evaluation of performance obligations is complex due to the significant volume of sales transactions that require analysis.</w:t>
            </w:r>
          </w:p>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i/>
                <w:color w:val="000000"/>
                <w:sz w:val="20"/>
              </w:rPr>
            </w:pPr>
            <w:r>
              <w:rPr>
                <w:rFonts w:ascii="Roboto;sans-serif" w:hAnsi="Roboto;sans-serif"/>
                <w:b/>
                <w:i/>
                <w:color w:val="000000"/>
                <w:sz w:val="20"/>
              </w:rPr>
              <w:t xml:space="preserve">How We Addressed the Matter in Our Audit </w:t>
            </w:r>
          </w:p>
        </w:tc>
        <w:tc>
          <w:tcPr>
            <w:tcW w:w="8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Roboto;sans-serif" w:hAnsi="Roboto;sans-serif"/>
                <w:b w:val="false"/>
                <w:color w:val="000000"/>
                <w:sz w:val="20"/>
              </w:rPr>
            </w:pPr>
            <w:r>
              <w:rPr>
                <w:rFonts w:ascii="Roboto;sans-serif" w:hAnsi="Roboto;sans-serif"/>
                <w:b w:val="false"/>
                <w:color w:val="000000"/>
                <w:sz w:val="20"/>
              </w:rPr>
              <w:t xml:space="preserve">We obtained an understanding, evaluated the design, and tested the operating effectiveness of the Company’s internal controls addressing management’s identification and evaluation of performance obligations. </w:t>
            </w:r>
          </w:p>
          <w:p>
            <w:pPr>
              <w:pStyle w:val="TableContents"/>
              <w:bidi w:val="0"/>
              <w:spacing w:before="0" w:after="0"/>
              <w:jc w:val="both"/>
              <w:rPr/>
            </w:pPr>
            <w:r>
              <w:rPr/>
            </w:r>
          </w:p>
          <w:p>
            <w:pPr>
              <w:pStyle w:val="TableContents"/>
              <w:bidi w:val="0"/>
              <w:spacing w:lineRule="auto" w:line="288" w:before="0" w:after="0"/>
              <w:jc w:val="both"/>
              <w:rPr>
                <w:rFonts w:ascii="Roboto;sans-serif" w:hAnsi="Roboto;sans-serif"/>
                <w:b w:val="false"/>
                <w:color w:val="000000"/>
                <w:sz w:val="20"/>
              </w:rPr>
            </w:pPr>
            <w:r>
              <w:rPr>
                <w:rFonts w:ascii="Roboto;sans-serif" w:hAnsi="Roboto;sans-serif"/>
                <w:b w:val="false"/>
                <w:color w:val="000000"/>
                <w:sz w:val="20"/>
              </w:rPr>
              <w:t>Our audit procedures included, among others, reading executed contracts for a sample of arrangements and evaluating whether all performance obligations were appropriately identified and accounted for based on terms of the contracts.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360" w:after="283"/>
        <w:jc w:val="both"/>
        <w:rPr>
          <w:rFonts w:ascii="Roboto;sans-serif" w:hAnsi="Roboto;sans-serif"/>
          <w:b w:val="false"/>
          <w:color w:val="000000"/>
          <w:sz w:val="20"/>
        </w:rPr>
      </w:pPr>
      <w:r>
        <w:rPr>
          <w:rFonts w:ascii="Roboto;sans-serif" w:hAnsi="Roboto;sans-serif"/>
          <w:b w:val="false"/>
          <w:color w:val="000000"/>
          <w:sz w:val="20"/>
        </w:rPr>
        <w:t>/s/ Ernst &amp; Young LLP</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served as the Company’s auditor since 2011.</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San Mateo, California</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February 25,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12520"/>
                <wp:effectExtent l="0" t="0" r="0" b="0"/>
                <wp:wrapNone/>
                <wp:docPr id="240" name="Frame8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84" descr=""/>
                                                <pic:cNvPicPr>
                                                  <a:picLocks noChangeAspect="1" noChangeArrowheads="1"/>
                                                </pic:cNvPicPr>
                                              </pic:nvPicPr>
                                              <pic:blipFill>
                                                <a:blip r:embed="rId162"/>
                                                <a:stretch>
                                                  <a:fillRect/>
                                                </a:stretch>
                                              </pic:blipFill>
                                              <pic:spPr bwMode="auto">
                                                <a:xfrm>
                                                  <a:off x="0" y="0"/>
                                                  <a:ext cx="457200" cy="95250"/>
                                                </a:xfrm>
                                                <a:prstGeom prst="rect">
                                                  <a:avLst/>
                                                </a:prstGeom>
                                              </pic:spPr>
                                            </pic:pic>
                                          </a:graphicData>
                                        </a:graphic>
                                      </wp:inline>
                                    </w:drawing>
                                  </w:r>
                                  <w:bookmarkStart w:id="164" w:name="i-84"/>
                                  <w:bookmarkEnd w:id="16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84" descr=""/>
                                          <pic:cNvPicPr>
                                            <a:picLocks noChangeAspect="1" noChangeArrowheads="1"/>
                                          </pic:cNvPicPr>
                                        </pic:nvPicPr>
                                        <pic:blipFill>
                                          <a:blip r:embed="rId163"/>
                                          <a:stretch>
                                            <a:fillRect/>
                                          </a:stretch>
                                        </pic:blipFill>
                                        <pic:spPr bwMode="auto">
                                          <a:xfrm>
                                            <a:off x="0" y="0"/>
                                            <a:ext cx="457200" cy="95250"/>
                                          </a:xfrm>
                                          <a:prstGeom prst="rect">
                                            <a:avLst/>
                                          </a:prstGeom>
                                        </pic:spPr>
                                      </pic:pic>
                                    </a:graphicData>
                                  </a:graphic>
                                </wp:inline>
                              </w:drawing>
                            </w:r>
                            <w:bookmarkStart w:id="165" w:name="i-84"/>
                            <w:bookmarkEnd w:id="16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5715" w:type="dxa"/>
        <w:jc w:val="left"/>
        <w:tblInd w:w="0" w:type="dxa"/>
        <w:tblLayout w:type="fixed"/>
        <w:tblCellMar>
          <w:top w:w="28" w:type="dxa"/>
          <w:left w:w="28" w:type="dxa"/>
          <w:bottom w:w="28" w:type="dxa"/>
          <w:right w:w="28" w:type="dxa"/>
        </w:tblCellMar>
      </w:tblPr>
      <w:tblGrid>
        <w:gridCol w:w="1826"/>
        <w:gridCol w:w="1605"/>
        <w:gridCol w:w="2284"/>
      </w:tblGrid>
      <w:tr>
        <w:trPr/>
        <w:tc>
          <w:tcPr>
            <w:tcW w:w="182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CONSOLIDATED BALANCE SHEETS</w:t>
            </w:r>
          </w:p>
        </w:tc>
      </w:tr>
    </w:tbl>
    <w:tbl>
      <w:tblPr>
        <w:tblW w:w="10205" w:type="dxa"/>
        <w:jc w:val="left"/>
        <w:tblInd w:w="0" w:type="dxa"/>
        <w:tblLayout w:type="fixed"/>
        <w:tblCellMar>
          <w:top w:w="28" w:type="dxa"/>
          <w:left w:w="28" w:type="dxa"/>
          <w:bottom w:w="28" w:type="dxa"/>
          <w:right w:w="28" w:type="dxa"/>
        </w:tblCellMar>
      </w:tblPr>
      <w:tblGrid>
        <w:gridCol w:w="2818"/>
        <w:gridCol w:w="2273"/>
        <w:gridCol w:w="2291"/>
        <w:gridCol w:w="212"/>
        <w:gridCol w:w="832"/>
        <w:gridCol w:w="109"/>
        <w:gridCol w:w="109"/>
        <w:gridCol w:w="109"/>
        <w:gridCol w:w="109"/>
        <w:gridCol w:w="211"/>
        <w:gridCol w:w="976"/>
        <w:gridCol w:w="156"/>
      </w:tblGrid>
      <w:tr>
        <w:trPr/>
        <w:tc>
          <w:tcPr>
            <w:tcW w:w="2818"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December 31,</w:t>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5"/>
              </w:rPr>
            </w:pPr>
            <w:r>
              <w:rPr>
                <w:rFonts w:ascii="Roboto;sans-serif" w:hAnsi="Roboto;sans-serif"/>
                <w:b w:val="false"/>
                <w:i/>
                <w:color w:val="000000"/>
                <w:sz w:val="15"/>
              </w:rPr>
              <w:t>(In thousands, except par value)</w:t>
            </w:r>
          </w:p>
        </w:tc>
        <w:tc>
          <w:tcPr>
            <w:tcW w:w="1153"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6"/>
              </w:rPr>
            </w:pPr>
            <w:r>
              <w:rPr>
                <w:rFonts w:ascii="Roboto;sans-serif" w:hAnsi="Roboto;sans-serif"/>
                <w:b/>
                <w:color w:val="1383C6"/>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2024</w:t>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7"/>
              </w:rPr>
            </w:pPr>
            <w:r>
              <w:rPr>
                <w:rFonts w:ascii="Roboto;sans-serif" w:hAnsi="Roboto;sans-serif"/>
                <w:b/>
                <w:color w:val="000000"/>
                <w:sz w:val="17"/>
              </w:rPr>
              <w:t>Assets</w:t>
            </w:r>
          </w:p>
        </w:tc>
        <w:tc>
          <w:tcPr>
            <w:tcW w:w="1153"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Current assets </w:t>
            </w:r>
          </w:p>
        </w:tc>
        <w:tc>
          <w:tcPr>
            <w:tcW w:w="1153"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Cash and cash equivalents </w:t>
            </w:r>
          </w:p>
        </w:tc>
        <w:tc>
          <w:tcPr>
            <w:tcW w:w="212"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7"/>
              </w:rPr>
            </w:pPr>
            <w:r>
              <w:rPr>
                <w:rFonts w:ascii="Roboto;sans-serif" w:hAnsi="Roboto;sans-serif"/>
                <w:b w:val="false"/>
                <w:color w:val="1383C6"/>
                <w:sz w:val="17"/>
              </w:rPr>
              <w:t>$</w:t>
            </w:r>
          </w:p>
        </w:tc>
        <w:tc>
          <w:tcPr>
            <w:tcW w:w="832"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63,707 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55,370 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Investments </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215,799 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334,561 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Accounts receivable, net</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35,448 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27,524 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Inventory, net</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49,285 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58,755 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Prepaid expenses and other current assets </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10,793 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18,781 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Short-term restricted cash</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20 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690 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Total current assets </w:t>
            </w:r>
          </w:p>
        </w:tc>
        <w:tc>
          <w:tcPr>
            <w:tcW w:w="1044"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375,052 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495,681 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Property and equipment, net </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24,146 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30,505 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Operating lease right-of-use assets, net </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41,695 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16,091 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Long-term restricted cash</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1,532 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1,532 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Intangible assets, net</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15,124 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389,572 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Goodwill</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317,761 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317,761 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Other long-term assets </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8,773 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9,305 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Total assets </w:t>
            </w:r>
          </w:p>
        </w:tc>
        <w:tc>
          <w:tcPr>
            <w:tcW w:w="21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7"/>
              </w:rPr>
            </w:pPr>
            <w:r>
              <w:rPr>
                <w:rFonts w:ascii="Roboto;sans-serif" w:hAnsi="Roboto;sans-serif"/>
                <w:b w:val="false"/>
                <w:color w:val="1383C6"/>
                <w:sz w:val="17"/>
              </w:rPr>
              <w:t>$</w:t>
            </w:r>
          </w:p>
        </w:tc>
        <w:tc>
          <w:tcPr>
            <w:tcW w:w="83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784,083 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1,260,447 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7"/>
              </w:rPr>
            </w:pPr>
            <w:r>
              <w:rPr>
                <w:rFonts w:ascii="Roboto;sans-serif" w:hAnsi="Roboto;sans-serif"/>
                <w:b/>
                <w:color w:val="000000"/>
                <w:sz w:val="17"/>
              </w:rPr>
              <w:t xml:space="preserve">Liabilities and Stockholders’ Equity </w:t>
            </w:r>
          </w:p>
        </w:tc>
        <w:tc>
          <w:tcPr>
            <w:tcW w:w="1153"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Current liabilities</w:t>
            </w:r>
          </w:p>
        </w:tc>
        <w:tc>
          <w:tcPr>
            <w:tcW w:w="1153"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Accounts payable </w:t>
            </w:r>
          </w:p>
        </w:tc>
        <w:tc>
          <w:tcPr>
            <w:tcW w:w="212"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7"/>
              </w:rPr>
            </w:pPr>
            <w:r>
              <w:rPr>
                <w:rFonts w:ascii="Roboto;sans-serif" w:hAnsi="Roboto;sans-serif"/>
                <w:b w:val="false"/>
                <w:color w:val="1383C6"/>
                <w:sz w:val="17"/>
              </w:rPr>
              <w:t>$</w:t>
            </w:r>
          </w:p>
        </w:tc>
        <w:tc>
          <w:tcPr>
            <w:tcW w:w="832"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20,770 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16,590 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Accrued expenses </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33,646 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22,595 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Deferred revenue, current </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15,936 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13,864 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Operating lease liabilities, current</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448 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10,026 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Other liabilities, current </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2,031 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3,224 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Total current liabilities </w:t>
            </w:r>
          </w:p>
        </w:tc>
        <w:tc>
          <w:tcPr>
            <w:tcW w:w="1044"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72,831 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66,299 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Deferred revenue, non-current </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3,929 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5,900 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Contingent consideration liability, non-current</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18,700 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Operating lease liabilities, non-current </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56,592 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14,914 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Convertible senior notes, net, non-current</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645,382 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647,494 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Other liabilities, non-current </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546 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Total liabilities </w:t>
            </w:r>
          </w:p>
        </w:tc>
        <w:tc>
          <w:tcPr>
            <w:tcW w:w="1044"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778,734 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753,853 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Commitments and contingencies </w:t>
            </w:r>
          </w:p>
        </w:tc>
        <w:tc>
          <w:tcPr>
            <w:tcW w:w="1153"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Stockholders’ equity</w:t>
            </w:r>
          </w:p>
        </w:tc>
        <w:tc>
          <w:tcPr>
            <w:tcW w:w="1153"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7"/>
              </w:rPr>
            </w:pPr>
            <w:r>
              <w:rPr>
                <w:rFonts w:ascii="Roboto;sans-serif" w:hAnsi="Roboto;sans-serif"/>
                <w:b w:val="false"/>
                <w:color w:val="000000"/>
                <w:sz w:val="17"/>
              </w:rPr>
              <w:t>Preferred stock, $0.001 par value:</w:t>
            </w:r>
          </w:p>
        </w:tc>
        <w:tc>
          <w:tcPr>
            <w:tcW w:w="1153"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7"/>
              </w:rPr>
            </w:pPr>
            <w:r>
              <w:rPr>
                <w:rFonts w:ascii="Roboto;sans-serif" w:hAnsi="Roboto;sans-serif"/>
                <w:b w:val="false"/>
                <w:color w:val="000000"/>
                <w:sz w:val="17"/>
              </w:rPr>
              <w:t xml:space="preserve">Authorized 50,000 shares; No shares issued or outstanding </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7"/>
              </w:rPr>
            </w:pPr>
            <w:r>
              <w:rPr>
                <w:rFonts w:ascii="Roboto;sans-serif" w:hAnsi="Roboto;sans-serif"/>
                <w:b w:val="false"/>
                <w:color w:val="000000"/>
                <w:sz w:val="17"/>
              </w:rPr>
              <w:t>Common stock, $0.001 par value:</w:t>
            </w:r>
          </w:p>
        </w:tc>
        <w:tc>
          <w:tcPr>
            <w:tcW w:w="1153"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7"/>
              </w:rPr>
            </w:pPr>
            <w:r>
              <w:rPr>
                <w:rFonts w:ascii="Roboto;sans-serif" w:hAnsi="Roboto;sans-serif"/>
                <w:b w:val="false"/>
                <w:color w:val="000000"/>
                <w:sz w:val="17"/>
              </w:rPr>
              <w:t xml:space="preserve">Authorized 1,000,000 shares; issued and outstanding 301,956 and 294,418 shares at December 31, 2025 and December 31, 2024, respectively </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302 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294 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Additional paid-in capital </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2,699,892 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2,654,804 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Accumulated other comprehensive income</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457 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422 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Accumulated deficit </w:t>
            </w:r>
          </w:p>
        </w:tc>
        <w:tc>
          <w:tcPr>
            <w:tcW w:w="1044"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(2,695,302)</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(2,148,926)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Total stockholders’ equity </w:t>
            </w:r>
          </w:p>
        </w:tc>
        <w:tc>
          <w:tcPr>
            <w:tcW w:w="1044"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5,349 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506,594 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 xml:space="preserve">Total liabilities and stockholders’ equity </w:t>
            </w:r>
          </w:p>
        </w:tc>
        <w:tc>
          <w:tcPr>
            <w:tcW w:w="212"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7"/>
              </w:rPr>
            </w:pPr>
            <w:r>
              <w:rPr>
                <w:rFonts w:ascii="Roboto;sans-serif" w:hAnsi="Roboto;sans-serif"/>
                <w:b w:val="false"/>
                <w:color w:val="1383C6"/>
                <w:sz w:val="17"/>
              </w:rPr>
              <w:t>$</w:t>
            </w:r>
          </w:p>
        </w:tc>
        <w:tc>
          <w:tcPr>
            <w:tcW w:w="832"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7"/>
              </w:rPr>
            </w:pPr>
            <w:r>
              <w:rPr>
                <w:rFonts w:ascii="Roboto;sans-serif" w:hAnsi="Roboto;sans-serif"/>
                <w:b w:val="false"/>
                <w:color w:val="1383C6"/>
                <w:sz w:val="17"/>
              </w:rPr>
              <w:t>784,083 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7"/>
              </w:rPr>
            </w:pPr>
            <w:r>
              <w:rPr>
                <w:rFonts w:ascii="Roboto;sans-serif" w:hAnsi="Roboto;sans-serif"/>
                <w:b w:val="false"/>
                <w:color w:val="000000"/>
                <w:sz w:val="17"/>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7"/>
              </w:rPr>
            </w:pPr>
            <w:r>
              <w:rPr>
                <w:rFonts w:ascii="Roboto;sans-serif" w:hAnsi="Roboto;sans-serif"/>
                <w:b w:val="false"/>
                <w:color w:val="000000"/>
                <w:sz w:val="17"/>
              </w:rPr>
              <w:t>1,260,447 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Roboto;sans-serif" w:hAnsi="Roboto;sans-serif"/>
          <w:b w:val="false"/>
          <w:color w:val="000000"/>
          <w:sz w:val="20"/>
        </w:rPr>
        <w:t xml:space="preserve">See accompanying </w:t>
      </w:r>
      <w:hyperlink w:anchor="i9dad38eca65443b9a8bcd939ad72e7eb_91">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 xml:space="preserve">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12520"/>
                <wp:effectExtent l="0" t="0" r="0" b="0"/>
                <wp:wrapNone/>
                <wp:docPr id="243" name="Frame8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5" descr=""/>
                                                <pic:cNvPicPr>
                                                  <a:picLocks noChangeAspect="1" noChangeArrowheads="1"/>
                                                </pic:cNvPicPr>
                                              </pic:nvPicPr>
                                              <pic:blipFill>
                                                <a:blip r:embed="rId164"/>
                                                <a:stretch>
                                                  <a:fillRect/>
                                                </a:stretch>
                                              </pic:blipFill>
                                              <pic:spPr bwMode="auto">
                                                <a:xfrm>
                                                  <a:off x="0" y="0"/>
                                                  <a:ext cx="457200" cy="95250"/>
                                                </a:xfrm>
                                                <a:prstGeom prst="rect">
                                                  <a:avLst/>
                                                </a:prstGeom>
                                              </pic:spPr>
                                            </pic:pic>
                                          </a:graphicData>
                                        </a:graphic>
                                      </wp:inline>
                                    </w:drawing>
                                  </w:r>
                                  <w:bookmarkStart w:id="166" w:name="i-85"/>
                                  <w:bookmarkEnd w:id="16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85" descr=""/>
                                          <pic:cNvPicPr>
                                            <a:picLocks noChangeAspect="1" noChangeArrowheads="1"/>
                                          </pic:cNvPicPr>
                                        </pic:nvPicPr>
                                        <pic:blipFill>
                                          <a:blip r:embed="rId165"/>
                                          <a:stretch>
                                            <a:fillRect/>
                                          </a:stretch>
                                        </pic:blipFill>
                                        <pic:spPr bwMode="auto">
                                          <a:xfrm>
                                            <a:off x="0" y="0"/>
                                            <a:ext cx="457200" cy="95250"/>
                                          </a:xfrm>
                                          <a:prstGeom prst="rect">
                                            <a:avLst/>
                                          </a:prstGeom>
                                        </pic:spPr>
                                      </pic:pic>
                                    </a:graphicData>
                                  </a:graphic>
                                </wp:inline>
                              </w:drawing>
                            </w:r>
                            <w:bookmarkStart w:id="167" w:name="i-85"/>
                            <w:bookmarkEnd w:id="16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8640" w:type="dxa"/>
        <w:jc w:val="left"/>
        <w:tblInd w:w="0" w:type="dxa"/>
        <w:tblLayout w:type="fixed"/>
        <w:tblCellMar>
          <w:top w:w="28" w:type="dxa"/>
          <w:left w:w="28" w:type="dxa"/>
          <w:bottom w:w="28" w:type="dxa"/>
          <w:right w:w="28" w:type="dxa"/>
        </w:tblCellMar>
      </w:tblPr>
      <w:tblGrid>
        <w:gridCol w:w="2765"/>
        <w:gridCol w:w="2430"/>
        <w:gridCol w:w="3445"/>
      </w:tblGrid>
      <w:tr>
        <w:trPr/>
        <w:tc>
          <w:tcPr>
            <w:tcW w:w="2765"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3445" w:type="dxa"/>
            <w:tcBorders/>
            <w:vAlign w:val="center"/>
          </w:tcPr>
          <w:p>
            <w:pPr>
              <w:pStyle w:val="TableContents"/>
              <w:bidi w:val="0"/>
              <w:spacing w:before="0" w:after="283"/>
              <w:jc w:val="left"/>
              <w:rPr>
                <w:sz w:val="4"/>
                <w:szCs w:val="4"/>
              </w:rPr>
            </w:pPr>
            <w:r>
              <w:rPr>
                <w:sz w:val="4"/>
                <w:szCs w:val="4"/>
              </w:rPr>
            </w:r>
          </w:p>
        </w:tc>
      </w:tr>
      <w:tr>
        <w:trPr/>
        <w:tc>
          <w:tcPr>
            <w:tcW w:w="8640"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CONSOLIDATED STATEMENTS OF OPERATIONS AND COMPREHENSIVE LOSS</w:t>
            </w:r>
          </w:p>
        </w:tc>
      </w:tr>
    </w:tbl>
    <w:tbl>
      <w:tblPr>
        <w:tblW w:w="10152" w:type="dxa"/>
        <w:jc w:val="left"/>
        <w:tblInd w:w="0" w:type="dxa"/>
        <w:tblLayout w:type="fixed"/>
        <w:tblCellMar>
          <w:top w:w="28" w:type="dxa"/>
          <w:left w:w="28" w:type="dxa"/>
          <w:bottom w:w="28" w:type="dxa"/>
          <w:right w:w="28" w:type="dxa"/>
        </w:tblCellMar>
      </w:tblPr>
      <w:tblGrid>
        <w:gridCol w:w="1936"/>
        <w:gridCol w:w="1695"/>
        <w:gridCol w:w="1709"/>
        <w:gridCol w:w="226"/>
        <w:gridCol w:w="1036"/>
        <w:gridCol w:w="109"/>
        <w:gridCol w:w="109"/>
        <w:gridCol w:w="109"/>
        <w:gridCol w:w="109"/>
        <w:gridCol w:w="226"/>
        <w:gridCol w:w="1036"/>
        <w:gridCol w:w="109"/>
        <w:gridCol w:w="109"/>
        <w:gridCol w:w="109"/>
        <w:gridCol w:w="109"/>
        <w:gridCol w:w="226"/>
        <w:gridCol w:w="1036"/>
        <w:gridCol w:w="154"/>
      </w:tblGrid>
      <w:tr>
        <w:trPr/>
        <w:tc>
          <w:tcPr>
            <w:tcW w:w="1936"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Years Ended December 31,</w:t>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5"/>
              </w:rPr>
            </w:pPr>
            <w:r>
              <w:rPr>
                <w:rFonts w:ascii="Roboto;sans-serif" w:hAnsi="Roboto;sans-serif"/>
                <w:b w:val="false"/>
                <w:i/>
                <w:color w:val="000000"/>
                <w:sz w:val="15"/>
              </w:rPr>
              <w:t>(In thousands, except per share amounts)</w:t>
            </w:r>
          </w:p>
        </w:tc>
        <w:tc>
          <w:tcPr>
            <w:tcW w:w="137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6"/>
              </w:rPr>
            </w:pPr>
            <w:r>
              <w:rPr>
                <w:rFonts w:ascii="Roboto;sans-serif" w:hAnsi="Roboto;sans-serif"/>
                <w:b/>
                <w:color w:val="1383C6"/>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2023</w:t>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37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3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135,758 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183,872 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24,247 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16,649 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160,005 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154,014 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200,521 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7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89,763 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127,568 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15,390 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14,754 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4,894 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on purchase commitment</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4,178 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114,225 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116,732 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147,741 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45,780 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52,780 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37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97,307 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187,170 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141,493 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175,017 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169,818 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charges</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15,000 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Merger-related expenses</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364,541 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(18,700)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599,641 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511,595 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387,247 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(553,861)</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(474,313)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(334,467)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on extinguishment of debt</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Gain on debt restructuring</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(6,954)</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14,757 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32,684 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(546,058)</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(309,535)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(318,159)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provision (benefit)</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318 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126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(546,376)</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(309,851)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(306,735)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 (loss):</w:t>
            </w:r>
          </w:p>
        </w:tc>
        <w:tc>
          <w:tcPr>
            <w:tcW w:w="137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Unrealized gain on investments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35 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Comprehensive loss</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3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(546,341)</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(309,648)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(301,751)</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per share:</w:t>
            </w:r>
          </w:p>
        </w:tc>
        <w:tc>
          <w:tcPr>
            <w:tcW w:w="1371"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Basic </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3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(1.82)</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Diluted </w:t>
            </w:r>
          </w:p>
        </w:tc>
        <w:tc>
          <w:tcPr>
            <w:tcW w:w="226"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36"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(1.82)</w:t>
            </w:r>
          </w:p>
        </w:tc>
        <w:tc>
          <w:tcPr>
            <w:tcW w:w="109"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Weighted average shares outstanding used in calculating</w:t>
            </w:r>
          </w:p>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loss per share:</w:t>
            </w:r>
          </w:p>
        </w:tc>
        <w:tc>
          <w:tcPr>
            <w:tcW w:w="137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Basic </w:t>
            </w:r>
          </w:p>
        </w:tc>
        <w:tc>
          <w:tcPr>
            <w:tcW w:w="126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299,959 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253,629 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Diluted </w:t>
            </w:r>
          </w:p>
        </w:tc>
        <w:tc>
          <w:tcPr>
            <w:tcW w:w="1262" w:type="dxa"/>
            <w:gridSpan w:val="2"/>
            <w:tcBorders>
              <w:top w:val="doub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299,959 </w:t>
            </w:r>
          </w:p>
        </w:tc>
        <w:tc>
          <w:tcPr>
            <w:tcW w:w="109" w:type="dxa"/>
            <w:tcBorders>
              <w:top w:val="doub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288,366 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253,629 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Roboto;sans-serif" w:hAnsi="Roboto;sans-serif"/>
          <w:b w:val="false"/>
          <w:color w:val="000000"/>
          <w:sz w:val="20"/>
        </w:rPr>
        <w:t xml:space="preserve">See accompanying </w:t>
      </w:r>
      <w:hyperlink w:anchor="i9dad38eca65443b9a8bcd939ad72e7eb_91">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12520"/>
                <wp:effectExtent l="0" t="0" r="0" b="0"/>
                <wp:wrapNone/>
                <wp:docPr id="246" name="Frame8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6" descr=""/>
                                                <pic:cNvPicPr>
                                                  <a:picLocks noChangeAspect="1" noChangeArrowheads="1"/>
                                                </pic:cNvPicPr>
                                              </pic:nvPicPr>
                                              <pic:blipFill>
                                                <a:blip r:embed="rId166"/>
                                                <a:stretch>
                                                  <a:fillRect/>
                                                </a:stretch>
                                              </pic:blipFill>
                                              <pic:spPr bwMode="auto">
                                                <a:xfrm>
                                                  <a:off x="0" y="0"/>
                                                  <a:ext cx="457200" cy="95250"/>
                                                </a:xfrm>
                                                <a:prstGeom prst="rect">
                                                  <a:avLst/>
                                                </a:prstGeom>
                                              </pic:spPr>
                                            </pic:pic>
                                          </a:graphicData>
                                        </a:graphic>
                                      </wp:inline>
                                    </w:drawing>
                                  </w:r>
                                  <w:bookmarkStart w:id="168" w:name="i-86"/>
                                  <w:bookmarkEnd w:id="16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6" descr=""/>
                                          <pic:cNvPicPr>
                                            <a:picLocks noChangeAspect="1" noChangeArrowheads="1"/>
                                          </pic:cNvPicPr>
                                        </pic:nvPicPr>
                                        <pic:blipFill>
                                          <a:blip r:embed="rId167"/>
                                          <a:stretch>
                                            <a:fillRect/>
                                          </a:stretch>
                                        </pic:blipFill>
                                        <pic:spPr bwMode="auto">
                                          <a:xfrm>
                                            <a:off x="0" y="0"/>
                                            <a:ext cx="457200" cy="95250"/>
                                          </a:xfrm>
                                          <a:prstGeom prst="rect">
                                            <a:avLst/>
                                          </a:prstGeom>
                                        </pic:spPr>
                                      </pic:pic>
                                    </a:graphicData>
                                  </a:graphic>
                                </wp:inline>
                              </w:drawing>
                            </w:r>
                            <w:bookmarkStart w:id="169" w:name="i-86"/>
                            <w:bookmarkEnd w:id="16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6764" w:type="dxa"/>
        <w:jc w:val="left"/>
        <w:tblInd w:w="0" w:type="dxa"/>
        <w:tblLayout w:type="fixed"/>
        <w:tblCellMar>
          <w:top w:w="28" w:type="dxa"/>
          <w:left w:w="28" w:type="dxa"/>
          <w:bottom w:w="28" w:type="dxa"/>
          <w:right w:w="28" w:type="dxa"/>
        </w:tblCellMar>
      </w:tblPr>
      <w:tblGrid>
        <w:gridCol w:w="2165"/>
        <w:gridCol w:w="1902"/>
        <w:gridCol w:w="2697"/>
      </w:tblGrid>
      <w:tr>
        <w:trPr/>
        <w:tc>
          <w:tcPr>
            <w:tcW w:w="2165"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CONSOLIDATED STATEMENTS OF STOCKHOLDERS' EQUITY</w:t>
            </w:r>
          </w:p>
        </w:tc>
      </w:tr>
    </w:tbl>
    <w:tbl>
      <w:tblPr>
        <w:tblW w:w="10702" w:type="dxa"/>
        <w:jc w:val="left"/>
        <w:tblInd w:w="0" w:type="dxa"/>
        <w:tblLayout w:type="fixed"/>
        <w:tblCellMar>
          <w:top w:w="28" w:type="dxa"/>
          <w:left w:w="28" w:type="dxa"/>
          <w:bottom w:w="28" w:type="dxa"/>
          <w:right w:w="28" w:type="dxa"/>
        </w:tblCellMar>
      </w:tblPr>
      <w:tblGrid>
        <w:gridCol w:w="813"/>
        <w:gridCol w:w="334"/>
        <w:gridCol w:w="279"/>
        <w:gridCol w:w="293"/>
        <w:gridCol w:w="293"/>
        <w:gridCol w:w="300"/>
        <w:gridCol w:w="109"/>
        <w:gridCol w:w="109"/>
        <w:gridCol w:w="109"/>
        <w:gridCol w:w="226"/>
        <w:gridCol w:w="526"/>
        <w:gridCol w:w="109"/>
        <w:gridCol w:w="109"/>
        <w:gridCol w:w="109"/>
        <w:gridCol w:w="109"/>
        <w:gridCol w:w="226"/>
        <w:gridCol w:w="1126"/>
        <w:gridCol w:w="109"/>
        <w:gridCol w:w="109"/>
        <w:gridCol w:w="109"/>
        <w:gridCol w:w="109"/>
        <w:gridCol w:w="358"/>
        <w:gridCol w:w="1000"/>
        <w:gridCol w:w="173"/>
        <w:gridCol w:w="109"/>
        <w:gridCol w:w="109"/>
        <w:gridCol w:w="109"/>
        <w:gridCol w:w="226"/>
        <w:gridCol w:w="1141"/>
        <w:gridCol w:w="109"/>
        <w:gridCol w:w="109"/>
        <w:gridCol w:w="109"/>
        <w:gridCol w:w="109"/>
        <w:gridCol w:w="267"/>
        <w:gridCol w:w="976"/>
        <w:gridCol w:w="183"/>
      </w:tblGrid>
      <w:tr>
        <w:trPr/>
        <w:tc>
          <w:tcPr>
            <w:tcW w:w="81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color w:val="000000"/>
              </w:rPr>
            </w:pPr>
            <w:r>
              <w:rPr>
                <w:color w:val="000000"/>
              </w:rPr>
              <w:t> </w:t>
            </w:r>
          </w:p>
        </w:tc>
        <w:tc>
          <w:tcPr>
            <w:tcW w:w="207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Roboto;sans-serif" w:hAnsi="Roboto;sans-serif"/>
                <w:b/>
                <w:color w:val="000000"/>
                <w:sz w:val="16"/>
              </w:rPr>
            </w:pPr>
            <w:r>
              <w:rPr>
                <w:rFonts w:ascii="Roboto;sans-serif" w:hAnsi="Roboto;sans-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cMar>
              <w:top w:w="0" w:type="dxa"/>
              <w:left w:w="0" w:type="dxa"/>
              <w:bottom w:w="0" w:type="dxa"/>
              <w:right w:w="0" w:type="dxa"/>
            </w:tcMar>
            <w:vAlign w:val="center"/>
          </w:tcPr>
          <w:p>
            <w:pPr>
              <w:pStyle w:val="TableContents"/>
              <w:bidi w:val="0"/>
              <w:spacing w:lineRule="auto" w:line="259" w:before="0" w:after="283"/>
              <w:jc w:val="center"/>
              <w:rPr>
                <w:rFonts w:ascii="Roboto;sans-serif" w:hAnsi="Roboto;sans-serif"/>
                <w:b/>
                <w:color w:val="000000"/>
                <w:sz w:val="16"/>
              </w:rPr>
            </w:pPr>
            <w:r>
              <w:rPr>
                <w:rFonts w:ascii="Roboto;sans-serif" w:hAnsi="Roboto;sans-serif"/>
                <w:b/>
                <w:color w:val="000000"/>
                <w:sz w:val="16"/>
              </w:rPr>
              <w:t xml:space="preserve">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59" w:before="0" w:after="283"/>
              <w:jc w:val="center"/>
              <w:rPr>
                <w:rFonts w:ascii="Roboto;sans-serif" w:hAnsi="Roboto;sans-serif"/>
                <w:b/>
                <w:color w:val="000000"/>
                <w:sz w:val="16"/>
              </w:rPr>
            </w:pPr>
            <w:r>
              <w:rPr>
                <w:rFonts w:ascii="Roboto;sans-serif" w:hAnsi="Roboto;sans-serif"/>
                <w:b/>
                <w:color w:val="000000"/>
                <w:sz w:val="16"/>
              </w:rPr>
              <w:t>Accumulated</w:t>
              <w:br/>
              <w:t>Other</w:t>
              <w:br/>
              <w:t xml:space="preserve">Comprehensive </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vMerge w:val="restart"/>
            <w:tcBorders/>
            <w:tcMar>
              <w:top w:w="0" w:type="dxa"/>
              <w:left w:w="0" w:type="dxa"/>
              <w:bottom w:w="0" w:type="dxa"/>
              <w:right w:w="0" w:type="dxa"/>
            </w:tcMar>
            <w:vAlign w:val="center"/>
          </w:tcPr>
          <w:p>
            <w:pPr>
              <w:pStyle w:val="TableContents"/>
              <w:bidi w:val="0"/>
              <w:spacing w:lineRule="auto" w:line="259" w:before="0" w:after="283"/>
              <w:jc w:val="center"/>
              <w:rPr>
                <w:rFonts w:ascii="Roboto;sans-serif" w:hAnsi="Roboto;sans-serif"/>
                <w:b/>
                <w:color w:val="000000"/>
                <w:sz w:val="16"/>
              </w:rPr>
            </w:pPr>
            <w:r>
              <w:rPr>
                <w:rFonts w:ascii="Roboto;sans-serif" w:hAnsi="Roboto;sans-serif"/>
                <w:b/>
                <w:color w:val="000000"/>
                <w:sz w:val="16"/>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59" w:before="0" w:after="283"/>
              <w:jc w:val="center"/>
              <w:rPr>
                <w:rFonts w:ascii="Roboto;sans-serif" w:hAnsi="Roboto;sans-serif"/>
                <w:b/>
                <w:color w:val="000000"/>
                <w:sz w:val="16"/>
              </w:rPr>
            </w:pPr>
            <w:r>
              <w:rPr>
                <w:rFonts w:ascii="Roboto;sans-serif" w:hAnsi="Roboto;sans-serif"/>
                <w:b/>
                <w:color w:val="000000"/>
                <w:sz w:val="16"/>
              </w:rPr>
              <w:t>Total</w:t>
              <w:br/>
              <w:t>Stockholders'</w:t>
              <w:br/>
              <w:t>Equity</w:t>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i/>
                <w:color w:val="000000"/>
                <w:sz w:val="15"/>
              </w:rPr>
            </w:pPr>
            <w:r>
              <w:rPr>
                <w:rFonts w:ascii="Roboto;sans-serif" w:hAnsi="Roboto;sans-serif"/>
                <w:b w:val="false"/>
                <w:i/>
                <w:color w:val="000000"/>
                <w:sz w:val="15"/>
              </w:rPr>
              <w:t>(In thousands)</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Roboto;sans-serif" w:hAnsi="Roboto;sans-serif"/>
                <w:b/>
                <w:color w:val="000000"/>
                <w:sz w:val="16"/>
              </w:rPr>
            </w:pPr>
            <w:r>
              <w:rPr>
                <w:rFonts w:ascii="Roboto;sans-serif" w:hAnsi="Roboto;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Roboto;sans-serif" w:hAnsi="Roboto;sans-serif"/>
                <w:b/>
                <w:color w:val="000000"/>
                <w:sz w:val="16"/>
              </w:rPr>
            </w:pPr>
            <w:r>
              <w:rPr>
                <w:rFonts w:ascii="Roboto;sans-serif" w:hAnsi="Roboto;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color w:val="000000"/>
                <w:sz w:val="16"/>
              </w:rPr>
            </w:pPr>
            <w:r>
              <w:rPr>
                <w:rFonts w:ascii="Roboto;sans-serif" w:hAnsi="Roboto;sans-serif"/>
                <w:b/>
                <w:color w:val="000000"/>
                <w:sz w:val="16"/>
              </w:rPr>
              <w:t>Balance at December 31, 2022</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226,505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2,099,782 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00"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(4,765)</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41"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(1,532,340)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562,904 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Net loss</w:t>
            </w:r>
          </w:p>
        </w:tc>
        <w:tc>
          <w:tcPr>
            <w:tcW w:w="886" w:type="dxa"/>
            <w:gridSpan w:val="3"/>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(306,735)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(306,735)</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Other comprehensive income</w:t>
            </w:r>
          </w:p>
        </w:tc>
        <w:tc>
          <w:tcPr>
            <w:tcW w:w="886" w:type="dxa"/>
            <w:gridSpan w:val="3"/>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4,984 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4,984 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Issuance of common stock following milestone achievement</w:t>
            </w:r>
          </w:p>
        </w:tc>
        <w:tc>
          <w:tcPr>
            <w:tcW w:w="886"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8,988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84,752 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84,761 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Issuance of common stock in acquisition of Apton</w:t>
            </w:r>
          </w:p>
        </w:tc>
        <w:tc>
          <w:tcPr>
            <w:tcW w:w="886"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6,121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76,636 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76,642 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Issuance of common stock in connection with Apton liquidity event bonus plan</w:t>
            </w:r>
          </w:p>
        </w:tc>
        <w:tc>
          <w:tcPr>
            <w:tcW w:w="886"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169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2,111 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Issuance of common stock from Underwritten Public Equity Offering, net of issuance costs</w:t>
            </w:r>
          </w:p>
        </w:tc>
        <w:tc>
          <w:tcPr>
            <w:tcW w:w="886"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20,125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189,180 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189,200 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Issuance of common stock in conjunction with equity plans</w:t>
            </w:r>
          </w:p>
        </w:tc>
        <w:tc>
          <w:tcPr>
            <w:tcW w:w="886"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5,836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15,313 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15,319 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Share-based compensation expense</w:t>
            </w:r>
          </w:p>
        </w:tc>
        <w:tc>
          <w:tcPr>
            <w:tcW w:w="886" w:type="dxa"/>
            <w:gridSpan w:val="3"/>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72,118 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72,118 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color w:val="000000"/>
                <w:sz w:val="16"/>
              </w:rPr>
            </w:pPr>
            <w:r>
              <w:rPr>
                <w:rFonts w:ascii="Roboto;sans-serif" w:hAnsi="Roboto;sans-serif"/>
                <w:b/>
                <w:color w:val="000000"/>
                <w:sz w:val="16"/>
              </w:rPr>
              <w:t>Balance at December 31, 2023</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267,744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2,539,892 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00"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219 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41"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(1,839,075)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701,304 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Net loss</w:t>
            </w:r>
          </w:p>
        </w:tc>
        <w:tc>
          <w:tcPr>
            <w:tcW w:w="886" w:type="dxa"/>
            <w:gridSpan w:val="3"/>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(309,851)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(309,851)</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Other comprehensive income</w:t>
            </w:r>
          </w:p>
        </w:tc>
        <w:tc>
          <w:tcPr>
            <w:tcW w:w="886" w:type="dxa"/>
            <w:gridSpan w:val="3"/>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203 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203 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Issuance of common stock in conjunction with equity plans</w:t>
            </w:r>
          </w:p>
        </w:tc>
        <w:tc>
          <w:tcPr>
            <w:tcW w:w="886"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6,222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7,697 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7,703 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Issuance of common stock in conjunction with convertible notes exchange</w:t>
            </w:r>
          </w:p>
        </w:tc>
        <w:tc>
          <w:tcPr>
            <w:tcW w:w="886"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20,452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36,179 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36,199 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Share-based compensation expense</w:t>
            </w:r>
          </w:p>
        </w:tc>
        <w:tc>
          <w:tcPr>
            <w:tcW w:w="886" w:type="dxa"/>
            <w:gridSpan w:val="3"/>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71,036 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71,036 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color w:val="000000"/>
                <w:sz w:val="16"/>
              </w:rPr>
            </w:pPr>
            <w:r>
              <w:rPr>
                <w:rFonts w:ascii="Roboto;sans-serif" w:hAnsi="Roboto;sans-serif"/>
                <w:b/>
                <w:color w:val="000000"/>
                <w:sz w:val="16"/>
              </w:rPr>
              <w:t>Balance at December 31, 2024</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294,418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2,654,804 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00"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422 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41"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(2,148,926)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000000"/>
                <w:sz w:val="16"/>
              </w:rPr>
            </w:pPr>
            <w:r>
              <w:rPr>
                <w:rFonts w:ascii="Roboto;sans-serif" w:hAnsi="Roboto;sans-serif"/>
                <w:b w:val="false"/>
                <w:color w:val="000000"/>
                <w:sz w:val="16"/>
              </w:rPr>
              <w:t>506,594 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E7F2F9" w:val="clear"/>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1383C6"/>
                <w:sz w:val="16"/>
              </w:rPr>
            </w:pPr>
            <w:r>
              <w:rPr>
                <w:rFonts w:ascii="Roboto;sans-serif" w:hAnsi="Roboto;sans-serif"/>
                <w:b w:val="false"/>
                <w:color w:val="1383C6"/>
                <w:sz w:val="16"/>
              </w:rPr>
              <w:t>Net loss</w:t>
            </w:r>
          </w:p>
        </w:tc>
        <w:tc>
          <w:tcPr>
            <w:tcW w:w="886" w:type="dxa"/>
            <w:gridSpan w:val="3"/>
            <w:tcBorders/>
            <w:shd w:fill="E7F2F9" w:val="clear"/>
            <w:tcMar>
              <w:top w:w="0" w:type="dxa"/>
              <w:left w:w="0" w:type="dxa"/>
              <w:bottom w:w="0" w:type="dxa"/>
              <w:right w:w="0" w:type="dxa"/>
            </w:tcMar>
            <w:vAlign w:val="center"/>
          </w:tcPr>
          <w:p>
            <w:pPr>
              <w:pStyle w:val="TableContents"/>
              <w:bidi w:val="0"/>
              <w:spacing w:lineRule="auto" w:line="259"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color w:val="1383C6"/>
              </w:rPr>
            </w:pPr>
            <w:r>
              <w:rPr>
                <w:color w:val="1383C6"/>
              </w:rPr>
              <w:t>— </w:t>
            </w:r>
          </w:p>
        </w:tc>
        <w:tc>
          <w:tcPr>
            <w:tcW w:w="17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(546,376)</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(546,376)</w:t>
            </w:r>
          </w:p>
        </w:tc>
        <w:tc>
          <w:tcPr>
            <w:tcW w:w="18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E7F2F9" w:val="clear"/>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1383C6"/>
                <w:sz w:val="16"/>
              </w:rPr>
            </w:pPr>
            <w:r>
              <w:rPr>
                <w:rFonts w:ascii="Roboto;sans-serif" w:hAnsi="Roboto;sans-serif"/>
                <w:b w:val="false"/>
                <w:color w:val="1383C6"/>
                <w:sz w:val="16"/>
              </w:rPr>
              <w:t>Other comprehensive income</w:t>
            </w:r>
          </w:p>
        </w:tc>
        <w:tc>
          <w:tcPr>
            <w:tcW w:w="886" w:type="dxa"/>
            <w:gridSpan w:val="3"/>
            <w:tcBorders/>
            <w:shd w:fill="E7F2F9" w:val="clear"/>
            <w:tcMar>
              <w:top w:w="0" w:type="dxa"/>
              <w:left w:w="0" w:type="dxa"/>
              <w:bottom w:w="0" w:type="dxa"/>
              <w:right w:w="0" w:type="dxa"/>
            </w:tcMar>
            <w:vAlign w:val="center"/>
          </w:tcPr>
          <w:p>
            <w:pPr>
              <w:pStyle w:val="TableContents"/>
              <w:bidi w:val="0"/>
              <w:spacing w:lineRule="auto" w:line="259"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35 </w:t>
            </w:r>
          </w:p>
        </w:tc>
        <w:tc>
          <w:tcPr>
            <w:tcW w:w="17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35 </w:t>
            </w:r>
          </w:p>
        </w:tc>
        <w:tc>
          <w:tcPr>
            <w:tcW w:w="18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E7F2F9" w:val="clear"/>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1383C6"/>
                <w:sz w:val="16"/>
              </w:rPr>
            </w:pPr>
            <w:r>
              <w:rPr>
                <w:rFonts w:ascii="Roboto;sans-serif" w:hAnsi="Roboto;sans-serif"/>
                <w:b w:val="false"/>
                <w:color w:val="1383C6"/>
                <w:sz w:val="16"/>
              </w:rPr>
              <w:t>Issuance of common stock in conjunction with equity plans</w:t>
            </w:r>
          </w:p>
        </w:tc>
        <w:tc>
          <w:tcPr>
            <w:tcW w:w="886" w:type="dxa"/>
            <w:gridSpan w:val="3"/>
            <w:tcBorders/>
            <w:shd w:fill="E7F2F9" w:val="clear"/>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7,538</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3,420 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color w:val="1383C6"/>
              </w:rPr>
            </w:pPr>
            <w:r>
              <w:rPr>
                <w:color w:val="1383C6"/>
              </w:rPr>
              <w:t>— </w:t>
            </w:r>
          </w:p>
        </w:tc>
        <w:tc>
          <w:tcPr>
            <w:tcW w:w="17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3,428 </w:t>
            </w:r>
          </w:p>
        </w:tc>
        <w:tc>
          <w:tcPr>
            <w:tcW w:w="18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E7F2F9" w:val="clear"/>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1383C6"/>
                <w:sz w:val="16"/>
              </w:rPr>
            </w:pPr>
            <w:r>
              <w:rPr>
                <w:rFonts w:ascii="Roboto;sans-serif" w:hAnsi="Roboto;sans-serif"/>
                <w:b w:val="false"/>
                <w:color w:val="1383C6"/>
                <w:sz w:val="16"/>
              </w:rPr>
              <w:t>Share-based compensation expense</w:t>
            </w:r>
          </w:p>
        </w:tc>
        <w:tc>
          <w:tcPr>
            <w:tcW w:w="886" w:type="dxa"/>
            <w:gridSpan w:val="3"/>
            <w:tcBorders/>
            <w:shd w:fill="E7F2F9" w:val="clear"/>
            <w:tcMar>
              <w:top w:w="0" w:type="dxa"/>
              <w:left w:w="0" w:type="dxa"/>
              <w:bottom w:w="0" w:type="dxa"/>
              <w:right w:w="0" w:type="dxa"/>
            </w:tcMar>
            <w:vAlign w:val="center"/>
          </w:tcPr>
          <w:p>
            <w:pPr>
              <w:pStyle w:val="TableContents"/>
              <w:bidi w:val="0"/>
              <w:spacing w:lineRule="auto" w:line="259"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41,668 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color w:val="1383C6"/>
              </w:rPr>
            </w:pPr>
            <w:r>
              <w:rPr>
                <w:color w:val="1383C6"/>
              </w:rPr>
              <w:t>— </w:t>
            </w:r>
          </w:p>
        </w:tc>
        <w:tc>
          <w:tcPr>
            <w:tcW w:w="17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7F2F9" w:val="clear"/>
            <w:tcMar>
              <w:top w:w="0" w:type="dxa"/>
              <w:left w:w="0" w:type="dxa"/>
              <w:bottom w:w="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41,668 </w:t>
            </w:r>
          </w:p>
        </w:tc>
        <w:tc>
          <w:tcPr>
            <w:tcW w:w="18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E7F2F9" w:val="clear"/>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color w:val="1383C6"/>
                <w:sz w:val="16"/>
              </w:rPr>
            </w:pPr>
            <w:r>
              <w:rPr>
                <w:rFonts w:ascii="Roboto;sans-serif" w:hAnsi="Roboto;sans-serif"/>
                <w:b/>
                <w:color w:val="1383C6"/>
                <w:sz w:val="16"/>
              </w:rPr>
              <w:t>Balance at December 31, 2025</w:t>
            </w:r>
          </w:p>
        </w:tc>
        <w:tc>
          <w:tcPr>
            <w:tcW w:w="886" w:type="dxa"/>
            <w:gridSpan w:val="3"/>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301,956</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59"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5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302 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59"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1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2,699,892 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59"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00"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457 </w:t>
            </w:r>
          </w:p>
        </w:tc>
        <w:tc>
          <w:tcPr>
            <w:tcW w:w="17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59"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14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(2,695,302)</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59"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7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59" w:before="0" w:after="283"/>
              <w:jc w:val="right"/>
              <w:rPr>
                <w:rFonts w:ascii="Roboto;sans-serif" w:hAnsi="Roboto;sans-serif"/>
                <w:b w:val="false"/>
                <w:color w:val="1383C6"/>
                <w:sz w:val="18"/>
              </w:rPr>
            </w:pPr>
            <w:r>
              <w:rPr>
                <w:rFonts w:ascii="Roboto;sans-serif" w:hAnsi="Roboto;sans-serif"/>
                <w:b w:val="false"/>
                <w:color w:val="1383C6"/>
                <w:sz w:val="18"/>
              </w:rPr>
              <w:t>5,349 </w:t>
            </w:r>
          </w:p>
        </w:tc>
        <w:tc>
          <w:tcPr>
            <w:tcW w:w="18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Roboto;sans-serif" w:hAnsi="Roboto;sans-serif"/>
          <w:b w:val="false"/>
          <w:color w:val="000000"/>
          <w:sz w:val="20"/>
        </w:rPr>
        <w:t xml:space="preserve">See accompanying </w:t>
      </w:r>
      <w:hyperlink w:anchor="i9dad38eca65443b9a8bcd939ad72e7eb_91">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12520"/>
                <wp:effectExtent l="0" t="0" r="0" b="0"/>
                <wp:wrapNone/>
                <wp:docPr id="249" name="Frame8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87" descr=""/>
                                                <pic:cNvPicPr>
                                                  <a:picLocks noChangeAspect="1" noChangeArrowheads="1"/>
                                                </pic:cNvPicPr>
                                              </pic:nvPicPr>
                                              <pic:blipFill>
                                                <a:blip r:embed="rId168"/>
                                                <a:stretch>
                                                  <a:fillRect/>
                                                </a:stretch>
                                              </pic:blipFill>
                                              <pic:spPr bwMode="auto">
                                                <a:xfrm>
                                                  <a:off x="0" y="0"/>
                                                  <a:ext cx="457200" cy="95250"/>
                                                </a:xfrm>
                                                <a:prstGeom prst="rect">
                                                  <a:avLst/>
                                                </a:prstGeom>
                                              </pic:spPr>
                                            </pic:pic>
                                          </a:graphicData>
                                        </a:graphic>
                                      </wp:inline>
                                    </w:drawing>
                                  </w:r>
                                  <w:bookmarkStart w:id="170" w:name="i-87"/>
                                  <w:bookmarkEnd w:id="17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87" descr=""/>
                                          <pic:cNvPicPr>
                                            <a:picLocks noChangeAspect="1" noChangeArrowheads="1"/>
                                          </pic:cNvPicPr>
                                        </pic:nvPicPr>
                                        <pic:blipFill>
                                          <a:blip r:embed="rId169"/>
                                          <a:stretch>
                                            <a:fillRect/>
                                          </a:stretch>
                                        </pic:blipFill>
                                        <pic:spPr bwMode="auto">
                                          <a:xfrm>
                                            <a:off x="0" y="0"/>
                                            <a:ext cx="457200" cy="95250"/>
                                          </a:xfrm>
                                          <a:prstGeom prst="rect">
                                            <a:avLst/>
                                          </a:prstGeom>
                                        </pic:spPr>
                                      </pic:pic>
                                    </a:graphicData>
                                  </a:graphic>
                                </wp:inline>
                              </w:drawing>
                            </w:r>
                            <w:bookmarkStart w:id="171" w:name="i-87"/>
                            <w:bookmarkEnd w:id="17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026"/>
        <w:gridCol w:w="1586"/>
        <w:gridCol w:w="1584"/>
        <w:gridCol w:w="239"/>
        <w:gridCol w:w="1067"/>
        <w:gridCol w:w="115"/>
        <w:gridCol w:w="115"/>
        <w:gridCol w:w="115"/>
        <w:gridCol w:w="115"/>
        <w:gridCol w:w="239"/>
        <w:gridCol w:w="1067"/>
        <w:gridCol w:w="115"/>
        <w:gridCol w:w="115"/>
        <w:gridCol w:w="115"/>
        <w:gridCol w:w="115"/>
        <w:gridCol w:w="239"/>
        <w:gridCol w:w="1067"/>
        <w:gridCol w:w="171"/>
      </w:tblGrid>
      <w:tr>
        <w:trPr/>
        <w:tc>
          <w:tcPr>
            <w:tcW w:w="202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CONSOLIDATED STATEMENTS OF CASH FLOWS</w:t>
            </w:r>
          </w:p>
        </w:tc>
      </w:tr>
      <w:tr>
        <w:trPr/>
        <w:tc>
          <w:tcPr>
            <w:tcW w:w="5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Years Ended December 31,</w:t>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42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6"/>
              </w:rPr>
            </w:pPr>
            <w:r>
              <w:rPr>
                <w:rFonts w:ascii="Roboto;sans-serif" w:hAnsi="Roboto;sans-serif"/>
                <w:b/>
                <w:color w:val="1383C6"/>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2023</w:t>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Cash flows from operating activities</w:t>
            </w:r>
          </w:p>
        </w:tc>
        <w:tc>
          <w:tcPr>
            <w:tcW w:w="142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39"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67"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(546,376)</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7"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(309,851)</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7"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(306,735)</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Adjustments to reconcile net loss to net cash used in operating activities</w:t>
            </w:r>
          </w:p>
        </w:tc>
        <w:tc>
          <w:tcPr>
            <w:tcW w:w="142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Depreciation </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12,987 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13,774 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11,463 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intangible assets</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369,448 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27,412 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8,261 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right-of-use assets</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3,977 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12,165 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6,810 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Share-based compensation expense</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41,668 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71,036 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72,118 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charges</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15,000 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184,500 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Merger-related compensation expense</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3,395 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on extinguishment of debt</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Gain on debt restructuring</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(154,407)</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Accretion of discount and amortization of premium on marketable securities, net</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(4,365)</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(13,044)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(12,840)</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the estimated fair value of contingent consideration</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(18,700)</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15,060 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Inventory provision</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9,568 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4,618 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10,584 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income taxes</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(546)</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(11,424)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1,688 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Changes in assets and liabilities </w:t>
            </w:r>
          </w:p>
        </w:tc>
        <w:tc>
          <w:tcPr>
            <w:tcW w:w="142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 net</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(7,924)</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9,091 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(17,829)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Inventory, net</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(1,419)</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(8,320)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(13,841)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Prepaid expenses and other assets </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8,514 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2,228 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(8,984)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Accounts payable </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2,482 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Accrued expenses </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3,158 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(26,342)</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13,103 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Deferred revenue </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101 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(2,108)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(10,420)</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723 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(11,920)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(8,759)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Contingent consideration liability</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(14,882)</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Other liabilities </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(1,193)</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(4,612)</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2,449 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Net cash used in operating activities </w:t>
            </w:r>
          </w:p>
        </w:tc>
        <w:tc>
          <w:tcPr>
            <w:tcW w:w="1306"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(111,209)</w:t>
            </w:r>
          </w:p>
        </w:tc>
        <w:tc>
          <w:tcPr>
            <w:tcW w:w="11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(206,058)</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(259,173)</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Cash flows from investing activities</w:t>
            </w:r>
          </w:p>
        </w:tc>
        <w:tc>
          <w:tcPr>
            <w:tcW w:w="142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Purchase of property and equipment </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(2,714)</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(6,188)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(8,843)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Purchase of intangible assets</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(5,000)</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purchases of acquired entities, net of cash acquired</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Purchase of investments </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(216,911)</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(498,635)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(756,567)</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Sales of investments </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34,856 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Maturities of investments </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340,073 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593,971 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769,521 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Net cash provided by investing activities </w:t>
            </w:r>
          </w:p>
        </w:tc>
        <w:tc>
          <w:tcPr>
            <w:tcW w:w="1306"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115,448 </w:t>
            </w:r>
          </w:p>
        </w:tc>
        <w:tc>
          <w:tcPr>
            <w:tcW w:w="11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124,004 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4,604 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Cash flows from financing activities</w:t>
            </w:r>
          </w:p>
        </w:tc>
        <w:tc>
          <w:tcPr>
            <w:tcW w:w="142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issuance of common stock under equity offerings, net of issuance costs</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189,200 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issuance of common stock from equity plans</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3,428 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7,703 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15,319 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Payment of debt issuance costs</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(7,375)</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Payment of contingent consideration</w:t>
            </w:r>
          </w:p>
        </w:tc>
        <w:tc>
          <w:tcPr>
            <w:tcW w:w="13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(86,411)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112520"/>
                <wp:effectExtent l="0" t="0" r="0" b="0"/>
                <wp:wrapNone/>
                <wp:docPr id="252" name="Frame8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88" descr=""/>
                                                <pic:cNvPicPr>
                                                  <a:picLocks noChangeAspect="1" noChangeArrowheads="1"/>
                                                </pic:cNvPicPr>
                                              </pic:nvPicPr>
                                              <pic:blipFill>
                                                <a:blip r:embed="rId170"/>
                                                <a:stretch>
                                                  <a:fillRect/>
                                                </a:stretch>
                                              </pic:blipFill>
                                              <pic:spPr bwMode="auto">
                                                <a:xfrm>
                                                  <a:off x="0" y="0"/>
                                                  <a:ext cx="457200" cy="95250"/>
                                                </a:xfrm>
                                                <a:prstGeom prst="rect">
                                                  <a:avLst/>
                                                </a:prstGeom>
                                              </pic:spPr>
                                            </pic:pic>
                                          </a:graphicData>
                                        </a:graphic>
                                      </wp:inline>
                                    </w:drawing>
                                  </w:r>
                                  <w:bookmarkStart w:id="172" w:name="i-88"/>
                                  <w:bookmarkEnd w:id="17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88" descr=""/>
                                          <pic:cNvPicPr>
                                            <a:picLocks noChangeAspect="1" noChangeArrowheads="1"/>
                                          </pic:cNvPicPr>
                                        </pic:nvPicPr>
                                        <pic:blipFill>
                                          <a:blip r:embed="rId171"/>
                                          <a:stretch>
                                            <a:fillRect/>
                                          </a:stretch>
                                        </pic:blipFill>
                                        <pic:spPr bwMode="auto">
                                          <a:xfrm>
                                            <a:off x="0" y="0"/>
                                            <a:ext cx="457200" cy="95250"/>
                                          </a:xfrm>
                                          <a:prstGeom prst="rect">
                                            <a:avLst/>
                                          </a:prstGeom>
                                        </pic:spPr>
                                      </pic:pic>
                                    </a:graphicData>
                                  </a:graphic>
                                </wp:inline>
                              </w:drawing>
                            </w:r>
                            <w:bookmarkStart w:id="173" w:name="i-88"/>
                            <w:bookmarkEnd w:id="17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997"/>
        <w:gridCol w:w="1632"/>
        <w:gridCol w:w="1641"/>
        <w:gridCol w:w="259"/>
        <w:gridCol w:w="947"/>
        <w:gridCol w:w="124"/>
        <w:gridCol w:w="124"/>
        <w:gridCol w:w="124"/>
        <w:gridCol w:w="124"/>
        <w:gridCol w:w="259"/>
        <w:gridCol w:w="947"/>
        <w:gridCol w:w="124"/>
        <w:gridCol w:w="124"/>
        <w:gridCol w:w="124"/>
        <w:gridCol w:w="124"/>
        <w:gridCol w:w="259"/>
        <w:gridCol w:w="1085"/>
        <w:gridCol w:w="187"/>
      </w:tblGrid>
      <w:tr>
        <w:trPr/>
        <w:tc>
          <w:tcPr>
            <w:tcW w:w="1997"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CONSOLIDATED STATEMENTS OF CASH FLOWS</w:t>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Payments made in conjunction with convertible notes exchange</w:t>
            </w:r>
          </w:p>
        </w:tc>
        <w:tc>
          <w:tcPr>
            <w:tcW w:w="12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2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(50,200)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Notes payable principal payoff </w:t>
            </w:r>
          </w:p>
        </w:tc>
        <w:tc>
          <w:tcPr>
            <w:tcW w:w="12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2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(1,842)</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Net cash provided by (used in) financing activities </w:t>
            </w:r>
          </w:p>
        </w:tc>
        <w:tc>
          <w:tcPr>
            <w:tcW w:w="1206"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3,428 </w:t>
            </w:r>
          </w:p>
        </w:tc>
        <w:tc>
          <w:tcPr>
            <w:tcW w:w="12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(42,987)</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108,891 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increase (decrease) in cash, cash equivalents, and restricted cash</w:t>
            </w:r>
          </w:p>
        </w:tc>
        <w:tc>
          <w:tcPr>
            <w:tcW w:w="1206"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7,667 </w:t>
            </w:r>
          </w:p>
        </w:tc>
        <w:tc>
          <w:tcPr>
            <w:tcW w:w="12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(125,041)</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(145,678)</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Cash, cash equivalents, and restricted cash at beginning of period </w:t>
            </w:r>
          </w:p>
        </w:tc>
        <w:tc>
          <w:tcPr>
            <w:tcW w:w="12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57,592 </w:t>
            </w:r>
          </w:p>
        </w:tc>
        <w:tc>
          <w:tcPr>
            <w:tcW w:w="12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182,633 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328,311 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Cash, cash equivalents, and restricted cash at end of period </w:t>
            </w:r>
          </w:p>
        </w:tc>
        <w:tc>
          <w:tcPr>
            <w:tcW w:w="25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65,259 </w:t>
            </w:r>
          </w:p>
        </w:tc>
        <w:tc>
          <w:tcPr>
            <w:tcW w:w="12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57,592 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182,633 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Cash and cash equivalents at end of period </w:t>
            </w:r>
          </w:p>
        </w:tc>
        <w:tc>
          <w:tcPr>
            <w:tcW w:w="1206" w:type="dxa"/>
            <w:gridSpan w:val="2"/>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63,707 </w:t>
            </w:r>
          </w:p>
        </w:tc>
        <w:tc>
          <w:tcPr>
            <w:tcW w:w="124"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55,370 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179,911 </w:t>
            </w:r>
          </w:p>
        </w:tc>
        <w:tc>
          <w:tcPr>
            <w:tcW w:w="18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Restricted cash at end of period </w:t>
            </w:r>
          </w:p>
        </w:tc>
        <w:tc>
          <w:tcPr>
            <w:tcW w:w="1206"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1,552 </w:t>
            </w:r>
          </w:p>
        </w:tc>
        <w:tc>
          <w:tcPr>
            <w:tcW w:w="12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2,222 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Cash, cash equivalents, and restricted cash at end of period </w:t>
            </w:r>
          </w:p>
        </w:tc>
        <w:tc>
          <w:tcPr>
            <w:tcW w:w="25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65,259 </w:t>
            </w:r>
          </w:p>
        </w:tc>
        <w:tc>
          <w:tcPr>
            <w:tcW w:w="12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57,592 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182,633 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0"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Supplemental disclosure of cash flow information</w:t>
            </w:r>
          </w:p>
        </w:tc>
        <w:tc>
          <w:tcPr>
            <w:tcW w:w="1330"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Interest paid</w:t>
            </w:r>
          </w:p>
        </w:tc>
        <w:tc>
          <w:tcPr>
            <w:tcW w:w="259"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7"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8,264 </w:t>
            </w:r>
          </w:p>
        </w:tc>
        <w:tc>
          <w:tcPr>
            <w:tcW w:w="12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14,805 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15,687 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Supplemental disclosure of non-cash investing and financing activities</w:t>
            </w:r>
          </w:p>
        </w:tc>
        <w:tc>
          <w:tcPr>
            <w:tcW w:w="1330"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Inventory transferred to property and equipment </w:t>
            </w:r>
          </w:p>
        </w:tc>
        <w:tc>
          <w:tcPr>
            <w:tcW w:w="259"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7"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2,941 </w:t>
            </w:r>
          </w:p>
        </w:tc>
        <w:tc>
          <w:tcPr>
            <w:tcW w:w="12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4,194 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3,984 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Property and equipment transferred to inventory</w:t>
            </w:r>
          </w:p>
        </w:tc>
        <w:tc>
          <w:tcPr>
            <w:tcW w:w="259"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7"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(1,620)</w:t>
            </w:r>
          </w:p>
        </w:tc>
        <w:tc>
          <w:tcPr>
            <w:tcW w:w="124"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(2,572)</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(7,022)</w:t>
            </w:r>
          </w:p>
        </w:tc>
        <w:tc>
          <w:tcPr>
            <w:tcW w:w="18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Right-of-use asset and liability additions and modifications</w:t>
            </w:r>
          </w:p>
        </w:tc>
        <w:tc>
          <w:tcPr>
            <w:tcW w:w="259"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7"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29,575 </w:t>
            </w:r>
          </w:p>
        </w:tc>
        <w:tc>
          <w:tcPr>
            <w:tcW w:w="124"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18,253 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in conjunction with convertible notes exchange</w:t>
            </w:r>
          </w:p>
        </w:tc>
        <w:tc>
          <w:tcPr>
            <w:tcW w:w="259"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7"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24"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36,199 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in acquisition of Apton and Omniome</w:t>
            </w:r>
          </w:p>
        </w:tc>
        <w:tc>
          <w:tcPr>
            <w:tcW w:w="259"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7"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24"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76,642 </w:t>
            </w:r>
          </w:p>
        </w:tc>
        <w:tc>
          <w:tcPr>
            <w:tcW w:w="18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in connection with Apton liquidity event bonus plan</w:t>
            </w:r>
          </w:p>
        </w:tc>
        <w:tc>
          <w:tcPr>
            <w:tcW w:w="259"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7"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24"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2,111 </w:t>
            </w:r>
          </w:p>
        </w:tc>
        <w:tc>
          <w:tcPr>
            <w:tcW w:w="18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Convertible notes exchange</w:t>
            </w:r>
          </w:p>
        </w:tc>
        <w:tc>
          <w:tcPr>
            <w:tcW w:w="259"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7"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24"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441,000 </w:t>
            </w:r>
          </w:p>
        </w:tc>
        <w:tc>
          <w:tcPr>
            <w:tcW w:w="18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following milestone achievement</w:t>
            </w:r>
          </w:p>
        </w:tc>
        <w:tc>
          <w:tcPr>
            <w:tcW w:w="259" w:type="dxa"/>
            <w:tcBorders>
              <w:top w:val="doub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7" w:type="dxa"/>
            <w:tcBorders>
              <w:top w:val="doub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color w:val="1383C6"/>
              </w:rPr>
            </w:pPr>
            <w:r>
              <w:rPr>
                <w:color w:val="1383C6"/>
              </w:rPr>
              <w:t>— </w:t>
            </w:r>
          </w:p>
        </w:tc>
        <w:tc>
          <w:tcPr>
            <w:tcW w:w="124" w:type="dxa"/>
            <w:tcBorders>
              <w:top w:val="doub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8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84,761 </w:t>
            </w:r>
          </w:p>
        </w:tc>
        <w:tc>
          <w:tcPr>
            <w:tcW w:w="18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color w:val="000000"/>
        </w:rPr>
      </w:pPr>
      <w:r>
        <w:rPr>
          <w:color w:val="000000"/>
        </w:rPr>
        <w:t>    </w:t>
      </w:r>
    </w:p>
    <w:p>
      <w:pPr>
        <w:pStyle w:val="TextBody"/>
        <w:bidi w:val="0"/>
        <w:spacing w:lineRule="auto" w:line="288" w:before="60" w:after="283"/>
        <w:jc w:val="center"/>
        <w:rPr/>
      </w:pPr>
      <w:r>
        <w:rPr>
          <w:rFonts w:ascii="Roboto;sans-serif" w:hAnsi="Roboto;sans-serif"/>
          <w:b w:val="false"/>
          <w:color w:val="000000"/>
          <w:sz w:val="20"/>
        </w:rPr>
        <w:t xml:space="preserve">See accompanying </w:t>
      </w:r>
      <w:hyperlink w:anchor="i9dad38eca65443b9a8bcd939ad72e7eb_91">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12520"/>
                <wp:effectExtent l="0" t="0" r="0" b="0"/>
                <wp:wrapNone/>
                <wp:docPr id="255" name="Frame8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89" descr=""/>
                                                <pic:cNvPicPr>
                                                  <a:picLocks noChangeAspect="1" noChangeArrowheads="1"/>
                                                </pic:cNvPicPr>
                                              </pic:nvPicPr>
                                              <pic:blipFill>
                                                <a:blip r:embed="rId172"/>
                                                <a:stretch>
                                                  <a:fillRect/>
                                                </a:stretch>
                                              </pic:blipFill>
                                              <pic:spPr bwMode="auto">
                                                <a:xfrm>
                                                  <a:off x="0" y="0"/>
                                                  <a:ext cx="457200" cy="95250"/>
                                                </a:xfrm>
                                                <a:prstGeom prst="rect">
                                                  <a:avLst/>
                                                </a:prstGeom>
                                              </pic:spPr>
                                            </pic:pic>
                                          </a:graphicData>
                                        </a:graphic>
                                      </wp:inline>
                                    </w:drawing>
                                  </w:r>
                                  <w:bookmarkStart w:id="174" w:name="i-89"/>
                                  <w:bookmarkEnd w:id="17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89" descr=""/>
                                          <pic:cNvPicPr>
                                            <a:picLocks noChangeAspect="1" noChangeArrowheads="1"/>
                                          </pic:cNvPicPr>
                                        </pic:nvPicPr>
                                        <pic:blipFill>
                                          <a:blip r:embed="rId173"/>
                                          <a:stretch>
                                            <a:fillRect/>
                                          </a:stretch>
                                        </pic:blipFill>
                                        <pic:spPr bwMode="auto">
                                          <a:xfrm>
                                            <a:off x="0" y="0"/>
                                            <a:ext cx="457200" cy="95250"/>
                                          </a:xfrm>
                                          <a:prstGeom prst="rect">
                                            <a:avLst/>
                                          </a:prstGeom>
                                        </pic:spPr>
                                      </pic:pic>
                                    </a:graphicData>
                                  </a:graphic>
                                </wp:inline>
                              </w:drawing>
                            </w:r>
                            <w:bookmarkStart w:id="175" w:name="i-89"/>
                            <w:bookmarkEnd w:id="17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5969" w:type="dxa"/>
        <w:jc w:val="left"/>
        <w:tblInd w:w="0" w:type="dxa"/>
        <w:tblLayout w:type="fixed"/>
        <w:tblCellMar>
          <w:top w:w="28" w:type="dxa"/>
          <w:left w:w="28" w:type="dxa"/>
          <w:bottom w:w="28" w:type="dxa"/>
          <w:right w:w="28" w:type="dxa"/>
        </w:tblCellMar>
      </w:tblPr>
      <w:tblGrid>
        <w:gridCol w:w="1907"/>
        <w:gridCol w:w="1677"/>
        <w:gridCol w:w="2385"/>
      </w:tblGrid>
      <w:tr>
        <w:trPr/>
        <w:tc>
          <w:tcPr>
            <w:tcW w:w="190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NOTES TO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10" w:type="dxa"/>
        <w:jc w:val="left"/>
        <w:tblInd w:w="0" w:type="dxa"/>
        <w:tblLayout w:type="fixed"/>
        <w:tblCellMar>
          <w:top w:w="28" w:type="dxa"/>
          <w:left w:w="28" w:type="dxa"/>
          <w:bottom w:w="28" w:type="dxa"/>
          <w:right w:w="28" w:type="dxa"/>
        </w:tblCellMar>
      </w:tblPr>
      <w:tblGrid>
        <w:gridCol w:w="2757"/>
        <w:gridCol w:w="2419"/>
        <w:gridCol w:w="3434"/>
      </w:tblGrid>
      <w:tr>
        <w:trPr/>
        <w:tc>
          <w:tcPr>
            <w:tcW w:w="2757"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434" w:type="dxa"/>
            <w:tcBorders/>
            <w:vAlign w:val="center"/>
          </w:tcPr>
          <w:p>
            <w:pPr>
              <w:pStyle w:val="TableContents"/>
              <w:bidi w:val="0"/>
              <w:spacing w:before="0" w:after="283"/>
              <w:jc w:val="left"/>
              <w:rPr>
                <w:sz w:val="4"/>
                <w:szCs w:val="4"/>
              </w:rPr>
            </w:pPr>
            <w:r>
              <w:rPr>
                <w:sz w:val="4"/>
                <w:szCs w:val="4"/>
              </w:rPr>
            </w:r>
          </w:p>
        </w:tc>
      </w:tr>
      <w:tr>
        <w:trPr/>
        <w:tc>
          <w:tcPr>
            <w:tcW w:w="8610"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1. ORGANIZATION AND SIGNIFICANT ACCOUNTING POLICIES</w:t>
            </w:r>
          </w:p>
        </w:tc>
      </w:tr>
    </w:tbl>
    <w:tbl>
      <w:tblPr>
        <w:tblW w:w="2549" w:type="dxa"/>
        <w:jc w:val="left"/>
        <w:tblInd w:w="0" w:type="dxa"/>
        <w:tblLayout w:type="fixed"/>
        <w:tblCellMar>
          <w:top w:w="28" w:type="dxa"/>
          <w:left w:w="28" w:type="dxa"/>
          <w:bottom w:w="28" w:type="dxa"/>
          <w:right w:w="28" w:type="dxa"/>
        </w:tblCellMar>
      </w:tblPr>
      <w:tblGrid>
        <w:gridCol w:w="815"/>
        <w:gridCol w:w="717"/>
        <w:gridCol w:w="1017"/>
      </w:tblGrid>
      <w:tr>
        <w:trPr/>
        <w:tc>
          <w:tcPr>
            <w:tcW w:w="8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Business Overview</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are a life science technology company that designs, develops, and manufactures advanced sequencing solutions that enable scientists and clinical researchers to improve their understanding of the genome and ultimately, resolve genetically complex problems. </w:t>
      </w:r>
    </w:p>
    <w:p>
      <w:pPr>
        <w:pStyle w:val="TextBody"/>
        <w:bidi w:val="0"/>
        <w:spacing w:lineRule="auto" w:line="288" w:before="120" w:after="283"/>
        <w:jc w:val="left"/>
        <w:rPr>
          <w:rFonts w:ascii="Roboto;sans-serif" w:hAnsi="Roboto;sans-serif"/>
          <w:b w:val="false"/>
          <w:color w:val="000000"/>
          <w:sz w:val="20"/>
        </w:rPr>
      </w:pPr>
      <w:r>
        <w:rPr>
          <w:rFonts w:ascii="Roboto;sans-serif" w:hAnsi="Roboto;sans-serif"/>
          <w:b w:val="false"/>
          <w:color w:val="000000"/>
          <w:sz w:val="20"/>
        </w:rPr>
        <w:t>Our products and technology, which include our HiFi long-read sequencing technology, address a broad set of applications including human germline sequencing, plant and animal sciences, infectious disease and microbiology, oncology, and other emerging applications.</w:t>
      </w:r>
    </w:p>
    <w:p>
      <w:pPr>
        <w:pStyle w:val="TextBody"/>
        <w:bidi w:val="0"/>
        <w:spacing w:lineRule="auto" w:line="288" w:before="120" w:after="283"/>
        <w:jc w:val="left"/>
        <w:rPr>
          <w:rFonts w:ascii="Roboto;sans-serif" w:hAnsi="Roboto;sans-serif"/>
          <w:b w:val="false"/>
          <w:color w:val="000000"/>
          <w:sz w:val="20"/>
        </w:rPr>
      </w:pPr>
      <w:r>
        <w:rPr>
          <w:rFonts w:ascii="Roboto;sans-serif" w:hAnsi="Roboto;sans-serif"/>
          <w:b w:val="false"/>
          <w:color w:val="000000"/>
          <w:sz w:val="20"/>
        </w:rPr>
        <w:t>Our focus is on creating some of the world's most advanced sequencing systems to provide our customers with the most complete and accurate view of genomes, transcriptomes, and epigenomes.</w:t>
      </w:r>
    </w:p>
    <w:p>
      <w:pPr>
        <w:pStyle w:val="TextBody"/>
        <w:bidi w:val="0"/>
        <w:spacing w:lineRule="auto" w:line="288" w:before="120" w:after="283"/>
        <w:jc w:val="left"/>
        <w:rPr>
          <w:rFonts w:ascii="Roboto;sans-serif" w:hAnsi="Roboto;sans-serif"/>
          <w:b w:val="false"/>
          <w:color w:val="000000"/>
          <w:sz w:val="20"/>
        </w:rPr>
      </w:pPr>
      <w:r>
        <w:rPr>
          <w:rFonts w:ascii="Roboto;sans-serif" w:hAnsi="Roboto;sans-serif"/>
          <w:b w:val="false"/>
          <w:color w:val="000000"/>
          <w:sz w:val="20"/>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References in this report to “PacBio,” “we,” “us,” the “Company,” and “our” refer to Pacific Biosciences of California, Inc. and its consolidated subsidiaries.</w:t>
      </w:r>
    </w:p>
    <w:tbl>
      <w:tblPr>
        <w:tblW w:w="5204" w:type="dxa"/>
        <w:jc w:val="left"/>
        <w:tblInd w:w="0" w:type="dxa"/>
        <w:tblLayout w:type="fixed"/>
        <w:tblCellMar>
          <w:top w:w="28" w:type="dxa"/>
          <w:left w:w="28" w:type="dxa"/>
          <w:bottom w:w="28" w:type="dxa"/>
          <w:right w:w="28" w:type="dxa"/>
        </w:tblCellMar>
      </w:tblPr>
      <w:tblGrid>
        <w:gridCol w:w="1665"/>
        <w:gridCol w:w="1464"/>
        <w:gridCol w:w="2075"/>
      </w:tblGrid>
      <w:tr>
        <w:trPr/>
        <w:tc>
          <w:tcPr>
            <w:tcW w:w="1665"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Basis of Presentation and Consolidation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consolidated financial statements have been prepared in conformity with accounting principles generally accepted in the United States, or U.S. GAAP, as set forth in the Financial Accounting Standards Board, or FASB, Accounting Standards Codification, or ASC. The consolidated financial statements include the accounts of Pacific Biosciences and our wholly owned subsidiaries. All intercompany transactions and balances have been eliminated.</w:t>
      </w:r>
    </w:p>
    <w:tbl>
      <w:tblPr>
        <w:tblW w:w="2279" w:type="dxa"/>
        <w:jc w:val="left"/>
        <w:tblInd w:w="0" w:type="dxa"/>
        <w:tblLayout w:type="fixed"/>
        <w:tblCellMar>
          <w:top w:w="28" w:type="dxa"/>
          <w:left w:w="28" w:type="dxa"/>
          <w:bottom w:w="28" w:type="dxa"/>
          <w:right w:w="28" w:type="dxa"/>
        </w:tblCellMar>
      </w:tblPr>
      <w:tblGrid>
        <w:gridCol w:w="730"/>
        <w:gridCol w:w="641"/>
        <w:gridCol w:w="908"/>
      </w:tblGrid>
      <w:tr>
        <w:trPr/>
        <w:tc>
          <w:tcPr>
            <w:tcW w:w="7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Use of Estimates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preparation of financial statements in conformity with U.S. GAAP requires us to make estimates and assumptions that affect the amounts reported in the financial statements and accompanying notes to the financial statements. On an ongoing basis, we evaluate our significant estimates, including those relating to the valuation of inventory, fair value of contingent consideration, valuation of acquired intangible assets, useful lives assigned to finite-lived assets, asset impairment assessments, computation of provisions for income taxes, and valuations related to our convertible senior notes. While the extent of the potential impact of current macroeconomic conditions on our business is highly uncertain, we considered information available related to assumptions and estimates used to determine the results reported and asset valuations as of December 31, 2025. Actual results could differ materially from these estimates.</w:t>
      </w:r>
    </w:p>
    <w:tbl>
      <w:tblPr>
        <w:tblW w:w="2714" w:type="dxa"/>
        <w:jc w:val="left"/>
        <w:tblInd w:w="0" w:type="dxa"/>
        <w:tblLayout w:type="fixed"/>
        <w:tblCellMar>
          <w:top w:w="28" w:type="dxa"/>
          <w:left w:w="28" w:type="dxa"/>
          <w:bottom w:w="28" w:type="dxa"/>
          <w:right w:w="28" w:type="dxa"/>
        </w:tblCellMar>
      </w:tblPr>
      <w:tblGrid>
        <w:gridCol w:w="868"/>
        <w:gridCol w:w="763"/>
        <w:gridCol w:w="1083"/>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Functional Currency</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U.S. dollar is the functional currency of our international operations. We remeasure foreign subsidiaries monetary assets and liabilities to the U.S. dollar and record net gains or losses from remeasurement in other income, net, on our consolidated statements of operations and comprehensive loss.</w:t>
      </w:r>
    </w:p>
    <w:tbl>
      <w:tblPr>
        <w:tblW w:w="7590" w:type="dxa"/>
        <w:jc w:val="left"/>
        <w:tblInd w:w="0" w:type="dxa"/>
        <w:tblLayout w:type="fixed"/>
        <w:tblCellMar>
          <w:top w:w="28" w:type="dxa"/>
          <w:left w:w="28" w:type="dxa"/>
          <w:bottom w:w="28" w:type="dxa"/>
          <w:right w:w="28" w:type="dxa"/>
        </w:tblCellMar>
      </w:tblPr>
      <w:tblGrid>
        <w:gridCol w:w="2429"/>
        <w:gridCol w:w="2135"/>
        <w:gridCol w:w="3026"/>
      </w:tblGrid>
      <w:tr>
        <w:trPr/>
        <w:tc>
          <w:tcPr>
            <w:tcW w:w="242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Cash, Cash Equivalents, Restricted Cash, and Investments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112520"/>
                <wp:effectExtent l="0" t="0" r="0" b="0"/>
                <wp:wrapNone/>
                <wp:docPr id="258" name="Frame8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90" descr=""/>
                                                <pic:cNvPicPr>
                                                  <a:picLocks noChangeAspect="1" noChangeArrowheads="1"/>
                                                </pic:cNvPicPr>
                                              </pic:nvPicPr>
                                              <pic:blipFill>
                                                <a:blip r:embed="rId174"/>
                                                <a:stretch>
                                                  <a:fillRect/>
                                                </a:stretch>
                                              </pic:blipFill>
                                              <pic:spPr bwMode="auto">
                                                <a:xfrm>
                                                  <a:off x="0" y="0"/>
                                                  <a:ext cx="457200" cy="95250"/>
                                                </a:xfrm>
                                                <a:prstGeom prst="rect">
                                                  <a:avLst/>
                                                </a:prstGeom>
                                              </pic:spPr>
                                            </pic:pic>
                                          </a:graphicData>
                                        </a:graphic>
                                      </wp:inline>
                                    </w:drawing>
                                  </w:r>
                                  <w:bookmarkStart w:id="176" w:name="i-90"/>
                                  <w:bookmarkEnd w:id="17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90" descr=""/>
                                          <pic:cNvPicPr>
                                            <a:picLocks noChangeAspect="1" noChangeArrowheads="1"/>
                                          </pic:cNvPicPr>
                                        </pic:nvPicPr>
                                        <pic:blipFill>
                                          <a:blip r:embed="rId175"/>
                                          <a:stretch>
                                            <a:fillRect/>
                                          </a:stretch>
                                        </pic:blipFill>
                                        <pic:spPr bwMode="auto">
                                          <a:xfrm>
                                            <a:off x="0" y="0"/>
                                            <a:ext cx="457200" cy="95250"/>
                                          </a:xfrm>
                                          <a:prstGeom prst="rect">
                                            <a:avLst/>
                                          </a:prstGeom>
                                        </pic:spPr>
                                      </pic:pic>
                                    </a:graphicData>
                                  </a:graphic>
                                </wp:inline>
                              </w:drawing>
                            </w:r>
                            <w:bookmarkStart w:id="177" w:name="i-90"/>
                            <w:bookmarkEnd w:id="17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our investments in debt securities as available-for-sale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income (loss) in stockholders’ equity. Realized gains and losses, expected credit losses, as well as interest income, on available-for-sale securities are reported in other income,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net. We have the ability to hold, and do not intend to sell investments in unrealized loss positions before the recovery of their amortized cost bases.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Restricted cash includes cash that is not readily available for use in the Company’s operating activities. Restricted cash is primarily comprised of cash pledged under letters of credit.</w:t>
      </w:r>
    </w:p>
    <w:tbl>
      <w:tblPr>
        <w:tblW w:w="4049" w:type="dxa"/>
        <w:jc w:val="left"/>
        <w:tblInd w:w="0" w:type="dxa"/>
        <w:tblLayout w:type="fixed"/>
        <w:tblCellMar>
          <w:top w:w="28" w:type="dxa"/>
          <w:left w:w="28" w:type="dxa"/>
          <w:bottom w:w="28" w:type="dxa"/>
          <w:right w:w="28" w:type="dxa"/>
        </w:tblCellMar>
      </w:tblPr>
      <w:tblGrid>
        <w:gridCol w:w="1297"/>
        <w:gridCol w:w="1139"/>
        <w:gridCol w:w="1613"/>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Concentration and Other Risks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Financial instruments that potentially subject us to credit risk consist principally of interest-bearing investments and trade receivables. We maintain cash, cash equivalents, and investments with various major financial institutions. The counterparties to the agreements relating to our investment securities consist of various major corporations, financial institutions, municipalities, and government agencies of high credit standing. At December 31, 2025, most of our cash was deposited with U.S. financial institutions. Our investment policy generally restricts the amount of credit exposure to any one issuer. There is no limit to the percentage of the portfolio that may be maintained in securities issued by the U.S. Treasury and U.S. Government Agencies, or other securities fully backed by U.S. Treasury or Government agencies. We have not experienced significant credit losses from financial institutions.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trade receivables are derived from revenue to customers and distributors located in the United States and other countries. We perform credit evaluations of our customers’ financial condition and, generally, require no collateral from our customers. The allowance for credit losses is based on our assessment of the collectability of customer accounts. We regularly review our trade receivables including consideration of factors such as historical experience, the age of the accounts receivable balances, customer creditworthiness, customer industry, and current and forecasted economic conditions that may affect a customer’s ability to pay. We have not experienced any significant credit losses to date.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Although we have historically not experienced significant credit losses, our exposure to credit losses may increase if our customers are adversely affected by changes in economic pressures or uncertainty associated with local or global economic recessions, or other customer-specific factors.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For the years ended December 31, 2025, 2024, and 2023, no customer accounted for 10% or more of our total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and 2024, 40% and 36% of our accounts receivable were from domestic customers, respectively. As of December 31, 2025 and 2024, no customer represented 10% or more of our net accounts receivable.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currently purchase several key parts and components used in the manufacture of our products from a limited number of suppliers. Generally, we have been able to obtain an adequate supply of such parts and components but in certain instances have incurred additional costs to secure a supply of constrained material. An extended interruption in the supply of parts and components currently obtained from our suppliers could adversely affect our business and consolidated financial statements.</w:t>
      </w:r>
    </w:p>
    <w:tbl>
      <w:tblPr>
        <w:tblW w:w="2010" w:type="dxa"/>
        <w:jc w:val="left"/>
        <w:tblInd w:w="0" w:type="dxa"/>
        <w:tblLayout w:type="fixed"/>
        <w:tblCellMar>
          <w:top w:w="28" w:type="dxa"/>
          <w:left w:w="28" w:type="dxa"/>
          <w:bottom w:w="28" w:type="dxa"/>
          <w:right w:w="28" w:type="dxa"/>
        </w:tblCellMar>
      </w:tblPr>
      <w:tblGrid>
        <w:gridCol w:w="644"/>
        <w:gridCol w:w="565"/>
        <w:gridCol w:w="801"/>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Inventory, Net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Inventories are stated at the lower of cost or net realizable value on a first-in, first-out (“FIFO”) method. Adjustments to reduce the cost of inventory to its net realizable value, if required, are made for estimated excess or obsolete balances. Cost includes depreciation, labor, material, and overhead costs, including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112520"/>
                <wp:effectExtent l="0" t="0" r="0" b="0"/>
                <wp:wrapNone/>
                <wp:docPr id="261" name="Frame8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91" descr=""/>
                                                <pic:cNvPicPr>
                                                  <a:picLocks noChangeAspect="1" noChangeArrowheads="1"/>
                                                </pic:cNvPicPr>
                                              </pic:nvPicPr>
                                              <pic:blipFill>
                                                <a:blip r:embed="rId176"/>
                                                <a:stretch>
                                                  <a:fillRect/>
                                                </a:stretch>
                                              </pic:blipFill>
                                              <pic:spPr bwMode="auto">
                                                <a:xfrm>
                                                  <a:off x="0" y="0"/>
                                                  <a:ext cx="457200" cy="95250"/>
                                                </a:xfrm>
                                                <a:prstGeom prst="rect">
                                                  <a:avLst/>
                                                </a:prstGeom>
                                              </pic:spPr>
                                            </pic:pic>
                                          </a:graphicData>
                                        </a:graphic>
                                      </wp:inline>
                                    </w:drawing>
                                  </w:r>
                                  <w:bookmarkStart w:id="178" w:name="i-91"/>
                                  <w:bookmarkEnd w:id="17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91" descr=""/>
                                          <pic:cNvPicPr>
                                            <a:picLocks noChangeAspect="1" noChangeArrowheads="1"/>
                                          </pic:cNvPicPr>
                                        </pic:nvPicPr>
                                        <pic:blipFill>
                                          <a:blip r:embed="rId177"/>
                                          <a:stretch>
                                            <a:fillRect/>
                                          </a:stretch>
                                        </pic:blipFill>
                                        <pic:spPr bwMode="auto">
                                          <a:xfrm>
                                            <a:off x="0" y="0"/>
                                            <a:ext cx="457200" cy="95250"/>
                                          </a:xfrm>
                                          <a:prstGeom prst="rect">
                                            <a:avLst/>
                                          </a:prstGeom>
                                        </pic:spPr>
                                      </pic:pic>
                                    </a:graphicData>
                                  </a:graphic>
                                </wp:inline>
                              </w:drawing>
                            </w:r>
                            <w:bookmarkStart w:id="179" w:name="i-91"/>
                            <w:bookmarkEnd w:id="17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and process technology costs. Determining net realizable value of inventories involves judgment, including projecting future average selling prices, sales volumes, and costs to complete products in work in process inventories.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make inventory purchases and commitments to meet future shipment schedules based on forecasted demand for our products. The business environment in which we operate is subject to rapid changes in technology and customer demand. We perform a detailed assessment of inventory each period, which includes a review of, among other factors, demand requirements, product life cycle and development plans, component cost trends, product pricing, product expiration, and quality issues. Based on our analysis, we record adjustments to inventory for potentially excess, obsolete, or impaired goods, when appropriate, to report inventory at net realizable value. Inventory adjustments may be required if actual demand, component costs, supplier arrangements, or product life cycles differ from our estimates. Any such adjustments would result in a charge to our results of operations.</w:t>
      </w:r>
    </w:p>
    <w:tbl>
      <w:tblPr>
        <w:tblW w:w="3884" w:type="dxa"/>
        <w:jc w:val="left"/>
        <w:tblInd w:w="0" w:type="dxa"/>
        <w:tblLayout w:type="fixed"/>
        <w:tblCellMar>
          <w:top w:w="28" w:type="dxa"/>
          <w:left w:w="28" w:type="dxa"/>
          <w:bottom w:w="28" w:type="dxa"/>
          <w:right w:w="28" w:type="dxa"/>
        </w:tblCellMar>
      </w:tblPr>
      <w:tblGrid>
        <w:gridCol w:w="1244"/>
        <w:gridCol w:w="1092"/>
        <w:gridCol w:w="1548"/>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Property and Equipment, Net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Property and equipment are stated at cost, reviewed regularly for impairment, and depreciated over the estimated useful lives of the assets, using the straight-line method. Leasehold improvements are depreciated over the shorter of the lease term or the estimated useful life of the related asset. Major improvements are capitalized, while maintenance and repairs are expensed as incurred. Transfers of assets between property and equipment, net, and inventory are transferred at standard cost and recognized at carrying value.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Estimated useful lives of the major classes of property and equipment are as follows:</w:t>
      </w:r>
    </w:p>
    <w:tbl>
      <w:tblPr>
        <w:tblW w:w="4860" w:type="dxa"/>
        <w:jc w:val="left"/>
        <w:tblInd w:w="0" w:type="dxa"/>
        <w:tblLayout w:type="fixed"/>
        <w:tblCellMar>
          <w:top w:w="28" w:type="dxa"/>
          <w:left w:w="28" w:type="dxa"/>
          <w:bottom w:w="28" w:type="dxa"/>
          <w:right w:w="28" w:type="dxa"/>
        </w:tblCellMar>
      </w:tblPr>
      <w:tblGrid>
        <w:gridCol w:w="865"/>
        <w:gridCol w:w="759"/>
        <w:gridCol w:w="761"/>
        <w:gridCol w:w="724"/>
        <w:gridCol w:w="724"/>
        <w:gridCol w:w="1027"/>
      </w:tblGrid>
      <w:tr>
        <w:trPr/>
        <w:tc>
          <w:tcPr>
            <w:tcW w:w="86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Estimated Useful Lives</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Leasehold improvements</w:t>
            </w:r>
          </w:p>
        </w:tc>
        <w:tc>
          <w:tcPr>
            <w:tcW w:w="2475"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1383C6"/>
                <w:sz w:val="18"/>
              </w:rPr>
            </w:pPr>
            <w:r>
              <w:rPr>
                <w:rFonts w:ascii="Roboto;sans-serif" w:hAnsi="Roboto;sans-serif"/>
                <w:b w:val="false"/>
                <w:color w:val="1383C6"/>
                <w:sz w:val="18"/>
              </w:rPr>
              <w:t>8 years</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Lab equipment</w:t>
            </w:r>
          </w:p>
        </w:tc>
        <w:tc>
          <w:tcPr>
            <w:tcW w:w="2475" w:type="dxa"/>
            <w:gridSpan w:val="3"/>
            <w:tcBorders/>
            <w:shd w:fill="E7F2F9" w:val="clear"/>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1383C6"/>
                <w:sz w:val="18"/>
              </w:rPr>
            </w:pPr>
            <w:r>
              <w:rPr>
                <w:rFonts w:ascii="Roboto;sans-serif" w:hAnsi="Roboto;sans-serif"/>
                <w:b w:val="false"/>
                <w:color w:val="1383C6"/>
                <w:sz w:val="18"/>
              </w:rPr>
              <w:t>3 to 5 years</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Computer equipment</w:t>
            </w:r>
          </w:p>
        </w:tc>
        <w:tc>
          <w:tcPr>
            <w:tcW w:w="2475" w:type="dxa"/>
            <w:gridSpan w:val="3"/>
            <w:tcBorders/>
            <w:shd w:fill="E7F2F9" w:val="clear"/>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1383C6"/>
                <w:sz w:val="18"/>
              </w:rPr>
            </w:pPr>
            <w:r>
              <w:rPr>
                <w:rFonts w:ascii="Roboto;sans-serif" w:hAnsi="Roboto;sans-serif"/>
                <w:b w:val="false"/>
                <w:color w:val="1383C6"/>
                <w:sz w:val="18"/>
              </w:rPr>
              <w:t>3 to 5 years</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Computer software</w:t>
            </w:r>
          </w:p>
        </w:tc>
        <w:tc>
          <w:tcPr>
            <w:tcW w:w="2475"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1383C6"/>
                <w:sz w:val="18"/>
              </w:rPr>
            </w:pPr>
            <w:r>
              <w:rPr>
                <w:rFonts w:ascii="Roboto;sans-serif" w:hAnsi="Roboto;sans-serif"/>
                <w:b w:val="false"/>
                <w:color w:val="1383C6"/>
                <w:sz w:val="18"/>
              </w:rPr>
              <w:t>3 years</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Furniture and fixtures</w:t>
            </w:r>
          </w:p>
        </w:tc>
        <w:tc>
          <w:tcPr>
            <w:tcW w:w="2475" w:type="dxa"/>
            <w:gridSpan w:val="3"/>
            <w:tcBorders/>
            <w:shd w:fill="E7F2F9" w:val="clear"/>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1383C6"/>
                <w:sz w:val="18"/>
              </w:rPr>
            </w:pPr>
            <w:r>
              <w:rPr>
                <w:rFonts w:ascii="Roboto;sans-serif" w:hAnsi="Roboto;sans-serif"/>
                <w:b w:val="false"/>
                <w:color w:val="1383C6"/>
                <w:sz w:val="18"/>
              </w:rPr>
              <w:t>3 to 5 years</w:t>
            </w:r>
          </w:p>
        </w:tc>
      </w:tr>
    </w:tbl>
    <w:tbl>
      <w:tblPr>
        <w:tblW w:w="2385" w:type="dxa"/>
        <w:jc w:val="left"/>
        <w:tblInd w:w="0" w:type="dxa"/>
        <w:tblLayout w:type="fixed"/>
        <w:tblCellMar>
          <w:top w:w="28" w:type="dxa"/>
          <w:left w:w="28" w:type="dxa"/>
          <w:bottom w:w="28" w:type="dxa"/>
          <w:right w:w="28" w:type="dxa"/>
        </w:tblCellMar>
      </w:tblPr>
      <w:tblGrid>
        <w:gridCol w:w="763"/>
        <w:gridCol w:w="670"/>
        <w:gridCol w:w="952"/>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Operating Leases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have various operating lease agreements for office, research and development, manufacturing and distribution facilities, including our headquarters location in Menlo Park, California. As of December 31, 2025, these leases had remaining lease terms that expire between 2026 and 2034. We record operating lease right-of-use assets and liabilities on our consolidated balance sheets for all leases with a term of more than 12 months. The operating lease right-of-use assets and liabilities are calculated as the present value of remaining minimum lease payments over the remaining lease term using our estimated secured incremental borrowing rates at the commencement date. Lease payments included in the measurement of the lease liability comprise the fixed rent per the term of the Lease. Operating lease expense is recognized on a straight-line basis over the lease term, with variable lease payments, such as common area maintenance fees, recognized in the period incurred. </w:t>
      </w:r>
    </w:p>
    <w:tbl>
      <w:tblPr>
        <w:tblW w:w="3105" w:type="dxa"/>
        <w:jc w:val="left"/>
        <w:tblInd w:w="0" w:type="dxa"/>
        <w:tblLayout w:type="fixed"/>
        <w:tblCellMar>
          <w:top w:w="28" w:type="dxa"/>
          <w:left w:w="28" w:type="dxa"/>
          <w:bottom w:w="28" w:type="dxa"/>
          <w:right w:w="28" w:type="dxa"/>
        </w:tblCellMar>
      </w:tblPr>
      <w:tblGrid>
        <w:gridCol w:w="994"/>
        <w:gridCol w:w="873"/>
        <w:gridCol w:w="1238"/>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Business Combinations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Under the acquisition method of accounting, we allocate the fair value of the total consideration transferred to the tangible and identifiable intangible assets acquired and liabilities assumed based on their estimated fair values on the date of acquisition. These valuations require us to make estimates and assumptions, especially with respect to intangible assets. We record the excess consideration over the aggregate fair value of tangible and intangible assets, net of liabilities assumed, as goodwill. Costs that we incur to complete the business combination, such as legal and other professional fees, are expensed as they are incurred.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 connection with certain acquisitions, contingent consideration can be earned by the sellers upon completion of certain future performance milestones. In these cases, a liability is recorded on the acquisition date for an estimate of the acquisition date fair value of the contingent consideration. These estimates require significant management judgment, including probabilities of achieving certain future milestones. Changes in the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112520"/>
                <wp:effectExtent l="0" t="0" r="0" b="0"/>
                <wp:wrapNone/>
                <wp:docPr id="264" name="Frame8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92" descr=""/>
                                                <pic:cNvPicPr>
                                                  <a:picLocks noChangeAspect="1" noChangeArrowheads="1"/>
                                                </pic:cNvPicPr>
                                              </pic:nvPicPr>
                                              <pic:blipFill>
                                                <a:blip r:embed="rId178"/>
                                                <a:stretch>
                                                  <a:fillRect/>
                                                </a:stretch>
                                              </pic:blipFill>
                                              <pic:spPr bwMode="auto">
                                                <a:xfrm>
                                                  <a:off x="0" y="0"/>
                                                  <a:ext cx="457200" cy="95250"/>
                                                </a:xfrm>
                                                <a:prstGeom prst="rect">
                                                  <a:avLst/>
                                                </a:prstGeom>
                                              </pic:spPr>
                                            </pic:pic>
                                          </a:graphicData>
                                        </a:graphic>
                                      </wp:inline>
                                    </w:drawing>
                                  </w:r>
                                  <w:bookmarkStart w:id="180" w:name="i-92"/>
                                  <w:bookmarkEnd w:id="18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92" descr=""/>
                                          <pic:cNvPicPr>
                                            <a:picLocks noChangeAspect="1" noChangeArrowheads="1"/>
                                          </pic:cNvPicPr>
                                        </pic:nvPicPr>
                                        <pic:blipFill>
                                          <a:blip r:embed="rId179"/>
                                          <a:stretch>
                                            <a:fillRect/>
                                          </a:stretch>
                                        </pic:blipFill>
                                        <pic:spPr bwMode="auto">
                                          <a:xfrm>
                                            <a:off x="0" y="0"/>
                                            <a:ext cx="457200" cy="95250"/>
                                          </a:xfrm>
                                          <a:prstGeom prst="rect">
                                            <a:avLst/>
                                          </a:prstGeom>
                                        </pic:spPr>
                                      </pic:pic>
                                    </a:graphicData>
                                  </a:graphic>
                                </wp:inline>
                              </w:drawing>
                            </w:r>
                            <w:bookmarkStart w:id="181" w:name="i-92"/>
                            <w:bookmarkEnd w:id="18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of the contingent consideration subsequent to the acquisition date are recognized in operating expense on our consolidated statements of operations and comprehensive loss.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the initial accounting for a business combination is incomplete by the end of a reporting period that falls within the measurement period, we report provisional amounts in our financial statements. During the measurement period, we adjust the provisional amounts recognized at the acquisition date to reflect new information obtained about facts and circumstances that existed as of the acquisition date that, if known, would have affected the measurement of the amounts recognized as of that date. We record these adjustments to the provisional amounts with a corresponding offset to goodwill. Any adjustments identified after the measurement period are recorded on our consolidated statements of operations and comprehensive loss.</w:t>
      </w:r>
    </w:p>
    <w:tbl>
      <w:tblPr>
        <w:tblW w:w="6765" w:type="dxa"/>
        <w:jc w:val="left"/>
        <w:tblInd w:w="0" w:type="dxa"/>
        <w:tblLayout w:type="fixed"/>
        <w:tblCellMar>
          <w:top w:w="28" w:type="dxa"/>
          <w:left w:w="28" w:type="dxa"/>
          <w:bottom w:w="28" w:type="dxa"/>
          <w:right w:w="28" w:type="dxa"/>
        </w:tblCellMar>
      </w:tblPr>
      <w:tblGrid>
        <w:gridCol w:w="2166"/>
        <w:gridCol w:w="1904"/>
        <w:gridCol w:w="2695"/>
      </w:tblGrid>
      <w:tr>
        <w:trPr/>
        <w:tc>
          <w:tcPr>
            <w:tcW w:w="2166"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Goodwill and Intangible Assets with Indefinite Lives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Assets acquired, including intangible assets and capitalized in-process research and development (“IPR&amp;D”), and liabilities assumed are measured at fair value as of the acquisition date. Goodwill, which has an indefinite useful life, represents the excess of cost over fair value of the net assets acquired. Intangible assets acquired in a business combination that are used for IPR&amp;D activities are considered indefinite lived until the completion or abandonment of the associated research and development efforts. Upon reaching the end of the relevant research and development project (i.e., upon commercialization), the IPR&amp;D asset is assessed for impairment and then amortized over its estimated useful life. If the relevant research and development project is abandoned, the IPR&amp;D asset is expensed in the period of abandonment.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Goodwill and IPR&amp;D are not amortized; however, they are reviewed for impairment at least annually. We perform annual impairment testing of goodwill as of the first day of the second quarter, or more frequently if indicators of impairment exist. We perform annual impairment testing of IPR&amp;D as of the first day of the third quarter, or more frequently if indicators of impairment exist. Events that would indicate impairment and trigger an interim impairment test include, but are not limited to, adverse changes in business or economic conditions, lower-than-expected performance of a product line or business, changes in strategic direction, unanticipated technological or competitive developments, loss of key personnel, and actions by governments or courts.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perform our goodwill impairment analysis at the reporting unit level. We have one reporting unit, which aligns with our reporting structure and availability of discrete financial information. During the goodwill impairment review, we assess qualitative factors to determine whether it is more likely than not that the fair value of our reporting unit is less than the carrying amount, including goodwill. The qualitative factors include, but are not limited to, macroeconomic conditions, industry and market considerations, and our overall financial performance. If, after assessing the totality of these qualitative factors, we determine that it is not more likely than not that the fair value of our reporting unit is less than the carrying amount, then no additional assessment is deemed necessary. Otherwise, we proceed to compare the estimated fair value of the reporting unit with the carrying value, including goodwill. If the carrying amount of the reporting unit exceeds the fair value, we record an impairment loss based on the difference. We may elect to bypass the qualitative assessment in a period and proceed to perform the quantitative goodwill impairment test. We generally perform our impairment test using a combination of an income and a market approach to determine the fair value of goodwill. The income approach utilizes estimated discounted cash flows, while the market approach utilizes comparable company information.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IPR&amp;D impairment review, we assess qualitative factors to determine whether it is more likely than not that the fair value of the IPR&amp;D is less than the carrying amount. The qualitative factors include, but are not limited to, macroeconomic conditions, industry-specific conditions, and company-specific conditions. If, after assessing the totality of these qualitative factors, we determine that it is not more likely than not that the fair value of the IPR&amp;D is less than the carrying amount, then no additional assessment is deemed necessary. Otherwise, we proceed to compare the estimated fair value of the IPR&amp;D with the carrying value. If the carrying amount of the IPR&amp;D exceeds the fair value, we record an impairment loss based on the difference. We may elect to bypass the qualitative assessment in a period and proceed to perform the quantitative impairment test.</w:t>
      </w:r>
    </w:p>
    <w:tbl>
      <w:tblPr>
        <w:tblW w:w="6224" w:type="dxa"/>
        <w:jc w:val="left"/>
        <w:tblInd w:w="0" w:type="dxa"/>
        <w:tblLayout w:type="fixed"/>
        <w:tblCellMar>
          <w:top w:w="28" w:type="dxa"/>
          <w:left w:w="28" w:type="dxa"/>
          <w:bottom w:w="28" w:type="dxa"/>
          <w:right w:w="28" w:type="dxa"/>
        </w:tblCellMar>
      </w:tblPr>
      <w:tblGrid>
        <w:gridCol w:w="1991"/>
        <w:gridCol w:w="1752"/>
        <w:gridCol w:w="2481"/>
      </w:tblGrid>
      <w:tr>
        <w:trPr/>
        <w:tc>
          <w:tcPr>
            <w:tcW w:w="1991"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Intangible Assets and Other Finite-Lived Assets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Finite-lived intangible assets include our acquired developed technology and customer relationships. We capitalize finite-lived intangible assets and generally amortize them on a straight-line basis over the estimated useful lives. Intangible assets purchased as part of an acquisition are included in Intangible assets, net, on our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112520"/>
                <wp:effectExtent l="0" t="0" r="0" b="0"/>
                <wp:wrapNone/>
                <wp:docPr id="267" name="Frame9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93" descr=""/>
                                                <pic:cNvPicPr>
                                                  <a:picLocks noChangeAspect="1" noChangeArrowheads="1"/>
                                                </pic:cNvPicPr>
                                              </pic:nvPicPr>
                                              <pic:blipFill>
                                                <a:blip r:embed="rId180"/>
                                                <a:stretch>
                                                  <a:fillRect/>
                                                </a:stretch>
                                              </pic:blipFill>
                                              <pic:spPr bwMode="auto">
                                                <a:xfrm>
                                                  <a:off x="0" y="0"/>
                                                  <a:ext cx="457200" cy="95250"/>
                                                </a:xfrm>
                                                <a:prstGeom prst="rect">
                                                  <a:avLst/>
                                                </a:prstGeom>
                                              </pic:spPr>
                                            </pic:pic>
                                          </a:graphicData>
                                        </a:graphic>
                                      </wp:inline>
                                    </w:drawing>
                                  </w:r>
                                  <w:bookmarkStart w:id="182" w:name="i-93"/>
                                  <w:bookmarkEnd w:id="18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93" descr=""/>
                                          <pic:cNvPicPr>
                                            <a:picLocks noChangeAspect="1" noChangeArrowheads="1"/>
                                          </pic:cNvPicPr>
                                        </pic:nvPicPr>
                                        <pic:blipFill>
                                          <a:blip r:embed="rId181"/>
                                          <a:stretch>
                                            <a:fillRect/>
                                          </a:stretch>
                                        </pic:blipFill>
                                        <pic:spPr bwMode="auto">
                                          <a:xfrm>
                                            <a:off x="0" y="0"/>
                                            <a:ext cx="457200" cy="95250"/>
                                          </a:xfrm>
                                          <a:prstGeom prst="rect">
                                            <a:avLst/>
                                          </a:prstGeom>
                                        </pic:spPr>
                                      </pic:pic>
                                    </a:graphicData>
                                  </a:graphic>
                                </wp:inline>
                              </w:drawing>
                            </w:r>
                            <w:bookmarkStart w:id="183" w:name="i-93"/>
                            <w:bookmarkEnd w:id="18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0" w:after="0"/>
        <w:jc w:val="both"/>
        <w:rPr>
          <w:rFonts w:ascii="Roboto;sans-serif" w:hAnsi="Roboto;sans-serif"/>
          <w:b w:val="false"/>
          <w:color w:val="000000"/>
          <w:sz w:val="20"/>
        </w:rPr>
      </w:pPr>
      <w:r>
        <w:rPr>
          <w:rFonts w:ascii="Roboto;sans-serif" w:hAnsi="Roboto;sans-serif"/>
          <w:b w:val="false"/>
          <w:color w:val="000000"/>
          <w:sz w:val="20"/>
        </w:rPr>
        <w:t>We regularly review intangible assets with finite lives and other finite-lived assets for impairment whenever events or changes in circumstances indicate the carrying amount of an asset may not be recoverable. We assess the recoverability of assets based on the estimated undiscounted future cash flows expected to result from the use and eventual disposition of the asset. If the undiscounted future cash flows are less than the carrying amount, we estimate the fair value of the assets and record an impairment loss if the carrying value exceeds the fair value. In light of the changes in circumstances that led to the recoverability assessment, we also assess the remaining estimated useful life of the assets. Factors that may indicate potential impairment include a significant decline in our stock price and market capitalization compared to net book value, significant changes in the ability of an asset to generate positive cash flows for our strategic business objectives, and the pattern of utilization of a particular asset.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order to estimate the fair values of identifiable intangible assets with finite lives and other finite-lived assets, we estimate the present value of future cash flows from those assets. The key assumptions that we use in our cash flow model are the amount and timing of estimated future cash flows to be generated by the asset over an extended period of time and a rate of return that considers the relative risk of achieving the cash flows, the time value of money, and other factors that a willing market participant would consider. Management judgment is required to estimate the amount and timing of future cash flows and the relative risk of achieving those cash flows.</w:t>
      </w:r>
    </w:p>
    <w:tbl>
      <w:tblPr>
        <w:tblW w:w="2865" w:type="dxa"/>
        <w:jc w:val="left"/>
        <w:tblInd w:w="0" w:type="dxa"/>
        <w:tblLayout w:type="fixed"/>
        <w:tblCellMar>
          <w:top w:w="28" w:type="dxa"/>
          <w:left w:w="28" w:type="dxa"/>
          <w:bottom w:w="28" w:type="dxa"/>
          <w:right w:w="28" w:type="dxa"/>
        </w:tblCellMar>
      </w:tblPr>
      <w:tblGrid>
        <w:gridCol w:w="917"/>
        <w:gridCol w:w="806"/>
        <w:gridCol w:w="1142"/>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Revenue Recognition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revenue is generated primarily from the sale of products and services. Product revenue primarily consists of sales of our instruments and related consumables; service and other revenue consist primarily of revenue earned from product maintenance agreements.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account for a contract with a customer when there is a legally enforceable contract between us and the customer, the rights of the parties are identified, the contract has commercial substance, and collectability of the contract consideration is probable. Revenues are recognized when control of the promised goods is transferred to our customers, or services are performed, in an amount that reflects the consideration we expect to be entitled to in exchange for those goods or services. Invoicing typically occurs upon shipment, or delivery in the case of an instrument, and payment is typically due within 30 days from invoice. In instances where the right to payment or transfer of title is contingent upon customer acceptance of the product, revenue is deferred until the acceptance criteria has been met. Revenue from instrument service contracts is recognized as the services are rendered, typically evenly over the contract term. Revenue from development agreements generally includes upfront and milestone payments. Revenue for these agreements is recognized when each separate performance obligation is satisfied.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may enter into, or periodically modify, contracts with customers that include a combination of promised products and services, resulting in arrangements containing multiple performance obligations. We determine whether each product or service is distinct, in order to identify the performance obligations in the contract and allocate the contract transaction price among the separate performance obligations. A product or service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 Therefore, instrument revenue is recognized upon transfer of control of the asset to the customer, which is generally upon delivery for sales made to our non-distributor customers and upon shipment for sales made to our distributor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112520"/>
                <wp:effectExtent l="0" t="0" r="0" b="0"/>
                <wp:wrapNone/>
                <wp:docPr id="270" name="Frame9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7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94" descr=""/>
                                                <pic:cNvPicPr>
                                                  <a:picLocks noChangeAspect="1" noChangeArrowheads="1"/>
                                                </pic:cNvPicPr>
                                              </pic:nvPicPr>
                                              <pic:blipFill>
                                                <a:blip r:embed="rId182"/>
                                                <a:stretch>
                                                  <a:fillRect/>
                                                </a:stretch>
                                              </pic:blipFill>
                                              <pic:spPr bwMode="auto">
                                                <a:xfrm>
                                                  <a:off x="0" y="0"/>
                                                  <a:ext cx="457200" cy="95250"/>
                                                </a:xfrm>
                                                <a:prstGeom prst="rect">
                                                  <a:avLst/>
                                                </a:prstGeom>
                                              </pic:spPr>
                                            </pic:pic>
                                          </a:graphicData>
                                        </a:graphic>
                                      </wp:inline>
                                    </w:drawing>
                                  </w:r>
                                  <w:bookmarkStart w:id="184" w:name="i-94"/>
                                  <w:bookmarkEnd w:id="18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7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94" descr=""/>
                                          <pic:cNvPicPr>
                                            <a:picLocks noChangeAspect="1" noChangeArrowheads="1"/>
                                          </pic:cNvPicPr>
                                        </pic:nvPicPr>
                                        <pic:blipFill>
                                          <a:blip r:embed="rId183"/>
                                          <a:stretch>
                                            <a:fillRect/>
                                          </a:stretch>
                                        </pic:blipFill>
                                        <pic:spPr bwMode="auto">
                                          <a:xfrm>
                                            <a:off x="0" y="0"/>
                                            <a:ext cx="457200" cy="95250"/>
                                          </a:xfrm>
                                          <a:prstGeom prst="rect">
                                            <a:avLst/>
                                          </a:prstGeom>
                                        </pic:spPr>
                                      </pic:pic>
                                    </a:graphicData>
                                  </a:graphic>
                                </wp:inline>
                              </w:drawing>
                            </w:r>
                            <w:bookmarkStart w:id="185" w:name="i-94"/>
                            <w:bookmarkEnd w:id="18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89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consideration for contracts with multiple performance obligations is allocated between separate performance obligations based on their individual standalone selling price. We determine the best estimate of standalone selling price primarily using historical average selling prices combined with an assessment of current market conditions. If the standalone selling price is not directly observable, we rely on estimates by considering multiple factors including, but not limited to, overall market conditions, including geographic or regional specific factors, internal costs, profit objectives, pricing practices, and other observable inputs. We recognize revenues as performance obligations are satisfied by transferring control of the product or service to the customer or over the term of a product maintenance agreement with a customer. Our revenue arrangements generally do not provide a right of return. Revenue is recorded net of discounts and sales taxes collected on behalf of governmental authorities. We update the transaction price for expected consideration, subject to constraint. Where we expect, at contract inception, the timing of payments to be consistent with the transfer of goods or services or the contract duration to be one year or less, we do not adjust the transaction price for the effects of a significant financing component.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Modification of existing contracts with customers could change the scope or the price of the contract, or both. When a contract modification occurs, we exercise judgment to determine if the modification should be accounted for as: (i) a separate contract, (ii) the termination of the original contract and creation of a new contract, (iii) a cumulative catch-up adjustment to the original contract, or a combination thereof. Further, contract modifications require the identification and evaluation of the performance obligations of the modified contract, allocation of revenue to the remaining performance obligations and determination of the period of recognition for each identified performance obligation.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Certain of our agreements provide options to customers which can be exercised at a future date, such as the option to purchase our product at discounted prices, among others. In accounting for customer options, we determine whether an option is a material right and this may require us to exercise judgment. If a contract provides the customer an option to acquire additional goods or services at a discount that exceeds the range of discounts that we typically give for that product or service for the same class of customer, or if the option provides the customer certain additional goods or services for free, the option is considered a material right and, therefore, a performance obligation. If the standalone selling price of the option is not directly observable, an estimated standalone selling price is utilized which considers adjustments for discounts that the customer could receive without exercising the option and the likelihood that the option will be exercised. </w:t>
      </w:r>
    </w:p>
    <w:p>
      <w:pPr>
        <w:pStyle w:val="TextBody"/>
        <w:bidi w:val="0"/>
        <w:spacing w:lineRule="auto" w:line="288" w:before="120" w:after="283"/>
        <w:jc w:val="both"/>
        <w:rPr/>
      </w:pPr>
      <w:r>
        <w:rPr>
          <w:rFonts w:ascii="Roboto;sans-serif" w:hAnsi="Roboto;sans-serif"/>
          <w:b w:val="false"/>
          <w:color w:val="000000"/>
          <w:sz w:val="20"/>
        </w:rPr>
        <w:t xml:space="preserve">Additionally, we generally provide a one-year warranty on instruments. We accrue the cost of the assurance warranty when revenue of the instrument is recognized. </w:t>
      </w:r>
      <w:r>
        <w:rPr>
          <w:rFonts w:ascii="Roboto;sans-serif" w:hAnsi="Roboto;sans-serif"/>
          <w:b w:val="false"/>
          <w:color w:val="000000"/>
          <w:sz w:val="20"/>
          <w:shd w:fill="FFFFFF" w:val="clear"/>
        </w:rPr>
        <w:t>Employee sales commissions are generally recorded as selling, general, and administrative expense when incurred as the amortization period for such costs, if capitalized, would have been one year or less.</w:t>
      </w:r>
    </w:p>
    <w:tbl>
      <w:tblPr>
        <w:tblW w:w="2234" w:type="dxa"/>
        <w:jc w:val="left"/>
        <w:tblInd w:w="0" w:type="dxa"/>
        <w:tblLayout w:type="fixed"/>
        <w:tblCellMar>
          <w:top w:w="28" w:type="dxa"/>
          <w:left w:w="28" w:type="dxa"/>
          <w:bottom w:w="28" w:type="dxa"/>
          <w:right w:w="28" w:type="dxa"/>
        </w:tblCellMar>
      </w:tblPr>
      <w:tblGrid>
        <w:gridCol w:w="714"/>
        <w:gridCol w:w="629"/>
        <w:gridCol w:w="891"/>
      </w:tblGrid>
      <w:tr>
        <w:trPr/>
        <w:tc>
          <w:tcPr>
            <w:tcW w:w="71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Cost of Revenue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Cost of revenue reflects the direct cost of product components, third-party manufacturing services, and our internal manufacturing overhead and customer service infrastructure costs incurred to produce, deliver, maintain, and support our instruments, consumables, and services.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Manufacturing overhead is predominantly comprised of labor and facility costs. We capitalize manufacturing overhead into inventory based on a standard cost model that approximates actual costs.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Service costs include the direct costs of components used in support, repair and maintenance of customer instruments as well as the cost of personnel, materials, shipping and support infrastructure necessary to support our installed customer base. </w:t>
      </w:r>
    </w:p>
    <w:tbl>
      <w:tblPr>
        <w:tblW w:w="3645" w:type="dxa"/>
        <w:jc w:val="left"/>
        <w:tblInd w:w="0" w:type="dxa"/>
        <w:tblLayout w:type="fixed"/>
        <w:tblCellMar>
          <w:top w:w="28" w:type="dxa"/>
          <w:left w:w="28" w:type="dxa"/>
          <w:bottom w:w="28" w:type="dxa"/>
          <w:right w:w="28" w:type="dxa"/>
        </w:tblCellMar>
      </w:tblPr>
      <w:tblGrid>
        <w:gridCol w:w="1167"/>
        <w:gridCol w:w="1025"/>
        <w:gridCol w:w="1453"/>
      </w:tblGrid>
      <w:tr>
        <w:trPr/>
        <w:tc>
          <w:tcPr>
            <w:tcW w:w="11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Research and Development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Research and development expense consists primarily of expenses for personnel engaged in the development of our core technology, the design and development of our future products and current product enhancements. These expenses also include prototype-related expenditures, development equipment and supplies, partner development costs, facilities costs, and other related overhead. We expense research and development costs during the period in which the costs are incurred. We defer and capitalize non-refundable advance payments made for research and development activities until the related goods are received or the related services are rendered.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12520"/>
                <wp:effectExtent l="0" t="0" r="0" b="0"/>
                <wp:wrapNone/>
                <wp:docPr id="273" name="Frame9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7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95" descr=""/>
                                                <pic:cNvPicPr>
                                                  <a:picLocks noChangeAspect="1" noChangeArrowheads="1"/>
                                                </pic:cNvPicPr>
                                              </pic:nvPicPr>
                                              <pic:blipFill>
                                                <a:blip r:embed="rId184"/>
                                                <a:stretch>
                                                  <a:fillRect/>
                                                </a:stretch>
                                              </pic:blipFill>
                                              <pic:spPr bwMode="auto">
                                                <a:xfrm>
                                                  <a:off x="0" y="0"/>
                                                  <a:ext cx="457200" cy="95250"/>
                                                </a:xfrm>
                                                <a:prstGeom prst="rect">
                                                  <a:avLst/>
                                                </a:prstGeom>
                                              </pic:spPr>
                                            </pic:pic>
                                          </a:graphicData>
                                        </a:graphic>
                                      </wp:inline>
                                    </w:drawing>
                                  </w:r>
                                  <w:bookmarkStart w:id="186" w:name="i-95"/>
                                  <w:bookmarkEnd w:id="18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7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95" descr=""/>
                                          <pic:cNvPicPr>
                                            <a:picLocks noChangeAspect="1" noChangeArrowheads="1"/>
                                          </pic:cNvPicPr>
                                        </pic:nvPicPr>
                                        <pic:blipFill>
                                          <a:blip r:embed="rId185"/>
                                          <a:stretch>
                                            <a:fillRect/>
                                          </a:stretch>
                                        </pic:blipFill>
                                        <pic:spPr bwMode="auto">
                                          <a:xfrm>
                                            <a:off x="0" y="0"/>
                                            <a:ext cx="457200" cy="95250"/>
                                          </a:xfrm>
                                          <a:prstGeom prst="rect">
                                            <a:avLst/>
                                          </a:prstGeom>
                                        </pic:spPr>
                                      </pic:pic>
                                    </a:graphicData>
                                  </a:graphic>
                                </wp:inline>
                              </w:drawing>
                            </w:r>
                            <w:bookmarkStart w:id="187" w:name="i-95"/>
                            <w:bookmarkEnd w:id="18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1860" w:type="dxa"/>
        <w:jc w:val="left"/>
        <w:tblInd w:w="0" w:type="dxa"/>
        <w:tblLayout w:type="fixed"/>
        <w:tblCellMar>
          <w:top w:w="28" w:type="dxa"/>
          <w:left w:w="28" w:type="dxa"/>
          <w:bottom w:w="28" w:type="dxa"/>
          <w:right w:w="28" w:type="dxa"/>
        </w:tblCellMar>
      </w:tblPr>
      <w:tblGrid>
        <w:gridCol w:w="596"/>
        <w:gridCol w:w="523"/>
        <w:gridCol w:w="741"/>
      </w:tblGrid>
      <w:tr>
        <w:trPr/>
        <w:tc>
          <w:tcPr>
            <w:tcW w:w="5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Credit Losses</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Trade accounts receivable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allowance for credit losses is based on our assessment of the collectability of customer accounts. We regularly review the allowance by considering factors such as the age of the accounts receivable balances, customer creditworthiness, customer industry, and current and forecasted economic conditions that may affect a customer’s ability to pay. Credit loss expense was immaterial for the years ended December 31, 2025, 2024, and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Although we have historically not experienced significant credit losses, our exposure to credit losses may increase if our customers are adversely affected by changes in economic pressures or uncertainty associated with local or global economic recessions, disruptions associated with epidemics or pandemics, or other customer-specific factors.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Available-for-sale debt securities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investment portfolio contains investments in cash deposits, money market funds, commercial paper, corporate debt securities and U.S. government and agency securities. We regularly assess whether our securities in an unrealized loss position are credit related. The credit-related portion of unrealized losses, and any subsequent improvements, are recorded in interest income. Unrealized losses that are not credit related are included in accumulated other comprehensive income (loss). The unrealized losses on our investments are mainly attributable to government securities, including U.S. government and U.S. agency bond securities, impacted by movements in market rates and not due to issuer credit risk. We have the ability to hold and do not intend to sell the investments in unrealized loss positions before the recovery of their amortized cost bases.</w:t>
      </w:r>
    </w:p>
    <w:tbl>
      <w:tblPr>
        <w:tblW w:w="1904" w:type="dxa"/>
        <w:jc w:val="left"/>
        <w:tblInd w:w="0" w:type="dxa"/>
        <w:tblLayout w:type="fixed"/>
        <w:tblCellMar>
          <w:top w:w="28" w:type="dxa"/>
          <w:left w:w="28" w:type="dxa"/>
          <w:bottom w:w="28" w:type="dxa"/>
          <w:right w:w="28" w:type="dxa"/>
        </w:tblCellMar>
      </w:tblPr>
      <w:tblGrid>
        <w:gridCol w:w="610"/>
        <w:gridCol w:w="535"/>
        <w:gridCol w:w="759"/>
      </w:tblGrid>
      <w:tr>
        <w:trPr/>
        <w:tc>
          <w:tcPr>
            <w:tcW w:w="6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Income Taxes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account for income taxes under the asset and liability method, which requires, among other things, that deferred income taxes be provided for temporary differences between the tax bases of our assets and liabilities and the amounts reported in the financial statements. In addition, deferred tax assets are recorded for the future benefit of utilizing net operating losses and research and development credit carryforwards. The effect of a change in tax rates on the deferred tax assets and liabilities is recognized in the provision for income taxes in the period that includes the enactment date. A full valuation allowance is provided against our net deferred tax assets as it is more likely than not that the deferred tax assets will not be fully realized.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regularly review our positions taken relative to income taxes. To the extent our tax positions are more likely than not going to result in additional taxes, we accrue the estimated amount of tax related to such uncertain positions. </w:t>
      </w:r>
    </w:p>
    <w:tbl>
      <w:tblPr>
        <w:tblW w:w="3644" w:type="dxa"/>
        <w:jc w:val="left"/>
        <w:tblInd w:w="0" w:type="dxa"/>
        <w:tblLayout w:type="fixed"/>
        <w:tblCellMar>
          <w:top w:w="28" w:type="dxa"/>
          <w:left w:w="28" w:type="dxa"/>
          <w:bottom w:w="28" w:type="dxa"/>
          <w:right w:w="28" w:type="dxa"/>
        </w:tblCellMar>
      </w:tblPr>
      <w:tblGrid>
        <w:gridCol w:w="1166"/>
        <w:gridCol w:w="1025"/>
        <w:gridCol w:w="1453"/>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Share-Based Compensation</w:t>
            </w:r>
          </w:p>
        </w:tc>
      </w:tr>
    </w:tbl>
    <w:p>
      <w:pPr>
        <w:pStyle w:val="TextBody"/>
        <w:bidi w:val="0"/>
        <w:spacing w:lineRule="auto" w:line="288" w:before="120" w:after="283"/>
        <w:jc w:val="both"/>
        <w:rPr/>
      </w:pPr>
      <w:r>
        <w:rPr>
          <w:rFonts w:ascii="Roboto;sans-serif" w:hAnsi="Roboto;sans-serif"/>
          <w:b w:val="false"/>
          <w:color w:val="000000"/>
          <w:sz w:val="20"/>
        </w:rPr>
        <w:t xml:space="preserve">We recognize share-based compensation expense for share-based payments, including stock options, restricted stock units, performance stock units and stock issued under our employee stock purchase plan ("ESPP") based on the grant-date fair value. We estimate the fair value of stock options and ESPP using an option-pricing model. See </w:t>
      </w:r>
      <w:hyperlink w:anchor="i9dad38eca65443b9a8bcd939ad72e7eb_124">
        <w:r>
          <w:rPr>
            <w:rStyle w:val="InternetLink"/>
            <w:rFonts w:ascii="Roboto;sans-serif" w:hAnsi="Roboto;sans-serif"/>
            <w:b w:val="false"/>
            <w:i/>
            <w:color w:val="0000FF"/>
            <w:sz w:val="20"/>
            <w:u w:val="single"/>
          </w:rPr>
          <w:t>Note 9. Stockholders’ Equity</w:t>
        </w:r>
      </w:hyperlink>
      <w:r>
        <w:rPr>
          <w:color w:val="000000"/>
        </w:rPr>
        <w:t xml:space="preserve"> </w:t>
      </w:r>
      <w:r>
        <w:rPr>
          <w:rFonts w:ascii="Roboto;sans-serif" w:hAnsi="Roboto;sans-serif"/>
          <w:b w:val="false"/>
          <w:color w:val="000000"/>
          <w:sz w:val="20"/>
        </w:rPr>
        <w:t>for further information regarding share-based compensation.</w:t>
      </w:r>
    </w:p>
    <w:tbl>
      <w:tblPr>
        <w:tblW w:w="4784" w:type="dxa"/>
        <w:jc w:val="left"/>
        <w:tblInd w:w="0" w:type="dxa"/>
        <w:tblLayout w:type="fixed"/>
        <w:tblCellMar>
          <w:top w:w="28" w:type="dxa"/>
          <w:left w:w="28" w:type="dxa"/>
          <w:bottom w:w="28" w:type="dxa"/>
          <w:right w:w="28" w:type="dxa"/>
        </w:tblCellMar>
      </w:tblPr>
      <w:tblGrid>
        <w:gridCol w:w="1531"/>
        <w:gridCol w:w="1347"/>
        <w:gridCol w:w="1906"/>
      </w:tblGrid>
      <w:tr>
        <w:trPr/>
        <w:tc>
          <w:tcPr>
            <w:tcW w:w="15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Other Comprehensive Income (Loss)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Other comprehensive income (loss) is comprised of unrealized gains (losses) on our investment securities. </w:t>
      </w:r>
    </w:p>
    <w:tbl>
      <w:tblPr>
        <w:tblW w:w="3089" w:type="dxa"/>
        <w:jc w:val="left"/>
        <w:tblInd w:w="0" w:type="dxa"/>
        <w:tblLayout w:type="fixed"/>
        <w:tblCellMar>
          <w:top w:w="28" w:type="dxa"/>
          <w:left w:w="28" w:type="dxa"/>
          <w:bottom w:w="28" w:type="dxa"/>
          <w:right w:w="28" w:type="dxa"/>
        </w:tblCellMar>
      </w:tblPr>
      <w:tblGrid>
        <w:gridCol w:w="989"/>
        <w:gridCol w:w="870"/>
        <w:gridCol w:w="1230"/>
      </w:tblGrid>
      <w:tr>
        <w:trPr/>
        <w:tc>
          <w:tcPr>
            <w:tcW w:w="98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Shipping and Handling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Costs related to shipping and handling are included in cost of revenues for all periods presented.</w:t>
      </w:r>
    </w:p>
    <w:tbl>
      <w:tblPr>
        <w:tblW w:w="2580" w:type="dxa"/>
        <w:jc w:val="left"/>
        <w:tblInd w:w="0" w:type="dxa"/>
        <w:tblLayout w:type="fixed"/>
        <w:tblCellMar>
          <w:top w:w="28" w:type="dxa"/>
          <w:left w:w="28" w:type="dxa"/>
          <w:bottom w:w="28" w:type="dxa"/>
          <w:right w:w="28" w:type="dxa"/>
        </w:tblCellMar>
      </w:tblPr>
      <w:tblGrid>
        <w:gridCol w:w="825"/>
        <w:gridCol w:w="726"/>
        <w:gridCol w:w="1029"/>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Earnings per Share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Basic net loss per share is computed by dividing net loss by the weighted-average number of shares of common stock outstanding during the period. Diluted net loss per share is computed by dividing diluted net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12520"/>
                <wp:effectExtent l="0" t="0" r="0" b="0"/>
                <wp:wrapNone/>
                <wp:docPr id="276" name="Frame9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7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96" descr=""/>
                                                <pic:cNvPicPr>
                                                  <a:picLocks noChangeAspect="1" noChangeArrowheads="1"/>
                                                </pic:cNvPicPr>
                                              </pic:nvPicPr>
                                              <pic:blipFill>
                                                <a:blip r:embed="rId186"/>
                                                <a:stretch>
                                                  <a:fillRect/>
                                                </a:stretch>
                                              </pic:blipFill>
                                              <pic:spPr bwMode="auto">
                                                <a:xfrm>
                                                  <a:off x="0" y="0"/>
                                                  <a:ext cx="457200" cy="95250"/>
                                                </a:xfrm>
                                                <a:prstGeom prst="rect">
                                                  <a:avLst/>
                                                </a:prstGeom>
                                              </pic:spPr>
                                            </pic:pic>
                                          </a:graphicData>
                                        </a:graphic>
                                      </wp:inline>
                                    </w:drawing>
                                  </w:r>
                                  <w:bookmarkStart w:id="188" w:name="i-96"/>
                                  <w:bookmarkEnd w:id="18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7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96" descr=""/>
                                          <pic:cNvPicPr>
                                            <a:picLocks noChangeAspect="1" noChangeArrowheads="1"/>
                                          </pic:cNvPicPr>
                                        </pic:nvPicPr>
                                        <pic:blipFill>
                                          <a:blip r:embed="rId187"/>
                                          <a:stretch>
                                            <a:fillRect/>
                                          </a:stretch>
                                        </pic:blipFill>
                                        <pic:spPr bwMode="auto">
                                          <a:xfrm>
                                            <a:off x="0" y="0"/>
                                            <a:ext cx="457200" cy="95250"/>
                                          </a:xfrm>
                                          <a:prstGeom prst="rect">
                                            <a:avLst/>
                                          </a:prstGeom>
                                        </pic:spPr>
                                      </pic:pic>
                                    </a:graphicData>
                                  </a:graphic>
                                </wp:inline>
                              </w:drawing>
                            </w:r>
                            <w:bookmarkStart w:id="189" w:name="i-96"/>
                            <w:bookmarkEnd w:id="18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by the weighted-average number of shares of common stock outstanding and potentially dilutive shares outstanding during the period. We calculate the potential dilutive effect of outstanding stock options, restricted stock units, and common stock issuable pursuant to our ESPP, using the treasury stock method. Potentially dilutive common shares issuable upon conversion of convertible senior notes are determined using the if-converted method.</w:t>
      </w:r>
    </w:p>
    <w:tbl>
      <w:tblPr>
        <w:tblW w:w="4785" w:type="dxa"/>
        <w:jc w:val="left"/>
        <w:tblInd w:w="0" w:type="dxa"/>
        <w:tblLayout w:type="fixed"/>
        <w:tblCellMar>
          <w:top w:w="28" w:type="dxa"/>
          <w:left w:w="28" w:type="dxa"/>
          <w:bottom w:w="28" w:type="dxa"/>
          <w:right w:w="28" w:type="dxa"/>
        </w:tblCellMar>
      </w:tblPr>
      <w:tblGrid>
        <w:gridCol w:w="1532"/>
        <w:gridCol w:w="1346"/>
        <w:gridCol w:w="1907"/>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Recent Accounting Pronouncements</w:t>
            </w:r>
          </w:p>
        </w:tc>
      </w:tr>
    </w:tbl>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Recently Adopted Accounting Standards</w:t>
      </w:r>
    </w:p>
    <w:p>
      <w:pPr>
        <w:pStyle w:val="TextBody"/>
        <w:bidi w:val="0"/>
        <w:spacing w:lineRule="auto" w:line="288" w:before="120" w:after="283"/>
        <w:jc w:val="both"/>
        <w:rPr/>
      </w:pPr>
      <w:r>
        <w:rPr>
          <w:rFonts w:ascii="Roboto;sans-serif" w:hAnsi="Roboto;sans-serif"/>
          <w:b w:val="false"/>
          <w:color w:val="000000"/>
          <w:sz w:val="20"/>
        </w:rPr>
        <w:t xml:space="preserve">In December 2023, the FASB issued ASU 2023-09, </w:t>
      </w:r>
      <w:r>
        <w:rPr>
          <w:rFonts w:ascii="Roboto;sans-serif" w:hAnsi="Roboto;sans-serif"/>
          <w:b w:val="false"/>
          <w:i/>
          <w:color w:val="000000"/>
          <w:sz w:val="20"/>
        </w:rPr>
        <w:t>Income Taxes (Topic 740): Improvements to Income Tax Disclosures</w:t>
      </w:r>
      <w:r>
        <w:rPr>
          <w:rFonts w:ascii="Roboto;sans-serif" w:hAnsi="Roboto;sans-serif"/>
          <w:b w:val="false"/>
          <w:color w:val="000000"/>
          <w:sz w:val="20"/>
        </w:rPr>
        <w:t xml:space="preserve">. This new standard requires a company to expand its existing income tax disclosures, specifically related to the rate reconciliation and income taxes paid. The standard was effective for annual periods beginning in 2025. We adopted this ASU for our fiscal year ending December 31, 2025 and applied the amendments retrospectively to all prior periods presented in the consolidated financial statements. The adoption of this new standard resulted in incremental income tax related disclosures to the notes to the consolidated financial statements but did not have a material impact on the consolidated financial statements. Additional required disclosures have been included in </w:t>
      </w:r>
      <w:hyperlink w:anchor="i9dad38eca65443b9a8bcd939ad72e7eb_121">
        <w:r>
          <w:rPr>
            <w:rStyle w:val="InternetLink"/>
          </w:rPr>
          <w:t xml:space="preserve">Note </w:t>
        </w:r>
      </w:hyperlink>
      <w:hyperlink w:anchor="i9dad38eca65443b9a8bcd939ad72e7eb_121">
        <w:r>
          <w:rPr>
            <w:rStyle w:val="InternetLink"/>
          </w:rPr>
          <w:t>8</w:t>
        </w:r>
      </w:hyperlink>
      <w:hyperlink w:anchor="i9dad38eca65443b9a8bcd939ad72e7eb_121">
        <w:r>
          <w:rPr>
            <w:rStyle w:val="InternetLink"/>
          </w:rPr>
          <w:t xml:space="preserve">. </w:t>
        </w:r>
      </w:hyperlink>
      <w:hyperlink w:anchor="i9dad38eca65443b9a8bcd939ad72e7eb_121">
        <w:r>
          <w:rPr>
            <w:rStyle w:val="InternetLink"/>
          </w:rPr>
          <w:t>Income Taxes</w:t>
        </w:r>
      </w:hyperlink>
      <w:r>
        <w:rPr>
          <w:rFonts w:ascii="Roboto;sans-serif" w:hAnsi="Roboto;sans-serif"/>
          <w:b w:val="false"/>
          <w:color w:val="000000"/>
          <w:sz w:val="20"/>
        </w:rPr>
        <w:t>.</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Accounting Pronouncements Pending Adoption</w:t>
      </w:r>
    </w:p>
    <w:p>
      <w:pPr>
        <w:pStyle w:val="TextBody"/>
        <w:bidi w:val="0"/>
        <w:spacing w:lineRule="auto" w:line="288" w:before="120" w:after="283"/>
        <w:jc w:val="both"/>
        <w:rPr/>
      </w:pPr>
      <w:r>
        <w:rPr>
          <w:rFonts w:ascii="Roboto;sans-serif" w:hAnsi="Roboto;sans-serif"/>
          <w:b w:val="false"/>
          <w:color w:val="000000"/>
          <w:sz w:val="20"/>
        </w:rPr>
        <w:t xml:space="preserve">In November 2024, the FASB issued ASU 2024-03, </w:t>
      </w:r>
      <w:r>
        <w:rPr>
          <w:rFonts w:ascii="Roboto;sans-serif" w:hAnsi="Roboto;sans-serif"/>
          <w:b w:val="false"/>
          <w:i/>
          <w:color w:val="000000"/>
          <w:sz w:val="20"/>
        </w:rPr>
        <w:t>Income Statement—Reporting Comprehensive Income—Expense Disaggregation Disclosures (Subtopic 220-40): Disaggregation of Income Statement Expenses</w:t>
      </w:r>
      <w:r>
        <w:rPr>
          <w:rFonts w:ascii="Roboto;sans-serif" w:hAnsi="Roboto;sans-serif"/>
          <w:b w:val="false"/>
          <w:color w:val="000000"/>
          <w:sz w:val="20"/>
        </w:rPr>
        <w:t>. This new standard requires a company to provide disaggregated disclosures, within the notes to the financial statements, of specified categories of expenses that are included in line items on the face of the income statement. The standard will be effective for us beginning in 2027, and interim periods within 2028, with early adoption permitted. The new standard is expected to be applied prospectively, but retrospective application is permitted. We are currently evaluating the impact of ASU 2024-03 on the consolidated financial statements and related disclosures.</w:t>
      </w:r>
    </w:p>
    <w:p>
      <w:pPr>
        <w:pStyle w:val="TextBody"/>
        <w:bidi w:val="0"/>
        <w:spacing w:lineRule="auto" w:line="288" w:before="120" w:after="283"/>
        <w:jc w:val="both"/>
        <w:rPr/>
      </w:pPr>
      <w:r>
        <w:rPr>
          <w:rFonts w:ascii="Roboto;sans-serif" w:hAnsi="Roboto;sans-serif"/>
          <w:b w:val="false"/>
          <w:color w:val="000000"/>
          <w:sz w:val="20"/>
        </w:rPr>
        <w:t xml:space="preserve">In November 2024, the FASB issued ASU 2024-04, </w:t>
      </w:r>
      <w:r>
        <w:rPr>
          <w:rFonts w:ascii="Roboto;sans-serif" w:hAnsi="Roboto;sans-serif"/>
          <w:b w:val="false"/>
          <w:i/>
          <w:color w:val="000000"/>
          <w:sz w:val="20"/>
        </w:rPr>
        <w:t>Debt—Debt With Conversion and Other Options (Subtopic 470-20): Induced Conversions of Convertible Debt Instruments</w:t>
      </w:r>
      <w:r>
        <w:rPr>
          <w:rFonts w:ascii="Roboto;sans-serif" w:hAnsi="Roboto;sans-serif"/>
          <w:b w:val="false"/>
          <w:color w:val="000000"/>
          <w:sz w:val="20"/>
        </w:rPr>
        <w:t>. This new standard clarifies the requirements for determining whether certain settlements of convertible debt instruments should be accounted for as an induced conversion or extinguishment of convertible debt. The standard will be effective for us beginning in the first quarter of 2026, with early adoption permitted. The new standard is expected to be applied prospectively, but retrospective application is permitted. We do not expect the adoption of this new standard to have a material impact on the consolidated financial statements and related disclosures.</w:t>
      </w:r>
    </w:p>
    <w:p>
      <w:pPr>
        <w:pStyle w:val="TextBody"/>
        <w:bidi w:val="0"/>
        <w:spacing w:lineRule="auto" w:line="288" w:before="120" w:after="283"/>
        <w:jc w:val="both"/>
        <w:rPr/>
      </w:pPr>
      <w:r>
        <w:rPr>
          <w:rFonts w:ascii="Roboto;sans-serif" w:hAnsi="Roboto;sans-serif"/>
          <w:b w:val="false"/>
          <w:color w:val="000000"/>
          <w:sz w:val="20"/>
        </w:rPr>
        <w:t xml:space="preserve">In September 2025, the FASB issued ASU 2025-06, </w:t>
      </w:r>
      <w:r>
        <w:rPr>
          <w:rFonts w:ascii="Roboto;sans-serif" w:hAnsi="Roboto;sans-serif"/>
          <w:b w:val="false"/>
          <w:i/>
          <w:color w:val="000000"/>
          <w:sz w:val="20"/>
        </w:rPr>
        <w:t>Intangibles—Goodwill and Other—Internal-Use Software (Subtopic 350-40): Targeted Improvements to the Accounting for Internal-Use Software.</w:t>
      </w:r>
      <w:r>
        <w:rPr>
          <w:color w:val="000000"/>
        </w:rPr>
        <w:t xml:space="preserve"> </w:t>
      </w:r>
      <w:r>
        <w:rPr>
          <w:rFonts w:ascii="Roboto;sans-serif" w:hAnsi="Roboto;sans-serif"/>
          <w:b w:val="false"/>
          <w:color w:val="000000"/>
          <w:sz w:val="20"/>
        </w:rPr>
        <w:t>This new standard clarifies and modernizes the recognition and disclosure framework for capitalized internal-use software costs by removing all references to project stages and introduces a more judgment-based approach. The standard also clarifies the threshold to be applied to begin capitalizing. The standard will be effective for us beginning in the first quarter of 2028, with early adoption permitted, and can be applied using a prospective, retrospective, or modified transition approach. We are currently evaluating the impact of ASU 2025-06 on the consolidated financial statements and related disclosures.</w:t>
      </w:r>
    </w:p>
    <w:p>
      <w:pPr>
        <w:pStyle w:val="TextBody"/>
        <w:bidi w:val="0"/>
        <w:spacing w:lineRule="auto" w:line="288" w:before="120" w:after="283"/>
        <w:jc w:val="both"/>
        <w:rPr/>
      </w:pPr>
      <w:r>
        <w:rPr>
          <w:rFonts w:ascii="Roboto;sans-serif" w:hAnsi="Roboto;sans-serif"/>
          <w:b w:val="false"/>
          <w:color w:val="000000"/>
          <w:sz w:val="20"/>
        </w:rPr>
        <w:t xml:space="preserve">In December 2025, the FASB issued ASU 2025-10, </w:t>
      </w:r>
      <w:r>
        <w:rPr>
          <w:rFonts w:ascii="Roboto;sans-serif" w:hAnsi="Roboto;sans-serif"/>
          <w:b w:val="false"/>
          <w:i/>
          <w:color w:val="000000"/>
          <w:sz w:val="20"/>
        </w:rPr>
        <w:t>Accounting for Government Grants Received by Business Entities</w:t>
      </w:r>
      <w:r>
        <w:rPr>
          <w:rFonts w:ascii="Roboto;sans-serif" w:hAnsi="Roboto;sans-serif"/>
          <w:b w:val="false"/>
          <w:color w:val="000000"/>
          <w:sz w:val="20"/>
        </w:rPr>
        <w:t>. This new standard provides guidance on the recognition, measurement, and presentation of government grants. The standard will be effective for us beginning in the first quarter of fiscal year 2029, with early adoption permitted, and can be applied using a modified prospective, modified retrospective or full retrospective transition approach. We are currently evaluating the impact of ASU 2025-10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12520"/>
                <wp:effectExtent l="0" t="0" r="0" b="0"/>
                <wp:wrapNone/>
                <wp:docPr id="279" name="Frame9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8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97" descr=""/>
                                                <pic:cNvPicPr>
                                                  <a:picLocks noChangeAspect="1" noChangeArrowheads="1"/>
                                                </pic:cNvPicPr>
                                              </pic:nvPicPr>
                                              <pic:blipFill>
                                                <a:blip r:embed="rId188"/>
                                                <a:stretch>
                                                  <a:fillRect/>
                                                </a:stretch>
                                              </pic:blipFill>
                                              <pic:spPr bwMode="auto">
                                                <a:xfrm>
                                                  <a:off x="0" y="0"/>
                                                  <a:ext cx="457200" cy="95250"/>
                                                </a:xfrm>
                                                <a:prstGeom prst="rect">
                                                  <a:avLst/>
                                                </a:prstGeom>
                                              </pic:spPr>
                                            </pic:pic>
                                          </a:graphicData>
                                        </a:graphic>
                                      </wp:inline>
                                    </w:drawing>
                                  </w:r>
                                  <w:bookmarkStart w:id="190" w:name="i-97"/>
                                  <w:bookmarkEnd w:id="19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8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97" descr=""/>
                                          <pic:cNvPicPr>
                                            <a:picLocks noChangeAspect="1" noChangeArrowheads="1"/>
                                          </pic:cNvPicPr>
                                        </pic:nvPicPr>
                                        <pic:blipFill>
                                          <a:blip r:embed="rId189"/>
                                          <a:stretch>
                                            <a:fillRect/>
                                          </a:stretch>
                                        </pic:blipFill>
                                        <pic:spPr bwMode="auto">
                                          <a:xfrm>
                                            <a:off x="0" y="0"/>
                                            <a:ext cx="457200" cy="95250"/>
                                          </a:xfrm>
                                          <a:prstGeom prst="rect">
                                            <a:avLst/>
                                          </a:prstGeom>
                                        </pic:spPr>
                                      </pic:pic>
                                    </a:graphicData>
                                  </a:graphic>
                                </wp:inline>
                              </w:drawing>
                            </w:r>
                            <w:bookmarkStart w:id="191" w:name="i-97"/>
                            <w:bookmarkEnd w:id="19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4454" w:type="dxa"/>
        <w:jc w:val="left"/>
        <w:tblInd w:w="0" w:type="dxa"/>
        <w:tblLayout w:type="fixed"/>
        <w:tblCellMar>
          <w:top w:w="28" w:type="dxa"/>
          <w:left w:w="28" w:type="dxa"/>
          <w:bottom w:w="28" w:type="dxa"/>
          <w:right w:w="28" w:type="dxa"/>
        </w:tblCellMar>
      </w:tblPr>
      <w:tblGrid>
        <w:gridCol w:w="1423"/>
        <w:gridCol w:w="1251"/>
        <w:gridCol w:w="1780"/>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2. BUSINESS ACQUISITIONS</w:t>
            </w:r>
          </w:p>
        </w:tc>
      </w:tr>
    </w:tbl>
    <w:tbl>
      <w:tblPr>
        <w:tblW w:w="2444" w:type="dxa"/>
        <w:jc w:val="left"/>
        <w:tblInd w:w="0" w:type="dxa"/>
        <w:tblLayout w:type="fixed"/>
        <w:tblCellMar>
          <w:top w:w="28" w:type="dxa"/>
          <w:left w:w="28" w:type="dxa"/>
          <w:bottom w:w="28" w:type="dxa"/>
          <w:right w:w="28" w:type="dxa"/>
        </w:tblCellMar>
      </w:tblPr>
      <w:tblGrid>
        <w:gridCol w:w="782"/>
        <w:gridCol w:w="688"/>
        <w:gridCol w:w="97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Apton Biosystems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On August 2, 2023, we acquired Apton Biosystems, Inc. (“Apton”), a California-based genomics company focused on developing a high throughput short-read sequencer using highly differentiated optics and image processing, paired with novel clustering and chemistry (the “Apton acquisition”).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connection with the Apton acquisition, all outstanding equity securities of Apton were cancelled in exchange for shares of our common stock with a fair value of $76.6 million, cash of $0.2 million, and contingent consideration with an estimated fair value of $18.5 million. Excluded from consideration transferred was $1.3 million attributable to accelerated share-based compensation expense. The fair value of the 6,121,571 common shares issued was determined based on the closing market price of our common stock on the acquisition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connection with the Apton acquisition, contingent consideration of $25.0 million, which we may elect to pay in cash, shares of our common stock or a combination of cash and shares of our common stock, is due upon the achievement of a milestone, defined as the achievement of $50.0 million in revenue associated with Apton's technology, provided that the milestone event occurs prior to the five-year anniversary of the closing date of the acquisition.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contingent consideration is accounted for as a liability at fair value, with changes during each reporting period recognized on our consolidated statements of operations and comprehensive loss. The fair value of the contingent consideration liability is calculated, with the assistance from a third-party valuation firm, using a Monte Carlo simulation to estimate the volatility and systematic relative risk of revenues subject to sales milestone payments and discounting the associated cash payment amounts to their present values using a credit-risk-adjusted interest rate.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recognized a change in fair value of contingent consideration of $18.7 million during the year ended December 31, 2025, resulting in a contingent consideration liability of $0. This was primarily due to management's decision to cease development of the high-throughput short-read system, the associated changes in expected future revenues, and the requirement that the milestone event occur prior to the five-year anniversary of the acquisition closing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acquisition was accounted for as a business combination and, accordingly, the total fair value of the consideration transferred was allocated to the tangible and intangible assets acquired and liabilities assumed based on their fair values on the acquisition date. As of December 31, 2023, the major classes of assets and liabilities to which we have allocated the total fair value of the consideration transferred were as follows:</w:t>
      </w:r>
    </w:p>
    <w:tbl>
      <w:tblPr>
        <w:tblW w:w="4745" w:type="dxa"/>
        <w:jc w:val="left"/>
        <w:tblInd w:w="0" w:type="dxa"/>
        <w:tblLayout w:type="fixed"/>
        <w:tblCellMar>
          <w:top w:w="28" w:type="dxa"/>
          <w:left w:w="28" w:type="dxa"/>
          <w:bottom w:w="28" w:type="dxa"/>
          <w:right w:w="28" w:type="dxa"/>
        </w:tblCellMar>
      </w:tblPr>
      <w:tblGrid>
        <w:gridCol w:w="1283"/>
        <w:gridCol w:w="1125"/>
        <w:gridCol w:w="1131"/>
        <w:gridCol w:w="226"/>
        <w:gridCol w:w="82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0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97 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In-process research and development</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55,000 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52,287 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 current</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153 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income tax liability</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(11,338)</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Liabilities assumed</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(2,191)</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consideration transferred</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94,008 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incurred costs related to the Apton acquisition of approximately $9.0 million during the year ended December 31, 2023, which are included in merger-related expenses on our consolidated statement of operations and comprehensive loss. Merger-related expenses include $2.8 million relating to a liquidity event bonus plan that was treated as a separate transaction and included the issuance of 168,621 shares of common stock that were issued with a fair value of $2.1 million based on the closing market price of our common stock on the acquisition date. As a result, the total shares issued in connection with the Apton acquisition were 6.3 million shares of common stock.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excess of the value of consideration paid over the aggregate fair value of those net assets has been recorded as goodwill. We recognized goodwill of $52.3 million, which is primarily attributable to the synergies expected to occur from the integration of Apton and is not deductible for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12520"/>
                <wp:effectExtent l="0" t="0" r="0" b="0"/>
                <wp:wrapNone/>
                <wp:docPr id="282" name="Frame9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8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98" descr=""/>
                                                <pic:cNvPicPr>
                                                  <a:picLocks noChangeAspect="1" noChangeArrowheads="1"/>
                                                </pic:cNvPicPr>
                                              </pic:nvPicPr>
                                              <pic:blipFill>
                                                <a:blip r:embed="rId190"/>
                                                <a:stretch>
                                                  <a:fillRect/>
                                                </a:stretch>
                                              </pic:blipFill>
                                              <pic:spPr bwMode="auto">
                                                <a:xfrm>
                                                  <a:off x="0" y="0"/>
                                                  <a:ext cx="457200" cy="95250"/>
                                                </a:xfrm>
                                                <a:prstGeom prst="rect">
                                                  <a:avLst/>
                                                </a:prstGeom>
                                              </pic:spPr>
                                            </pic:pic>
                                          </a:graphicData>
                                        </a:graphic>
                                      </wp:inline>
                                    </w:drawing>
                                  </w:r>
                                  <w:bookmarkStart w:id="192" w:name="i-98"/>
                                  <w:bookmarkEnd w:id="19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8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98" descr=""/>
                                          <pic:cNvPicPr>
                                            <a:picLocks noChangeAspect="1" noChangeArrowheads="1"/>
                                          </pic:cNvPicPr>
                                        </pic:nvPicPr>
                                        <pic:blipFill>
                                          <a:blip r:embed="rId191"/>
                                          <a:stretch>
                                            <a:fillRect/>
                                          </a:stretch>
                                        </pic:blipFill>
                                        <pic:spPr bwMode="auto">
                                          <a:xfrm>
                                            <a:off x="0" y="0"/>
                                            <a:ext cx="457200" cy="95250"/>
                                          </a:xfrm>
                                          <a:prstGeom prst="rect">
                                            <a:avLst/>
                                          </a:prstGeom>
                                        </pic:spPr>
                                      </pic:pic>
                                    </a:graphicData>
                                  </a:graphic>
                                </wp:inline>
                              </w:drawing>
                            </w:r>
                            <w:bookmarkStart w:id="193" w:name="i-98"/>
                            <w:bookmarkEnd w:id="19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pPr>
      <w:r>
        <w:rPr>
          <w:rFonts w:ascii="Roboto;sans-serif" w:hAnsi="Roboto;sans-serif"/>
          <w:b w:val="false"/>
          <w:color w:val="000000"/>
          <w:sz w:val="20"/>
        </w:rPr>
        <w:t xml:space="preserve">We allocated $55.0 million of the purchase price to acquired IPR&amp;D. The fair value of the IPR&amp;D was determined, with the assistance of a third-party valuation firm, using an income approach based on a forecast of expected future cash flows. Expected future cash flows utilize significant assumptions such as revenue projections and discount rate. We recognized a $40.0 million impairment charge during the year ended December 31, 2024 as a result of a quantitative interim impairment test. During the first quarter of 2025, based on our decision to cease development of the high-throughput short-read sequencing platform, which would utilize the IPR&amp;D, and the resulting changes to the expected future cash flows, among other factors, we concluded that it was more likely than not that the fair value of the IPR&amp;D was less than its carrying amount, requiring an interim impairment assessment. Using a discounted cash flow model under the income approach, we determined the fair value was $0 and recorded a $15.0 million impairment charge. See </w:t>
      </w:r>
      <w:hyperlink w:anchor="i9dad38eca65443b9a8bcd939ad72e7eb_106">
        <w:r>
          <w:rPr>
            <w:rStyle w:val="InternetLink"/>
          </w:rPr>
          <w:t>N</w:t>
        </w:r>
      </w:hyperlink>
      <w:hyperlink w:anchor="i9dad38eca65443b9a8bcd939ad72e7eb_106">
        <w:r>
          <w:rPr>
            <w:rStyle w:val="InternetLink"/>
          </w:rPr>
          <w:t>ot</w:t>
        </w:r>
      </w:hyperlink>
      <w:hyperlink w:anchor="i9dad38eca65443b9a8bcd939ad72e7eb_106">
        <w:r>
          <w:rPr>
            <w:rStyle w:val="InternetLink"/>
          </w:rPr>
          <w:t>e 4. Balance Sheet Components</w:t>
        </w:r>
      </w:hyperlink>
      <w:r>
        <w:rPr>
          <w:color w:val="000000"/>
        </w:rPr>
        <w:t xml:space="preserve"> </w:t>
      </w:r>
      <w:r>
        <w:rPr>
          <w:rFonts w:ascii="Roboto;sans-serif" w:hAnsi="Roboto;sans-serif"/>
          <w:b w:val="false"/>
          <w:color w:val="000000"/>
          <w:sz w:val="20"/>
        </w:rPr>
        <w:t>for further details.</w:t>
      </w:r>
    </w:p>
    <w:p>
      <w:pPr>
        <w:pStyle w:val="TextBody"/>
        <w:bidi w:val="0"/>
        <w:spacing w:lineRule="auto" w:line="288" w:before="120" w:after="283"/>
        <w:jc w:val="both"/>
        <w:rPr/>
      </w:pPr>
      <w:r>
        <w:rPr>
          <w:rFonts w:ascii="Roboto;sans-serif" w:hAnsi="Roboto;sans-serif"/>
          <w:b w:val="false"/>
          <w:color w:val="000000"/>
          <w:sz w:val="20"/>
        </w:rPr>
        <w:t>On January 30, 2026, we completed a disposition of assets to Illumina Cambridge Limited (the "Buyer") in accordance with the terms of an Asset Purchase Agreement</w:t>
      </w:r>
      <w:r>
        <w:rPr>
          <w:color w:val="000000"/>
        </w:rPr>
        <w:t xml:space="preserve"> </w:t>
      </w:r>
      <w:r>
        <w:rPr>
          <w:rFonts w:ascii="Roboto;sans-serif" w:hAnsi="Roboto;sans-serif"/>
          <w:b w:val="false"/>
          <w:color w:val="000000"/>
          <w:sz w:val="20"/>
        </w:rPr>
        <w:t xml:space="preserve">(the “Asset Purchase Agreement”) (the “Asset Sale”). As consideration for the Asset Sale, Buyer paid us $50.0 million in cash and assumed certain liabilities (the “Purchase Price”). In connection with the Asset Sale, Buyer will pay at our direction 4% of the net proceeds from the Purchase Price to the former equity holders of Apton Biosystems, Inc. (“Apton”) related to the waiver of all remaining milestone obligations associated with our purchase of Apton in August 2023, which payment is expected in the first quarter of 2026. See </w:t>
      </w:r>
      <w:hyperlink w:anchor="i9dad38eca65443b9a8bcd939ad72e7eb_133">
        <w:r>
          <w:rPr>
            <w:rStyle w:val="InternetLink"/>
            <w:rFonts w:ascii="Roboto;sans-serif" w:hAnsi="Roboto;sans-serif"/>
            <w:b w:val="false"/>
            <w:i/>
            <w:color w:val="0000FF"/>
            <w:sz w:val="20"/>
            <w:u w:val="single"/>
          </w:rPr>
          <w:t>Note 12. Subsequent Events</w:t>
        </w:r>
      </w:hyperlink>
      <w:r>
        <w:rPr>
          <w:color w:val="000000"/>
        </w:rPr>
        <w:t xml:space="preserve"> </w:t>
      </w:r>
      <w:r>
        <w:rPr>
          <w:rFonts w:ascii="Roboto;sans-serif" w:hAnsi="Roboto;sans-serif"/>
          <w:b w:val="false"/>
          <w:color w:val="000000"/>
          <w:sz w:val="20"/>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60" w:type="dxa"/>
        <w:jc w:val="left"/>
        <w:tblInd w:w="0" w:type="dxa"/>
        <w:tblLayout w:type="fixed"/>
        <w:tblCellMar>
          <w:top w:w="28" w:type="dxa"/>
          <w:left w:w="28" w:type="dxa"/>
          <w:bottom w:w="28" w:type="dxa"/>
          <w:right w:w="28" w:type="dxa"/>
        </w:tblCellMar>
      </w:tblPr>
      <w:tblGrid>
        <w:gridCol w:w="1460"/>
        <w:gridCol w:w="1282"/>
        <w:gridCol w:w="1818"/>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3. FINANCIAL INSTRUMENTS</w:t>
            </w:r>
          </w:p>
        </w:tc>
      </w:tr>
    </w:tbl>
    <w:tbl>
      <w:tblPr>
        <w:tblW w:w="4620" w:type="dxa"/>
        <w:jc w:val="left"/>
        <w:tblInd w:w="0" w:type="dxa"/>
        <w:tblLayout w:type="fixed"/>
        <w:tblCellMar>
          <w:top w:w="28" w:type="dxa"/>
          <w:left w:w="28" w:type="dxa"/>
          <w:bottom w:w="28" w:type="dxa"/>
          <w:right w:w="28" w:type="dxa"/>
        </w:tblCellMar>
      </w:tblPr>
      <w:tblGrid>
        <w:gridCol w:w="1480"/>
        <w:gridCol w:w="1301"/>
        <w:gridCol w:w="1839"/>
      </w:tblGrid>
      <w:tr>
        <w:trPr/>
        <w:tc>
          <w:tcPr>
            <w:tcW w:w="148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Fair Value of Financial Instruments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Fair value is the exchange price that would be received to sell an asset or paid to transfer a liability in an orderly transaction between market participants at the measurement date.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fair value hierarchy established under U.S. GAAP requires an entity to maximize the use of observable inputs and minimize the use of unobservable inputs when measuring fair value. The three levels of inputs that may be used to measure fair value are as follows: </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Level 1: quoted prices in active markets for identical assets or liabilities;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Level 3: unobservable inputs that are supported by little or no market activity and that are significant to the fair value of the assets or liabilities.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carrying amount of our accounts receivable, prepaid expenses, other current assets, accounts payable, accrued expenses and other liabilities, current, approximate fair value due to their short maturities.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12520"/>
                <wp:effectExtent l="0" t="0" r="0" b="0"/>
                <wp:wrapNone/>
                <wp:docPr id="285" name="Frame9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8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99" descr=""/>
                                                <pic:cNvPicPr>
                                                  <a:picLocks noChangeAspect="1" noChangeArrowheads="1"/>
                                                </pic:cNvPicPr>
                                              </pic:nvPicPr>
                                              <pic:blipFill>
                                                <a:blip r:embed="rId192"/>
                                                <a:stretch>
                                                  <a:fillRect/>
                                                </a:stretch>
                                              </pic:blipFill>
                                              <pic:spPr bwMode="auto">
                                                <a:xfrm>
                                                  <a:off x="0" y="0"/>
                                                  <a:ext cx="457200" cy="95250"/>
                                                </a:xfrm>
                                                <a:prstGeom prst="rect">
                                                  <a:avLst/>
                                                </a:prstGeom>
                                              </pic:spPr>
                                            </pic:pic>
                                          </a:graphicData>
                                        </a:graphic>
                                      </wp:inline>
                                    </w:drawing>
                                  </w:r>
                                  <w:bookmarkStart w:id="194" w:name="i-99"/>
                                  <w:bookmarkEnd w:id="19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8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99" descr=""/>
                                          <pic:cNvPicPr>
                                            <a:picLocks noChangeAspect="1" noChangeArrowheads="1"/>
                                          </pic:cNvPicPr>
                                        </pic:nvPicPr>
                                        <pic:blipFill>
                                          <a:blip r:embed="rId193"/>
                                          <a:stretch>
                                            <a:fillRect/>
                                          </a:stretch>
                                        </pic:blipFill>
                                        <pic:spPr bwMode="auto">
                                          <a:xfrm>
                                            <a:off x="0" y="0"/>
                                            <a:ext cx="457200" cy="95250"/>
                                          </a:xfrm>
                                          <a:prstGeom prst="rect">
                                            <a:avLst/>
                                          </a:prstGeom>
                                        </pic:spPr>
                                      </pic:pic>
                                    </a:graphicData>
                                  </a:graphic>
                                </wp:inline>
                              </w:drawing>
                            </w:r>
                            <w:bookmarkStart w:id="195" w:name="i-99"/>
                            <w:bookmarkEnd w:id="19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Assets and Liabilities Measured at Fair Value on a Recurring Basis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sets forth the fair value of our financial assets and liabilities that were measured on a recurring basis:</w:t>
      </w:r>
    </w:p>
    <w:tbl>
      <w:tblPr>
        <w:tblW w:w="13078" w:type="dxa"/>
        <w:jc w:val="left"/>
        <w:tblInd w:w="0" w:type="dxa"/>
        <w:tblLayout w:type="fixed"/>
        <w:tblCellMar>
          <w:top w:w="28" w:type="dxa"/>
          <w:left w:w="28" w:type="dxa"/>
          <w:bottom w:w="28" w:type="dxa"/>
          <w:right w:w="28" w:type="dxa"/>
        </w:tblCellMar>
      </w:tblPr>
      <w:tblGrid>
        <w:gridCol w:w="553"/>
        <w:gridCol w:w="419"/>
        <w:gridCol w:w="424"/>
        <w:gridCol w:w="226"/>
        <w:gridCol w:w="826"/>
        <w:gridCol w:w="109"/>
        <w:gridCol w:w="109"/>
        <w:gridCol w:w="109"/>
        <w:gridCol w:w="109"/>
        <w:gridCol w:w="226"/>
        <w:gridCol w:w="946"/>
        <w:gridCol w:w="109"/>
        <w:gridCol w:w="109"/>
        <w:gridCol w:w="109"/>
        <w:gridCol w:w="109"/>
        <w:gridCol w:w="226"/>
        <w:gridCol w:w="406"/>
        <w:gridCol w:w="109"/>
        <w:gridCol w:w="109"/>
        <w:gridCol w:w="109"/>
        <w:gridCol w:w="109"/>
        <w:gridCol w:w="226"/>
        <w:gridCol w:w="946"/>
        <w:gridCol w:w="109"/>
        <w:gridCol w:w="109"/>
        <w:gridCol w:w="109"/>
        <w:gridCol w:w="109"/>
        <w:gridCol w:w="226"/>
        <w:gridCol w:w="826"/>
        <w:gridCol w:w="109"/>
        <w:gridCol w:w="109"/>
        <w:gridCol w:w="109"/>
        <w:gridCol w:w="109"/>
        <w:gridCol w:w="226"/>
        <w:gridCol w:w="946"/>
        <w:gridCol w:w="109"/>
        <w:gridCol w:w="109"/>
        <w:gridCol w:w="109"/>
        <w:gridCol w:w="109"/>
        <w:gridCol w:w="226"/>
        <w:gridCol w:w="826"/>
        <w:gridCol w:w="109"/>
        <w:gridCol w:w="109"/>
        <w:gridCol w:w="109"/>
        <w:gridCol w:w="109"/>
        <w:gridCol w:w="226"/>
        <w:gridCol w:w="94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21"/>
            <w:tcBorders/>
            <w:shd w:fill="E7F2F9"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 2024</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16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Level 1</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Level 2</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Level 3</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Assets</w:t>
            </w:r>
          </w:p>
        </w:tc>
        <w:tc>
          <w:tcPr>
            <w:tcW w:w="116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Cash and cash equivalents:</w:t>
            </w:r>
          </w:p>
        </w:tc>
        <w:tc>
          <w:tcPr>
            <w:tcW w:w="116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Cash and money market funds </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60,496 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40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60,496 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U.S. government &amp; agency securities</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3,211 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3,211 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cash and cash equivalents </w:t>
            </w:r>
          </w:p>
        </w:tc>
        <w:tc>
          <w:tcPr>
            <w:tcW w:w="105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60,496 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3,211 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63,707 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Investments:</w:t>
            </w:r>
          </w:p>
        </w:tc>
        <w:tc>
          <w:tcPr>
            <w:tcW w:w="116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Corporate debt securities </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23,250 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23,250 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46,905 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U.S. government &amp; agency securities</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192,549 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192,549 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287,656 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287,656 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investments </w:t>
            </w:r>
          </w:p>
        </w:tc>
        <w:tc>
          <w:tcPr>
            <w:tcW w:w="105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215,799 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215,799 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334,561 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334,561 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1,532 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1,532 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assets measured at fair value </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62,048 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219,010 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40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281,058 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57,592 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334,561 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392,153 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Liabilities</w:t>
            </w:r>
          </w:p>
        </w:tc>
        <w:tc>
          <w:tcPr>
            <w:tcW w:w="116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Contingent consideration - Apton acquisition</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40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liabilities measured at fair value </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40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18,700 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For the year ended December 31, 2025, there were no transfers between Level 1, Level 2, or Level 3 assets or liabilities reported at fair value on a recurring basis and our valuation techniques did not change compared to the prior year.</w:t>
      </w:r>
    </w:p>
    <w:p>
      <w:pPr>
        <w:pStyle w:val="TextBody"/>
        <w:bidi w:val="0"/>
        <w:spacing w:lineRule="auto" w:line="288" w:before="180" w:after="283"/>
        <w:jc w:val="both"/>
        <w:rPr>
          <w:rFonts w:ascii="Roboto;sans-serif" w:hAnsi="Roboto;sans-serif"/>
          <w:b/>
          <w:color w:val="DF1995"/>
          <w:sz w:val="20"/>
          <w:u w:val="single"/>
        </w:rPr>
      </w:pPr>
      <w:r>
        <w:rPr>
          <w:rFonts w:ascii="Roboto;sans-serif" w:hAnsi="Roboto;sans-serif"/>
          <w:b/>
          <w:color w:val="DF1995"/>
          <w:sz w:val="20"/>
          <w:u w:val="single"/>
        </w:rPr>
        <w:t>Contingent Consideration - Apton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contingent consideration, which was incurred in connection with the acquisition of Apton, within Level 3 as factors used to develop the estimate of fair value include unobservable inputs that are not supported by market activity and are significant to the fair value. Estimates and assumptions used in the Monte Carlo simulation include risk-adjusted forecasted revenues for products and services leveraging Apton's technology and an estimated credit spread.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estimate the fair value of the contingent consideration liability based on the simulated revenue of the Company through the five-year anniversary of the closing date of the acquisition. The key input used in the determination of the fair value included projected revenues of the high-throughput short-read products and services leveraging Apton's technology. Primarily due to management's decision to cease development of the high-throughput short-read system, and the resulting changes in the expected future revenues, among other factors, and as the milestone event must occur prior to the five-year anniversary of the closing date of the acquisition, the estimated fair value of the contingent consideration liability is $0. An increase in the fair value of the liability may result from changes in projected revenues, including accelerated timing or higher expected amounts, and from decreases in discount rates, including the risk-free rate and the estimated subordinated credit spread for a CCC credit rating.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12520"/>
                <wp:effectExtent l="0" t="0" r="0" b="0"/>
                <wp:wrapNone/>
                <wp:docPr id="288" name="Frame9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8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00" descr=""/>
                                                <pic:cNvPicPr>
                                                  <a:picLocks noChangeAspect="1" noChangeArrowheads="1"/>
                                                </pic:cNvPicPr>
                                              </pic:nvPicPr>
                                              <pic:blipFill>
                                                <a:blip r:embed="rId194"/>
                                                <a:stretch>
                                                  <a:fillRect/>
                                                </a:stretch>
                                              </pic:blipFill>
                                              <pic:spPr bwMode="auto">
                                                <a:xfrm>
                                                  <a:off x="0" y="0"/>
                                                  <a:ext cx="457200" cy="95250"/>
                                                </a:xfrm>
                                                <a:prstGeom prst="rect">
                                                  <a:avLst/>
                                                </a:prstGeom>
                                              </pic:spPr>
                                            </pic:pic>
                                          </a:graphicData>
                                        </a:graphic>
                                      </wp:inline>
                                    </w:drawing>
                                  </w:r>
                                  <w:bookmarkStart w:id="196" w:name="i-100"/>
                                  <w:bookmarkEnd w:id="19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9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00" descr=""/>
                                          <pic:cNvPicPr>
                                            <a:picLocks noChangeAspect="1" noChangeArrowheads="1"/>
                                          </pic:cNvPicPr>
                                        </pic:nvPicPr>
                                        <pic:blipFill>
                                          <a:blip r:embed="rId195"/>
                                          <a:stretch>
                                            <a:fillRect/>
                                          </a:stretch>
                                        </pic:blipFill>
                                        <pic:spPr bwMode="auto">
                                          <a:xfrm>
                                            <a:off x="0" y="0"/>
                                            <a:ext cx="457200" cy="95250"/>
                                          </a:xfrm>
                                          <a:prstGeom prst="rect">
                                            <a:avLst/>
                                          </a:prstGeom>
                                        </pic:spPr>
                                      </pic:pic>
                                    </a:graphicData>
                                  </a:graphic>
                                </wp:inline>
                              </w:drawing>
                            </w:r>
                            <w:bookmarkStart w:id="197" w:name="i-100"/>
                            <w:bookmarkEnd w:id="19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the estimated fair value of the contingent consideration liability related to the Apton acquisition for the year ended December 31, 2025 were as follows:</w:t>
      </w:r>
    </w:p>
    <w:tbl>
      <w:tblPr>
        <w:tblW w:w="5375" w:type="dxa"/>
        <w:jc w:val="left"/>
        <w:tblInd w:w="0" w:type="dxa"/>
        <w:tblLayout w:type="fixed"/>
        <w:tblCellMar>
          <w:top w:w="28" w:type="dxa"/>
          <w:left w:w="28" w:type="dxa"/>
          <w:bottom w:w="28" w:type="dxa"/>
          <w:right w:w="28" w:type="dxa"/>
        </w:tblCellMar>
      </w:tblPr>
      <w:tblGrid>
        <w:gridCol w:w="1511"/>
        <w:gridCol w:w="1326"/>
        <w:gridCol w:w="1332"/>
        <w:gridCol w:w="226"/>
        <w:gridCol w:w="826"/>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06"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Level 3</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Beginning balance as of December 31, 2024</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18,700 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estimated fair value</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(18,700)</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Ending balance as of December 31, 2025</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color w:val="1383C6"/>
              </w:rPr>
            </w:pPr>
            <w:r>
              <w:rPr>
                <w:color w:val="1383C6"/>
              </w:rPr>
              <w:t>—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to the fair value are recorded as the change in fair value of contingent consideration on our consolidated statements of operations and comprehensive loss.</w:t>
      </w:r>
    </w:p>
    <w:p>
      <w:pPr>
        <w:pStyle w:val="TextBody"/>
        <w:bidi w:val="0"/>
        <w:spacing w:lineRule="auto" w:line="288" w:before="120" w:after="283"/>
        <w:jc w:val="both"/>
        <w:rPr/>
      </w:pPr>
      <w:r>
        <w:rPr>
          <w:rFonts w:ascii="Roboto;sans-serif" w:hAnsi="Roboto;sans-serif"/>
          <w:b w:val="false"/>
          <w:color w:val="000000"/>
          <w:sz w:val="20"/>
        </w:rPr>
        <w:t xml:space="preserve">On January 30, 2026, we completed a disposition of assets to Buyer in accordance with the terms of the Asset Purchase Agreement. In connection with the Asset Sale, Buyer will pay at our direction 4% of the net proceeds from the Purchase Price to the former equity holders of Apton related to the waiver of all remaining milestone obligations associated with our purchase of Apton in August 2023, which payment is expected in the first quarter of 2026. See </w:t>
      </w:r>
      <w:hyperlink w:anchor="i9dad38eca65443b9a8bcd939ad72e7eb_133">
        <w:r>
          <w:rPr>
            <w:rStyle w:val="InternetLink"/>
            <w:rFonts w:ascii="Roboto;sans-serif" w:hAnsi="Roboto;sans-serif"/>
            <w:b w:val="false"/>
            <w:i/>
            <w:color w:val="0000FF"/>
            <w:sz w:val="20"/>
            <w:u w:val="single"/>
          </w:rPr>
          <w:t>Note 12. Subsequent Events</w:t>
        </w:r>
      </w:hyperlink>
      <w:r>
        <w:rPr>
          <w:color w:val="000000"/>
        </w:rPr>
        <w:t xml:space="preserve"> </w:t>
      </w:r>
      <w:r>
        <w:rPr>
          <w:rFonts w:ascii="Roboto;sans-serif" w:hAnsi="Roboto;sans-serif"/>
          <w:b w:val="false"/>
          <w:color w:val="000000"/>
          <w:sz w:val="20"/>
        </w:rPr>
        <w:t>for additional information.</w:t>
      </w:r>
    </w:p>
    <w:p>
      <w:pPr>
        <w:pStyle w:val="TextBody"/>
        <w:bidi w:val="0"/>
        <w:spacing w:lineRule="auto" w:line="288" w:before="180" w:after="283"/>
        <w:jc w:val="both"/>
        <w:rPr>
          <w:rFonts w:ascii="Roboto;sans-serif" w:hAnsi="Roboto;sans-serif"/>
          <w:b/>
          <w:color w:val="DF1995"/>
          <w:sz w:val="20"/>
          <w:u w:val="single"/>
        </w:rPr>
      </w:pPr>
      <w:r>
        <w:rPr>
          <w:rFonts w:ascii="Roboto;sans-serif" w:hAnsi="Roboto;sans-serif"/>
          <w:b/>
          <w:color w:val="DF1995"/>
          <w:sz w:val="20"/>
          <w:u w:val="single"/>
        </w:rPr>
        <w:t>Contingent Consideration - Omniome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On September 20, 2023, we achieved the commercial milestone in connection with the 2021 acquisition of Omniome. Consequently, former Omniome securityholders were entitled to receive as milestone consideration, among other things, an aggregate of approximately $100.9 million in cash and approximately 9.0 million shares of our common stock, representing $95.9 million divided by the volume-weighted average of the trading prices of our common stock for the twenty trading days ending with and including the trading day that was two days immediately prior to the achievement of the milestone. The $95.9 million represents the $100.0 million that was to be paid in shares of our common stock offset by $4.1 million attributable to stock options issued by PacBio in replacement of Omniome’s unvested options as part of the transaction, pursuant to the terms of the Omniome merger agreement.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Following the achievement of the commercial milestone, $101.3 million of the contingent consideration, which includes certain payroll taxes, was paid during the year ended December 31, 2023. Additionally, 8,988,391 shares were issued at a value of $84.8 million to the former Omniome securityholders.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12520"/>
                <wp:effectExtent l="0" t="0" r="0" b="0"/>
                <wp:wrapNone/>
                <wp:docPr id="291" name="Frame9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9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01" descr=""/>
                                                <pic:cNvPicPr>
                                                  <a:picLocks noChangeAspect="1" noChangeArrowheads="1"/>
                                                </pic:cNvPicPr>
                                              </pic:nvPicPr>
                                              <pic:blipFill>
                                                <a:blip r:embed="rId196"/>
                                                <a:stretch>
                                                  <a:fillRect/>
                                                </a:stretch>
                                              </pic:blipFill>
                                              <pic:spPr bwMode="auto">
                                                <a:xfrm>
                                                  <a:off x="0" y="0"/>
                                                  <a:ext cx="457200" cy="95250"/>
                                                </a:xfrm>
                                                <a:prstGeom prst="rect">
                                                  <a:avLst/>
                                                </a:prstGeom>
                                              </pic:spPr>
                                            </pic:pic>
                                          </a:graphicData>
                                        </a:graphic>
                                      </wp:inline>
                                    </w:drawing>
                                  </w:r>
                                  <w:bookmarkStart w:id="198" w:name="i-101"/>
                                  <w:bookmarkEnd w:id="19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9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01" descr=""/>
                                          <pic:cNvPicPr>
                                            <a:picLocks noChangeAspect="1" noChangeArrowheads="1"/>
                                          </pic:cNvPicPr>
                                        </pic:nvPicPr>
                                        <pic:blipFill>
                                          <a:blip r:embed="rId197"/>
                                          <a:stretch>
                                            <a:fillRect/>
                                          </a:stretch>
                                        </pic:blipFill>
                                        <pic:spPr bwMode="auto">
                                          <a:xfrm>
                                            <a:off x="0" y="0"/>
                                            <a:ext cx="457200" cy="95250"/>
                                          </a:xfrm>
                                          <a:prstGeom prst="rect">
                                            <a:avLst/>
                                          </a:prstGeom>
                                        </pic:spPr>
                                      </pic:pic>
                                    </a:graphicData>
                                  </a:graphic>
                                </wp:inline>
                              </w:drawing>
                            </w:r>
                            <w:bookmarkStart w:id="199" w:name="i-101"/>
                            <w:bookmarkEnd w:id="19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7590" w:type="dxa"/>
        <w:jc w:val="left"/>
        <w:tblInd w:w="0" w:type="dxa"/>
        <w:tblLayout w:type="fixed"/>
        <w:tblCellMar>
          <w:top w:w="28" w:type="dxa"/>
          <w:left w:w="28" w:type="dxa"/>
          <w:bottom w:w="28" w:type="dxa"/>
          <w:right w:w="28" w:type="dxa"/>
        </w:tblCellMar>
      </w:tblPr>
      <w:tblGrid>
        <w:gridCol w:w="2429"/>
        <w:gridCol w:w="2135"/>
        <w:gridCol w:w="3026"/>
      </w:tblGrid>
      <w:tr>
        <w:trPr/>
        <w:tc>
          <w:tcPr>
            <w:tcW w:w="242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Cash, Cash Equivalents, Restricted Cash, and Investments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our cash, cash equivalents, restricted cash, and investments:</w:t>
      </w:r>
    </w:p>
    <w:tbl>
      <w:tblPr>
        <w:tblW w:w="10205" w:type="dxa"/>
        <w:jc w:val="left"/>
        <w:tblInd w:w="0" w:type="dxa"/>
        <w:tblLayout w:type="fixed"/>
        <w:tblCellMar>
          <w:top w:w="28" w:type="dxa"/>
          <w:left w:w="28" w:type="dxa"/>
          <w:bottom w:w="28" w:type="dxa"/>
          <w:right w:w="28" w:type="dxa"/>
        </w:tblCellMar>
      </w:tblPr>
      <w:tblGrid>
        <w:gridCol w:w="1537"/>
        <w:gridCol w:w="1345"/>
        <w:gridCol w:w="1361"/>
        <w:gridCol w:w="226"/>
        <w:gridCol w:w="946"/>
        <w:gridCol w:w="109"/>
        <w:gridCol w:w="109"/>
        <w:gridCol w:w="109"/>
        <w:gridCol w:w="109"/>
        <w:gridCol w:w="311"/>
        <w:gridCol w:w="724"/>
        <w:gridCol w:w="151"/>
        <w:gridCol w:w="109"/>
        <w:gridCol w:w="109"/>
        <w:gridCol w:w="109"/>
        <w:gridCol w:w="305"/>
        <w:gridCol w:w="732"/>
        <w:gridCol w:w="149"/>
        <w:gridCol w:w="109"/>
        <w:gridCol w:w="109"/>
        <w:gridCol w:w="109"/>
        <w:gridCol w:w="226"/>
        <w:gridCol w:w="946"/>
        <w:gridCol w:w="156"/>
      </w:tblGrid>
      <w:tr>
        <w:trPr/>
        <w:tc>
          <w:tcPr>
            <w:tcW w:w="153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21"/>
            <w:tcBorders/>
            <w:shd w:fill="E7F2F9"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December 31, 2025</w:t>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8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Amortized</w:t>
              <w:br/>
              <w:t xml:space="preserve">Cost </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Gross</w:t>
              <w:br/>
              <w:t>unrealized</w:t>
              <w:br/>
              <w:t xml:space="preserve">gains </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Gross</w:t>
              <w:br/>
              <w:t>unrealized</w:t>
              <w:br/>
              <w:t xml:space="preserve">losses </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Fair</w:t>
              <w:br/>
              <w:t xml:space="preserve">Value </w:t>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Cash and cash equivalents:</w:t>
            </w:r>
          </w:p>
        </w:tc>
        <w:tc>
          <w:tcPr>
            <w:tcW w:w="128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and money market funds</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60,496 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24"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5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32"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4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60,496 </w:t>
            </w:r>
          </w:p>
        </w:tc>
        <w:tc>
          <w:tcPr>
            <w:tcW w:w="15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U.S. government &amp; agency securities</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3,211 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5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4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3,211 </w:t>
            </w:r>
          </w:p>
        </w:tc>
        <w:tc>
          <w:tcPr>
            <w:tcW w:w="15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cash and cash equivalents </w:t>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63,707 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5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4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63,707 </w:t>
            </w:r>
          </w:p>
        </w:tc>
        <w:tc>
          <w:tcPr>
            <w:tcW w:w="156"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Investments:</w:t>
            </w:r>
          </w:p>
        </w:tc>
        <w:tc>
          <w:tcPr>
            <w:tcW w:w="128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Corporate debt securities </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23,172 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78 </w:t>
            </w:r>
          </w:p>
        </w:tc>
        <w:tc>
          <w:tcPr>
            <w:tcW w:w="15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4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23,250 </w:t>
            </w:r>
          </w:p>
        </w:tc>
        <w:tc>
          <w:tcPr>
            <w:tcW w:w="15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U.S. government &amp; agency securities</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192,170 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380 </w:t>
            </w:r>
          </w:p>
        </w:tc>
        <w:tc>
          <w:tcPr>
            <w:tcW w:w="15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w:t>
            </w:r>
          </w:p>
        </w:tc>
        <w:tc>
          <w:tcPr>
            <w:tcW w:w="14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192,549 </w:t>
            </w:r>
          </w:p>
        </w:tc>
        <w:tc>
          <w:tcPr>
            <w:tcW w:w="15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investments </w:t>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215,342 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458 </w:t>
            </w:r>
          </w:p>
        </w:tc>
        <w:tc>
          <w:tcPr>
            <w:tcW w:w="15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w:t>
            </w:r>
          </w:p>
        </w:tc>
        <w:tc>
          <w:tcPr>
            <w:tcW w:w="14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215,799 </w:t>
            </w:r>
          </w:p>
        </w:tc>
        <w:tc>
          <w:tcPr>
            <w:tcW w:w="156"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cash, cash equivalents, and investments </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279,049 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2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458 </w:t>
            </w:r>
          </w:p>
        </w:tc>
        <w:tc>
          <w:tcPr>
            <w:tcW w:w="15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3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w:t>
            </w:r>
          </w:p>
        </w:tc>
        <w:tc>
          <w:tcPr>
            <w:tcW w:w="14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279,506 </w:t>
            </w:r>
          </w:p>
        </w:tc>
        <w:tc>
          <w:tcPr>
            <w:tcW w:w="156"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24"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5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32"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4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20 </w:t>
            </w:r>
          </w:p>
        </w:tc>
        <w:tc>
          <w:tcPr>
            <w:tcW w:w="15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226"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1,532 </w:t>
            </w:r>
          </w:p>
        </w:tc>
        <w:tc>
          <w:tcPr>
            <w:tcW w:w="109"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24"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51"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32"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49"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doub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1,532 </w:t>
            </w:r>
          </w:p>
        </w:tc>
        <w:tc>
          <w:tcPr>
            <w:tcW w:w="156" w:type="dxa"/>
            <w:tcBorders>
              <w:top w:val="doub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 2024</w:t>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Fair</w:t>
              <w:br/>
              <w:t>Value</w:t>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Cash and cash equivalents:</w:t>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and money market funds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424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cash and cash equivalents </w:t>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55,370 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Investments:</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Corporate debt securities </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46,905 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U.S. government &amp; agency securities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287,393 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287,656 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investments </w:t>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334,139 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602 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334,561 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cash, cash equivalents, and investments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389,509 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602 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389,931 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2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1,532 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1,532 </w:t>
            </w:r>
          </w:p>
        </w:tc>
        <w:tc>
          <w:tcPr>
            <w:tcW w:w="15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The following table summarizes the contractual maturities of our cash equivalents and available-for-sale investments, excluding money market funds, as of December 31, 2025:</w:t>
      </w:r>
    </w:p>
    <w:tbl>
      <w:tblPr>
        <w:tblW w:w="4700" w:type="dxa"/>
        <w:jc w:val="left"/>
        <w:tblInd w:w="0" w:type="dxa"/>
        <w:tblLayout w:type="fixed"/>
        <w:tblCellMar>
          <w:top w:w="28" w:type="dxa"/>
          <w:left w:w="28" w:type="dxa"/>
          <w:bottom w:w="28" w:type="dxa"/>
          <w:right w:w="28" w:type="dxa"/>
        </w:tblCellMar>
      </w:tblPr>
      <w:tblGrid>
        <w:gridCol w:w="1223"/>
        <w:gridCol w:w="1073"/>
        <w:gridCol w:w="1078"/>
        <w:gridCol w:w="226"/>
        <w:gridCol w:w="946"/>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26"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Fair Value</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Due in one year or less </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153,645 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Due after one year through 5 years </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65,365 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investments </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219,010 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Actual maturities may differ from contractual maturities because issuers may have the right to call or prepay obligations without call or prepayment penalties.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Investment income included in other income, net on our consolidated statements of operations and comprehensive loss was $13.1 million and $24.9 million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12520"/>
                <wp:effectExtent l="0" t="0" r="0" b="0"/>
                <wp:wrapNone/>
                <wp:docPr id="294" name="Frame9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9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02" descr=""/>
                                                <pic:cNvPicPr>
                                                  <a:picLocks noChangeAspect="1" noChangeArrowheads="1"/>
                                                </pic:cNvPicPr>
                                              </pic:nvPicPr>
                                              <pic:blipFill>
                                                <a:blip r:embed="rId198"/>
                                                <a:stretch>
                                                  <a:fillRect/>
                                                </a:stretch>
                                              </pic:blipFill>
                                              <pic:spPr bwMode="auto">
                                                <a:xfrm>
                                                  <a:off x="0" y="0"/>
                                                  <a:ext cx="457200" cy="95250"/>
                                                </a:xfrm>
                                                <a:prstGeom prst="rect">
                                                  <a:avLst/>
                                                </a:prstGeom>
                                              </pic:spPr>
                                            </pic:pic>
                                          </a:graphicData>
                                        </a:graphic>
                                      </wp:inline>
                                    </w:drawing>
                                  </w:r>
                                  <w:bookmarkStart w:id="200" w:name="i-102"/>
                                  <w:bookmarkEnd w:id="20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9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02" descr=""/>
                                          <pic:cNvPicPr>
                                            <a:picLocks noChangeAspect="1" noChangeArrowheads="1"/>
                                          </pic:cNvPicPr>
                                        </pic:nvPicPr>
                                        <pic:blipFill>
                                          <a:blip r:embed="rId199"/>
                                          <a:stretch>
                                            <a:fillRect/>
                                          </a:stretch>
                                        </pic:blipFill>
                                        <pic:spPr bwMode="auto">
                                          <a:xfrm>
                                            <a:off x="0" y="0"/>
                                            <a:ext cx="457200" cy="95250"/>
                                          </a:xfrm>
                                          <a:prstGeom prst="rect">
                                            <a:avLst/>
                                          </a:prstGeom>
                                        </pic:spPr>
                                      </pic:pic>
                                    </a:graphicData>
                                  </a:graphic>
                                </wp:inline>
                              </w:drawing>
                            </w:r>
                            <w:bookmarkStart w:id="201" w:name="i-102"/>
                            <w:bookmarkEnd w:id="20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5264" w:type="dxa"/>
        <w:jc w:val="left"/>
        <w:tblInd w:w="0" w:type="dxa"/>
        <w:tblLayout w:type="fixed"/>
        <w:tblCellMar>
          <w:top w:w="28" w:type="dxa"/>
          <w:left w:w="28" w:type="dxa"/>
          <w:bottom w:w="28" w:type="dxa"/>
          <w:right w:w="28" w:type="dxa"/>
        </w:tblCellMar>
      </w:tblPr>
      <w:tblGrid>
        <w:gridCol w:w="1684"/>
        <w:gridCol w:w="1481"/>
        <w:gridCol w:w="2099"/>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bottom w:val="dotted" w:sz="8" w:space="0" w:color="DF1995"/>
            </w:tcBorders>
            <w:shd w:fill="1383C6" w:val="clear"/>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FFFFFF"/>
                <w:sz w:val="22"/>
              </w:rPr>
            </w:pPr>
            <w:r>
              <w:rPr>
                <w:rFonts w:ascii="Roboto;sans-serif" w:hAnsi="Roboto;sans-serif"/>
                <w:b/>
                <w:color w:val="FFFFFF"/>
                <w:sz w:val="22"/>
              </w:rPr>
              <w:t xml:space="preserve">NOTE 4. BALANCE SHEET COMPONENTS </w:t>
            </w:r>
          </w:p>
        </w:tc>
      </w:tr>
    </w:tbl>
    <w:tbl>
      <w:tblPr>
        <w:tblW w:w="2010" w:type="dxa"/>
        <w:jc w:val="left"/>
        <w:tblInd w:w="0" w:type="dxa"/>
        <w:tblLayout w:type="fixed"/>
        <w:tblCellMar>
          <w:top w:w="28" w:type="dxa"/>
          <w:left w:w="28" w:type="dxa"/>
          <w:bottom w:w="28" w:type="dxa"/>
          <w:right w:w="28" w:type="dxa"/>
        </w:tblCellMar>
      </w:tblPr>
      <w:tblGrid>
        <w:gridCol w:w="644"/>
        <w:gridCol w:w="565"/>
        <w:gridCol w:w="801"/>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Inventory, Net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Inventory, net, consisted of the following components:</w:t>
      </w:r>
    </w:p>
    <w:tbl>
      <w:tblPr>
        <w:tblW w:w="4644" w:type="dxa"/>
        <w:jc w:val="left"/>
        <w:tblInd w:w="0" w:type="dxa"/>
        <w:tblLayout w:type="fixed"/>
        <w:tblCellMar>
          <w:top w:w="28" w:type="dxa"/>
          <w:left w:w="28" w:type="dxa"/>
          <w:bottom w:w="28" w:type="dxa"/>
          <w:right w:w="28" w:type="dxa"/>
        </w:tblCellMar>
      </w:tblPr>
      <w:tblGrid>
        <w:gridCol w:w="707"/>
        <w:gridCol w:w="620"/>
        <w:gridCol w:w="623"/>
        <w:gridCol w:w="226"/>
        <w:gridCol w:w="826"/>
        <w:gridCol w:w="109"/>
        <w:gridCol w:w="109"/>
        <w:gridCol w:w="109"/>
        <w:gridCol w:w="109"/>
        <w:gridCol w:w="226"/>
        <w:gridCol w:w="826"/>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16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Purchased materials</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38,638 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45,270 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Work in process</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27,051 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22,172 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Finished goods</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15,709 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Inventory, gross</w:t>
            </w:r>
          </w:p>
        </w:tc>
        <w:tc>
          <w:tcPr>
            <w:tcW w:w="105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81,398 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81,523 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Inventory reserve</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(32,113)</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Inventory, net</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49,285 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58,755 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84" w:type="dxa"/>
        <w:jc w:val="left"/>
        <w:tblInd w:w="0" w:type="dxa"/>
        <w:tblLayout w:type="fixed"/>
        <w:tblCellMar>
          <w:top w:w="28" w:type="dxa"/>
          <w:left w:w="28" w:type="dxa"/>
          <w:bottom w:w="28" w:type="dxa"/>
          <w:right w:w="28" w:type="dxa"/>
        </w:tblCellMar>
      </w:tblPr>
      <w:tblGrid>
        <w:gridCol w:w="1244"/>
        <w:gridCol w:w="1092"/>
        <w:gridCol w:w="1548"/>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Property and Equipment, Net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Property and equipment, net, consisted of the following components: </w:t>
      </w:r>
    </w:p>
    <w:tbl>
      <w:tblPr>
        <w:tblW w:w="6324" w:type="dxa"/>
        <w:jc w:val="left"/>
        <w:tblInd w:w="0" w:type="dxa"/>
        <w:tblLayout w:type="fixed"/>
        <w:tblCellMar>
          <w:top w:w="28" w:type="dxa"/>
          <w:left w:w="28" w:type="dxa"/>
          <w:bottom w:w="28" w:type="dxa"/>
          <w:right w:w="28" w:type="dxa"/>
        </w:tblCellMar>
      </w:tblPr>
      <w:tblGrid>
        <w:gridCol w:w="1316"/>
        <w:gridCol w:w="1154"/>
        <w:gridCol w:w="1160"/>
        <w:gridCol w:w="226"/>
        <w:gridCol w:w="826"/>
        <w:gridCol w:w="109"/>
        <w:gridCol w:w="109"/>
        <w:gridCol w:w="109"/>
        <w:gridCol w:w="109"/>
        <w:gridCol w:w="226"/>
        <w:gridCol w:w="826"/>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16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Laboratory equipment and machinery </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47,742 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47,273 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Leasehold improvements</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33,837 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Computer equipment</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19,477 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Software</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7,197 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Furniture and fixtures</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2,954 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Construction in progress</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5,409 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105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116,616 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112,453 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Less: Accumulated depreciation </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(92,470)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(81,948)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Property and equipment, net </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24,146 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30,505 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 xml:space="preserve">Construction in progress consists of capitalizable costs that have been incurred for the construction of finite-lived assets and is primarily comprised of amounts that will be classified as lab equipment.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Depreciation expense during the years ended December 31, 2025, 2024, and 2023 was $13.0 million, $13.8 million, and $11.5 million, respectively.</w:t>
      </w:r>
    </w:p>
    <w:tbl>
      <w:tblPr>
        <w:tblW w:w="4094" w:type="dxa"/>
        <w:jc w:val="left"/>
        <w:tblInd w:w="0" w:type="dxa"/>
        <w:tblLayout w:type="fixed"/>
        <w:tblCellMar>
          <w:top w:w="28" w:type="dxa"/>
          <w:left w:w="28" w:type="dxa"/>
          <w:bottom w:w="28" w:type="dxa"/>
          <w:right w:w="28" w:type="dxa"/>
        </w:tblCellMar>
      </w:tblPr>
      <w:tblGrid>
        <w:gridCol w:w="1311"/>
        <w:gridCol w:w="1152"/>
        <w:gridCol w:w="1631"/>
      </w:tblGrid>
      <w:tr>
        <w:trPr/>
        <w:tc>
          <w:tcPr>
            <w:tcW w:w="13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DF1995"/>
                <w:sz w:val="22"/>
              </w:rPr>
            </w:pPr>
            <w:r>
              <w:rPr>
                <w:rFonts w:ascii="Roboto;sans-serif" w:hAnsi="Roboto;sans-serif"/>
                <w:b/>
                <w:color w:val="DF1995"/>
                <w:sz w:val="22"/>
              </w:rPr>
              <w:t>Goodwill and Intangible Assets</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Goodwill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Goodwill is reviewed for impairment at least annually during the second quarter, or more frequently if an event occurs indicating the potential for impairment. We recognized $144.5 million of impairment charges during the year ended December 31,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Based primarily on the decline in our stock price and overall market capitalization during the first quarter of 2025, driven in part by macroeconomic uncertainties, as well as our updated strategic plans and restructuring initiatives that prioritize accelerating adoption of HiFi sequencing and ceasing development of our high-throughput short-read platform, we concluded that changes to the timing and amount of expected future cash flows, among other factors, indicated that it was more likely than not that the fair value of the reporting unit was less than its carrying amount, requiring an interim goodwill impairment assessment. As a result of the quantitative interim impairment test performed as of March 31, 2025, we concluded that there was no impairment, as the estimated fair value of the entity-level reporting unit exceeded the carrying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12520"/>
                <wp:effectExtent l="0" t="0" r="0" b="0"/>
                <wp:wrapNone/>
                <wp:docPr id="297" name="Frame10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9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03" descr=""/>
                                                <pic:cNvPicPr>
                                                  <a:picLocks noChangeAspect="1" noChangeArrowheads="1"/>
                                                </pic:cNvPicPr>
                                              </pic:nvPicPr>
                                              <pic:blipFill>
                                                <a:blip r:embed="rId200"/>
                                                <a:stretch>
                                                  <a:fillRect/>
                                                </a:stretch>
                                              </pic:blipFill>
                                              <pic:spPr bwMode="auto">
                                                <a:xfrm>
                                                  <a:off x="0" y="0"/>
                                                  <a:ext cx="457200" cy="95250"/>
                                                </a:xfrm>
                                                <a:prstGeom prst="rect">
                                                  <a:avLst/>
                                                </a:prstGeom>
                                              </pic:spPr>
                                            </pic:pic>
                                          </a:graphicData>
                                        </a:graphic>
                                      </wp:inline>
                                    </w:drawing>
                                  </w:r>
                                  <w:bookmarkStart w:id="202" w:name="i-103"/>
                                  <w:bookmarkEnd w:id="20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9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03" descr=""/>
                                          <pic:cNvPicPr>
                                            <a:picLocks noChangeAspect="1" noChangeArrowheads="1"/>
                                          </pic:cNvPicPr>
                                        </pic:nvPicPr>
                                        <pic:blipFill>
                                          <a:blip r:embed="rId201"/>
                                          <a:stretch>
                                            <a:fillRect/>
                                          </a:stretch>
                                        </pic:blipFill>
                                        <pic:spPr bwMode="auto">
                                          <a:xfrm>
                                            <a:off x="0" y="0"/>
                                            <a:ext cx="457200" cy="95250"/>
                                          </a:xfrm>
                                          <a:prstGeom prst="rect">
                                            <a:avLst/>
                                          </a:prstGeom>
                                        </pic:spPr>
                                      </pic:pic>
                                    </a:graphicData>
                                  </a:graphic>
                                </wp:inline>
                              </w:drawing>
                            </w:r>
                            <w:bookmarkStart w:id="203" w:name="i-103"/>
                            <w:bookmarkEnd w:id="20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 determine the fair value of the entity-level reporting unit as of March 31, 2025, we performed our impairment test using a combination of an income approach and a market approach to determine the fair value of the reporting unit. The income approach utilized estimated discounted cash flows, while the market approach utilized comparable company information. Significant assumptions used in the income approach included revenue growth expectations and a selected discount rate of 12.0%. The discount rate was based on the weighted average cost of capital, determined using market, industry data, and related risk factors. The assumptions used were inherently subject to uncertainty. The assessment is a level 3 measurement due to its reliance on certain unobservable inputs and management judgment. The assessed fair value was deemed reasonable based on a market capitalization reconciliation and a supportable control premium.</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performed our annual assessment for goodwill impairment in the second quarter of 2025, noting no impairment.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our future operating results, cash flows, share price, market capitalization or discount rates, among others, used when conducting future goodwill impairment tests could affect the estimated implied fair value of goodwill and may result in additional impairment charges in the future.</w:t>
      </w:r>
    </w:p>
    <w:p>
      <w:pPr>
        <w:pStyle w:val="TextBody"/>
        <w:bidi w:val="0"/>
        <w:spacing w:lineRule="auto" w:line="288" w:before="240" w:after="283"/>
        <w:jc w:val="both"/>
        <w:rPr>
          <w:rFonts w:ascii="Roboto;sans-serif" w:hAnsi="Roboto;sans-serif"/>
          <w:b/>
          <w:i/>
          <w:color w:val="DF1995"/>
          <w:sz w:val="20"/>
        </w:rPr>
      </w:pPr>
      <w:r>
        <w:rPr>
          <w:rFonts w:ascii="Roboto;sans-serif" w:hAnsi="Roboto;sans-serif"/>
          <w:b/>
          <w:i/>
          <w:color w:val="DF1995"/>
          <w:sz w:val="20"/>
        </w:rPr>
        <w:t>Intangible Assets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Intangible assets include developed technology, customer relationships, and acquired IPR&amp;D.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a result of the Apton acquisition in August 2023, we allocated $55.0 million of the purchase price to IPR&amp;D. During the year ended December 31, 2023, acquired IPR&amp;D of $400.0 million as a result of the Omniome acquisition in September 2021 was completed and became subject to amortization.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IPR&amp;D is reviewed for impairment at least annually, or more frequently if an event occurs indicating the potential for impairment. We recognized a $40.0 million impairment charge during the year ended December 31,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first quarter of 2025, based on our decision to cease development of the high-throughput short-read sequencing platform, which would utilize the IPR&amp;D, and the resulting changes to the expected future cash flows, among other factors, we concluded that it was more likely than not that the fair value of the IPR&amp;D was less than its carrying amount, requiring an interim impairment assessment. Using a discounted cash flow model under the income approach, we determined the fair value was $0 and recorded a $15.0 million impairment charge. The decline in the fair value of the IPR&amp;D to $0 as of March 31, 2025 resulted primarily from changes in the timing of expected future cash flows as compared to the fair value as of December 31, 2024, driven by the restructuring initiatives that prioritize accelerating adoption of HiFi sequencing and resulted in ceasing development of our high-throughput short-read sequencing platform. The impairment charge is included on our consolidated statements of operations and comprehensive loss for the year ended December 31, 2025. Significant estimates and assumptions used in the income approach include timing of future cash flows, revenue growth assumptions, a selected discount rate of 14.0%, and a selected obsolescence factor of 11 years. The discount rate was based primarily on the weighted average cost of capital, determined using market, peer company, industry data, and related risk factors. The assessment is a level 3 measurement due to its reliance on certain unobservable inputs and management judgment. The assumptions used were inherently subject to uncertainty.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to IPR&amp;D during the year ended December 31, 2025 were as follows:</w:t>
      </w:r>
    </w:p>
    <w:tbl>
      <w:tblPr>
        <w:tblW w:w="4727" w:type="dxa"/>
        <w:jc w:val="left"/>
        <w:tblInd w:w="0" w:type="dxa"/>
        <w:tblLayout w:type="fixed"/>
        <w:tblCellMar>
          <w:top w:w="28" w:type="dxa"/>
          <w:left w:w="28" w:type="dxa"/>
          <w:bottom w:w="28" w:type="dxa"/>
          <w:right w:w="28" w:type="dxa"/>
        </w:tblCellMar>
      </w:tblPr>
      <w:tblGrid>
        <w:gridCol w:w="1157"/>
        <w:gridCol w:w="1014"/>
        <w:gridCol w:w="1023"/>
        <w:gridCol w:w="109"/>
        <w:gridCol w:w="109"/>
        <w:gridCol w:w="109"/>
        <w:gridCol w:w="226"/>
        <w:gridCol w:w="82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15,000 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charge</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(15,000)</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December 31, 2025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color w:val="1383C6"/>
              </w:rPr>
            </w:pPr>
            <w:r>
              <w:rPr>
                <w:color w:val="1383C6"/>
              </w:rPr>
              <w:t>—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Roboto;sans-serif" w:hAnsi="Roboto;sans-serif"/>
          <w:b w:val="false"/>
          <w:color w:val="000000"/>
          <w:sz w:val="20"/>
        </w:rPr>
        <w:t xml:space="preserve">See </w:t>
      </w:r>
      <w:hyperlink w:anchor="i9dad38eca65443b9a8bcd939ad72e7eb_115">
        <w:r>
          <w:rPr>
            <w:rStyle w:val="InternetLink"/>
          </w:rPr>
          <w:t xml:space="preserve">Note </w:t>
        </w:r>
      </w:hyperlink>
      <w:hyperlink w:anchor="i9dad38eca65443b9a8bcd939ad72e7eb_115">
        <w:r>
          <w:rPr>
            <w:rStyle w:val="InternetLink"/>
          </w:rPr>
          <w:t>6</w:t>
        </w:r>
      </w:hyperlink>
      <w:hyperlink w:anchor="i9dad38eca65443b9a8bcd939ad72e7eb_115">
        <w:r>
          <w:rPr>
            <w:rStyle w:val="InternetLink"/>
          </w:rPr>
          <w:t>. Restructuring</w:t>
        </w:r>
      </w:hyperlink>
      <w:r>
        <w:rPr>
          <w:color w:val="000000"/>
        </w:rPr>
        <w:t xml:space="preserve"> </w:t>
      </w:r>
      <w:r>
        <w:rPr>
          <w:rFonts w:ascii="Roboto;sans-serif" w:hAnsi="Roboto;sans-serif"/>
          <w:b w:val="false"/>
          <w:color w:val="000000"/>
          <w:sz w:val="20"/>
        </w:rPr>
        <w:t>for additional information on costs incurred in connection with our current year restructuring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12520"/>
                <wp:effectExtent l="0" t="0" r="0" b="0"/>
                <wp:wrapNone/>
                <wp:docPr id="300" name="Frame10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0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04" descr=""/>
                                                <pic:cNvPicPr>
                                                  <a:picLocks noChangeAspect="1" noChangeArrowheads="1"/>
                                                </pic:cNvPicPr>
                                              </pic:nvPicPr>
                                              <pic:blipFill>
                                                <a:blip r:embed="rId202"/>
                                                <a:stretch>
                                                  <a:fillRect/>
                                                </a:stretch>
                                              </pic:blipFill>
                                              <pic:spPr bwMode="auto">
                                                <a:xfrm>
                                                  <a:off x="0" y="0"/>
                                                  <a:ext cx="457200" cy="95250"/>
                                                </a:xfrm>
                                                <a:prstGeom prst="rect">
                                                  <a:avLst/>
                                                </a:prstGeom>
                                              </pic:spPr>
                                            </pic:pic>
                                          </a:graphicData>
                                        </a:graphic>
                                      </wp:inline>
                                    </w:drawing>
                                  </w:r>
                                  <w:bookmarkStart w:id="204" w:name="i-104"/>
                                  <w:bookmarkEnd w:id="20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0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0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04" descr=""/>
                                          <pic:cNvPicPr>
                                            <a:picLocks noChangeAspect="1" noChangeArrowheads="1"/>
                                          </pic:cNvPicPr>
                                        </pic:nvPicPr>
                                        <pic:blipFill>
                                          <a:blip r:embed="rId203"/>
                                          <a:stretch>
                                            <a:fillRect/>
                                          </a:stretch>
                                        </pic:blipFill>
                                        <pic:spPr bwMode="auto">
                                          <a:xfrm>
                                            <a:off x="0" y="0"/>
                                            <a:ext cx="457200" cy="95250"/>
                                          </a:xfrm>
                                          <a:prstGeom prst="rect">
                                            <a:avLst/>
                                          </a:prstGeom>
                                        </pic:spPr>
                                      </pic:pic>
                                    </a:graphicData>
                                  </a:graphic>
                                </wp:inline>
                              </w:drawing>
                            </w:r>
                            <w:bookmarkStart w:id="205" w:name="i-104"/>
                            <w:bookmarkEnd w:id="20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99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In addition to IPR&amp;D, we had the following acquired finite-lived intangible assets as of December 31, 2025:</w:t>
      </w:r>
    </w:p>
    <w:tbl>
      <w:tblPr>
        <w:tblW w:w="8597" w:type="dxa"/>
        <w:jc w:val="left"/>
        <w:tblInd w:w="0" w:type="dxa"/>
        <w:tblLayout w:type="fixed"/>
        <w:tblCellMar>
          <w:top w:w="28" w:type="dxa"/>
          <w:left w:w="28" w:type="dxa"/>
          <w:bottom w:w="28" w:type="dxa"/>
          <w:right w:w="28" w:type="dxa"/>
        </w:tblCellMar>
      </w:tblPr>
      <w:tblGrid>
        <w:gridCol w:w="901"/>
        <w:gridCol w:w="793"/>
        <w:gridCol w:w="795"/>
        <w:gridCol w:w="399"/>
        <w:gridCol w:w="399"/>
        <w:gridCol w:w="401"/>
        <w:gridCol w:w="109"/>
        <w:gridCol w:w="109"/>
        <w:gridCol w:w="109"/>
        <w:gridCol w:w="226"/>
        <w:gridCol w:w="946"/>
        <w:gridCol w:w="109"/>
        <w:gridCol w:w="109"/>
        <w:gridCol w:w="109"/>
        <w:gridCol w:w="109"/>
        <w:gridCol w:w="251"/>
        <w:gridCol w:w="1068"/>
        <w:gridCol w:w="122"/>
        <w:gridCol w:w="109"/>
        <w:gridCol w:w="109"/>
        <w:gridCol w:w="109"/>
        <w:gridCol w:w="226"/>
        <w:gridCol w:w="82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 except years)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xml:space="preserve">Estimated </w:t>
              <w:b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Gross</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Net</w:t>
              <w:br/>
              <w:t>Carrying</w:t>
              <w:br/>
              <w:t>Amount</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Developed technology</w:t>
            </w:r>
          </w:p>
        </w:tc>
        <w:tc>
          <w:tcPr>
            <w:tcW w:w="1199"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1383C6"/>
                <w:sz w:val="18"/>
              </w:rPr>
            </w:pPr>
            <w:r>
              <w:rPr>
                <w:rFonts w:ascii="Roboto;sans-serif" w:hAnsi="Roboto;sans-serif"/>
                <w:b w:val="false"/>
                <w:color w:val="1383C6"/>
                <w:sz w:val="18"/>
              </w:rPr>
              <w:t>3 to 15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421,179 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68"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(406,055)</w:t>
            </w:r>
          </w:p>
        </w:tc>
        <w:tc>
          <w:tcPr>
            <w:tcW w:w="122"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15,124 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Customer relationships</w:t>
            </w:r>
          </w:p>
        </w:tc>
        <w:tc>
          <w:tcPr>
            <w:tcW w:w="1199"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1383C6"/>
                <w:sz w:val="18"/>
              </w:rPr>
            </w:pPr>
            <w:r>
              <w:rPr>
                <w:rFonts w:ascii="Roboto;sans-serif" w:hAnsi="Roboto;sans-serif"/>
                <w:b w:val="false"/>
                <w:color w:val="1383C6"/>
                <w:sz w:val="18"/>
              </w:rPr>
              <w:t>2</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360 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(360)</w:t>
            </w:r>
          </w:p>
        </w:tc>
        <w:tc>
          <w:tcPr>
            <w:tcW w:w="12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1199"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421,539 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6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(406,415)</w:t>
            </w:r>
          </w:p>
        </w:tc>
        <w:tc>
          <w:tcPr>
            <w:tcW w:w="122"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15,124 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Amortization expense of intangibles was $369.4 million, $27.4 million and $8.3 million for the years ended December 31, 2025, 2024, and 2023, respectively. For the years ended December 31, 2025, 2024, and 2023 amortization expense of intangibles in cost of revenue was $4.9 million, $9.4 million, and $2.0 million, respectively. For the years ended December 31, 2025, 2024, and 2023, amortization expense of intangibles in operating expenses was $364.5 million, $18.0 million, and $6.3 million, respectively.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Amortization of acquired intangible assets is included within our cost of revenue if the costs and expenses related to the intangible assets are attributable to revenue generating activities. Amortization expense for intangible assets that are not directly related to sales generating activities are amortized to operating expenses. For developed technology intangible assets that are utilized in both revenue generating activities and in research and development activities, we allocate the amortization expense between cost of revenue and operating expenses. The finite-lived intangible assets are amortized using the straight-line method over their estimated useful lives.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first quarter of 2025, we revised the estimated useful life of the developed technology acquired in the 2021 Omniome, Inc. ("Omniome") acquisition. This change reflects updated strategic plans and restructuring initiatives focused on accelerating HiFi sequencing adoption, leading to ceased development of our high-throughput short-read platform and revised expectations for the timing and amount of future cash flows from short-read sequencing products and services. As a result of the change in estimate, we recognized accelerated amortization of $359.3 million within amortization of acquired intangible assets in operating expenses, reflecting our revised estimate that the asset will no longer generate economic benefit. This expense had a negative impact on basic and diluted net loss per share of $1.20 for the year ended December 31, 2025.</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March 7, 2025, the Company entered into an agreement to acquire certain developed technology and related intellectual property from The Chinese University of Hong Kong for a total consideration of $9.7 million. In addition, the Company entered into a license agreement for complementary developed technology during the three months ended March 31, 2025. Both the acquired technology and license are classified as intangible assets and are being amortized over an estimated useful life of three years. As of December 31, 2025, $5.0 million of these intangible assets remained unpaid. This amount is included in accrued liabilities on the condensed consolidated balance sheets and is expected to be paid in 2026.</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estimated future amortization expense of acquisition-related intangible assets with finite lives is estimated as follows:</w:t>
      </w:r>
    </w:p>
    <w:tbl>
      <w:tblPr>
        <w:tblW w:w="3171" w:type="dxa"/>
        <w:jc w:val="left"/>
        <w:tblInd w:w="0" w:type="dxa"/>
        <w:tblLayout w:type="fixed"/>
        <w:tblCellMar>
          <w:top w:w="28" w:type="dxa"/>
          <w:left w:w="28" w:type="dxa"/>
          <w:bottom w:w="28" w:type="dxa"/>
          <w:right w:w="28" w:type="dxa"/>
        </w:tblCellMar>
      </w:tblPr>
      <w:tblGrid>
        <w:gridCol w:w="712"/>
        <w:gridCol w:w="625"/>
        <w:gridCol w:w="628"/>
        <w:gridCol w:w="226"/>
        <w:gridCol w:w="826"/>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2026</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4,079 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4,079 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1,301 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745 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2030</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745 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2031 and thereafter</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4,175 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15,124 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12520"/>
                <wp:effectExtent l="0" t="0" r="0" b="0"/>
                <wp:wrapNone/>
                <wp:docPr id="303" name="Frame10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0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05" descr=""/>
                                                <pic:cNvPicPr>
                                                  <a:picLocks noChangeAspect="1" noChangeArrowheads="1"/>
                                                </pic:cNvPicPr>
                                              </pic:nvPicPr>
                                              <pic:blipFill>
                                                <a:blip r:embed="rId204"/>
                                                <a:stretch>
                                                  <a:fillRect/>
                                                </a:stretch>
                                              </pic:blipFill>
                                              <pic:spPr bwMode="auto">
                                                <a:xfrm>
                                                  <a:off x="0" y="0"/>
                                                  <a:ext cx="457200" cy="95250"/>
                                                </a:xfrm>
                                                <a:prstGeom prst="rect">
                                                  <a:avLst/>
                                                </a:prstGeom>
                                              </pic:spPr>
                                            </pic:pic>
                                          </a:graphicData>
                                        </a:graphic>
                                      </wp:inline>
                                    </w:drawing>
                                  </w:r>
                                  <w:bookmarkStart w:id="206" w:name="i-105"/>
                                  <w:bookmarkEnd w:id="20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05" descr=""/>
                                          <pic:cNvPicPr>
                                            <a:picLocks noChangeAspect="1" noChangeArrowheads="1"/>
                                          </pic:cNvPicPr>
                                        </pic:nvPicPr>
                                        <pic:blipFill>
                                          <a:blip r:embed="rId205"/>
                                          <a:stretch>
                                            <a:fillRect/>
                                          </a:stretch>
                                        </pic:blipFill>
                                        <pic:spPr bwMode="auto">
                                          <a:xfrm>
                                            <a:off x="0" y="0"/>
                                            <a:ext cx="457200" cy="95250"/>
                                          </a:xfrm>
                                          <a:prstGeom prst="rect">
                                            <a:avLst/>
                                          </a:prstGeom>
                                        </pic:spPr>
                                      </pic:pic>
                                    </a:graphicData>
                                  </a:graphic>
                                </wp:inline>
                              </w:drawing>
                            </w:r>
                            <w:bookmarkStart w:id="207" w:name="i-105"/>
                            <w:bookmarkEnd w:id="20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240" w:after="283"/>
        <w:jc w:val="both"/>
        <w:rPr>
          <w:rFonts w:ascii="Roboto;sans-serif" w:hAnsi="Roboto;sans-serif"/>
          <w:b/>
          <w:i/>
          <w:color w:val="DF1995"/>
          <w:sz w:val="20"/>
        </w:rPr>
      </w:pPr>
      <w:r>
        <w:rPr>
          <w:rFonts w:ascii="Roboto;sans-serif" w:hAnsi="Roboto;sans-serif"/>
          <w:b/>
          <w:i/>
          <w:color w:val="DF1995"/>
          <w:sz w:val="20"/>
        </w:rPr>
        <w:t>Assets Held for Sale</w:t>
      </w:r>
    </w:p>
    <w:p>
      <w:pPr>
        <w:pStyle w:val="TextBody"/>
        <w:bidi w:val="0"/>
        <w:spacing w:lineRule="auto" w:line="288" w:before="120" w:after="283"/>
        <w:jc w:val="both"/>
        <w:rPr/>
      </w:pPr>
      <w:r>
        <w:rPr>
          <w:rFonts w:ascii="Roboto;sans-serif" w:hAnsi="Roboto;sans-serif"/>
          <w:b w:val="false"/>
          <w:color w:val="000000"/>
          <w:sz w:val="20"/>
        </w:rPr>
        <w:t xml:space="preserve">During the fourth quarter of 2025, the Company committed to a plan to sell certain intellectual property and other assets related to our short-read DNA sequencing technology and related clustering, sequencing reagent, and detection technologies. The assets met the held-for-sale criteria under ASC 360. The carrying value of the assets was previously written down to $0 through impairment charges and accelerated amortization resulting from the change in estimated useful life recorded in the first quarter of 2025. Accordingly, no additional loss was recognized upon classification of such assets as held-for-sale. The Company completed the disposition of assets on January 30, 2026. See </w:t>
      </w:r>
      <w:hyperlink w:anchor="i9dad38eca65443b9a8bcd939ad72e7eb_133">
        <w:r>
          <w:rPr>
            <w:rStyle w:val="InternetLink"/>
            <w:rFonts w:ascii="Roboto;sans-serif" w:hAnsi="Roboto;sans-serif"/>
            <w:b w:val="false"/>
            <w:i/>
            <w:color w:val="0000FF"/>
            <w:sz w:val="20"/>
            <w:u w:val="single"/>
          </w:rPr>
          <w:t>Note 12. Subsequent Events</w:t>
        </w:r>
      </w:hyperlink>
      <w:r>
        <w:rPr>
          <w:color w:val="000000"/>
        </w:rPr>
        <w:t xml:space="preserve"> </w:t>
      </w:r>
      <w:r>
        <w:rPr>
          <w:rFonts w:ascii="Roboto;sans-serif" w:hAnsi="Roboto;sans-serif"/>
          <w:b w:val="false"/>
          <w:color w:val="000000"/>
          <w:sz w:val="20"/>
        </w:rPr>
        <w:t>for additional information.</w:t>
      </w:r>
    </w:p>
    <w:tbl>
      <w:tblPr>
        <w:tblW w:w="2475" w:type="dxa"/>
        <w:jc w:val="left"/>
        <w:tblInd w:w="0" w:type="dxa"/>
        <w:tblLayout w:type="fixed"/>
        <w:tblCellMar>
          <w:top w:w="28" w:type="dxa"/>
          <w:left w:w="28" w:type="dxa"/>
          <w:bottom w:w="28" w:type="dxa"/>
          <w:right w:w="28" w:type="dxa"/>
        </w:tblCellMar>
      </w:tblPr>
      <w:tblGrid>
        <w:gridCol w:w="792"/>
        <w:gridCol w:w="696"/>
        <w:gridCol w:w="987"/>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Accrued Expenses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Accrued expenses consisted of the following components: </w:t>
      </w:r>
    </w:p>
    <w:tbl>
      <w:tblPr>
        <w:tblW w:w="6773" w:type="dxa"/>
        <w:jc w:val="left"/>
        <w:tblInd w:w="0" w:type="dxa"/>
        <w:tblLayout w:type="fixed"/>
        <w:tblCellMar>
          <w:top w:w="28" w:type="dxa"/>
          <w:left w:w="28" w:type="dxa"/>
          <w:bottom w:w="28" w:type="dxa"/>
          <w:right w:w="28" w:type="dxa"/>
        </w:tblCellMar>
      </w:tblPr>
      <w:tblGrid>
        <w:gridCol w:w="1478"/>
        <w:gridCol w:w="1297"/>
        <w:gridCol w:w="1304"/>
        <w:gridCol w:w="226"/>
        <w:gridCol w:w="826"/>
        <w:gridCol w:w="109"/>
        <w:gridCol w:w="109"/>
        <w:gridCol w:w="109"/>
        <w:gridCol w:w="109"/>
        <w:gridCol w:w="226"/>
        <w:gridCol w:w="826"/>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16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Salaries and benefits</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18,254 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Accrued intangibles</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5,000 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interest payable</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3,270 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product development costs</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professional services and legal fees</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874 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Inventory accrual</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790 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Warranty accrual</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3,046 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Other </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2,376 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Accrued expenses </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33,646 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22,595 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625" w:type="dxa"/>
        <w:jc w:val="left"/>
        <w:tblInd w:w="0" w:type="dxa"/>
        <w:tblLayout w:type="fixed"/>
        <w:tblCellMar>
          <w:top w:w="28" w:type="dxa"/>
          <w:left w:w="28" w:type="dxa"/>
          <w:bottom w:w="28" w:type="dxa"/>
          <w:right w:w="28" w:type="dxa"/>
        </w:tblCellMar>
      </w:tblPr>
      <w:tblGrid>
        <w:gridCol w:w="841"/>
        <w:gridCol w:w="738"/>
        <w:gridCol w:w="1046"/>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Product Warranties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Warranties are recorded as part of accrued expenses on our consolidated balance sheets and warranty expense is recorded as a component of cost of product revenue on our consolidated statements of operations and comprehensive loss. There were no material changes in estimates for the periods presented below.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the reserve for product warranties were as follows:</w:t>
      </w:r>
    </w:p>
    <w:tbl>
      <w:tblPr>
        <w:tblW w:w="7136" w:type="dxa"/>
        <w:jc w:val="left"/>
        <w:tblInd w:w="0" w:type="dxa"/>
        <w:tblLayout w:type="fixed"/>
        <w:tblCellMar>
          <w:top w:w="28" w:type="dxa"/>
          <w:left w:w="28" w:type="dxa"/>
          <w:bottom w:w="28" w:type="dxa"/>
          <w:right w:w="28" w:type="dxa"/>
        </w:tblCellMar>
      </w:tblPr>
      <w:tblGrid>
        <w:gridCol w:w="1539"/>
        <w:gridCol w:w="1349"/>
        <w:gridCol w:w="1357"/>
        <w:gridCol w:w="266"/>
        <w:gridCol w:w="833"/>
        <w:gridCol w:w="128"/>
        <w:gridCol w:w="128"/>
        <w:gridCol w:w="128"/>
        <w:gridCol w:w="128"/>
        <w:gridCol w:w="266"/>
        <w:gridCol w:w="833"/>
        <w:gridCol w:w="181"/>
      </w:tblGrid>
      <w:tr>
        <w:trPr/>
        <w:tc>
          <w:tcPr>
            <w:tcW w:w="153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27"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beginning of period</w:t>
            </w:r>
          </w:p>
        </w:tc>
        <w:tc>
          <w:tcPr>
            <w:tcW w:w="26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33"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3,100 </w:t>
            </w:r>
          </w:p>
        </w:tc>
        <w:tc>
          <w:tcPr>
            <w:tcW w:w="12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4,681 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Additions charged to cost of product revenue</w:t>
            </w:r>
          </w:p>
        </w:tc>
        <w:tc>
          <w:tcPr>
            <w:tcW w:w="1099"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5,554 </w:t>
            </w:r>
          </w:p>
        </w:tc>
        <w:tc>
          <w:tcPr>
            <w:tcW w:w="12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6,144 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Repairs and replacements</w:t>
            </w:r>
          </w:p>
        </w:tc>
        <w:tc>
          <w:tcPr>
            <w:tcW w:w="1099"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(5,608)</w:t>
            </w:r>
          </w:p>
        </w:tc>
        <w:tc>
          <w:tcPr>
            <w:tcW w:w="12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(7,725)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end of period</w:t>
            </w:r>
          </w:p>
        </w:tc>
        <w:tc>
          <w:tcPr>
            <w:tcW w:w="26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3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3,046 </w:t>
            </w:r>
          </w:p>
        </w:tc>
        <w:tc>
          <w:tcPr>
            <w:tcW w:w="12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3,100 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459" w:type="dxa"/>
        <w:jc w:val="left"/>
        <w:tblInd w:w="0" w:type="dxa"/>
        <w:tblLayout w:type="fixed"/>
        <w:tblCellMar>
          <w:top w:w="28" w:type="dxa"/>
          <w:left w:w="28" w:type="dxa"/>
          <w:bottom w:w="28" w:type="dxa"/>
          <w:right w:w="28" w:type="dxa"/>
        </w:tblCellMar>
      </w:tblPr>
      <w:tblGrid>
        <w:gridCol w:w="786"/>
        <w:gridCol w:w="692"/>
        <w:gridCol w:w="981"/>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Deferred Revenue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we had a total of $19.9 million of deferred revenue, $16.0 million of which was recorded as deferred revenue, current and $3.9 million of which was recorded as deferred revenue, non-current, which primarily relates to deferred service contract revenues and is scheduled to be recognized in the next five years. Revenue recorded in the year ended December 31, 2025 includes $12.3 million that was included in deferred revenue, current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12520"/>
                <wp:effectExtent l="0" t="0" r="0" b="0"/>
                <wp:wrapNone/>
                <wp:docPr id="306" name="Frame10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0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06" descr=""/>
                                                <pic:cNvPicPr>
                                                  <a:picLocks noChangeAspect="1" noChangeArrowheads="1"/>
                                                </pic:cNvPicPr>
                                              </pic:nvPicPr>
                                              <pic:blipFill>
                                                <a:blip r:embed="rId206"/>
                                                <a:stretch>
                                                  <a:fillRect/>
                                                </a:stretch>
                                              </pic:blipFill>
                                              <pic:spPr bwMode="auto">
                                                <a:xfrm>
                                                  <a:off x="0" y="0"/>
                                                  <a:ext cx="457200" cy="95250"/>
                                                </a:xfrm>
                                                <a:prstGeom prst="rect">
                                                  <a:avLst/>
                                                </a:prstGeom>
                                              </pic:spPr>
                                            </pic:pic>
                                          </a:graphicData>
                                        </a:graphic>
                                      </wp:inline>
                                    </w:drawing>
                                  </w:r>
                                  <w:bookmarkStart w:id="208" w:name="i-106"/>
                                  <w:bookmarkEnd w:id="20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0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06" descr=""/>
                                          <pic:cNvPicPr>
                                            <a:picLocks noChangeAspect="1" noChangeArrowheads="1"/>
                                          </pic:cNvPicPr>
                                        </pic:nvPicPr>
                                        <pic:blipFill>
                                          <a:blip r:embed="rId207"/>
                                          <a:stretch>
                                            <a:fillRect/>
                                          </a:stretch>
                                        </pic:blipFill>
                                        <pic:spPr bwMode="auto">
                                          <a:xfrm>
                                            <a:off x="0" y="0"/>
                                            <a:ext cx="457200" cy="95250"/>
                                          </a:xfrm>
                                          <a:prstGeom prst="rect">
                                            <a:avLst/>
                                          </a:prstGeom>
                                        </pic:spPr>
                                      </pic:pic>
                                    </a:graphicData>
                                  </a:graphic>
                                </wp:inline>
                              </w:drawing>
                            </w:r>
                            <w:bookmarkStart w:id="209" w:name="i-106"/>
                            <w:bookmarkEnd w:id="20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Performance Obligations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regularly enter into contracts with multiple performance obligations. These contracts are believed to be firm as of the balance sheet date. However, we may allow customers to make product substitutions or certain modifications at our discretion. The timing of shipments depends on several factors, including agreed upon shipping schedules, which may span multiple quarters. Most performance obligations are generally satisfied within a year of the contract execution date. As of December 31, 2025, the aggregate amount of the transaction price allocated to remaining performance obligations was $49.2 million, of which approximately 80% is expected to be converted to revenue in 2026, approximately 16% in the following twelve months, and the remainder thereafter.</w:t>
      </w:r>
    </w:p>
    <w:tbl>
      <w:tblPr>
        <w:tblW w:w="3315" w:type="dxa"/>
        <w:jc w:val="left"/>
        <w:tblInd w:w="0" w:type="dxa"/>
        <w:tblLayout w:type="fixed"/>
        <w:tblCellMar>
          <w:top w:w="28" w:type="dxa"/>
          <w:left w:w="28" w:type="dxa"/>
          <w:bottom w:w="28" w:type="dxa"/>
          <w:right w:w="28" w:type="dxa"/>
        </w:tblCellMar>
      </w:tblPr>
      <w:tblGrid>
        <w:gridCol w:w="1062"/>
        <w:gridCol w:w="932"/>
        <w:gridCol w:w="1321"/>
      </w:tblGrid>
      <w:tr>
        <w:trPr/>
        <w:tc>
          <w:tcPr>
            <w:tcW w:w="106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Other Liabilities, Current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Other liabilities, current, consisted of the following components: </w:t>
      </w:r>
    </w:p>
    <w:tbl>
      <w:tblPr>
        <w:tblW w:w="6159" w:type="dxa"/>
        <w:jc w:val="left"/>
        <w:tblInd w:w="0" w:type="dxa"/>
        <w:tblLayout w:type="fixed"/>
        <w:tblCellMar>
          <w:top w:w="28" w:type="dxa"/>
          <w:left w:w="28" w:type="dxa"/>
          <w:bottom w:w="28" w:type="dxa"/>
          <w:right w:w="28" w:type="dxa"/>
        </w:tblCellMar>
      </w:tblPr>
      <w:tblGrid>
        <w:gridCol w:w="1343"/>
        <w:gridCol w:w="1178"/>
        <w:gridCol w:w="1184"/>
        <w:gridCol w:w="226"/>
        <w:gridCol w:w="706"/>
        <w:gridCol w:w="109"/>
        <w:gridCol w:w="109"/>
        <w:gridCol w:w="109"/>
        <w:gridCol w:w="109"/>
        <w:gridCol w:w="226"/>
        <w:gridCol w:w="706"/>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04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Employee Stock Purchase Plan</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0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1,377 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2,014 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Other </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654 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liabilities, current</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0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2,031 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3,224 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95" w:type="dxa"/>
        <w:jc w:val="left"/>
        <w:tblInd w:w="0" w:type="dxa"/>
        <w:tblLayout w:type="fixed"/>
        <w:tblCellMar>
          <w:top w:w="28" w:type="dxa"/>
          <w:left w:w="28" w:type="dxa"/>
          <w:bottom w:w="28" w:type="dxa"/>
          <w:right w:w="28" w:type="dxa"/>
        </w:tblCellMar>
      </w:tblPr>
      <w:tblGrid>
        <w:gridCol w:w="1600"/>
        <w:gridCol w:w="1404"/>
        <w:gridCol w:w="1991"/>
      </w:tblGrid>
      <w:tr>
        <w:trPr/>
        <w:tc>
          <w:tcPr>
            <w:tcW w:w="16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5. CONVERTIBLE SENIOR NOTES</w:t>
            </w:r>
          </w:p>
        </w:tc>
      </w:tr>
    </w:tbl>
    <w:tbl>
      <w:tblPr>
        <w:tblW w:w="3989" w:type="dxa"/>
        <w:jc w:val="left"/>
        <w:tblInd w:w="0" w:type="dxa"/>
        <w:tblLayout w:type="fixed"/>
        <w:tblCellMar>
          <w:top w:w="28" w:type="dxa"/>
          <w:left w:w="28" w:type="dxa"/>
          <w:bottom w:w="28" w:type="dxa"/>
          <w:right w:w="28" w:type="dxa"/>
        </w:tblCellMar>
      </w:tblPr>
      <w:tblGrid>
        <w:gridCol w:w="1277"/>
        <w:gridCol w:w="1122"/>
        <w:gridCol w:w="1590"/>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DF1995"/>
                <w:sz w:val="22"/>
              </w:rPr>
            </w:pPr>
            <w:r>
              <w:rPr>
                <w:rFonts w:ascii="Roboto;sans-serif" w:hAnsi="Roboto;sans-serif"/>
                <w:b/>
                <w:color w:val="DF1995"/>
                <w:sz w:val="22"/>
              </w:rPr>
              <w:t>2029 Convertible Senior Notes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November 7, 2024, we entered into an exchange agreement with SB Northstar LP (“SBN”), a subsidiary of SoftBank Group Corp., pursuant to which we agreed to exchange the remaining approximately $459.0 million in aggregate principal amount of our previously held 1.50% Convertible Senior Notes due 2028 (the “2028 Notes”) outstanding for (i) $200.0 million aggregate principal amount of 1.50% Convertible Senior Notes due 2029 (the “2029 Notes”), (ii) 20,451,570 shares of common stock (the “Exchange Shares”) and (iii) $50.0 million of cash (the “2024 Exchange Transaction”). The Exchange Shares were issued on November 21, 2024 (the “Closing Date”). The 2029 Notes, the Exchange Shares, and shares of common stock issuable upon conversion of the 2029 Notes were subject to certain lock-up restrictions for a six-month period (the “Lock-Up Period”) beginning on the Closing Date of the 2024 Exchange Transaction.</w:t>
      </w:r>
    </w:p>
    <w:p>
      <w:pPr>
        <w:pStyle w:val="TextBody"/>
        <w:bidi w:val="0"/>
        <w:spacing w:lineRule="auto" w:line="288" w:before="120" w:after="283"/>
        <w:jc w:val="both"/>
        <w:rPr/>
      </w:pPr>
      <w:r>
        <w:rPr>
          <w:rFonts w:ascii="Roboto;sans-serif" w:hAnsi="Roboto;sans-serif"/>
          <w:b w:val="false"/>
          <w:color w:val="000000"/>
          <w:sz w:val="20"/>
        </w:rPr>
        <w:t>Additionally, on November 21, 2024, in connection with the issuance of the 2029 Notes, the Company and SBN entered into the Letter Agreement pursuant to which the Company and SBN agreed that, for so long as SBN and its affiliates hold at least $180 million aggregate principal amount of the 2029 Notes, the Company and its subsidiaries are subject to certain negative covenants that restrict the Company’s and its subsidiaries’ ability to incur additional indebtedness and create liens, in each case, subject to the exceptions set forth in the Letter Agreement, including exceptions which permit the Company to incur up to $75 million in aggregate principal amount of secured indebtedness pursuant to Credit Facilities (as defined in the Letter Agreement).</w:t>
      </w:r>
      <w:r>
        <w:rPr>
          <w:color w:val="000000"/>
        </w:rPr>
        <w:t xml:space="preserve"> </w:t>
      </w:r>
      <w:r>
        <w:rPr>
          <w:rFonts w:ascii="Roboto;sans-serif" w:hAnsi="Roboto;sans-serif"/>
          <w:b w:val="false"/>
          <w:color w:val="000000"/>
          <w:sz w:val="20"/>
        </w:rPr>
        <w:t>In addition, the Letter Agreement restricts the ability of the Company and its subsidiaries from guaranteeing any indebtedness or incurring certain indebtedness outside of the ordinary course of business unless, in each case, the Company and its subsidiaries concurrently provide a guarantee of the Company’s obligations under the 2029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any conversion of the 2029 Notes, SBN will not be entitled to be issued a number of shares of the Company’s common stock which would cause SBN's beneficial ownership of common stock to exceed either 9.9% of the total number of issued and outstanding shares of common stock or 9.9% of the combined voting power of all of the securities of the Company, in each case, following such conversion.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governed by an indenture (the “2029 Indenture”) between the Company and U.S. Bank Trust Company, National Association, as trustee. The 2029 Notes bear interest at a rate of 1.50% per annum. Interest on the 2029 Notes is payable semi-annually in arrears on February 15 and August 15, commencing on February 15, 2025. The 2029 Notes will mature on August 15, 2029, subject to earlier conversion, redemption or repurchase.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12520"/>
                <wp:effectExtent l="0" t="0" r="0" b="0"/>
                <wp:wrapNone/>
                <wp:docPr id="309" name="Frame10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07" descr=""/>
                                                <pic:cNvPicPr>
                                                  <a:picLocks noChangeAspect="1" noChangeArrowheads="1"/>
                                                </pic:cNvPicPr>
                                              </pic:nvPicPr>
                                              <pic:blipFill>
                                                <a:blip r:embed="rId208"/>
                                                <a:stretch>
                                                  <a:fillRect/>
                                                </a:stretch>
                                              </pic:blipFill>
                                              <pic:spPr bwMode="auto">
                                                <a:xfrm>
                                                  <a:off x="0" y="0"/>
                                                  <a:ext cx="457200" cy="95250"/>
                                                </a:xfrm>
                                                <a:prstGeom prst="rect">
                                                  <a:avLst/>
                                                </a:prstGeom>
                                              </pic:spPr>
                                            </pic:pic>
                                          </a:graphicData>
                                        </a:graphic>
                                      </wp:inline>
                                    </w:drawing>
                                  </w:r>
                                  <w:bookmarkStart w:id="210" w:name="i-107"/>
                                  <w:bookmarkEnd w:id="21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07" descr=""/>
                                          <pic:cNvPicPr>
                                            <a:picLocks noChangeAspect="1" noChangeArrowheads="1"/>
                                          </pic:cNvPicPr>
                                        </pic:nvPicPr>
                                        <pic:blipFill>
                                          <a:blip r:embed="rId209"/>
                                          <a:stretch>
                                            <a:fillRect/>
                                          </a:stretch>
                                        </pic:blipFill>
                                        <pic:spPr bwMode="auto">
                                          <a:xfrm>
                                            <a:off x="0" y="0"/>
                                            <a:ext cx="457200" cy="95250"/>
                                          </a:xfrm>
                                          <a:prstGeom prst="rect">
                                            <a:avLst/>
                                          </a:prstGeom>
                                        </pic:spPr>
                                      </pic:pic>
                                    </a:graphicData>
                                  </a:graphic>
                                </wp:inline>
                              </w:drawing>
                            </w:r>
                            <w:bookmarkStart w:id="211" w:name="i-107"/>
                            <w:bookmarkEnd w:id="21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convertible at the option of the holder at any time from the expiration of the Lock-Up Period until the second scheduled trading day prior to the maturity date, including in connection with a redemption by the Company. The 2029 Notes are convertible into shares of our common stock based on an initial conversion rate of 204.5157 shares of common stock per $1,000 principal amount of the 2029 Notes (which is equal to an initial conversion price of approximately $4.89 per share of common stock), in each case subject to customary anti-dilution and other adjustments as a result of certain extraordinary transactions. Upon conversion of the 2029 Notes, we may elect to settle such conversion obligation in cash, shares of our common stock, or a combination of cash and shares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or after August 20, 2027, and prior to the 31st scheduled trading day immediately preceding the maturity date, the 2029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2029 Notes, plus accrued and unpaid interest up to, but excluding, the redemption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the occurrence of a Fundamental Change (as defined in the 2029 Indenture), the holders of the 2029 Notes may require that we repurchase all or part of the principal amount of the 2029 Notes at a purchase price of par plus unpaid interest up to, but excluding, the maturity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subject to certain debt and lien covenants as well as springing guarantees, in each case, the terms of which are set forth in a second letter agreement between the Company and SBN entered into in connection with the Indenture.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Indenture includes customary “events of default,” which may result in the acceleration of the maturity of the 2029 Notes under the 2029 Indenture. The 2029 Indenture also includes customary covenants for convertible notes of this type.</w:t>
      </w:r>
    </w:p>
    <w:p>
      <w:pPr>
        <w:pStyle w:val="TextBody"/>
        <w:bidi w:val="0"/>
        <w:spacing w:lineRule="auto" w:line="288" w:before="120" w:after="283"/>
        <w:jc w:val="both"/>
        <w:rPr/>
      </w:pPr>
      <w:r>
        <w:rPr>
          <w:rFonts w:ascii="Roboto;sans-serif" w:hAnsi="Roboto;sans-serif"/>
          <w:b w:val="false"/>
          <w:color w:val="000000"/>
          <w:sz w:val="20"/>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2029 Notes at a rate equal to (i) 0.25% per annum of the principal amount of the 2029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2029 Notes outstanding for each day from, and including, the 181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calendar day to, and including, the 360</w:t>
      </w:r>
      <w:r>
        <w:rPr>
          <w:rFonts w:ascii="Roboto;sans-serif" w:hAnsi="Roboto;sans-serif"/>
          <w:b w:val="false"/>
          <w:color w:val="000000"/>
          <w:sz w:val="13"/>
        </w:rPr>
        <w:t>th</w:t>
      </w:r>
      <w:r>
        <w:rPr>
          <w:color w:val="000000"/>
        </w:rPr>
        <w:t xml:space="preserve"> </w:t>
      </w:r>
      <w:r>
        <w:rPr>
          <w:rFonts w:ascii="Roboto;sans-serif" w:hAnsi="Roboto;sans-serif"/>
          <w:b w:val="false"/>
          <w:color w:val="000000"/>
          <w:sz w:val="20"/>
        </w:rPr>
        <w:t>calendar day after the occurrence of such an event of default during which such event of default is continuing (or, if earlier, the date on which such event of default is cured or waived as provided for in the 2029 Indenture). On the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after such event of default (if the event of default relating to our failure to comply with its obligations is not cured or waived prior to such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the 2029 Notes shall be subject to acceleration as provided for in the 2029 Indenture.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2029 Notes is not accounted for as an embedded derivative because it is considered to be indexed to our common stock, and the 2029 Notes were not issued at a substantial premium; therefore, the 2029 Notes are accounted for in their entirety as a liability. Because we may elect to settle any conversions entirely in shares, and because settlement in shares is the default settlement method, the liability is classified as non-current.</w:t>
      </w:r>
    </w:p>
    <w:p>
      <w:pPr>
        <w:pStyle w:val="TextBody"/>
        <w:bidi w:val="0"/>
        <w:spacing w:lineRule="auto" w:line="288" w:before="120" w:after="283"/>
        <w:jc w:val="both"/>
        <w:rPr/>
      </w:pPr>
      <w:r>
        <w:rPr>
          <w:rFonts w:ascii="Roboto;sans-serif" w:hAnsi="Roboto;sans-serif"/>
          <w:b w:val="false"/>
          <w:color w:val="000000"/>
          <w:sz w:val="20"/>
        </w:rPr>
        <w:t xml:space="preserve">The requirement to repurchase the 2029 Notes, including unpaid interest to the maturity date in the event of a Fundamental Change, is considered a put option for certain periods requiring bifurcation under ASC 815 – </w:t>
      </w:r>
      <w:r>
        <w:rPr>
          <w:rFonts w:ascii="Roboto;sans-serif" w:hAnsi="Roboto;sans-serif"/>
          <w:b w:val="false"/>
          <w:i/>
          <w:color w:val="000000"/>
          <w:sz w:val="20"/>
        </w:rPr>
        <w:t>Derivatives and Hedging.</w:t>
      </w:r>
      <w:r>
        <w:rPr>
          <w:color w:val="000000"/>
        </w:rPr>
        <w:t xml:space="preserve"> </w:t>
      </w:r>
      <w:r>
        <w:rPr>
          <w:rFonts w:ascii="Roboto;sans-serif" w:hAnsi="Roboto;sans-serif"/>
          <w:b w:val="false"/>
          <w:color w:val="000000"/>
          <w:sz w:val="20"/>
        </w:rPr>
        <w:t>However, given the low probability of such a Fundamental Change occurring during the applicable periods,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12520"/>
                <wp:effectExtent l="0" t="0" r="0" b="0"/>
                <wp:wrapNone/>
                <wp:docPr id="312" name="Frame10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1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08" descr=""/>
                                                <pic:cNvPicPr>
                                                  <a:picLocks noChangeAspect="1" noChangeArrowheads="1"/>
                                                </pic:cNvPicPr>
                                              </pic:nvPicPr>
                                              <pic:blipFill>
                                                <a:blip r:embed="rId210"/>
                                                <a:stretch>
                                                  <a:fillRect/>
                                                </a:stretch>
                                              </pic:blipFill>
                                              <pic:spPr bwMode="auto">
                                                <a:xfrm>
                                                  <a:off x="0" y="0"/>
                                                  <a:ext cx="457200" cy="95250"/>
                                                </a:xfrm>
                                                <a:prstGeom prst="rect">
                                                  <a:avLst/>
                                                </a:prstGeom>
                                              </pic:spPr>
                                            </pic:pic>
                                          </a:graphicData>
                                        </a:graphic>
                                      </wp:inline>
                                    </w:drawing>
                                  </w:r>
                                  <w:bookmarkStart w:id="212" w:name="i-108"/>
                                  <w:bookmarkEnd w:id="21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1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08" descr=""/>
                                          <pic:cNvPicPr>
                                            <a:picLocks noChangeAspect="1" noChangeArrowheads="1"/>
                                          </pic:cNvPicPr>
                                        </pic:nvPicPr>
                                        <pic:blipFill>
                                          <a:blip r:embed="rId211"/>
                                          <a:stretch>
                                            <a:fillRect/>
                                          </a:stretch>
                                        </pic:blipFill>
                                        <pic:spPr bwMode="auto">
                                          <a:xfrm>
                                            <a:off x="0" y="0"/>
                                            <a:ext cx="457200" cy="95250"/>
                                          </a:xfrm>
                                          <a:prstGeom prst="rect">
                                            <a:avLst/>
                                          </a:prstGeom>
                                        </pic:spPr>
                                      </pic:pic>
                                    </a:graphicData>
                                  </a:graphic>
                                </wp:inline>
                              </w:drawing>
                            </w:r>
                            <w:bookmarkStart w:id="213" w:name="i-108"/>
                            <w:bookmarkEnd w:id="21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pPr>
      <w:r>
        <w:rPr>
          <w:rFonts w:ascii="Roboto;sans-serif" w:hAnsi="Roboto;sans-serif"/>
          <w:b w:val="false"/>
          <w:color w:val="000000"/>
          <w:sz w:val="20"/>
        </w:rPr>
        <w:t xml:space="preserve">The exchange qualified as a troubled debt restructuring under ASC 470-60 – </w:t>
      </w:r>
      <w:r>
        <w:rPr>
          <w:rFonts w:ascii="Roboto;sans-serif" w:hAnsi="Roboto;sans-serif"/>
          <w:b w:val="false"/>
          <w:i/>
          <w:color w:val="000000"/>
          <w:sz w:val="20"/>
        </w:rPr>
        <w:t>Troubled Debt Restructurings by Debtors</w:t>
      </w:r>
      <w:r>
        <w:rPr>
          <w:rFonts w:ascii="Roboto;sans-serif" w:hAnsi="Roboto;sans-serif"/>
          <w:b w:val="false"/>
          <w:color w:val="000000"/>
          <w:sz w:val="20"/>
        </w:rPr>
        <w:t xml:space="preserve">. Since the undiscounted cash flows of the 2029 Notes were less than the carrying amount of the exchanged 2028 Notes, the carrying value of the 2029 Notes was determined based on the total undiscounted cash flows. As a result, no interest expense will be recognized for the 2029 Notes. The Company recorded a gain on debt restructuring of $154.4 million, which resulted in a decrease of basic net loss per share of $0.56, during the year ended December 31, 2024 in our consolidated statements of operations and comprehensive loss. The gain was calculated as the difference between the carrying amount of the old debt and the carrying amount of the new debt, adjusted for debt issuance costs.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incurred issuance costs related to the 2029 Notes of approximately $3.1 million, including $0.2 million of lender fees, which were recorded as a reduction to the gain on debt restructuring in our consolidated statements of operations and comprehensive loss. We also paid accrued but unpaid interest of $1.8 million on the 2028 Notes in connection with the 2024 Exchange Transaction.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did not receive any cash proceeds from the 2024 Exchange Transaction. In exchange for issuing the 2029 Notes, Exchange Shares and paying $50.0 million of cash pursuant to the 2024 Exchange Transaction, we received and cancelled the exchanged 2028 Notes. Following the closing of the 2024 Exchange Transaction, no amounts were outstanding on the 2028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carrying amount of the liability for the 2029 Notes as of December 31, 2025 is $212.0 million, of which $209.0 million is included as convertible senior notes, net, non-current, and $3.0 million is included as accrued expenses on our consolidated balance sheets.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to the 2029 Notes during the year ended December 31, 2025 were as follows:</w:t>
      </w:r>
    </w:p>
    <w:tbl>
      <w:tblPr>
        <w:tblW w:w="5346" w:type="dxa"/>
        <w:jc w:val="left"/>
        <w:tblInd w:w="0" w:type="dxa"/>
        <w:tblLayout w:type="fixed"/>
        <w:tblCellMar>
          <w:top w:w="28" w:type="dxa"/>
          <w:left w:w="28" w:type="dxa"/>
          <w:bottom w:w="28" w:type="dxa"/>
          <w:right w:w="28" w:type="dxa"/>
        </w:tblCellMar>
      </w:tblPr>
      <w:tblGrid>
        <w:gridCol w:w="1456"/>
        <w:gridCol w:w="1276"/>
        <w:gridCol w:w="1288"/>
        <w:gridCol w:w="226"/>
        <w:gridCol w:w="946"/>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Carrying amount as of December 31, 2024</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214,200 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Contractual interest expense</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(2,200)</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Carrying amount as of December 31, 2025</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212,000 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the estimated fair value (Level 2) of the 2029 Notes was $183.5 million. The fair value of the 2029 Notes is estimated using a binomial lattice model that is primarily affected by the trading price of our common stock, market interest rates and volatility.</w:t>
      </w:r>
    </w:p>
    <w:tbl>
      <w:tblPr>
        <w:tblW w:w="3989" w:type="dxa"/>
        <w:jc w:val="left"/>
        <w:tblInd w:w="0" w:type="dxa"/>
        <w:tblLayout w:type="fixed"/>
        <w:tblCellMar>
          <w:top w:w="28" w:type="dxa"/>
          <w:left w:w="28" w:type="dxa"/>
          <w:bottom w:w="28" w:type="dxa"/>
          <w:right w:w="28" w:type="dxa"/>
        </w:tblCellMar>
      </w:tblPr>
      <w:tblGrid>
        <w:gridCol w:w="1277"/>
        <w:gridCol w:w="1122"/>
        <w:gridCol w:w="1590"/>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2030 Convertible Senior Notes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June 2023, we entered into a privately negotiated exchange agreement with a holder of our outstanding 2028 Notes, pursuant to which we issued $441.0 million in aggregate principal amount of our 1.375% Convertible Senior Notes due 2030 (the “2030 Notes” and together with the 2029 Notes, the “Notes”) in exchange for $441.0 million principal amount of the 2028 Notes (the “2023 Exchange Transaction”), pursuant to exemptions from registration under the Securities Act of 1933, as amended (the “Securities Act”), and the rules and regulations thereunder. The 2030 Notes were issued on June 30,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governed by an indenture (the “2030 Indenture”) between the Company and U.S. Bank Trust Company, National Association, as trustee. The 2030 Notes bear interest at a rate of 1.375% per annum. Interest on the 2030 Notes is payable semi-annually in arrears on June 15 and December 15, commencing on December 15, 2023. The 2030 Notes will mature on December 15, 2030, subject to earlier conversion, redemption or repurchase.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approximately $21.50 per share of common stock), in each case subject to customary anti-dilution and other adjustments as a result of certain extraordinary transactions. Upon conversion of the 2030 Notes, we may elect to settle such conversion obligation in cash, shares of our common stock, or a combination of cash and shares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On or after June 20, 2028, and prior to the 31st scheduled trading day immediately preceding the maturity date, the 2030 Notes will be redeemable by the Company in the event that the closing sale price of our common stock has been at least 150% of the conversion price then in effect for at least 20 trading days (whether or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12520"/>
                <wp:effectExtent l="0" t="0" r="0" b="0"/>
                <wp:wrapNone/>
                <wp:docPr id="315" name="Frame10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1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09" descr=""/>
                                                <pic:cNvPicPr>
                                                  <a:picLocks noChangeAspect="1" noChangeArrowheads="1"/>
                                                </pic:cNvPicPr>
                                              </pic:nvPicPr>
                                              <pic:blipFill>
                                                <a:blip r:embed="rId212"/>
                                                <a:stretch>
                                                  <a:fillRect/>
                                                </a:stretch>
                                              </pic:blipFill>
                                              <pic:spPr bwMode="auto">
                                                <a:xfrm>
                                                  <a:off x="0" y="0"/>
                                                  <a:ext cx="457200" cy="95250"/>
                                                </a:xfrm>
                                                <a:prstGeom prst="rect">
                                                  <a:avLst/>
                                                </a:prstGeom>
                                              </pic:spPr>
                                            </pic:pic>
                                          </a:graphicData>
                                        </a:graphic>
                                      </wp:inline>
                                    </w:drawing>
                                  </w:r>
                                  <w:bookmarkStart w:id="214" w:name="i-109"/>
                                  <w:bookmarkEnd w:id="21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1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09" descr=""/>
                                          <pic:cNvPicPr>
                                            <a:picLocks noChangeAspect="1" noChangeArrowheads="1"/>
                                          </pic:cNvPicPr>
                                        </pic:nvPicPr>
                                        <pic:blipFill>
                                          <a:blip r:embed="rId213"/>
                                          <a:stretch>
                                            <a:fillRect/>
                                          </a:stretch>
                                        </pic:blipFill>
                                        <pic:spPr bwMode="auto">
                                          <a:xfrm>
                                            <a:off x="0" y="0"/>
                                            <a:ext cx="457200" cy="95250"/>
                                          </a:xfrm>
                                          <a:prstGeom prst="rect">
                                            <a:avLst/>
                                          </a:prstGeom>
                                        </pic:spPr>
                                      </pic:pic>
                                    </a:graphicData>
                                  </a:graphic>
                                </wp:inline>
                              </w:drawing>
                            </w:r>
                            <w:bookmarkStart w:id="215" w:name="i-109"/>
                            <w:bookmarkEnd w:id="21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consecutive) during any 30 consecutive trading day period (including the last trading day of such period) ending on, and including, the trading day immediately preceding the date on which we provide the redemption notice at a redemption price of 100% of the principal amount of such 2030 Notes, plus accrued and unpaid interest up to, but excluding, the redemption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the occurrence of a Fundamental Change (as defined in the 2030 Indenture), the holders of the 2030 Notes may require that we repurchase all or part of the principal amount of the 2030 Notes at a purchase price equal to 100% of the principal amount of the notes to be repurchased, plus any accrued and unpaid interest up to, but excluding, the fundamental change repurchase date, and all unpaid interest from the fundamental change repurchase date thereon, but excluding, the maturity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Indenture includes customary “events of default,” which may result in the acceleration of the maturity of the 2030 Notes under the 2030 Indenture. The 2030 Indenture also includes customary covenants for convertible notes of this type.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2030 Notes at a rate equal to (i) 0.25% per annum of the principal amount of the 2030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2030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2030 Indenture). On the 361st day after such event of default (if the event of default relating to our failure to comply with its obligations is not cured or waived prior to such 361st day), the 2030 Notes shall be subject to acceleration as provided for in the 2030 Indenture.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2030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2030 Notes is not accounted for as an embedded derivative because it is considered to be indexed to our common stock, and the 2030 Notes were not issued at a substantial premium; therefore, the 2030 Notes are accounted for in their entirety as a liability. Because we may elect to settle any conversions entirely in shares, and because settlement in shares is the default settlement method, the liability is classified as non-current. </w:t>
      </w:r>
    </w:p>
    <w:p>
      <w:pPr>
        <w:pStyle w:val="TextBody"/>
        <w:bidi w:val="0"/>
        <w:spacing w:lineRule="auto" w:line="288" w:before="120" w:after="283"/>
        <w:jc w:val="both"/>
        <w:rPr/>
      </w:pPr>
      <w:r>
        <w:rPr>
          <w:rFonts w:ascii="Roboto;sans-serif" w:hAnsi="Roboto;sans-serif"/>
          <w:b w:val="false"/>
          <w:color w:val="000000"/>
          <w:sz w:val="20"/>
        </w:rPr>
        <w:t xml:space="preserve">The requirement to repurchase the 2030 Notes, including unpaid interest to the maturity date in the event of a Fundamental Change, is considered a put option for certain periods requiring bifurcation under ASC 815 – </w:t>
      </w:r>
      <w:r>
        <w:rPr>
          <w:rFonts w:ascii="Roboto;sans-serif" w:hAnsi="Roboto;sans-serif"/>
          <w:b w:val="false"/>
          <w:i/>
          <w:color w:val="000000"/>
          <w:sz w:val="20"/>
        </w:rPr>
        <w:t>Derivatives and Hedging.</w:t>
      </w:r>
      <w:r>
        <w:rPr>
          <w:color w:val="000000"/>
        </w:rPr>
        <w:t xml:space="preserve"> </w:t>
      </w:r>
      <w:r>
        <w:rPr>
          <w:rFonts w:ascii="Roboto;sans-serif" w:hAnsi="Roboto;sans-serif"/>
          <w:b w:val="false"/>
          <w:color w:val="000000"/>
          <w:sz w:val="20"/>
        </w:rPr>
        <w:t>However, given the low probability of such a Fundamental Change occurring during the applicable periods,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2023 Exchange Transaction was accounted for as an extinguishment driven by the change in fair value of the embedded conversion option. We recorded a loss on extinguishment of debt of approximately $2.0 million in connection with the 2023 Exchange Transaction during the year ended December 31, 2023, which represents the difference between the fair value and the principal amount of the 2030 Notes of the debt at the modification date, plus unamortized debt issuance costs of $1.5 million related to the respective portion of the 2028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incurred issuance costs related to the 2030 Notes of approximately $7.3 million, which were recorded as debt issuance costs and are presented as a reduction to the 2030 Notes on our consolidated balance sheets. The debt issuance costs are amortized to interest expense using the effective interest method over the term of the 2030 Notes, resulting in an effective interest rate of 1.6%. We also paid accrued but unpaid interest of $2.5 million on the 2028 Notes in connection with the 2023 Exchange Transaction on June 30,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did not receive any cash proceeds from the 2023 Exchange Transaction. In exchange for issuing the 2030 Notes pursuant to the 2023 Exchange Transaction, we received and cancelled the exchanged 2028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12520"/>
                <wp:effectExtent l="0" t="0" r="0" b="0"/>
                <wp:wrapNone/>
                <wp:docPr id="318" name="Frame10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1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10" descr=""/>
                                                <pic:cNvPicPr>
                                                  <a:picLocks noChangeAspect="1" noChangeArrowheads="1"/>
                                                </pic:cNvPicPr>
                                              </pic:nvPicPr>
                                              <pic:blipFill>
                                                <a:blip r:embed="rId214"/>
                                                <a:stretch>
                                                  <a:fillRect/>
                                                </a:stretch>
                                              </pic:blipFill>
                                              <pic:spPr bwMode="auto">
                                                <a:xfrm>
                                                  <a:off x="0" y="0"/>
                                                  <a:ext cx="457200" cy="95250"/>
                                                </a:xfrm>
                                                <a:prstGeom prst="rect">
                                                  <a:avLst/>
                                                </a:prstGeom>
                                              </pic:spPr>
                                            </pic:pic>
                                          </a:graphicData>
                                        </a:graphic>
                                      </wp:inline>
                                    </w:drawing>
                                  </w:r>
                                  <w:bookmarkStart w:id="216" w:name="i-110"/>
                                  <w:bookmarkEnd w:id="21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2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10" descr=""/>
                                          <pic:cNvPicPr>
                                            <a:picLocks noChangeAspect="1" noChangeArrowheads="1"/>
                                          </pic:cNvPicPr>
                                        </pic:nvPicPr>
                                        <pic:blipFill>
                                          <a:blip r:embed="rId215"/>
                                          <a:stretch>
                                            <a:fillRect/>
                                          </a:stretch>
                                        </pic:blipFill>
                                        <pic:spPr bwMode="auto">
                                          <a:xfrm>
                                            <a:off x="0" y="0"/>
                                            <a:ext cx="457200" cy="95250"/>
                                          </a:xfrm>
                                          <a:prstGeom prst="rect">
                                            <a:avLst/>
                                          </a:prstGeom>
                                        </pic:spPr>
                                      </pic:pic>
                                    </a:graphicData>
                                  </a:graphic>
                                </wp:inline>
                              </w:drawing>
                            </w:r>
                            <w:bookmarkStart w:id="217" w:name="i-110"/>
                            <w:bookmarkEnd w:id="21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Following the closing of the 2023 Exchange Transaction, $459.0 million in aggregate principal amount of 2028 Notes remained outstanding with terms unchanged.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net carrying amount of the liability for the 2030 Notes is included as convertible senior notes, net, non-current on our consolidated balance sheets as follows:</w:t>
      </w:r>
    </w:p>
    <w:tbl>
      <w:tblPr>
        <w:tblW w:w="6054" w:type="dxa"/>
        <w:jc w:val="left"/>
        <w:tblInd w:w="0" w:type="dxa"/>
        <w:tblLayout w:type="fixed"/>
        <w:tblCellMar>
          <w:top w:w="28" w:type="dxa"/>
          <w:left w:w="28" w:type="dxa"/>
          <w:bottom w:w="28" w:type="dxa"/>
          <w:right w:w="28" w:type="dxa"/>
        </w:tblCellMar>
      </w:tblPr>
      <w:tblGrid>
        <w:gridCol w:w="1131"/>
        <w:gridCol w:w="993"/>
        <w:gridCol w:w="996"/>
        <w:gridCol w:w="226"/>
        <w:gridCol w:w="946"/>
        <w:gridCol w:w="109"/>
        <w:gridCol w:w="109"/>
        <w:gridCol w:w="109"/>
        <w:gridCol w:w="109"/>
        <w:gridCol w:w="226"/>
        <w:gridCol w:w="946"/>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8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amount</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441,000 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441,000 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premium</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379 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(4,997)</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436,382 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435,494 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Interest expense for the 2030 Notes for the years ended December 31, 2025, 2024, and 2023 was as follows:</w:t>
      </w:r>
    </w:p>
    <w:tbl>
      <w:tblPr>
        <w:tblW w:w="7151" w:type="dxa"/>
        <w:jc w:val="left"/>
        <w:tblInd w:w="0" w:type="dxa"/>
        <w:tblLayout w:type="fixed"/>
        <w:tblCellMar>
          <w:top w:w="28" w:type="dxa"/>
          <w:left w:w="28" w:type="dxa"/>
          <w:bottom w:w="28" w:type="dxa"/>
          <w:right w:w="28" w:type="dxa"/>
        </w:tblCellMar>
      </w:tblPr>
      <w:tblGrid>
        <w:gridCol w:w="1206"/>
        <w:gridCol w:w="1060"/>
        <w:gridCol w:w="1063"/>
        <w:gridCol w:w="226"/>
        <w:gridCol w:w="706"/>
        <w:gridCol w:w="109"/>
        <w:gridCol w:w="109"/>
        <w:gridCol w:w="109"/>
        <w:gridCol w:w="109"/>
        <w:gridCol w:w="226"/>
        <w:gridCol w:w="706"/>
        <w:gridCol w:w="109"/>
        <w:gridCol w:w="109"/>
        <w:gridCol w:w="109"/>
        <w:gridCol w:w="109"/>
        <w:gridCol w:w="226"/>
        <w:gridCol w:w="70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(In thousands)</w:t>
            </w:r>
          </w:p>
        </w:tc>
        <w:tc>
          <w:tcPr>
            <w:tcW w:w="104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Contractual interest expense</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0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6,064 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3,032 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961 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interest expense</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0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7,025 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3,495 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the estimated fair value (Level 2) of the 2030 Notes was $317.0 million. The fair value of the 2030 Notes is estimated using a binomial lattice model that is primarily affected by the trading price of our common stock, market interest rates and volatility.</w:t>
      </w:r>
    </w:p>
    <w:tbl>
      <w:tblPr>
        <w:tblW w:w="3989" w:type="dxa"/>
        <w:jc w:val="left"/>
        <w:tblInd w:w="0" w:type="dxa"/>
        <w:tblLayout w:type="fixed"/>
        <w:tblCellMar>
          <w:top w:w="28" w:type="dxa"/>
          <w:left w:w="28" w:type="dxa"/>
          <w:bottom w:w="28" w:type="dxa"/>
          <w:right w:w="28" w:type="dxa"/>
        </w:tblCellMar>
      </w:tblPr>
      <w:tblGrid>
        <w:gridCol w:w="1277"/>
        <w:gridCol w:w="1122"/>
        <w:gridCol w:w="1590"/>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2028 Convertible Senior Notes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February 9, 2021, we entered into an investment agreement with SBN relating to the issuance and sale to SBN of $900.0 million in aggregate principal amount of the 2028 Notes. The 2028 Notes were issued on February 16, 2021 and bore interest at a rate of 1.50% per annum. As discussed above, in June 2023 we completed an exchange of $441.0 million in aggregate principal amount of our 2028 Notes for $441.0 million aggregate principal amount of the 2030 Notes, leaving approximately $459.0 million in aggregate principal amount of 2028 Notes outstanding. Also as discussed above, in November 2024 we completed an exchange of the remaining $459.0 million in aggregate principal amount of the 2028 Notes outstanding for (i) $200.0 million aggregate principal amount of the 2029 Notes, (ii) the Exchange Shares and (iii) $50.0 million of cash. As of December 31, 2024 no amounts were outstanding on the 2028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incurred issuance costs related to the 2028 Notes of approximately $4.5 million, which were recorded as debt issuance costs and are presented as a reduction to the 2028 Notes on our consolidated balance sheets. The debt issuance costs were amortized to interest expense using the effective interest method over the term of the 2028 Notes, resulting in an effective interest rate of 1.6%. In connection with the 2024 Exchange Transaction, the remaining unamortized debt issuance costs related to the 2028 Notes of $1.1 million were extinguished by offsetting the carrying amount of the convertible senior notes. </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Interest expense for the 2028 Notes was as follows for the years ended December 31, 2025, 2024, and 2023:</w:t>
      </w:r>
    </w:p>
    <w:tbl>
      <w:tblPr>
        <w:tblW w:w="6972" w:type="dxa"/>
        <w:jc w:val="left"/>
        <w:tblInd w:w="0" w:type="dxa"/>
        <w:tblLayout w:type="fixed"/>
        <w:tblCellMar>
          <w:top w:w="28" w:type="dxa"/>
          <w:left w:w="28" w:type="dxa"/>
          <w:bottom w:w="28" w:type="dxa"/>
          <w:right w:w="28" w:type="dxa"/>
        </w:tblCellMar>
      </w:tblPr>
      <w:tblGrid>
        <w:gridCol w:w="1207"/>
        <w:gridCol w:w="1059"/>
        <w:gridCol w:w="1064"/>
        <w:gridCol w:w="226"/>
        <w:gridCol w:w="406"/>
        <w:gridCol w:w="109"/>
        <w:gridCol w:w="109"/>
        <w:gridCol w:w="109"/>
        <w:gridCol w:w="109"/>
        <w:gridCol w:w="226"/>
        <w:gridCol w:w="706"/>
        <w:gridCol w:w="109"/>
        <w:gridCol w:w="109"/>
        <w:gridCol w:w="109"/>
        <w:gridCol w:w="109"/>
        <w:gridCol w:w="226"/>
        <w:gridCol w:w="826"/>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74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Contractual interest expense</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40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6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interest expense</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40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6,428 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10,605 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12520"/>
                <wp:effectExtent l="0" t="0" r="0" b="0"/>
                <wp:wrapNone/>
                <wp:docPr id="321" name="Frame10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2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11" descr=""/>
                                                <pic:cNvPicPr>
                                                  <a:picLocks noChangeAspect="1" noChangeArrowheads="1"/>
                                                </pic:cNvPicPr>
                                              </pic:nvPicPr>
                                              <pic:blipFill>
                                                <a:blip r:embed="rId216"/>
                                                <a:stretch>
                                                  <a:fillRect/>
                                                </a:stretch>
                                              </pic:blipFill>
                                              <pic:spPr bwMode="auto">
                                                <a:xfrm>
                                                  <a:off x="0" y="0"/>
                                                  <a:ext cx="457200" cy="95250"/>
                                                </a:xfrm>
                                                <a:prstGeom prst="rect">
                                                  <a:avLst/>
                                                </a:prstGeom>
                                              </pic:spPr>
                                            </pic:pic>
                                          </a:graphicData>
                                        </a:graphic>
                                      </wp:inline>
                                    </w:drawing>
                                  </w:r>
                                  <w:bookmarkStart w:id="218" w:name="i-111"/>
                                  <w:bookmarkEnd w:id="21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2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11" descr=""/>
                                          <pic:cNvPicPr>
                                            <a:picLocks noChangeAspect="1" noChangeArrowheads="1"/>
                                          </pic:cNvPicPr>
                                        </pic:nvPicPr>
                                        <pic:blipFill>
                                          <a:blip r:embed="rId217"/>
                                          <a:stretch>
                                            <a:fillRect/>
                                          </a:stretch>
                                        </pic:blipFill>
                                        <pic:spPr bwMode="auto">
                                          <a:xfrm>
                                            <a:off x="0" y="0"/>
                                            <a:ext cx="457200" cy="95250"/>
                                          </a:xfrm>
                                          <a:prstGeom prst="rect">
                                            <a:avLst/>
                                          </a:prstGeom>
                                        </pic:spPr>
                                      </pic:pic>
                                    </a:graphicData>
                                  </a:graphic>
                                </wp:inline>
                              </w:drawing>
                            </w:r>
                            <w:bookmarkStart w:id="219" w:name="i-111"/>
                            <w:bookmarkEnd w:id="21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3389" w:type="dxa"/>
        <w:jc w:val="left"/>
        <w:tblInd w:w="0" w:type="dxa"/>
        <w:tblLayout w:type="fixed"/>
        <w:tblCellMar>
          <w:top w:w="28" w:type="dxa"/>
          <w:left w:w="28" w:type="dxa"/>
          <w:bottom w:w="28" w:type="dxa"/>
          <w:right w:w="28" w:type="dxa"/>
        </w:tblCellMar>
      </w:tblPr>
      <w:tblGrid>
        <w:gridCol w:w="1085"/>
        <w:gridCol w:w="954"/>
        <w:gridCol w:w="1350"/>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6. RESTRUCTURING</w:t>
            </w:r>
          </w:p>
        </w:tc>
      </w:tr>
    </w:tbl>
    <w:tbl>
      <w:tblPr>
        <w:tblW w:w="2595" w:type="dxa"/>
        <w:jc w:val="left"/>
        <w:tblInd w:w="0" w:type="dxa"/>
        <w:tblLayout w:type="fixed"/>
        <w:tblCellMar>
          <w:top w:w="28" w:type="dxa"/>
          <w:left w:w="28" w:type="dxa"/>
          <w:bottom w:w="28" w:type="dxa"/>
          <w:right w:w="28" w:type="dxa"/>
        </w:tblCellMar>
      </w:tblPr>
      <w:tblGrid>
        <w:gridCol w:w="831"/>
        <w:gridCol w:w="731"/>
        <w:gridCol w:w="1033"/>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DF1995"/>
                <w:sz w:val="22"/>
              </w:rPr>
            </w:pPr>
            <w:r>
              <w:rPr>
                <w:rFonts w:ascii="Roboto;sans-serif" w:hAnsi="Roboto;sans-serif"/>
                <w:b/>
                <w:color w:val="DF1995"/>
                <w:sz w:val="22"/>
              </w:rPr>
              <w:t>2025 Restructuring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year ended December 31, 2025, we implemented an expense reduction initiative aimed at lowering our annualized run-rate operating expenses. These actions, which included workforce reductions and other cost-saving measures, were part of a broader strategic shift to prioritize the adoption of HiFi sequencing.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pre-tax restructuring charges are as follows:</w:t>
      </w:r>
    </w:p>
    <w:tbl>
      <w:tblPr>
        <w:tblW w:w="9101" w:type="dxa"/>
        <w:jc w:val="left"/>
        <w:tblInd w:w="0" w:type="dxa"/>
        <w:tblLayout w:type="fixed"/>
        <w:tblCellMar>
          <w:top w:w="28" w:type="dxa"/>
          <w:left w:w="28" w:type="dxa"/>
          <w:bottom w:w="28" w:type="dxa"/>
          <w:right w:w="28" w:type="dxa"/>
        </w:tblCellMar>
      </w:tblPr>
      <w:tblGrid>
        <w:gridCol w:w="1022"/>
        <w:gridCol w:w="896"/>
        <w:gridCol w:w="901"/>
        <w:gridCol w:w="446"/>
        <w:gridCol w:w="1394"/>
        <w:gridCol w:w="215"/>
        <w:gridCol w:w="109"/>
        <w:gridCol w:w="109"/>
        <w:gridCol w:w="109"/>
        <w:gridCol w:w="809"/>
        <w:gridCol w:w="2533"/>
        <w:gridCol w:w="558"/>
      </w:tblGrid>
      <w:tr>
        <w:trPr/>
        <w:tc>
          <w:tcPr>
            <w:tcW w:w="10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2055" w:type="dxa"/>
            <w:gridSpan w:val="3"/>
            <w:tcBorders/>
            <w:shd w:fill="E7F2F9" w:val="clear"/>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1383C6"/>
                <w:sz w:val="18"/>
              </w:rPr>
            </w:pPr>
            <w:r>
              <w:rPr>
                <w:rFonts w:ascii="Roboto;sans-serif" w:hAnsi="Roboto;sans-serif"/>
                <w:b/>
                <w:color w:val="1383C6"/>
                <w:sz w:val="18"/>
              </w:rPr>
              <w:t>Year Ended</w:t>
            </w:r>
          </w:p>
          <w:p>
            <w:pPr>
              <w:pStyle w:val="TableContents"/>
              <w:bidi w:val="0"/>
              <w:spacing w:lineRule="auto" w:line="240" w:before="0" w:after="0"/>
              <w:jc w:val="center"/>
              <w:rPr>
                <w:rFonts w:ascii="Roboto;sans-serif" w:hAnsi="Roboto;sans-serif"/>
                <w:b/>
                <w:color w:val="1383C6"/>
                <w:sz w:val="18"/>
              </w:rPr>
            </w:pPr>
            <w:r>
              <w:rPr>
                <w:rFonts w:ascii="Roboto;sans-serif" w:hAnsi="Roboto;sans-serif"/>
                <w:b/>
                <w:color w:val="1383C6"/>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Cumulative amount incurred to date</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Employee separation costs</w:t>
            </w:r>
          </w:p>
        </w:tc>
        <w:tc>
          <w:tcPr>
            <w:tcW w:w="4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394"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4,787 </w:t>
            </w:r>
          </w:p>
        </w:tc>
        <w:tc>
          <w:tcPr>
            <w:tcW w:w="21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5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4,787 </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costs</w:t>
            </w:r>
          </w:p>
        </w:tc>
        <w:tc>
          <w:tcPr>
            <w:tcW w:w="1840"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1,076 </w:t>
            </w:r>
          </w:p>
        </w:tc>
        <w:tc>
          <w:tcPr>
            <w:tcW w:w="2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1,076 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Total restructuring charges </w:t>
            </w:r>
            <w:r>
              <w:rPr>
                <w:rFonts w:ascii="Roboto;sans-serif" w:hAnsi="Roboto;sans-serif"/>
                <w:b w:val="false"/>
                <w:color w:val="000000"/>
                <w:sz w:val="12"/>
              </w:rPr>
              <w:t>(1)</w:t>
            </w:r>
          </w:p>
        </w:tc>
        <w:tc>
          <w:tcPr>
            <w:tcW w:w="4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39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5,863 </w:t>
            </w:r>
          </w:p>
        </w:tc>
        <w:tc>
          <w:tcPr>
            <w:tcW w:w="21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5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5,863 </w:t>
            </w:r>
          </w:p>
        </w:tc>
        <w:tc>
          <w:tcPr>
            <w:tcW w:w="5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Roboto;sans-serif" w:hAnsi="Roboto;sans-serif"/>
          <w:b w:val="false"/>
          <w:color w:val="000000"/>
          <w:sz w:val="10"/>
        </w:rPr>
        <w:t>(1)</w:t>
      </w:r>
      <w:r>
        <w:rPr>
          <w:color w:val="000000"/>
        </w:rPr>
        <w:t xml:space="preserve"> </w:t>
      </w:r>
      <w:r>
        <w:rPr>
          <w:rFonts w:ascii="Roboto;sans-serif" w:hAnsi="Roboto;sans-serif"/>
          <w:b w:val="false"/>
          <w:color w:val="000000"/>
          <w:sz w:val="16"/>
        </w:rPr>
        <w:t>Cumulative charges incurred to date include $3.8 million in sales, general and administrative expense and $2.1 million in research and development expense.</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Charges included employee separation costs comprised of approximately $2.5 million related to salaries, wages and other employee benefits paid to terminated employees pursuant to the Worker Adjustment and Retraining Notification ("WARN") Act and approximately $2.3 million of severance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Charges included in other costs are primarily related to legal expenses incurred in connection with employee separation matters.</w:t>
      </w:r>
    </w:p>
    <w:p>
      <w:pPr>
        <w:pStyle w:val="TextBody"/>
        <w:bidi w:val="0"/>
        <w:spacing w:lineRule="auto" w:line="288" w:before="120" w:after="283"/>
        <w:jc w:val="both"/>
        <w:rPr/>
      </w:pPr>
      <w:r>
        <w:rPr>
          <w:rFonts w:ascii="Roboto;sans-serif" w:hAnsi="Roboto;sans-serif"/>
          <w:b w:val="false"/>
          <w:color w:val="000000"/>
          <w:sz w:val="20"/>
        </w:rPr>
        <w:t xml:space="preserve">In connection with the restructuring and strategic shift, we incurred an additional $389.9 million in costs. These primarily include $359.3 million of accelerated amortization of certain intangible assets, $15.0 million of IPR&amp;D impairment charges, charges of $8.1 million related to excess inventory due to decreased external demand, $3.9 million for estimated losses on purchase commitments tied to anticipated future excess inventory included in cost of revenue, and $3.1 million of accelerated depreciation of fixed assets. See </w:t>
      </w:r>
      <w:hyperlink w:anchor="i9dad38eca65443b9a8bcd939ad72e7eb_106">
        <w:r>
          <w:rPr>
            <w:rStyle w:val="InternetLink"/>
          </w:rPr>
          <w:t>Note 4. Balance Sheet Components</w:t>
        </w:r>
      </w:hyperlink>
      <w:r>
        <w:rPr>
          <w:rFonts w:ascii="Roboto;sans-serif" w:hAnsi="Roboto;sans-serif"/>
          <w:b w:val="false"/>
          <w:i/>
          <w:color w:val="0000FF"/>
          <w:sz w:val="20"/>
          <w:u w:val="single"/>
        </w:rPr>
        <w:t xml:space="preserve"> </w:t>
      </w:r>
      <w:r>
        <w:rPr>
          <w:rFonts w:ascii="Roboto;sans-serif" w:hAnsi="Roboto;sans-serif"/>
          <w:b w:val="false"/>
          <w:color w:val="000000"/>
          <w:sz w:val="20"/>
        </w:rPr>
        <w:t>for additional information on the IPR&amp;D impairment assessment and the change in estimated useful life of the intangible asset and accelerated amortization.</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A summary of the liabilities related to the restructuring is as follows:</w:t>
      </w:r>
    </w:p>
    <w:tbl>
      <w:tblPr>
        <w:tblW w:w="10205" w:type="dxa"/>
        <w:jc w:val="left"/>
        <w:tblInd w:w="0" w:type="dxa"/>
        <w:tblLayout w:type="fixed"/>
        <w:tblCellMar>
          <w:top w:w="28" w:type="dxa"/>
          <w:left w:w="28" w:type="dxa"/>
          <w:bottom w:w="28" w:type="dxa"/>
          <w:right w:w="28" w:type="dxa"/>
        </w:tblCellMar>
      </w:tblPr>
      <w:tblGrid>
        <w:gridCol w:w="1591"/>
        <w:gridCol w:w="1353"/>
        <w:gridCol w:w="1357"/>
        <w:gridCol w:w="109"/>
        <w:gridCol w:w="109"/>
        <w:gridCol w:w="109"/>
        <w:gridCol w:w="559"/>
        <w:gridCol w:w="1749"/>
        <w:gridCol w:w="272"/>
        <w:gridCol w:w="109"/>
        <w:gridCol w:w="109"/>
        <w:gridCol w:w="109"/>
        <w:gridCol w:w="272"/>
        <w:gridCol w:w="851"/>
        <w:gridCol w:w="130"/>
        <w:gridCol w:w="109"/>
        <w:gridCol w:w="109"/>
        <w:gridCol w:w="109"/>
        <w:gridCol w:w="226"/>
        <w:gridCol w:w="706"/>
        <w:gridCol w:w="158"/>
      </w:tblGrid>
      <w:tr>
        <w:trPr/>
        <w:tc>
          <w:tcPr>
            <w:tcW w:w="159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 excluding non-cash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Employee Separation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Total</w:t>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Expense recorded in 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174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20"/>
              </w:rPr>
            </w:pPr>
            <w:r>
              <w:rPr>
                <w:rFonts w:ascii="Roboto;sans-serif" w:hAnsi="Roboto;sans-serif"/>
                <w:b w:val="false"/>
                <w:color w:val="1383C6"/>
                <w:sz w:val="20"/>
              </w:rPr>
              <w:t>4,787 </w:t>
            </w:r>
          </w:p>
        </w:tc>
        <w:tc>
          <w:tcPr>
            <w:tcW w:w="272"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5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20"/>
              </w:rPr>
            </w:pPr>
            <w:r>
              <w:rPr>
                <w:rFonts w:ascii="Roboto;sans-serif" w:hAnsi="Roboto;sans-serif"/>
                <w:b w:val="false"/>
                <w:color w:val="1383C6"/>
                <w:sz w:val="20"/>
              </w:rPr>
              <w:t>1,076 </w:t>
            </w:r>
          </w:p>
        </w:tc>
        <w:tc>
          <w:tcPr>
            <w:tcW w:w="13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70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20"/>
              </w:rPr>
            </w:pPr>
            <w:r>
              <w:rPr>
                <w:rFonts w:ascii="Roboto;sans-serif" w:hAnsi="Roboto;sans-serif"/>
                <w:b w:val="false"/>
                <w:color w:val="1383C6"/>
                <w:sz w:val="20"/>
              </w:rPr>
              <w:t>5,863 </w:t>
            </w:r>
          </w:p>
        </w:tc>
        <w:tc>
          <w:tcPr>
            <w:tcW w:w="15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during 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20"/>
              </w:rPr>
            </w:pPr>
            <w:r>
              <w:rPr>
                <w:rFonts w:ascii="Roboto;sans-serif" w:hAnsi="Roboto;sans-serif"/>
                <w:b w:val="false"/>
                <w:color w:val="1383C6"/>
                <w:sz w:val="20"/>
              </w:rPr>
              <w:t>(4,787)</w:t>
            </w:r>
          </w:p>
        </w:tc>
        <w:tc>
          <w:tcPr>
            <w:tcW w:w="27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20"/>
              </w:rPr>
            </w:pPr>
            <w:r>
              <w:rPr>
                <w:rFonts w:ascii="Roboto;sans-serif" w:hAnsi="Roboto;sans-serif"/>
                <w:b w:val="false"/>
                <w:color w:val="1383C6"/>
                <w:sz w:val="20"/>
              </w:rPr>
              <w:t>(687)</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20"/>
              </w:rPr>
            </w:pPr>
            <w:r>
              <w:rPr>
                <w:rFonts w:ascii="Roboto;sans-serif" w:hAnsi="Roboto;sans-serif"/>
                <w:b w:val="false"/>
                <w:color w:val="1383C6"/>
                <w:sz w:val="20"/>
              </w:rPr>
              <w:t>(5,474)</w:t>
            </w:r>
          </w:p>
        </w:tc>
        <w:tc>
          <w:tcPr>
            <w:tcW w:w="15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Amount recorded in current liabilities</w:t>
            </w:r>
          </w:p>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174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272"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51"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20"/>
              </w:rPr>
            </w:pPr>
            <w:r>
              <w:rPr>
                <w:rFonts w:ascii="Roboto;sans-serif" w:hAnsi="Roboto;sans-serif"/>
                <w:b w:val="false"/>
                <w:color w:val="1383C6"/>
                <w:sz w:val="20"/>
              </w:rPr>
              <w:t>389 </w:t>
            </w:r>
          </w:p>
        </w:tc>
        <w:tc>
          <w:tcPr>
            <w:tcW w:w="130"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70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20"/>
              </w:rPr>
            </w:pPr>
            <w:r>
              <w:rPr>
                <w:rFonts w:ascii="Roboto;sans-serif" w:hAnsi="Roboto;sans-serif"/>
                <w:b w:val="false"/>
                <w:color w:val="1383C6"/>
                <w:sz w:val="20"/>
              </w:rPr>
              <w:t>389 </w:t>
            </w:r>
          </w:p>
        </w:tc>
        <w:tc>
          <w:tcPr>
            <w:tcW w:w="158"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Estimated total restructuring costs to still be incurred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1749"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40" w:before="0" w:after="283"/>
              <w:jc w:val="right"/>
              <w:rPr>
                <w:color w:val="1383C6"/>
              </w:rPr>
            </w:pPr>
            <w:r>
              <w:rPr>
                <w:color w:val="1383C6"/>
              </w:rPr>
              <w:t>— </w:t>
            </w:r>
          </w:p>
        </w:tc>
        <w:tc>
          <w:tcPr>
            <w:tcW w:w="272" w:type="dxa"/>
            <w:tcBorders>
              <w:bottom w:val="double" w:sz="8" w:space="0" w:color="000000"/>
            </w:tcBorders>
            <w:shd w:fill="E7F2F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51"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40" w:before="0" w:after="283"/>
              <w:jc w:val="right"/>
              <w:rPr>
                <w:color w:val="1383C6"/>
              </w:rPr>
            </w:pPr>
            <w:r>
              <w:rPr>
                <w:color w:val="1383C6"/>
              </w:rPr>
              <w:t>— </w:t>
            </w:r>
          </w:p>
        </w:tc>
        <w:tc>
          <w:tcPr>
            <w:tcW w:w="130" w:type="dxa"/>
            <w:tcBorders>
              <w:bottom w:val="double" w:sz="8" w:space="0" w:color="000000"/>
            </w:tcBorders>
            <w:shd w:fill="E7F2F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706"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40" w:before="0" w:after="283"/>
              <w:jc w:val="right"/>
              <w:rPr>
                <w:color w:val="1383C6"/>
              </w:rPr>
            </w:pPr>
            <w:r>
              <w:rPr>
                <w:color w:val="1383C6"/>
              </w:rPr>
              <w:t>— </w:t>
            </w:r>
          </w:p>
        </w:tc>
        <w:tc>
          <w:tcPr>
            <w:tcW w:w="158" w:type="dxa"/>
            <w:tcBorders>
              <w:bottom w:val="double" w:sz="8" w:space="0" w:color="000000"/>
            </w:tcBorders>
            <w:shd w:fill="E7F2F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12520"/>
                <wp:effectExtent l="0" t="0" r="0" b="0"/>
                <wp:wrapNone/>
                <wp:docPr id="324" name="Frame10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2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12" descr=""/>
                                                <pic:cNvPicPr>
                                                  <a:picLocks noChangeAspect="1" noChangeArrowheads="1"/>
                                                </pic:cNvPicPr>
                                              </pic:nvPicPr>
                                              <pic:blipFill>
                                                <a:blip r:embed="rId218"/>
                                                <a:stretch>
                                                  <a:fillRect/>
                                                </a:stretch>
                                              </pic:blipFill>
                                              <pic:spPr bwMode="auto">
                                                <a:xfrm>
                                                  <a:off x="0" y="0"/>
                                                  <a:ext cx="457200" cy="95250"/>
                                                </a:xfrm>
                                                <a:prstGeom prst="rect">
                                                  <a:avLst/>
                                                </a:prstGeom>
                                              </pic:spPr>
                                            </pic:pic>
                                          </a:graphicData>
                                        </a:graphic>
                                      </wp:inline>
                                    </w:drawing>
                                  </w:r>
                                  <w:bookmarkStart w:id="220" w:name="i-112"/>
                                  <w:bookmarkEnd w:id="22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2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12" descr=""/>
                                          <pic:cNvPicPr>
                                            <a:picLocks noChangeAspect="1" noChangeArrowheads="1"/>
                                          </pic:cNvPicPr>
                                        </pic:nvPicPr>
                                        <pic:blipFill>
                                          <a:blip r:embed="rId219"/>
                                          <a:stretch>
                                            <a:fillRect/>
                                          </a:stretch>
                                        </pic:blipFill>
                                        <pic:spPr bwMode="auto">
                                          <a:xfrm>
                                            <a:off x="0" y="0"/>
                                            <a:ext cx="457200" cy="95250"/>
                                          </a:xfrm>
                                          <a:prstGeom prst="rect">
                                            <a:avLst/>
                                          </a:prstGeom>
                                        </pic:spPr>
                                      </pic:pic>
                                    </a:graphicData>
                                  </a:graphic>
                                </wp:inline>
                              </w:drawing>
                            </w:r>
                            <w:bookmarkStart w:id="221" w:name="i-112"/>
                            <w:bookmarkEnd w:id="22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2595" w:type="dxa"/>
        <w:jc w:val="left"/>
        <w:tblInd w:w="0" w:type="dxa"/>
        <w:tblLayout w:type="fixed"/>
        <w:tblCellMar>
          <w:top w:w="28" w:type="dxa"/>
          <w:left w:w="28" w:type="dxa"/>
          <w:bottom w:w="28" w:type="dxa"/>
          <w:right w:w="28" w:type="dxa"/>
        </w:tblCellMar>
      </w:tblPr>
      <w:tblGrid>
        <w:gridCol w:w="831"/>
        <w:gridCol w:w="731"/>
        <w:gridCol w:w="1033"/>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DF1995"/>
                <w:sz w:val="22"/>
              </w:rPr>
            </w:pPr>
            <w:r>
              <w:rPr>
                <w:rFonts w:ascii="Roboto;sans-serif" w:hAnsi="Roboto;sans-serif"/>
                <w:b/>
                <w:color w:val="DF1995"/>
                <w:sz w:val="22"/>
              </w:rPr>
              <w:t>2024 Restructuring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year ended December 31, 2024, we implemented an expense reduction initiative that included workforce reductions, the closing of our San Diego office, and other actions to reduce annualized run-rate operating expenses.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pre-tax restructuring charges are as follows:</w:t>
      </w:r>
    </w:p>
    <w:tbl>
      <w:tblPr>
        <w:tblW w:w="9041" w:type="dxa"/>
        <w:jc w:val="left"/>
        <w:tblInd w:w="0" w:type="dxa"/>
        <w:tblLayout w:type="fixed"/>
        <w:tblCellMar>
          <w:top w:w="28" w:type="dxa"/>
          <w:left w:w="28" w:type="dxa"/>
          <w:bottom w:w="28" w:type="dxa"/>
          <w:right w:w="28" w:type="dxa"/>
        </w:tblCellMar>
      </w:tblPr>
      <w:tblGrid>
        <w:gridCol w:w="1000"/>
        <w:gridCol w:w="878"/>
        <w:gridCol w:w="882"/>
        <w:gridCol w:w="538"/>
        <w:gridCol w:w="1255"/>
        <w:gridCol w:w="261"/>
        <w:gridCol w:w="109"/>
        <w:gridCol w:w="109"/>
        <w:gridCol w:w="109"/>
        <w:gridCol w:w="729"/>
        <w:gridCol w:w="2669"/>
        <w:gridCol w:w="502"/>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8"/>
              </w:rPr>
            </w:pPr>
            <w:r>
              <w:rPr>
                <w:rFonts w:ascii="Roboto;sans-serif" w:hAnsi="Roboto;sans-serif"/>
                <w:b w:val="false"/>
                <w:i/>
                <w:color w:val="000000"/>
                <w:sz w:val="18"/>
              </w:rPr>
              <w:t>(In thousands)</w:t>
            </w:r>
          </w:p>
        </w:tc>
        <w:tc>
          <w:tcPr>
            <w:tcW w:w="2054" w:type="dxa"/>
            <w:gridSpan w:val="3"/>
            <w:tcBorders/>
            <w:shd w:fill="E7F2F9" w:val="clear"/>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1383C6"/>
                <w:sz w:val="18"/>
              </w:rPr>
            </w:pPr>
            <w:r>
              <w:rPr>
                <w:rFonts w:ascii="Roboto;sans-serif" w:hAnsi="Roboto;sans-serif"/>
                <w:b/>
                <w:color w:val="1383C6"/>
                <w:sz w:val="18"/>
              </w:rPr>
              <w:t>Year Ended</w:t>
            </w:r>
          </w:p>
          <w:p>
            <w:pPr>
              <w:pStyle w:val="TableContents"/>
              <w:bidi w:val="0"/>
              <w:spacing w:lineRule="auto" w:line="240" w:before="0" w:after="0"/>
              <w:jc w:val="center"/>
              <w:rPr>
                <w:rFonts w:ascii="Roboto;sans-serif" w:hAnsi="Roboto;sans-serif"/>
                <w:b/>
                <w:color w:val="1383C6"/>
                <w:sz w:val="18"/>
              </w:rPr>
            </w:pPr>
            <w:r>
              <w:rPr>
                <w:rFonts w:ascii="Roboto;sans-serif" w:hAnsi="Roboto;sans-serif"/>
                <w:b/>
                <w:color w:val="1383C6"/>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Cumulative amount incurred to date</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Employee separation costs</w:t>
            </w:r>
          </w:p>
        </w:tc>
        <w:tc>
          <w:tcPr>
            <w:tcW w:w="538"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255"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261"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10,008 </w:t>
            </w:r>
          </w:p>
        </w:tc>
        <w:tc>
          <w:tcPr>
            <w:tcW w:w="5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costs</w:t>
            </w:r>
          </w:p>
        </w:tc>
        <w:tc>
          <w:tcPr>
            <w:tcW w:w="1793"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888 </w:t>
            </w:r>
          </w:p>
        </w:tc>
        <w:tc>
          <w:tcPr>
            <w:tcW w:w="26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16,102 </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Total restructuring charges</w:t>
            </w:r>
            <w:r>
              <w:rPr>
                <w:rFonts w:ascii="Roboto;sans-serif" w:hAnsi="Roboto;sans-serif"/>
                <w:b w:val="false"/>
                <w:color w:val="000000"/>
                <w:sz w:val="12"/>
              </w:rPr>
              <w:t>(1)</w:t>
            </w:r>
          </w:p>
        </w:tc>
        <w:tc>
          <w:tcPr>
            <w:tcW w:w="538"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25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888 </w:t>
            </w:r>
          </w:p>
        </w:tc>
        <w:tc>
          <w:tcPr>
            <w:tcW w:w="26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26,110 </w:t>
            </w:r>
          </w:p>
        </w:tc>
        <w:tc>
          <w:tcPr>
            <w:tcW w:w="5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Roboto;sans-serif" w:hAnsi="Roboto;sans-serif"/>
          <w:b w:val="false"/>
          <w:color w:val="000000"/>
          <w:sz w:val="10"/>
        </w:rPr>
        <w:t>(1)</w:t>
      </w:r>
      <w:r>
        <w:rPr>
          <w:color w:val="000000"/>
        </w:rPr>
        <w:t xml:space="preserve"> </w:t>
      </w:r>
      <w:r>
        <w:rPr>
          <w:rFonts w:ascii="Roboto;sans-serif" w:hAnsi="Roboto;sans-serif"/>
          <w:b w:val="false"/>
          <w:color w:val="000000"/>
          <w:sz w:val="16"/>
        </w:rPr>
        <w:t>Cumulative charges incurred to date include $15.8 million in sales, general and administrative expense; $5.9 million in research and development expense; and $4.4 million in cost of revenue.</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Cumulative charges incurred to date include employee separation costs comprised of approximately $5.5 million related to salaries, wages and other employee benefits paid to terminated employees pursuant to the WARN Act and approximately $4.5 million of severance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costs in cumulative charges incurred to date are primarily related to accelerated amortization and depreciation of $8.1 million for the right-of-use asset, leasehold improvements, and furniture and fixtures relating to the abandonment of the San Diego office. We also incurred cumulative charges to date for excess inventory of $3.6 million primarily relating to a decrease in internal demand resulting from the expense reduction initiatives which were recognized in cost of product revenues. The accelerated amortization and depreciation, which was recognized in sales, general and administrative expense, was determined as a result of the Company's change in estimate pertaining to its remaining useful life of the San Diego office utilizing the estimated date on which it planned to abandon the San Diego office. The lease liability pertaining to the San Diego office was also remeasured during the year ended December 31, 2024 resulting in a reduction in the operating lease liability balance of $4.4 million, which was offset against the right-of-use asset on our consolidated balance sheets. We exited our San Diego office in September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liabilities related to the restructuring is as follows:</w:t>
      </w:r>
    </w:p>
    <w:tbl>
      <w:tblPr>
        <w:tblW w:w="8772" w:type="dxa"/>
        <w:jc w:val="left"/>
        <w:tblInd w:w="0" w:type="dxa"/>
        <w:tblLayout w:type="fixed"/>
        <w:tblCellMar>
          <w:top w:w="28" w:type="dxa"/>
          <w:left w:w="28" w:type="dxa"/>
          <w:bottom w:w="28" w:type="dxa"/>
          <w:right w:w="28" w:type="dxa"/>
        </w:tblCellMar>
      </w:tblPr>
      <w:tblGrid>
        <w:gridCol w:w="2126"/>
        <w:gridCol w:w="1865"/>
        <w:gridCol w:w="1874"/>
        <w:gridCol w:w="109"/>
        <w:gridCol w:w="109"/>
        <w:gridCol w:w="109"/>
        <w:gridCol w:w="342"/>
        <w:gridCol w:w="797"/>
        <w:gridCol w:w="165"/>
        <w:gridCol w:w="109"/>
        <w:gridCol w:w="109"/>
        <w:gridCol w:w="109"/>
        <w:gridCol w:w="239"/>
        <w:gridCol w:w="55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Total</w:t>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Amount recorded in current liabilities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9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170 </w:t>
            </w:r>
          </w:p>
        </w:tc>
        <w:tc>
          <w:tcPr>
            <w:tcW w:w="16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55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170 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Additional expense recorded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888 </w:t>
            </w:r>
          </w:p>
        </w:tc>
        <w:tc>
          <w:tcPr>
            <w:tcW w:w="1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888 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Cash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(1,058)</w:t>
            </w:r>
          </w:p>
        </w:tc>
        <w:tc>
          <w:tcPr>
            <w:tcW w:w="1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(1,058)</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Amount recorded in current liabilities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97"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65"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55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Estimated total restructuring costs to still be incurred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97"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40" w:before="0" w:after="283"/>
              <w:jc w:val="right"/>
              <w:rPr>
                <w:color w:val="1383C6"/>
              </w:rPr>
            </w:pPr>
            <w:r>
              <w:rPr>
                <w:color w:val="1383C6"/>
              </w:rPr>
              <w:t>— </w:t>
            </w:r>
          </w:p>
        </w:tc>
        <w:tc>
          <w:tcPr>
            <w:tcW w:w="165" w:type="dxa"/>
            <w:tcBorders>
              <w:bottom w:val="double" w:sz="8" w:space="0" w:color="000000"/>
            </w:tcBorders>
            <w:shd w:fill="E7F2F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556"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40" w:before="0" w:after="283"/>
              <w:jc w:val="right"/>
              <w:rPr>
                <w:color w:val="1383C6"/>
              </w:rPr>
            </w:pPr>
            <w:r>
              <w:rPr>
                <w:color w:val="1383C6"/>
              </w:rPr>
              <w:t>— </w:t>
            </w:r>
          </w:p>
        </w:tc>
        <w:tc>
          <w:tcPr>
            <w:tcW w:w="154" w:type="dxa"/>
            <w:tcBorders>
              <w:bottom w:val="double" w:sz="8" w:space="0" w:color="000000"/>
            </w:tcBorders>
            <w:shd w:fill="E7F2F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The table above excludes noncash activities and amounts incurred relating to the San Diego office lease liability. The ending balance of the San Diego office lease liability as of December 31, 2025 is $0.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69" w:type="dxa"/>
        <w:jc w:val="left"/>
        <w:tblInd w:w="0" w:type="dxa"/>
        <w:tblLayout w:type="fixed"/>
        <w:tblCellMar>
          <w:top w:w="28" w:type="dxa"/>
          <w:left w:w="28" w:type="dxa"/>
          <w:bottom w:w="28" w:type="dxa"/>
          <w:right w:w="28" w:type="dxa"/>
        </w:tblCellMar>
      </w:tblPr>
      <w:tblGrid>
        <w:gridCol w:w="1912"/>
        <w:gridCol w:w="1680"/>
        <w:gridCol w:w="2377"/>
      </w:tblGrid>
      <w:tr>
        <w:trPr/>
        <w:tc>
          <w:tcPr>
            <w:tcW w:w="1912"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7. COMMITMENTS AND CONTINGENCIES</w:t>
            </w:r>
          </w:p>
        </w:tc>
      </w:tr>
    </w:tbl>
    <w:tbl>
      <w:tblPr>
        <w:tblW w:w="1036" w:type="dxa"/>
        <w:jc w:val="left"/>
        <w:tblInd w:w="0" w:type="dxa"/>
        <w:tblLayout w:type="fixed"/>
        <w:tblCellMar>
          <w:top w:w="28" w:type="dxa"/>
          <w:left w:w="28" w:type="dxa"/>
          <w:bottom w:w="28" w:type="dxa"/>
          <w:right w:w="28" w:type="dxa"/>
        </w:tblCellMar>
      </w:tblPr>
      <w:tblGrid>
        <w:gridCol w:w="331"/>
        <w:gridCol w:w="291"/>
        <w:gridCol w:w="414"/>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Leases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record operating lease right-of-use assets and liabilities on our consolidated balance sheets for all leases with a term of more than 12 months. The operating lease right-of-use assets and liabilities are calculated as the present value of remaining minimum lease payments over the remaining lease term using our estimated secured incremental borrowing rates at the commencement date. Lease payments included in the measurement of the lease liability comprise the fixed rent per the term of the Lease. All of our leases are operating leases. Lease payments comprise the base rent per the term of the lease. Lease expense for these leases is recognized on a straight-line basis over the lease term, with variable lease payments, such as common area maintenance fees, recognized in the period those payments are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12520"/>
                <wp:effectExtent l="0" t="0" r="0" b="0"/>
                <wp:wrapNone/>
                <wp:docPr id="327" name="Frame11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2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13" descr=""/>
                                                <pic:cNvPicPr>
                                                  <a:picLocks noChangeAspect="1" noChangeArrowheads="1"/>
                                                </pic:cNvPicPr>
                                              </pic:nvPicPr>
                                              <pic:blipFill>
                                                <a:blip r:embed="rId220"/>
                                                <a:stretch>
                                                  <a:fillRect/>
                                                </a:stretch>
                                              </pic:blipFill>
                                              <pic:spPr bwMode="auto">
                                                <a:xfrm>
                                                  <a:off x="0" y="0"/>
                                                  <a:ext cx="457200" cy="95250"/>
                                                </a:xfrm>
                                                <a:prstGeom prst="rect">
                                                  <a:avLst/>
                                                </a:prstGeom>
                                              </pic:spPr>
                                            </pic:pic>
                                          </a:graphicData>
                                        </a:graphic>
                                      </wp:inline>
                                    </w:drawing>
                                  </w:r>
                                  <w:bookmarkStart w:id="222" w:name="i-113"/>
                                  <w:bookmarkEnd w:id="22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2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13" descr=""/>
                                          <pic:cNvPicPr>
                                            <a:picLocks noChangeAspect="1" noChangeArrowheads="1"/>
                                          </pic:cNvPicPr>
                                        </pic:nvPicPr>
                                        <pic:blipFill>
                                          <a:blip r:embed="rId221"/>
                                          <a:stretch>
                                            <a:fillRect/>
                                          </a:stretch>
                                        </pic:blipFill>
                                        <pic:spPr bwMode="auto">
                                          <a:xfrm>
                                            <a:off x="0" y="0"/>
                                            <a:ext cx="457200" cy="95250"/>
                                          </a:xfrm>
                                          <a:prstGeom prst="rect">
                                            <a:avLst/>
                                          </a:prstGeom>
                                        </pic:spPr>
                                      </pic:pic>
                                    </a:graphicData>
                                  </a:graphic>
                                </wp:inline>
                              </w:drawing>
                            </w:r>
                            <w:bookmarkStart w:id="223" w:name="i-113"/>
                            <w:bookmarkEnd w:id="22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often have options to renew lease terms for buildings. In addition, certain lease arrangements may be terminated prior to their original expiration date at our discretion. We evaluate renewal and termination options at the lease commencement date to determine if we are reasonably certain to exercise the option on the basis of economic factors.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March 7, 2025, we amended our existing lease covering our corporate headquarters, as well as our research and development, manufacturing, and distribution facilities in Menlo Park, California. The lease amendment extends the term to April 30, 2034. We will pay approximately $97.7 million in base rent over the life of the amended lease and receive base rent abatement of approximately $11.6 million for the period beginning on March 1, 2025 and ending on July 31, 2026. We are also entitled to a tenant improvement allowance of $7.2 million. The lease amendment increased our operating lease right-of-use assets and operating lease liabilities by $29.6 million on our condensed consolidated balance sheets.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the maturities of our operating lease liabilities were as follows:</w:t>
      </w:r>
    </w:p>
    <w:tbl>
      <w:tblPr>
        <w:tblW w:w="5466" w:type="dxa"/>
        <w:jc w:val="left"/>
        <w:tblInd w:w="0" w:type="dxa"/>
        <w:tblLayout w:type="fixed"/>
        <w:tblCellMar>
          <w:top w:w="28" w:type="dxa"/>
          <w:left w:w="28" w:type="dxa"/>
          <w:bottom w:w="28" w:type="dxa"/>
          <w:right w:w="28" w:type="dxa"/>
        </w:tblCellMar>
      </w:tblPr>
      <w:tblGrid>
        <w:gridCol w:w="1684"/>
        <w:gridCol w:w="1285"/>
        <w:gridCol w:w="1291"/>
        <w:gridCol w:w="226"/>
        <w:gridCol w:w="82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2026</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3,960 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9,165 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12,389 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12,761 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2030</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13,144 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Thereafter</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46,752 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undiscounted operating lease payments</w:t>
            </w:r>
          </w:p>
        </w:tc>
        <w:tc>
          <w:tcPr>
            <w:tcW w:w="105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98,171 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imputed interest</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(41,131)</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Present value of operating lease liabilities </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57,040 </w:t>
            </w:r>
          </w:p>
        </w:tc>
        <w:tc>
          <w:tcPr>
            <w:tcW w:w="154"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Sheet Classification:</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448 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non-current</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56,592 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operating lease liabilities</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57,040 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use our incremental borrowing rate to determine the present value of lease payments, as the implicit rates in our leases are not readily determinable. The weighted-average discount rate used to measure our operating lease liabilities was 10.2%. The weighted-average remaining lease term for our operating leases as of December 31, 2025 was 8.2 years.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Cash Flows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paid for amounts included in the present value of operating lease liabilities was $4.8 million and $14.2 million for the years ended December 31, 2025 and 2024, respectively, and were included in operating cash flows.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Operating Lease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Operating lease costs were $9.3 million and $14.5 million for the years ended December 31, 2025 and 2024, respectively.</w:t>
      </w:r>
    </w:p>
    <w:tbl>
      <w:tblPr>
        <w:tblW w:w="1966" w:type="dxa"/>
        <w:jc w:val="left"/>
        <w:tblInd w:w="0" w:type="dxa"/>
        <w:tblLayout w:type="fixed"/>
        <w:tblCellMar>
          <w:top w:w="28" w:type="dxa"/>
          <w:left w:w="28" w:type="dxa"/>
          <w:bottom w:w="28" w:type="dxa"/>
          <w:right w:w="28" w:type="dxa"/>
        </w:tblCellMar>
      </w:tblPr>
      <w:tblGrid>
        <w:gridCol w:w="629"/>
        <w:gridCol w:w="553"/>
        <w:gridCol w:w="78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Contingencies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may become involved in legal proceedings, claims and assessments from time to time in the ordinary course of business. We accrue liabilities for such matters when it is probable that future expenditures will be made and such expenditures can be reasonably estimated.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do not believe that the ultimate outcome of any such pending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12520"/>
                <wp:effectExtent l="0" t="0" r="0" b="0"/>
                <wp:wrapNone/>
                <wp:docPr id="330" name="Frame11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3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14" descr=""/>
                                                <pic:cNvPicPr>
                                                  <a:picLocks noChangeAspect="1" noChangeArrowheads="1"/>
                                                </pic:cNvPicPr>
                                              </pic:nvPicPr>
                                              <pic:blipFill>
                                                <a:blip r:embed="rId222"/>
                                                <a:stretch>
                                                  <a:fillRect/>
                                                </a:stretch>
                                              </pic:blipFill>
                                              <pic:spPr bwMode="auto">
                                                <a:xfrm>
                                                  <a:off x="0" y="0"/>
                                                  <a:ext cx="457200" cy="95250"/>
                                                </a:xfrm>
                                                <a:prstGeom prst="rect">
                                                  <a:avLst/>
                                                </a:prstGeom>
                                              </pic:spPr>
                                            </pic:pic>
                                          </a:graphicData>
                                        </a:graphic>
                                      </wp:inline>
                                    </w:drawing>
                                  </w:r>
                                  <w:bookmarkStart w:id="224" w:name="i-114"/>
                                  <w:bookmarkEnd w:id="22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3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14" descr=""/>
                                          <pic:cNvPicPr>
                                            <a:picLocks noChangeAspect="1" noChangeArrowheads="1"/>
                                          </pic:cNvPicPr>
                                        </pic:nvPicPr>
                                        <pic:blipFill>
                                          <a:blip r:embed="rId223"/>
                                          <a:stretch>
                                            <a:fillRect/>
                                          </a:stretch>
                                        </pic:blipFill>
                                        <pic:spPr bwMode="auto">
                                          <a:xfrm>
                                            <a:off x="0" y="0"/>
                                            <a:ext cx="457200" cy="95250"/>
                                          </a:xfrm>
                                          <a:prstGeom prst="rect">
                                            <a:avLst/>
                                          </a:prstGeom>
                                        </pic:spPr>
                                      </pic:pic>
                                    </a:graphicData>
                                  </a:graphic>
                                </wp:inline>
                              </w:drawing>
                            </w:r>
                            <w:bookmarkStart w:id="225" w:name="i-114"/>
                            <w:bookmarkEnd w:id="22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109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pPr>
      <w:r>
        <w:rPr>
          <w:rFonts w:ascii="Roboto;sans-serif" w:hAnsi="Roboto;sans-serif"/>
          <w:b w:val="false"/>
          <w:color w:val="000000"/>
          <w:sz w:val="20"/>
        </w:rPr>
        <w:t xml:space="preserve">Please see subsection titled </w:t>
      </w:r>
      <w:hyperlink w:anchor="i9dad38eca65443b9a8bcd939ad72e7eb_31">
        <w:r>
          <w:rPr>
            <w:rStyle w:val="InternetLink"/>
            <w:rFonts w:ascii="Roboto;sans-serif" w:hAnsi="Roboto;sans-serif"/>
            <w:b w:val="false"/>
            <w:i/>
            <w:color w:val="0000FF"/>
            <w:sz w:val="20"/>
            <w:u w:val="single"/>
          </w:rPr>
          <w:t>Legal Proceedings</w:t>
        </w:r>
      </w:hyperlink>
      <w:r>
        <w:rPr>
          <w:rFonts w:ascii="Roboto;sans-serif" w:hAnsi="Roboto;sans-serif"/>
          <w:b w:val="false"/>
          <w:color w:val="000000"/>
          <w:sz w:val="20"/>
        </w:rPr>
        <w:t>, in Part I, Item 3 of this Annual Report on Form 10-K.</w:t>
      </w:r>
    </w:p>
    <w:tbl>
      <w:tblPr>
        <w:tblW w:w="2161" w:type="dxa"/>
        <w:jc w:val="left"/>
        <w:tblInd w:w="0" w:type="dxa"/>
        <w:tblLayout w:type="fixed"/>
        <w:tblCellMar>
          <w:top w:w="28" w:type="dxa"/>
          <w:left w:w="28" w:type="dxa"/>
          <w:bottom w:w="28" w:type="dxa"/>
          <w:right w:w="28" w:type="dxa"/>
        </w:tblCellMar>
      </w:tblPr>
      <w:tblGrid>
        <w:gridCol w:w="692"/>
        <w:gridCol w:w="608"/>
        <w:gridCol w:w="861"/>
      </w:tblGrid>
      <w:tr>
        <w:trPr/>
        <w:tc>
          <w:tcPr>
            <w:tcW w:w="69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Indemnification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December 31, 2025.</w:t>
      </w:r>
    </w:p>
    <w:tbl>
      <w:tblPr>
        <w:tblW w:w="3179" w:type="dxa"/>
        <w:jc w:val="left"/>
        <w:tblInd w:w="0" w:type="dxa"/>
        <w:tblLayout w:type="fixed"/>
        <w:tblCellMar>
          <w:top w:w="28" w:type="dxa"/>
          <w:left w:w="28" w:type="dxa"/>
          <w:bottom w:w="28" w:type="dxa"/>
          <w:right w:w="28" w:type="dxa"/>
        </w:tblCellMar>
      </w:tblPr>
      <w:tblGrid>
        <w:gridCol w:w="1018"/>
        <w:gridCol w:w="895"/>
        <w:gridCol w:w="1266"/>
      </w:tblGrid>
      <w:tr>
        <w:trPr/>
        <w:tc>
          <w:tcPr>
            <w:tcW w:w="101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Purchase Commitments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normal course of business, we enter into agreements to purchase goods or services or license intellectual property, certain of which are not cancellable without penalty. For those agreements with variable terms, we do not estimate the total obligation beyond any minimum quantities or pricing as of the reporting date. Licensing agreements under which we commit to ongoing minimum royalty payments, some of which are subject to adjustment, may be terminated under certain circumstances.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purchase orders and contractual obligations are approximately $71.3 million as of December 31, 2025, which consist of open purchase orders and contractual obligations in the ordinary course of business, including commitments with contract manufacturers and suppliers for which we have not received the goods or services.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recognized a loss on purchase commitment of $4.2 million for the year ended December 31, 2025, which was recorded as part of accrued expenses on our consolidated balance sheet and is included in the aforementioned purchase orders and contractual obligations amount. The purchase commitment loss is based on our estimate of future excess inventory under supply agreements with third-party vendors for which we do not expect to have related sales.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a long-term supply agreement, which was most recently amended in September 2025 (the “Supply Agreement”), for the purchase of certain products with a semiconductor manufacturer (“Supplier”). The Supply Agreement provides for minimum purchase commitments through 2031 in exchange for guaranteed capacity at Supplier. We are responsible for providing certain materials to allow our Supplier to perform its obligations under the contract.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paid our Supplier deposits totaling $15.0 million (the “Deposit”), of which $4.0 million and $3.0 million was refunded to us during the years ended December 31, 2025 and 2024, respectively. As of December 31, 2025, $8.0 million related to the Deposit was included in other long-term assets on our consolidated balance sheets, as we believe it is probable the minimum volume purchase commitment level will be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64" w:type="dxa"/>
        <w:jc w:val="left"/>
        <w:tblInd w:w="0" w:type="dxa"/>
        <w:tblLayout w:type="fixed"/>
        <w:tblCellMar>
          <w:top w:w="28" w:type="dxa"/>
          <w:left w:w="28" w:type="dxa"/>
          <w:bottom w:w="28" w:type="dxa"/>
          <w:right w:w="28" w:type="dxa"/>
        </w:tblCellMar>
      </w:tblPr>
      <w:tblGrid>
        <w:gridCol w:w="1014"/>
        <w:gridCol w:w="891"/>
        <w:gridCol w:w="1259"/>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8. INCOME TAXES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are subject to income taxes both in the United States and certain foreign jurisdictions in which we operate, and we use estimates in determining our provisions for income taxes. Significant management judgement is required in determining our provision for income taxes, deferred tax assets and liabilities, and valuation allowances recorded against net deferred tax assets in accordance with U.S. GAAP. These estimates and judgements occur in the calculation of tax credits, benefits, and deductions, and in the calculation of certain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12520"/>
                <wp:effectExtent l="0" t="0" r="0" b="0"/>
                <wp:wrapNone/>
                <wp:docPr id="333" name="Frame11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3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15" descr=""/>
                                                <pic:cNvPicPr>
                                                  <a:picLocks noChangeAspect="1" noChangeArrowheads="1"/>
                                                </pic:cNvPicPr>
                                              </pic:nvPicPr>
                                              <pic:blipFill>
                                                <a:blip r:embed="rId224"/>
                                                <a:stretch>
                                                  <a:fillRect/>
                                                </a:stretch>
                                              </pic:blipFill>
                                              <pic:spPr bwMode="auto">
                                                <a:xfrm>
                                                  <a:off x="0" y="0"/>
                                                  <a:ext cx="457200" cy="95250"/>
                                                </a:xfrm>
                                                <a:prstGeom prst="rect">
                                                  <a:avLst/>
                                                </a:prstGeom>
                                              </pic:spPr>
                                            </pic:pic>
                                          </a:graphicData>
                                        </a:graphic>
                                      </wp:inline>
                                    </w:drawing>
                                  </w:r>
                                  <w:bookmarkStart w:id="226" w:name="i-115"/>
                                  <w:bookmarkEnd w:id="22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3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15" descr=""/>
                                          <pic:cNvPicPr>
                                            <a:picLocks noChangeAspect="1" noChangeArrowheads="1"/>
                                          </pic:cNvPicPr>
                                        </pic:nvPicPr>
                                        <pic:blipFill>
                                          <a:blip r:embed="rId225"/>
                                          <a:stretch>
                                            <a:fillRect/>
                                          </a:stretch>
                                        </pic:blipFill>
                                        <pic:spPr bwMode="auto">
                                          <a:xfrm>
                                            <a:off x="0" y="0"/>
                                            <a:ext cx="457200" cy="95250"/>
                                          </a:xfrm>
                                          <a:prstGeom prst="rect">
                                            <a:avLst/>
                                          </a:prstGeom>
                                        </pic:spPr>
                                      </pic:pic>
                                    </a:graphicData>
                                  </a:graphic>
                                </wp:inline>
                              </w:drawing>
                            </w:r>
                            <w:bookmarkStart w:id="227" w:name="i-115"/>
                            <w:bookmarkEnd w:id="22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assets and liabilities, which arise from differences in the timing of recognition of revenue and expense for tax and financial statement purposes, as well as the interest and penalties related to uncertain tax positions. Significant changes to these estimates may result in an increase or decrease to our tax provision in the current or subsequent period.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50% likely of being realized upon ultimate settlement. As of each balance sheet date, unresolved uncertain tax positions must be reassessed, and we will determine whether the factors underlying the sustainability assertion have changed and the amount of the recognized tax benefit is still appropriate.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account for Global Intangible Low-taxed Income as a period cost.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years ended December 31, 2025, 2024, and 2023 income/(loss) before taxes from U.S. operations were ($547.5) million, ($311.0) million, and ($318.9) million, respectively, and income/(loss) before taxes from foreign operations was $1.4 million, $1.5 million, and $0.7 million, respectively.</w:t>
      </w:r>
    </w:p>
    <w:tbl>
      <w:tblPr>
        <w:tblW w:w="4050" w:type="dxa"/>
        <w:jc w:val="left"/>
        <w:tblInd w:w="0" w:type="dxa"/>
        <w:tblLayout w:type="fixed"/>
        <w:tblCellMar>
          <w:top w:w="28" w:type="dxa"/>
          <w:left w:w="28" w:type="dxa"/>
          <w:bottom w:w="28" w:type="dxa"/>
          <w:right w:w="28" w:type="dxa"/>
        </w:tblCellMar>
      </w:tblPr>
      <w:tblGrid>
        <w:gridCol w:w="1297"/>
        <w:gridCol w:w="1140"/>
        <w:gridCol w:w="1613"/>
      </w:tblGrid>
      <w:tr>
        <w:trPr/>
        <w:tc>
          <w:tcPr>
            <w:tcW w:w="129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DF1995"/>
                <w:sz w:val="22"/>
              </w:rPr>
            </w:pPr>
            <w:r>
              <w:rPr>
                <w:rFonts w:ascii="Roboto;sans-serif" w:hAnsi="Roboto;sans-serif"/>
                <w:b/>
                <w:color w:val="DF1995"/>
                <w:sz w:val="22"/>
              </w:rPr>
              <w:t>Income Tax Provision (Benefit)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Income tax provision (benefit) consists of the following:</w:t>
      </w:r>
    </w:p>
    <w:tbl>
      <w:tblPr>
        <w:tblW w:w="7122" w:type="dxa"/>
        <w:jc w:val="left"/>
        <w:tblInd w:w="0" w:type="dxa"/>
        <w:tblLayout w:type="fixed"/>
        <w:tblCellMar>
          <w:top w:w="28" w:type="dxa"/>
          <w:left w:w="28" w:type="dxa"/>
          <w:bottom w:w="28" w:type="dxa"/>
          <w:right w:w="28" w:type="dxa"/>
        </w:tblCellMar>
      </w:tblPr>
      <w:tblGrid>
        <w:gridCol w:w="1250"/>
        <w:gridCol w:w="1098"/>
        <w:gridCol w:w="1102"/>
        <w:gridCol w:w="226"/>
        <w:gridCol w:w="526"/>
        <w:gridCol w:w="109"/>
        <w:gridCol w:w="109"/>
        <w:gridCol w:w="109"/>
        <w:gridCol w:w="109"/>
        <w:gridCol w:w="226"/>
        <w:gridCol w:w="526"/>
        <w:gridCol w:w="109"/>
        <w:gridCol w:w="109"/>
        <w:gridCol w:w="109"/>
        <w:gridCol w:w="109"/>
        <w:gridCol w:w="226"/>
        <w:gridCol w:w="91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86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tax provision (benefit):</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US Federal</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52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US State</w:t>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w:t>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864 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tax provision (benefit)</w:t>
            </w:r>
          </w:p>
        </w:tc>
        <w:tc>
          <w:tcPr>
            <w:tcW w:w="75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864 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tax expense (benefit):</w:t>
            </w:r>
          </w:p>
        </w:tc>
        <w:tc>
          <w:tcPr>
            <w:tcW w:w="86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US Federal</w:t>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(275)</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(9,956)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US State</w:t>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(271)</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w:t>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deferred tax provision (benefit)</w:t>
            </w:r>
          </w:p>
        </w:tc>
        <w:tc>
          <w:tcPr>
            <w:tcW w:w="75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(546)</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(11,424)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income tax provision (benefit)</w:t>
            </w:r>
          </w:p>
        </w:tc>
        <w:tc>
          <w:tcPr>
            <w:tcW w:w="86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US Federal</w:t>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(275)</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(9,956)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US State</w:t>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(271)</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w:t>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864 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income tax provision (benefit)</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5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318 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(11,424)</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12520"/>
                <wp:effectExtent l="0" t="0" r="0" b="0"/>
                <wp:wrapNone/>
                <wp:docPr id="336" name="Frame11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3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16" descr=""/>
                                                <pic:cNvPicPr>
                                                  <a:picLocks noChangeAspect="1" noChangeArrowheads="1"/>
                                                </pic:cNvPicPr>
                                              </pic:nvPicPr>
                                              <pic:blipFill>
                                                <a:blip r:embed="rId226"/>
                                                <a:stretch>
                                                  <a:fillRect/>
                                                </a:stretch>
                                              </pic:blipFill>
                                              <pic:spPr bwMode="auto">
                                                <a:xfrm>
                                                  <a:off x="0" y="0"/>
                                                  <a:ext cx="457200" cy="95250"/>
                                                </a:xfrm>
                                                <a:prstGeom prst="rect">
                                                  <a:avLst/>
                                                </a:prstGeom>
                                              </pic:spPr>
                                            </pic:pic>
                                          </a:graphicData>
                                        </a:graphic>
                                      </wp:inline>
                                    </w:drawing>
                                  </w:r>
                                  <w:bookmarkStart w:id="228" w:name="i-116"/>
                                  <w:bookmarkEnd w:id="22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3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16" descr=""/>
                                          <pic:cNvPicPr>
                                            <a:picLocks noChangeAspect="1" noChangeArrowheads="1"/>
                                          </pic:cNvPicPr>
                                        </pic:nvPicPr>
                                        <pic:blipFill>
                                          <a:blip r:embed="rId227"/>
                                          <a:stretch>
                                            <a:fillRect/>
                                          </a:stretch>
                                        </pic:blipFill>
                                        <pic:spPr bwMode="auto">
                                          <a:xfrm>
                                            <a:off x="0" y="0"/>
                                            <a:ext cx="457200" cy="95250"/>
                                          </a:xfrm>
                                          <a:prstGeom prst="rect">
                                            <a:avLst/>
                                          </a:prstGeom>
                                        </pic:spPr>
                                      </pic:pic>
                                    </a:graphicData>
                                  </a:graphic>
                                </wp:inline>
                              </w:drawing>
                            </w:r>
                            <w:bookmarkStart w:id="229" w:name="i-116"/>
                            <w:bookmarkEnd w:id="22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300" w:after="283"/>
        <w:jc w:val="both"/>
        <w:rPr>
          <w:rFonts w:ascii="Roboto;sans-serif" w:hAnsi="Roboto;sans-serif"/>
          <w:b w:val="false"/>
          <w:color w:val="000000"/>
          <w:sz w:val="20"/>
        </w:rPr>
      </w:pPr>
      <w:r>
        <w:rPr>
          <w:rFonts w:ascii="Roboto;sans-serif" w:hAnsi="Roboto;sans-serif"/>
          <w:b w:val="false"/>
          <w:color w:val="000000"/>
          <w:sz w:val="20"/>
        </w:rPr>
        <w:t>Income tax provision (benefit) related to continuing operations differ from the amounts computed by applying the statutory income tax rate of 21% to pretax loss as follows:</w:t>
      </w:r>
    </w:p>
    <w:tbl>
      <w:tblPr>
        <w:tblW w:w="10205" w:type="dxa"/>
        <w:jc w:val="left"/>
        <w:tblInd w:w="0" w:type="dxa"/>
        <w:tblLayout w:type="fixed"/>
        <w:tblCellMar>
          <w:top w:w="28" w:type="dxa"/>
          <w:left w:w="28" w:type="dxa"/>
          <w:bottom w:w="28" w:type="dxa"/>
          <w:right w:w="28" w:type="dxa"/>
        </w:tblCellMar>
      </w:tblPr>
      <w:tblGrid>
        <w:gridCol w:w="1151"/>
        <w:gridCol w:w="735"/>
        <w:gridCol w:w="740"/>
        <w:gridCol w:w="226"/>
        <w:gridCol w:w="982"/>
        <w:gridCol w:w="109"/>
        <w:gridCol w:w="310"/>
        <w:gridCol w:w="311"/>
        <w:gridCol w:w="442"/>
        <w:gridCol w:w="109"/>
        <w:gridCol w:w="109"/>
        <w:gridCol w:w="109"/>
        <w:gridCol w:w="226"/>
        <w:gridCol w:w="862"/>
        <w:gridCol w:w="109"/>
        <w:gridCol w:w="293"/>
        <w:gridCol w:w="293"/>
        <w:gridCol w:w="442"/>
        <w:gridCol w:w="109"/>
        <w:gridCol w:w="109"/>
        <w:gridCol w:w="109"/>
        <w:gridCol w:w="226"/>
        <w:gridCol w:w="862"/>
        <w:gridCol w:w="109"/>
        <w:gridCol w:w="310"/>
        <w:gridCol w:w="311"/>
        <w:gridCol w:w="502"/>
      </w:tblGrid>
      <w:tr>
        <w:trPr/>
        <w:tc>
          <w:tcPr>
            <w:tcW w:w="11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9"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r>
      <w:tr>
        <w:trPr/>
        <w:tc>
          <w:tcPr>
            <w:tcW w:w="2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6"/>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(Amounts in thousands)</w:t>
            </w:r>
          </w:p>
        </w:tc>
        <w:tc>
          <w:tcPr>
            <w:tcW w:w="1317"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1383C6"/>
                <w:sz w:val="18"/>
              </w:rPr>
            </w:pPr>
            <w:r>
              <w:rPr>
                <w:rFonts w:ascii="Roboto;sans-serif" w:hAnsi="Roboto;sans-serif"/>
                <w:b w:val="false"/>
                <w:color w:val="1383C6"/>
                <w:sz w:val="18"/>
              </w:rPr>
              <w:t>Amount</w:t>
            </w:r>
          </w:p>
        </w:tc>
        <w:tc>
          <w:tcPr>
            <w:tcW w:w="1063"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1383C6"/>
                <w:sz w:val="18"/>
              </w:rPr>
            </w:pPr>
            <w:r>
              <w:rPr>
                <w:rFonts w:ascii="Roboto;sans-serif" w:hAnsi="Roboto;sans-serif"/>
                <w:b w:val="false"/>
                <w:color w:val="1383C6"/>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Amount</w:t>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Amount</w:t>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Percent</w:t>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At statutory tax rate</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8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(114,672)</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21.0 </w:t>
            </w:r>
          </w:p>
        </w:tc>
        <w:tc>
          <w:tcPr>
            <w:tcW w:w="442"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(65,002)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21.0 </w:t>
            </w:r>
          </w:p>
        </w:tc>
        <w:tc>
          <w:tcPr>
            <w:tcW w:w="4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(66,807)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21.0 </w:t>
            </w:r>
          </w:p>
        </w:tc>
        <w:tc>
          <w:tcPr>
            <w:tcW w:w="5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State and local income taxes, net of federal income tax effect</w:t>
            </w:r>
          </w:p>
        </w:tc>
        <w:tc>
          <w:tcPr>
            <w:tcW w:w="1208"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(741)</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0.1 </w:t>
            </w:r>
          </w:p>
        </w:tc>
        <w:tc>
          <w:tcPr>
            <w:tcW w:w="44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Tax credits:</w:t>
            </w:r>
          </w:p>
        </w:tc>
        <w:tc>
          <w:tcPr>
            <w:tcW w:w="131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R&amp;D credit</w:t>
            </w:r>
          </w:p>
        </w:tc>
        <w:tc>
          <w:tcPr>
            <w:tcW w:w="1208"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(1,654)</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0.3 </w:t>
            </w:r>
          </w:p>
        </w:tc>
        <w:tc>
          <w:tcPr>
            <w:tcW w:w="44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Nontaxable or nondeductible items:</w:t>
            </w:r>
          </w:p>
        </w:tc>
        <w:tc>
          <w:tcPr>
            <w:tcW w:w="131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Stock compensation</w:t>
            </w:r>
          </w:p>
        </w:tc>
        <w:tc>
          <w:tcPr>
            <w:tcW w:w="1208"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9,845 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(1.8)</w:t>
            </w:r>
          </w:p>
        </w:tc>
        <w:tc>
          <w:tcPr>
            <w:tcW w:w="44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Goodwill impairment</w:t>
            </w:r>
          </w:p>
        </w:tc>
        <w:tc>
          <w:tcPr>
            <w:tcW w:w="1208"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44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w:t>
            </w:r>
          </w:p>
        </w:tc>
        <w:tc>
          <w:tcPr>
            <w:tcW w:w="1208"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(3,515)</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0.6 </w:t>
            </w:r>
          </w:p>
        </w:tc>
        <w:tc>
          <w:tcPr>
            <w:tcW w:w="44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Effect of cross-border tax laws</w:t>
            </w:r>
          </w:p>
        </w:tc>
        <w:tc>
          <w:tcPr>
            <w:tcW w:w="1208"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367 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(0.1)</w:t>
            </w:r>
          </w:p>
        </w:tc>
        <w:tc>
          <w:tcPr>
            <w:tcW w:w="44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Changes in valuation allowance</w:t>
            </w:r>
          </w:p>
        </w:tc>
        <w:tc>
          <w:tcPr>
            <w:tcW w:w="1208"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107,803 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(19.7)</w:t>
            </w:r>
          </w:p>
        </w:tc>
        <w:tc>
          <w:tcPr>
            <w:tcW w:w="44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(17.4)</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w:t>
            </w:r>
          </w:p>
        </w:tc>
        <w:tc>
          <w:tcPr>
            <w:tcW w:w="1208"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781 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(0.1)</w:t>
            </w:r>
          </w:p>
        </w:tc>
        <w:tc>
          <w:tcPr>
            <w:tcW w:w="44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Foreign tax effects</w:t>
            </w:r>
          </w:p>
        </w:tc>
        <w:tc>
          <w:tcPr>
            <w:tcW w:w="1208"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557 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(0.1)</w:t>
            </w:r>
          </w:p>
        </w:tc>
        <w:tc>
          <w:tcPr>
            <w:tcW w:w="44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Changes in unrecognized tax benefits</w:t>
            </w:r>
          </w:p>
        </w:tc>
        <w:tc>
          <w:tcPr>
            <w:tcW w:w="1208"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1,547 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(0.3)</w:t>
            </w:r>
          </w:p>
        </w:tc>
        <w:tc>
          <w:tcPr>
            <w:tcW w:w="442"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effective tax rate</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82"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318 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(0.1)</w:t>
            </w:r>
          </w:p>
        </w:tc>
        <w:tc>
          <w:tcPr>
            <w:tcW w:w="442"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4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(11,424)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5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For the years ended December 31, 2025, 2024 and 2023, state and local income taxes in California and Massachusetts comprise the majority of the state and local income taxes, net of federal effect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12520"/>
                <wp:effectExtent l="0" t="0" r="0" b="0"/>
                <wp:wrapNone/>
                <wp:docPr id="339" name="Frame11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4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17" descr=""/>
                                                <pic:cNvPicPr>
                                                  <a:picLocks noChangeAspect="1" noChangeArrowheads="1"/>
                                                </pic:cNvPicPr>
                                              </pic:nvPicPr>
                                              <pic:blipFill>
                                                <a:blip r:embed="rId228"/>
                                                <a:stretch>
                                                  <a:fillRect/>
                                                </a:stretch>
                                              </pic:blipFill>
                                              <pic:spPr bwMode="auto">
                                                <a:xfrm>
                                                  <a:off x="0" y="0"/>
                                                  <a:ext cx="457200" cy="95250"/>
                                                </a:xfrm>
                                                <a:prstGeom prst="rect">
                                                  <a:avLst/>
                                                </a:prstGeom>
                                              </pic:spPr>
                                            </pic:pic>
                                          </a:graphicData>
                                        </a:graphic>
                                      </wp:inline>
                                    </w:drawing>
                                  </w:r>
                                  <w:bookmarkStart w:id="230" w:name="i-117"/>
                                  <w:bookmarkEnd w:id="23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4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17" descr=""/>
                                          <pic:cNvPicPr>
                                            <a:picLocks noChangeAspect="1" noChangeArrowheads="1"/>
                                          </pic:cNvPicPr>
                                        </pic:nvPicPr>
                                        <pic:blipFill>
                                          <a:blip r:embed="rId229"/>
                                          <a:stretch>
                                            <a:fillRect/>
                                          </a:stretch>
                                        </pic:blipFill>
                                        <pic:spPr bwMode="auto">
                                          <a:xfrm>
                                            <a:off x="0" y="0"/>
                                            <a:ext cx="457200" cy="95250"/>
                                          </a:xfrm>
                                          <a:prstGeom prst="rect">
                                            <a:avLst/>
                                          </a:prstGeom>
                                        </pic:spPr>
                                      </pic:pic>
                                    </a:graphicData>
                                  </a:graphic>
                                </wp:inline>
                              </w:drawing>
                            </w:r>
                            <w:bookmarkStart w:id="231" w:name="i-117"/>
                            <w:bookmarkEnd w:id="23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4575" w:type="dxa"/>
        <w:jc w:val="left"/>
        <w:tblInd w:w="0" w:type="dxa"/>
        <w:tblLayout w:type="fixed"/>
        <w:tblCellMar>
          <w:top w:w="28" w:type="dxa"/>
          <w:left w:w="28" w:type="dxa"/>
          <w:bottom w:w="28" w:type="dxa"/>
          <w:right w:w="28" w:type="dxa"/>
        </w:tblCellMar>
      </w:tblPr>
      <w:tblGrid>
        <w:gridCol w:w="1465"/>
        <w:gridCol w:w="1288"/>
        <w:gridCol w:w="1822"/>
      </w:tblGrid>
      <w:tr>
        <w:trPr/>
        <w:tc>
          <w:tcPr>
            <w:tcW w:w="146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DF1995"/>
                <w:sz w:val="22"/>
              </w:rPr>
            </w:pPr>
            <w:r>
              <w:rPr>
                <w:rFonts w:ascii="Roboto;sans-serif" w:hAnsi="Roboto;sans-serif"/>
                <w:b/>
                <w:color w:val="DF1995"/>
                <w:sz w:val="22"/>
              </w:rPr>
              <w:t>Deferred Tax Assets and Liabilities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Deferred income taxes reflect the net tax effects of loss and credit carryforwards and temporary differences between the carrying amounts of assets and liabilities for financial reporting purposes and the amounts used for income tax purposes. Significant components of our deferred tax assets for federal and state income taxes are as follows:</w:t>
      </w:r>
    </w:p>
    <w:tbl>
      <w:tblPr>
        <w:tblW w:w="8334" w:type="dxa"/>
        <w:jc w:val="left"/>
        <w:tblInd w:w="0" w:type="dxa"/>
        <w:tblLayout w:type="fixed"/>
        <w:tblCellMar>
          <w:top w:w="28" w:type="dxa"/>
          <w:left w:w="28" w:type="dxa"/>
          <w:bottom w:w="28" w:type="dxa"/>
          <w:right w:w="28" w:type="dxa"/>
        </w:tblCellMar>
      </w:tblPr>
      <w:tblGrid>
        <w:gridCol w:w="1958"/>
        <w:gridCol w:w="1718"/>
        <w:gridCol w:w="1724"/>
        <w:gridCol w:w="226"/>
        <w:gridCol w:w="946"/>
        <w:gridCol w:w="109"/>
        <w:gridCol w:w="109"/>
        <w:gridCol w:w="109"/>
        <w:gridCol w:w="109"/>
        <w:gridCol w:w="226"/>
        <w:gridCol w:w="946"/>
        <w:gridCol w:w="154"/>
      </w:tblGrid>
      <w:tr>
        <w:trPr/>
        <w:tc>
          <w:tcPr>
            <w:tcW w:w="195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December 31,</w:t>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8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Deferred Tax Assets:</w:t>
            </w:r>
          </w:p>
        </w:tc>
        <w:tc>
          <w:tcPr>
            <w:tcW w:w="128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operating loss carryforwards</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466,004 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434,122 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credits </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93,752 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91,416 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Fixed assets</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1,446 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Capitalized research and experimental expenses</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68,647 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73,281 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Accruals and reserves</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14,077 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Cancellation of indebtedness income and interest expense</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18,473 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20,424 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Share-based compensation</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14,778 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liability</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13,199 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deferred tax assets </w:t>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690,376 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653,562 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Valuation allowance</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(678,952)</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(558,794)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deferred tax assets</w:t>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11,424 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94,768 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Deferred Tax Liabilities:</w:t>
            </w:r>
          </w:p>
        </w:tc>
        <w:tc>
          <w:tcPr>
            <w:tcW w:w="128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Intangibles</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(1,810)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(91,504)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Fixed assets</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right-of-use assets</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(9,614)</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deferred tax liabilities</w:t>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(11,424)</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(95,314)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tax liabilities, net</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(546)</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At December 31, 2025, we maintained a valuation allowance against our net deferred tax assets which totaled $679.0 million, including net operating loss carryforwards and research and development credits of $466.0 million and $93.8 million, respectively.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valuation allowance is recorded when it is more likely than not that all or some portion of the deferred income tax assets will not be realized. We regularly assess the need for a valuation allowance against our deferred income tax assets by considering both positive and negative evidence related to whether it is more likely than not that our deferred income tax assets will be realized. In evaluating our ability to recover our deferred income tax assets within the jurisdiction from which they arise, we consider all available positive and negative evidence, including scheduled reversals of deferred income tax liabilities, projected future taxable income, tax-planning strategies, and results of recent operations. We maintain a valuation allowance on the net deferred tax assets of our U.S. entities as we have concluded that it is more likely than not that we will not realize our deferred tax assets.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For the year ended December 31, 2025, the Company's valuation allowance increased to $679.0 million, primarily because of an increase in our net operating losses and credits that were fully offset by a valuation allowance. For the year ended December 31, 2024, the Company's valuation allowance increased to $558.8 million, primarily because of an increase in our credits and capitalized research and experimental expenses that were fully offset by a valuation allowance. The change in valuation allowance of $120.2 million was charged to continuing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112520"/>
                <wp:effectExtent l="0" t="0" r="0" b="0"/>
                <wp:wrapNone/>
                <wp:docPr id="342" name="Frame11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4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18" descr=""/>
                                                <pic:cNvPicPr>
                                                  <a:picLocks noChangeAspect="1" noChangeArrowheads="1"/>
                                                </pic:cNvPicPr>
                                              </pic:nvPicPr>
                                              <pic:blipFill>
                                                <a:blip r:embed="rId230"/>
                                                <a:stretch>
                                                  <a:fillRect/>
                                                </a:stretch>
                                              </pic:blipFill>
                                              <pic:spPr bwMode="auto">
                                                <a:xfrm>
                                                  <a:off x="0" y="0"/>
                                                  <a:ext cx="457200" cy="95250"/>
                                                </a:xfrm>
                                                <a:prstGeom prst="rect">
                                                  <a:avLst/>
                                                </a:prstGeom>
                                              </pic:spPr>
                                            </pic:pic>
                                          </a:graphicData>
                                        </a:graphic>
                                      </wp:inline>
                                    </w:drawing>
                                  </w:r>
                                  <w:bookmarkStart w:id="232" w:name="i-118"/>
                                  <w:bookmarkEnd w:id="23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4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18" descr=""/>
                                          <pic:cNvPicPr>
                                            <a:picLocks noChangeAspect="1" noChangeArrowheads="1"/>
                                          </pic:cNvPicPr>
                                        </pic:nvPicPr>
                                        <pic:blipFill>
                                          <a:blip r:embed="rId231"/>
                                          <a:stretch>
                                            <a:fillRect/>
                                          </a:stretch>
                                        </pic:blipFill>
                                        <pic:spPr bwMode="auto">
                                          <a:xfrm>
                                            <a:off x="0" y="0"/>
                                            <a:ext cx="457200" cy="95250"/>
                                          </a:xfrm>
                                          <a:prstGeom prst="rect">
                                            <a:avLst/>
                                          </a:prstGeom>
                                        </pic:spPr>
                                      </pic:pic>
                                    </a:graphicData>
                                  </a:graphic>
                                </wp:inline>
                              </w:drawing>
                            </w:r>
                            <w:bookmarkStart w:id="233" w:name="i-118"/>
                            <w:bookmarkEnd w:id="23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6404" w:type="dxa"/>
        <w:jc w:val="left"/>
        <w:tblInd w:w="0" w:type="dxa"/>
        <w:tblLayout w:type="fixed"/>
        <w:tblCellMar>
          <w:top w:w="28" w:type="dxa"/>
          <w:left w:w="28" w:type="dxa"/>
          <w:bottom w:w="28" w:type="dxa"/>
          <w:right w:w="28" w:type="dxa"/>
        </w:tblCellMar>
      </w:tblPr>
      <w:tblGrid>
        <w:gridCol w:w="2049"/>
        <w:gridCol w:w="1801"/>
        <w:gridCol w:w="2554"/>
      </w:tblGrid>
      <w:tr>
        <w:trPr/>
        <w:tc>
          <w:tcPr>
            <w:tcW w:w="204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DF1995"/>
                <w:sz w:val="22"/>
              </w:rPr>
            </w:pPr>
            <w:r>
              <w:rPr>
                <w:rFonts w:ascii="Roboto;sans-serif" w:hAnsi="Roboto;sans-serif"/>
                <w:b/>
                <w:color w:val="DF1995"/>
                <w:sz w:val="22"/>
              </w:rPr>
              <w:t>Net Operating Loss and Tax Credit Carryforwards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we had a net operating loss carryforward for federal income tax purposes of approximately $1,844.8 million, of which $779.3 million is subject to annual expirations beginning in 2026. We had a total state net operating loss carryforward of approximately $1,222.9 million, which is subject to annual expirations. Utilization of some of the federal and state net operating loss and credit carryforwards are subject to annual limitations due to the “change in ownership” provisions of the Internal Revenue Code of 1986 and similar state provisions. The annual limitations may result in the expiration of net operating losses and credits before utilization.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federal credits of approximately $66.1 million, a portion of which will begin to expire in 2026 if not utilized and state research credits of approximately $57.3 million, which have no expiration date. These tax credits are subject to the same limitations discussed above.</w:t>
      </w:r>
    </w:p>
    <w:tbl>
      <w:tblPr>
        <w:tblW w:w="3539" w:type="dxa"/>
        <w:jc w:val="left"/>
        <w:tblInd w:w="0" w:type="dxa"/>
        <w:tblLayout w:type="fixed"/>
        <w:tblCellMar>
          <w:top w:w="28" w:type="dxa"/>
          <w:left w:w="28" w:type="dxa"/>
          <w:bottom w:w="28" w:type="dxa"/>
          <w:right w:w="28" w:type="dxa"/>
        </w:tblCellMar>
      </w:tblPr>
      <w:tblGrid>
        <w:gridCol w:w="1133"/>
        <w:gridCol w:w="995"/>
        <w:gridCol w:w="1411"/>
      </w:tblGrid>
      <w:tr>
        <w:trPr/>
        <w:tc>
          <w:tcPr>
            <w:tcW w:w="11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DF1995"/>
                <w:sz w:val="22"/>
              </w:rPr>
            </w:pPr>
            <w:r>
              <w:rPr>
                <w:rFonts w:ascii="Roboto;sans-serif" w:hAnsi="Roboto;sans-serif"/>
                <w:b/>
                <w:color w:val="DF1995"/>
                <w:sz w:val="22"/>
              </w:rPr>
              <w:t>Unrecognized Tax Benefits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our total unrecognized tax benefit was $19.2 million. A reconciliation of the beginning and ending unrecognized tax benefit balance is as follows:</w:t>
      </w:r>
    </w:p>
    <w:tbl>
      <w:tblPr>
        <w:tblW w:w="7686" w:type="dxa"/>
        <w:jc w:val="left"/>
        <w:tblInd w:w="0" w:type="dxa"/>
        <w:tblLayout w:type="fixed"/>
        <w:tblCellMar>
          <w:top w:w="28" w:type="dxa"/>
          <w:left w:w="28" w:type="dxa"/>
          <w:bottom w:w="28" w:type="dxa"/>
          <w:right w:w="28" w:type="dxa"/>
        </w:tblCellMar>
      </w:tblPr>
      <w:tblGrid>
        <w:gridCol w:w="2348"/>
        <w:gridCol w:w="2061"/>
        <w:gridCol w:w="2071"/>
        <w:gridCol w:w="226"/>
        <w:gridCol w:w="826"/>
        <w:gridCol w:w="154"/>
      </w:tblGrid>
      <w:tr>
        <w:trPr/>
        <w:tc>
          <w:tcPr>
            <w:tcW w:w="2348"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as of December 31, 2022</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Increase in balance related to tax positions taken in prior year </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Increase in balance related to tax positions taken during current year </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as of December 31, 2023</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14,554 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Decrease in balance related to tax positions taken in prior year </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Increase in balance related to tax positions taken during current year </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as of December 31, 2024</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17,676 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 xml:space="preserve">Decrease in balance related to tax positions taken in prior year </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(14)</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 xml:space="preserve">Increase in balance related to tax positions taken during current year </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1,562 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Balance as of December 31, 2025</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19,224 </w:t>
            </w:r>
          </w:p>
        </w:tc>
        <w:tc>
          <w:tcPr>
            <w:tcW w:w="154"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practice is to recognize interest and/or penalties related to income tax matters in income tax expense. As of December 31, 2025 and 2024, we had no accrued interest or penalties due to our net operating losses available to offset any tax adjustment. If total unrecognized tax benefits were realized in the future, it would not result in any tax benefit as we currently have a full valuation allowance. We file U.S. federal and various state income tax returns. For U.S. federal and state income tax purposes, the statute of limitations currently remains open for the years ending December 31, 2022 to present and December 31, 2021 to present, respectively. In addition, all of the net operating losses and research and development credit carryforwards that may be utilized in future years may be subject to examination. We are not currently under examination by income tax authorities in any jurisdiction.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112520"/>
                <wp:effectExtent l="0" t="0" r="0" b="0"/>
                <wp:wrapNone/>
                <wp:docPr id="345" name="Frame11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4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19" descr=""/>
                                                <pic:cNvPicPr>
                                                  <a:picLocks noChangeAspect="1" noChangeArrowheads="1"/>
                                                </pic:cNvPicPr>
                                              </pic:nvPicPr>
                                              <pic:blipFill>
                                                <a:blip r:embed="rId232"/>
                                                <a:stretch>
                                                  <a:fillRect/>
                                                </a:stretch>
                                              </pic:blipFill>
                                              <pic:spPr bwMode="auto">
                                                <a:xfrm>
                                                  <a:off x="0" y="0"/>
                                                  <a:ext cx="457200" cy="95250"/>
                                                </a:xfrm>
                                                <a:prstGeom prst="rect">
                                                  <a:avLst/>
                                                </a:prstGeom>
                                              </pic:spPr>
                                            </pic:pic>
                                          </a:graphicData>
                                        </a:graphic>
                                      </wp:inline>
                                    </w:drawing>
                                  </w:r>
                                  <w:bookmarkStart w:id="234" w:name="i-119"/>
                                  <w:bookmarkEnd w:id="23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4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19" descr=""/>
                                          <pic:cNvPicPr>
                                            <a:picLocks noChangeAspect="1" noChangeArrowheads="1"/>
                                          </pic:cNvPicPr>
                                        </pic:nvPicPr>
                                        <pic:blipFill>
                                          <a:blip r:embed="rId233"/>
                                          <a:stretch>
                                            <a:fillRect/>
                                          </a:stretch>
                                        </pic:blipFill>
                                        <pic:spPr bwMode="auto">
                                          <a:xfrm>
                                            <a:off x="0" y="0"/>
                                            <a:ext cx="457200" cy="95250"/>
                                          </a:xfrm>
                                          <a:prstGeom prst="rect">
                                            <a:avLst/>
                                          </a:prstGeom>
                                        </pic:spPr>
                                      </pic:pic>
                                    </a:graphicData>
                                  </a:graphic>
                                </wp:inline>
                              </w:drawing>
                            </w:r>
                            <w:bookmarkStart w:id="235" w:name="i-119"/>
                            <w:bookmarkEnd w:id="23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2535" w:type="dxa"/>
        <w:jc w:val="left"/>
        <w:tblInd w:w="0" w:type="dxa"/>
        <w:tblLayout w:type="fixed"/>
        <w:tblCellMar>
          <w:top w:w="28" w:type="dxa"/>
          <w:left w:w="28" w:type="dxa"/>
          <w:bottom w:w="28" w:type="dxa"/>
          <w:right w:w="28" w:type="dxa"/>
        </w:tblCellMar>
      </w:tblPr>
      <w:tblGrid>
        <w:gridCol w:w="812"/>
        <w:gridCol w:w="712"/>
        <w:gridCol w:w="1011"/>
      </w:tblGrid>
      <w:tr>
        <w:trPr/>
        <w:tc>
          <w:tcPr>
            <w:tcW w:w="8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DF1995"/>
                <w:sz w:val="22"/>
              </w:rPr>
            </w:pPr>
            <w:r>
              <w:rPr>
                <w:rFonts w:ascii="Roboto;sans-serif" w:hAnsi="Roboto;sans-serif"/>
                <w:b/>
                <w:color w:val="DF1995"/>
                <w:sz w:val="22"/>
              </w:rPr>
              <w:t>Income Taxes Paid</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Income taxes paid net of refunds received exceeding 5% of the annual total by jurisdiction:</w:t>
      </w:r>
    </w:p>
    <w:tbl>
      <w:tblPr>
        <w:tblW w:w="5741" w:type="dxa"/>
        <w:jc w:val="left"/>
        <w:tblInd w:w="0" w:type="dxa"/>
        <w:tblLayout w:type="fixed"/>
        <w:tblCellMar>
          <w:top w:w="28" w:type="dxa"/>
          <w:left w:w="28" w:type="dxa"/>
          <w:bottom w:w="28" w:type="dxa"/>
          <w:right w:w="28" w:type="dxa"/>
        </w:tblCellMar>
      </w:tblPr>
      <w:tblGrid>
        <w:gridCol w:w="891"/>
        <w:gridCol w:w="782"/>
        <w:gridCol w:w="786"/>
        <w:gridCol w:w="226"/>
        <w:gridCol w:w="526"/>
        <w:gridCol w:w="109"/>
        <w:gridCol w:w="109"/>
        <w:gridCol w:w="109"/>
        <w:gridCol w:w="109"/>
        <w:gridCol w:w="226"/>
        <w:gridCol w:w="526"/>
        <w:gridCol w:w="109"/>
        <w:gridCol w:w="109"/>
        <w:gridCol w:w="109"/>
        <w:gridCol w:w="109"/>
        <w:gridCol w:w="226"/>
        <w:gridCol w:w="52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86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U.S. Federal</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5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U.S. State and Local</w:t>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Foreign:</w:t>
            </w:r>
          </w:p>
        </w:tc>
        <w:tc>
          <w:tcPr>
            <w:tcW w:w="86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Canada</w:t>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China</w:t>
            </w:r>
          </w:p>
        </w:tc>
        <w:tc>
          <w:tcPr>
            <w:tcW w:w="861"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Germany</w:t>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Japan</w:t>
            </w:r>
          </w:p>
        </w:tc>
        <w:tc>
          <w:tcPr>
            <w:tcW w:w="861"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Netherlands</w:t>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Taiwan</w:t>
            </w:r>
          </w:p>
        </w:tc>
        <w:tc>
          <w:tcPr>
            <w:tcW w:w="861"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United Kingdom</w:t>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277 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Other foreign jurisdictions</w:t>
            </w:r>
          </w:p>
        </w:tc>
        <w:tc>
          <w:tcPr>
            <w:tcW w:w="75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35 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foreign</w:t>
            </w:r>
          </w:p>
        </w:tc>
        <w:tc>
          <w:tcPr>
            <w:tcW w:w="75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481 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income taxes paid</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5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481 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16"/>
        </w:rPr>
      </w:pPr>
      <w:r>
        <w:rPr>
          <w:rFonts w:ascii="Roboto;sans-serif" w:hAnsi="Roboto;sans-serif"/>
          <w:b w:val="false"/>
          <w:color w:val="000000"/>
          <w:sz w:val="16"/>
        </w:rPr>
        <w:t>* Income tax paid net of refunds received did not exceed 5% of the annual total by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94" w:type="dxa"/>
        <w:jc w:val="left"/>
        <w:tblInd w:w="0" w:type="dxa"/>
        <w:tblLayout w:type="fixed"/>
        <w:tblCellMar>
          <w:top w:w="28" w:type="dxa"/>
          <w:left w:w="28" w:type="dxa"/>
          <w:bottom w:w="28" w:type="dxa"/>
          <w:right w:w="28" w:type="dxa"/>
        </w:tblCellMar>
      </w:tblPr>
      <w:tblGrid>
        <w:gridCol w:w="1407"/>
        <w:gridCol w:w="1237"/>
        <w:gridCol w:w="1750"/>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9. STOCKHOLDERS' EQUITY</w:t>
            </w:r>
          </w:p>
        </w:tc>
      </w:tr>
    </w:tbl>
    <w:tbl>
      <w:tblPr>
        <w:tblW w:w="3885" w:type="dxa"/>
        <w:jc w:val="left"/>
        <w:tblInd w:w="0" w:type="dxa"/>
        <w:tblLayout w:type="fixed"/>
        <w:tblCellMar>
          <w:top w:w="28" w:type="dxa"/>
          <w:left w:w="28" w:type="dxa"/>
          <w:bottom w:w="28" w:type="dxa"/>
          <w:right w:w="28" w:type="dxa"/>
        </w:tblCellMar>
      </w:tblPr>
      <w:tblGrid>
        <w:gridCol w:w="1243"/>
        <w:gridCol w:w="1092"/>
        <w:gridCol w:w="1550"/>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DF1995"/>
                <w:sz w:val="22"/>
              </w:rPr>
            </w:pPr>
            <w:r>
              <w:rPr>
                <w:rFonts w:ascii="Roboto;sans-serif" w:hAnsi="Roboto;sans-serif"/>
                <w:b/>
                <w:color w:val="DF1995"/>
                <w:sz w:val="22"/>
              </w:rPr>
              <w:t>Common and Preferred Stock</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Certificate of Incorporation, as amended and restated in 2010 in connection with the closing of our initial public offering, authorizes us to issue 1,000,000,000 shares of $0.001 par value common stock and 50,000,000 shares of $0.001 par value preferred stock. As of December 31, 2025 and 2024, there were no shares of preferred stock issued or outstanding.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Common stockholders are entitled to dividends when and if declared by our board of directors. There have been no dividends declared to date. The holder of each share of common stock is entitled to one vote. </w:t>
      </w:r>
    </w:p>
    <w:tbl>
      <w:tblPr>
        <w:tblW w:w="4830" w:type="dxa"/>
        <w:jc w:val="left"/>
        <w:tblInd w:w="0" w:type="dxa"/>
        <w:tblLayout w:type="fixed"/>
        <w:tblCellMar>
          <w:top w:w="28" w:type="dxa"/>
          <w:left w:w="28" w:type="dxa"/>
          <w:bottom w:w="28" w:type="dxa"/>
          <w:right w:w="28" w:type="dxa"/>
        </w:tblCellMar>
      </w:tblPr>
      <w:tblGrid>
        <w:gridCol w:w="1546"/>
        <w:gridCol w:w="1358"/>
        <w:gridCol w:w="1926"/>
      </w:tblGrid>
      <w:tr>
        <w:trPr/>
        <w:tc>
          <w:tcPr>
            <w:tcW w:w="154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Underwritten Public Equity Offerings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January 2023, we entered into an underwriting agreement, relating to the public offering of 17.5 million shares of our common stock, $0.001 par value per share, at a price to the public of $10.00 per share. Under the terms of the underwriting agreement, we also granted the underwriters a 30-day option to purchase up to an additional 2.6 million shares of our common stock, which was subsequently exercised in full, and the offering, including the sale of shares of common stock subject to the underwriters' option, closed in January 2023. In total, we sold 20.1 million shares of our common stock. We paid a commission equal to 5.75% of the gross proceeds from the sale of shares of our common stock. The total net proceeds to us from the offering after deducting the underwriting discount were approximately $189.7 million, excluding approximately $0.5 million of offering expenses.</w:t>
      </w:r>
    </w:p>
    <w:tbl>
      <w:tblPr>
        <w:tblW w:w="1739" w:type="dxa"/>
        <w:jc w:val="left"/>
        <w:tblInd w:w="0" w:type="dxa"/>
        <w:tblLayout w:type="fixed"/>
        <w:tblCellMar>
          <w:top w:w="28" w:type="dxa"/>
          <w:left w:w="28" w:type="dxa"/>
          <w:bottom w:w="28" w:type="dxa"/>
          <w:right w:w="28" w:type="dxa"/>
        </w:tblCellMar>
      </w:tblPr>
      <w:tblGrid>
        <w:gridCol w:w="556"/>
        <w:gridCol w:w="488"/>
        <w:gridCol w:w="695"/>
      </w:tblGrid>
      <w:tr>
        <w:trPr/>
        <w:tc>
          <w:tcPr>
            <w:tcW w:w="5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Equity Plans</w:t>
            </w:r>
          </w:p>
        </w:tc>
      </w:tr>
    </w:tbl>
    <w:p>
      <w:pPr>
        <w:pStyle w:val="TextBody"/>
        <w:bidi w:val="0"/>
        <w:spacing w:lineRule="auto" w:line="288" w:before="120" w:after="283"/>
        <w:jc w:val="both"/>
        <w:rPr/>
      </w:pPr>
      <w:r>
        <w:rPr>
          <w:rFonts w:ascii="Roboto;sans-serif" w:hAnsi="Roboto;sans-serif"/>
          <w:b w:val="false"/>
          <w:color w:val="000000"/>
          <w:sz w:val="20"/>
          <w:shd w:fill="FFFFFF" w:val="clear"/>
        </w:rPr>
        <w:t>The 2020 Equity Incentive Plan (the “2020 Plan”), the 2020 Inducement Equity Incentive Plan (the “Inducement Plan”), and the 2021 adopted Omniome Equity Incentive Plan of Pacific Biosciences of California, Inc. (the “Omniome Plan”) allow for the issuance of stock options, restric</w:t>
      </w:r>
      <w:r>
        <w:rPr>
          <w:rFonts w:ascii="Roboto;sans-serif" w:hAnsi="Roboto;sans-serif"/>
          <w:b w:val="false"/>
          <w:color w:val="000000"/>
          <w:sz w:val="20"/>
        </w:rPr>
        <w:t>ted units and awards, and performance-based awards. The 2010 Employee Stock Purchase Plan (the “ESPP”) allows eligible employees to acquire common stock at a discounted price through payroll deductions during designated offering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112520"/>
                <wp:effectExtent l="0" t="0" r="0" b="0"/>
                <wp:wrapNone/>
                <wp:docPr id="348" name="Frame11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4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20" descr=""/>
                                                <pic:cNvPicPr>
                                                  <a:picLocks noChangeAspect="1" noChangeArrowheads="1"/>
                                                </pic:cNvPicPr>
                                              </pic:nvPicPr>
                                              <pic:blipFill>
                                                <a:blip r:embed="rId234"/>
                                                <a:stretch>
                                                  <a:fillRect/>
                                                </a:stretch>
                                              </pic:blipFill>
                                              <pic:spPr bwMode="auto">
                                                <a:xfrm>
                                                  <a:off x="0" y="0"/>
                                                  <a:ext cx="457200" cy="95250"/>
                                                </a:xfrm>
                                                <a:prstGeom prst="rect">
                                                  <a:avLst/>
                                                </a:prstGeom>
                                              </pic:spPr>
                                            </pic:pic>
                                          </a:graphicData>
                                        </a:graphic>
                                      </wp:inline>
                                    </w:drawing>
                                  </w:r>
                                  <w:bookmarkStart w:id="236" w:name="i-120"/>
                                  <w:bookmarkEnd w:id="23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5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20" descr=""/>
                                          <pic:cNvPicPr>
                                            <a:picLocks noChangeAspect="1" noChangeArrowheads="1"/>
                                          </pic:cNvPicPr>
                                        </pic:nvPicPr>
                                        <pic:blipFill>
                                          <a:blip r:embed="rId235"/>
                                          <a:stretch>
                                            <a:fillRect/>
                                          </a:stretch>
                                        </pic:blipFill>
                                        <pic:spPr bwMode="auto">
                                          <a:xfrm>
                                            <a:off x="0" y="0"/>
                                            <a:ext cx="457200" cy="95250"/>
                                          </a:xfrm>
                                          <a:prstGeom prst="rect">
                                            <a:avLst/>
                                          </a:prstGeom>
                                        </pic:spPr>
                                      </pic:pic>
                                    </a:graphicData>
                                  </a:graphic>
                                </wp:inline>
                              </w:drawing>
                            </w:r>
                            <w:bookmarkStart w:id="237" w:name="i-120"/>
                            <w:bookmarkEnd w:id="23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June 18, 2024, our stockholders approved an amendment to the 2020 Plan, and we reserved an additional 20.0 million shares of our common stock for issuance pursuant to equity awards granted under the 2020 Plan.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June 4, 2025, our stockholders approved an amendment to the 2020 Plan, and we reserved an additional 23.0 million shares of our common stock for issuance pursuant to equity awards granted under the 2020 Plan.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we had 38.6 million shares remaining and available for future issuance under the 2020 Plan, Inducement Plan, and the Omniome Plan. Shares remaining and available for future issuance reflect shares that may become eligible to vest upon the achievement of maximum targets for certain equity awards.</w:t>
      </w:r>
    </w:p>
    <w:tbl>
      <w:tblPr>
        <w:tblW w:w="1935" w:type="dxa"/>
        <w:jc w:val="left"/>
        <w:tblInd w:w="0" w:type="dxa"/>
        <w:tblLayout w:type="fixed"/>
        <w:tblCellMar>
          <w:top w:w="28" w:type="dxa"/>
          <w:left w:w="28" w:type="dxa"/>
          <w:bottom w:w="28" w:type="dxa"/>
          <w:right w:w="28" w:type="dxa"/>
        </w:tblCellMar>
      </w:tblPr>
      <w:tblGrid>
        <w:gridCol w:w="619"/>
        <w:gridCol w:w="544"/>
        <w:gridCol w:w="772"/>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Stock Options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stock option activity for time-based awards:</w:t>
      </w:r>
    </w:p>
    <w:tbl>
      <w:tblPr>
        <w:tblW w:w="6776" w:type="dxa"/>
        <w:jc w:val="left"/>
        <w:tblInd w:w="0" w:type="dxa"/>
        <w:tblLayout w:type="fixed"/>
        <w:tblCellMar>
          <w:top w:w="28" w:type="dxa"/>
          <w:left w:w="28" w:type="dxa"/>
          <w:bottom w:w="28" w:type="dxa"/>
          <w:right w:w="28" w:type="dxa"/>
        </w:tblCellMar>
      </w:tblPr>
      <w:tblGrid>
        <w:gridCol w:w="1223"/>
        <w:gridCol w:w="1072"/>
        <w:gridCol w:w="1079"/>
        <w:gridCol w:w="344"/>
        <w:gridCol w:w="344"/>
        <w:gridCol w:w="346"/>
        <w:gridCol w:w="109"/>
        <w:gridCol w:w="109"/>
        <w:gridCol w:w="109"/>
        <w:gridCol w:w="424"/>
        <w:gridCol w:w="1326"/>
        <w:gridCol w:w="291"/>
      </w:tblGrid>
      <w:tr>
        <w:trPr/>
        <w:tc>
          <w:tcPr>
            <w:tcW w:w="122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(Shares in thousands)</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Number</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Weighted-average</w:t>
              <w:br/>
              <w:t>exercise price</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Outstanding at December 31, 2024</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11.09 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 xml:space="preserve">Granted </w:t>
            </w:r>
          </w:p>
        </w:tc>
        <w:tc>
          <w:tcPr>
            <w:tcW w:w="1034"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8,290</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32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1.22 </w:t>
            </w:r>
          </w:p>
        </w:tc>
        <w:tc>
          <w:tcPr>
            <w:tcW w:w="29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 xml:space="preserve">Exercised </w:t>
            </w:r>
          </w:p>
        </w:tc>
        <w:tc>
          <w:tcPr>
            <w:tcW w:w="1034"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32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29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 xml:space="preserve">Canceled </w:t>
            </w:r>
          </w:p>
        </w:tc>
        <w:tc>
          <w:tcPr>
            <w:tcW w:w="1034"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(2,823)</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32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8.54 </w:t>
            </w:r>
          </w:p>
        </w:tc>
        <w:tc>
          <w:tcPr>
            <w:tcW w:w="29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7F2F9"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1383C6"/>
                <w:sz w:val="18"/>
              </w:rPr>
            </w:pPr>
            <w:r>
              <w:rPr>
                <w:rFonts w:ascii="Roboto;sans-serif" w:hAnsi="Roboto;sans-serif"/>
                <w:b w:val="false"/>
                <w:color w:val="1383C6"/>
                <w:sz w:val="18"/>
              </w:rPr>
              <w:t>Expired</w:t>
            </w:r>
          </w:p>
        </w:tc>
        <w:tc>
          <w:tcPr>
            <w:tcW w:w="1034"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(467)</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32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7.15 </w:t>
            </w:r>
          </w:p>
        </w:tc>
        <w:tc>
          <w:tcPr>
            <w:tcW w:w="29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Outstanding at December 31, 2025</w:t>
            </w:r>
          </w:p>
        </w:tc>
        <w:tc>
          <w:tcPr>
            <w:tcW w:w="1034" w:type="dxa"/>
            <w:gridSpan w:val="3"/>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15,509</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32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6.40 </w:t>
            </w:r>
          </w:p>
        </w:tc>
        <w:tc>
          <w:tcPr>
            <w:tcW w:w="29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The aggregate intrinsic value of the outstanding options presented in the table above as of December 31, 2025, totaled $5.1 million, and had a weighted-average remaining contractual life of 6.9 years.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aggregate intrinsic value of outstanding options represents the total pre-tax intrinsic value (i.e. the difference between $1.87, our closing stock price on the last trading day of our fourth quarter of 2025, and the option exercise price multiplied by the number of in-the-money options) that would have been received by the option holders had all option holders exercised their options on December 31, 2025. The aggregate intrinsic value changes at each reporting date based on the fair market value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vested and exercisable options as of December 31, 2025, totaled 9,817,500 shares, had an aggregate intrinsic value that was $1.5 million, a weighted-average exercise price per share of $9.28, and a weighted-average remaining contractual life of 5.6 years.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vested and expected to vest options as of December 31, 2025, totaled 15,136,547 shares, had an aggregate intrinsic value of $4.7 million, a weighted-average exercise price per share of $6.63, and a weighted-average remaining contractual life of 6.8 years.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were no stock options exercised during the year ended December 31, 2025. The total intrinsic value of stock options exercised during the years ended December 31, 2024 and 2023 was $0.8 million, and $8.8 million, respectively. The total intrinsic value of options exercised represents the difference between our closing stock price on the exercise date and the option exercise price, multiplied by the number of in-the-money options exercised.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weighted-average grant-date fair value of all options granted was $0.90 in 2025, $1.40 in 2024, and $7.32 in 2023, each determined by the Black-Scholes option valuation method.</w:t>
      </w:r>
    </w:p>
    <w:tbl>
      <w:tblPr>
        <w:tblW w:w="8834" w:type="dxa"/>
        <w:jc w:val="left"/>
        <w:tblInd w:w="0" w:type="dxa"/>
        <w:tblLayout w:type="fixed"/>
        <w:tblCellMar>
          <w:top w:w="28" w:type="dxa"/>
          <w:left w:w="28" w:type="dxa"/>
          <w:bottom w:w="28" w:type="dxa"/>
          <w:right w:w="28" w:type="dxa"/>
        </w:tblCellMar>
      </w:tblPr>
      <w:tblGrid>
        <w:gridCol w:w="2829"/>
        <w:gridCol w:w="2488"/>
        <w:gridCol w:w="3517"/>
      </w:tblGrid>
      <w:tr>
        <w:trPr/>
        <w:tc>
          <w:tcPr>
            <w:tcW w:w="2829"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Restricted Stock Units ("RSU") and Performance Stock Units ("PSU")</w:t>
            </w:r>
          </w:p>
        </w:tc>
      </w:tr>
    </w:tbl>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We have awarded both Restricted Stock Units ("RSUs") and Performance Stock Units ("PSUs"). Each RSU represents the right to receive one share of our common stock upon meeting the required service-based vesting conditions. RSUs typically vest over two to four years, with equal annual installments.</w:t>
      </w:r>
    </w:p>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In 2023, PSUs were granted and are based on performance against predefined revenue targets and require continued employment throughout the vesting period. These PSUs become issuable after the third year of the performance period. Achieving the maximum revenue goal allows up to 200% of the target PSU shares to become eligible for vesting, while failing to meet the minimum revenue goal results in no shares vesting.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112520"/>
                <wp:effectExtent l="0" t="0" r="0" b="0"/>
                <wp:wrapNone/>
                <wp:docPr id="351" name="Frame11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5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21" descr=""/>
                                                <pic:cNvPicPr>
                                                  <a:picLocks noChangeAspect="1" noChangeArrowheads="1"/>
                                                </pic:cNvPicPr>
                                              </pic:nvPicPr>
                                              <pic:blipFill>
                                                <a:blip r:embed="rId236"/>
                                                <a:stretch>
                                                  <a:fillRect/>
                                                </a:stretch>
                                              </pic:blipFill>
                                              <pic:spPr bwMode="auto">
                                                <a:xfrm>
                                                  <a:off x="0" y="0"/>
                                                  <a:ext cx="457200" cy="95250"/>
                                                </a:xfrm>
                                                <a:prstGeom prst="rect">
                                                  <a:avLst/>
                                                </a:prstGeom>
                                              </pic:spPr>
                                            </pic:pic>
                                          </a:graphicData>
                                        </a:graphic>
                                      </wp:inline>
                                    </w:drawing>
                                  </w:r>
                                  <w:bookmarkStart w:id="238" w:name="i-121"/>
                                  <w:bookmarkEnd w:id="23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5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21" descr=""/>
                                          <pic:cNvPicPr>
                                            <a:picLocks noChangeAspect="1" noChangeArrowheads="1"/>
                                          </pic:cNvPicPr>
                                        </pic:nvPicPr>
                                        <pic:blipFill>
                                          <a:blip r:embed="rId237"/>
                                          <a:stretch>
                                            <a:fillRect/>
                                          </a:stretch>
                                        </pic:blipFill>
                                        <pic:spPr bwMode="auto">
                                          <a:xfrm>
                                            <a:off x="0" y="0"/>
                                            <a:ext cx="457200" cy="95250"/>
                                          </a:xfrm>
                                          <a:prstGeom prst="rect">
                                            <a:avLst/>
                                          </a:prstGeom>
                                        </pic:spPr>
                                      </pic:pic>
                                    </a:graphicData>
                                  </a:graphic>
                                </wp:inline>
                              </w:drawing>
                            </w:r>
                            <w:bookmarkStart w:id="239" w:name="i-121"/>
                            <w:bookmarkEnd w:id="23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following table summarizes the time-based RSU and PSU activity: </w:t>
      </w:r>
    </w:p>
    <w:tbl>
      <w:tblPr>
        <w:tblW w:w="10205" w:type="dxa"/>
        <w:jc w:val="left"/>
        <w:tblInd w:w="0" w:type="dxa"/>
        <w:tblLayout w:type="fixed"/>
        <w:tblCellMar>
          <w:top w:w="28" w:type="dxa"/>
          <w:left w:w="28" w:type="dxa"/>
          <w:bottom w:w="28" w:type="dxa"/>
          <w:right w:w="28" w:type="dxa"/>
        </w:tblCellMar>
      </w:tblPr>
      <w:tblGrid>
        <w:gridCol w:w="880"/>
        <w:gridCol w:w="646"/>
        <w:gridCol w:w="650"/>
        <w:gridCol w:w="671"/>
        <w:gridCol w:w="671"/>
        <w:gridCol w:w="673"/>
        <w:gridCol w:w="109"/>
        <w:gridCol w:w="109"/>
        <w:gridCol w:w="109"/>
        <w:gridCol w:w="756"/>
        <w:gridCol w:w="756"/>
        <w:gridCol w:w="757"/>
        <w:gridCol w:w="109"/>
        <w:gridCol w:w="109"/>
        <w:gridCol w:w="109"/>
        <w:gridCol w:w="315"/>
        <w:gridCol w:w="817"/>
        <w:gridCol w:w="151"/>
        <w:gridCol w:w="151"/>
        <w:gridCol w:w="151"/>
        <w:gridCol w:w="151"/>
        <w:gridCol w:w="315"/>
        <w:gridCol w:w="817"/>
        <w:gridCol w:w="223"/>
      </w:tblGrid>
      <w:tr>
        <w:trPr/>
        <w:tc>
          <w:tcPr>
            <w:tcW w:w="88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Weighted-average grant date fair value</w:t>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(Shares in thousands)</w:t>
            </w:r>
          </w:p>
        </w:tc>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Restricted Stock Units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Performance Stock Units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RSU</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PSU</w:t>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Outstanding at December 31, 2024</w:t>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7.41 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9.43 </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Granted</w:t>
            </w:r>
          </w:p>
        </w:tc>
        <w:tc>
          <w:tcPr>
            <w:tcW w:w="2015"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11,997</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75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1.26 </w:t>
            </w:r>
          </w:p>
        </w:tc>
        <w:tc>
          <w:tcPr>
            <w:tcW w:w="15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2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Vested</w:t>
            </w:r>
          </w:p>
        </w:tc>
        <w:tc>
          <w:tcPr>
            <w:tcW w:w="2015"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(4,435)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75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9.49 </w:t>
            </w:r>
          </w:p>
        </w:tc>
        <w:tc>
          <w:tcPr>
            <w:tcW w:w="15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2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Forfeited</w:t>
            </w:r>
          </w:p>
        </w:tc>
        <w:tc>
          <w:tcPr>
            <w:tcW w:w="2015"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(4,222)</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4.00 </w:t>
            </w:r>
          </w:p>
        </w:tc>
        <w:tc>
          <w:tcPr>
            <w:tcW w:w="15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22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Outstanding at December 31, 2025</w:t>
            </w:r>
          </w:p>
        </w:tc>
        <w:tc>
          <w:tcPr>
            <w:tcW w:w="2015" w:type="dxa"/>
            <w:gridSpan w:val="3"/>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17,551</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392</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17"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3.50 </w:t>
            </w:r>
          </w:p>
        </w:tc>
        <w:tc>
          <w:tcPr>
            <w:tcW w:w="151"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17"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9.43 </w:t>
            </w:r>
          </w:p>
        </w:tc>
        <w:tc>
          <w:tcPr>
            <w:tcW w:w="22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total fair value of shares vested related to RSUs during the years ended December 31, 2025, 2024, and 2023 was $42.1 million, $47.2 million, and $39.3 million, respectively, based on the grant date fair value of each RSU award.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weighted-average grant-date fair value of all RSUs granted was $1.26 in 2025, $5.02 in 2024, and $9.65 in 2023. </w:t>
      </w:r>
    </w:p>
    <w:tbl>
      <w:tblPr>
        <w:tblW w:w="4050" w:type="dxa"/>
        <w:jc w:val="left"/>
        <w:tblInd w:w="0" w:type="dxa"/>
        <w:tblLayout w:type="fixed"/>
        <w:tblCellMar>
          <w:top w:w="28" w:type="dxa"/>
          <w:left w:w="28" w:type="dxa"/>
          <w:bottom w:w="28" w:type="dxa"/>
          <w:right w:w="28" w:type="dxa"/>
        </w:tblCellMar>
      </w:tblPr>
      <w:tblGrid>
        <w:gridCol w:w="1297"/>
        <w:gridCol w:w="1140"/>
        <w:gridCol w:w="1613"/>
      </w:tblGrid>
      <w:tr>
        <w:trPr/>
        <w:tc>
          <w:tcPr>
            <w:tcW w:w="129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Employee Stock Purchase Plan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a total of 37.5 million shares of our common stock have been reserved for issuance under the ESPP, which allows eligible employees to acquire common stock at a discounted price through payroll deductions during designated offering periods. Each offering period typically consists of four purchase periods, each lasting approximately six months. Shares are purchased at the lower of 85% of the fair market value of the common stock at either the beginning of the offering period or the end of the purchase period. If the stock price at the end of a purchase period is lower than at the start of the offering period, the existing offering period will be reset, and a new offering period will begin. The ESPP provides for an annual increase to the shares available for issuance at the beginning of each fiscal year equal to the lesser of 2% of the common shares then outstanding, 4,000,000 shares, or an amount determined by the ESPP’s administrator.</w:t>
      </w:r>
    </w:p>
    <w:p>
      <w:pPr>
        <w:pStyle w:val="TextBody"/>
        <w:bidi w:val="0"/>
        <w:spacing w:lineRule="auto" w:line="288" w:before="120" w:after="283"/>
        <w:jc w:val="both"/>
        <w:rPr/>
      </w:pPr>
      <w:r>
        <w:rPr>
          <w:rFonts w:ascii="Roboto;sans-serif" w:hAnsi="Roboto;sans-serif"/>
          <w:b w:val="false"/>
          <w:color w:val="000000"/>
          <w:sz w:val="20"/>
          <w:shd w:fill="FFFFFF" w:val="clear"/>
        </w:rPr>
        <w:t xml:space="preserve">For the years ended December 31, 2025, 2024, and 2023, </w:t>
      </w:r>
      <w:r>
        <w:rPr>
          <w:rFonts w:ascii="Roboto;sans-serif" w:hAnsi="Roboto;sans-serif"/>
          <w:b w:val="false"/>
          <w:color w:val="000000"/>
          <w:sz w:val="20"/>
        </w:rPr>
        <w:t>3,102,930</w:t>
      </w:r>
      <w:r>
        <w:rPr>
          <w:color w:val="000000"/>
          <w:shd w:fill="FFFFFF" w:val="clear"/>
        </w:rPr>
        <w:t xml:space="preserve"> </w:t>
      </w:r>
      <w:r>
        <w:rPr>
          <w:rFonts w:ascii="Roboto;sans-serif" w:hAnsi="Roboto;sans-serif"/>
          <w:b w:val="false"/>
          <w:color w:val="000000"/>
          <w:sz w:val="20"/>
          <w:shd w:fill="FFFFFF" w:val="clear"/>
        </w:rPr>
        <w:t>shares, 1,906,529 shares, and 1,735,058 shares of common stock were purchased under the ESPP, respectivel</w:t>
      </w:r>
      <w:r>
        <w:rPr>
          <w:rFonts w:ascii="Roboto;sans-serif" w:hAnsi="Roboto;sans-serif"/>
          <w:b w:val="false"/>
          <w:color w:val="000000"/>
          <w:sz w:val="20"/>
        </w:rPr>
        <w:t>y. As of December 31, 2025, 15.2 million sh</w:t>
      </w:r>
      <w:r>
        <w:rPr>
          <w:rFonts w:ascii="Roboto;sans-serif" w:hAnsi="Roboto;sans-serif"/>
          <w:b w:val="false"/>
          <w:color w:val="000000"/>
          <w:sz w:val="20"/>
          <w:shd w:fill="FFFFFF" w:val="clear"/>
        </w:rPr>
        <w:t>ares of our common stock remain available for issuance under our ESPP.</w:t>
      </w:r>
    </w:p>
    <w:tbl>
      <w:tblPr>
        <w:tblW w:w="3644" w:type="dxa"/>
        <w:jc w:val="left"/>
        <w:tblInd w:w="0" w:type="dxa"/>
        <w:tblLayout w:type="fixed"/>
        <w:tblCellMar>
          <w:top w:w="28" w:type="dxa"/>
          <w:left w:w="28" w:type="dxa"/>
          <w:bottom w:w="28" w:type="dxa"/>
          <w:right w:w="28" w:type="dxa"/>
        </w:tblCellMar>
      </w:tblPr>
      <w:tblGrid>
        <w:gridCol w:w="1166"/>
        <w:gridCol w:w="1025"/>
        <w:gridCol w:w="1453"/>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Share-based Compensation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following table summarizes share-based compensation expense: </w:t>
      </w:r>
    </w:p>
    <w:tbl>
      <w:tblPr>
        <w:tblW w:w="6956" w:type="dxa"/>
        <w:jc w:val="left"/>
        <w:tblInd w:w="0" w:type="dxa"/>
        <w:tblLayout w:type="fixed"/>
        <w:tblCellMar>
          <w:top w:w="28" w:type="dxa"/>
          <w:left w:w="28" w:type="dxa"/>
          <w:bottom w:w="28" w:type="dxa"/>
          <w:right w:w="28" w:type="dxa"/>
        </w:tblCellMar>
      </w:tblPr>
      <w:tblGrid>
        <w:gridCol w:w="1135"/>
        <w:gridCol w:w="996"/>
        <w:gridCol w:w="1003"/>
        <w:gridCol w:w="226"/>
        <w:gridCol w:w="706"/>
        <w:gridCol w:w="109"/>
        <w:gridCol w:w="109"/>
        <w:gridCol w:w="109"/>
        <w:gridCol w:w="109"/>
        <w:gridCol w:w="226"/>
        <w:gridCol w:w="706"/>
        <w:gridCol w:w="109"/>
        <w:gridCol w:w="109"/>
        <w:gridCol w:w="109"/>
        <w:gridCol w:w="109"/>
        <w:gridCol w:w="226"/>
        <w:gridCol w:w="706"/>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04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70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3,847 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5,399 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11,173 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general and administrative</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26,648 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44,284 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share-based compensation</w:t>
            </w:r>
          </w:p>
        </w:tc>
        <w:tc>
          <w:tcPr>
            <w:tcW w:w="932" w:type="dxa"/>
            <w:gridSpan w:val="2"/>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41,668 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71,036 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72,118 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of December 31, 2025 and 2024, $0.4 million and $0.6 million of share-based compensation cost was capitalized in inventory, net, on our consolidated balance sheets, respectively.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estimate forfeitures related to our share-based compensation plans. The estimated forfeiture rate is based on historical data, trends, and other relevant factors, such as employee turnover rates and expectations about future forfeitures. The estimated forfeiture rate is reviewed periodically and adjusted as necessary to reflect changes in these factors.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tax benefit of share-based compensation expense was immaterial for the years ended December 31, 2025, 2024, and 2023 due to a valuation allowance on the net deferred tax assets of our U.S. entities, for which we have concluded that it is more likely than not that we will not realize our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112520"/>
                <wp:effectExtent l="0" t="0" r="0" b="0"/>
                <wp:wrapNone/>
                <wp:docPr id="354" name="Frame11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5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22" descr=""/>
                                                <pic:cNvPicPr>
                                                  <a:picLocks noChangeAspect="1" noChangeArrowheads="1"/>
                                                </pic:cNvPicPr>
                                              </pic:nvPicPr>
                                              <pic:blipFill>
                                                <a:blip r:embed="rId238"/>
                                                <a:stretch>
                                                  <a:fillRect/>
                                                </a:stretch>
                                              </pic:blipFill>
                                              <pic:spPr bwMode="auto">
                                                <a:xfrm>
                                                  <a:off x="0" y="0"/>
                                                  <a:ext cx="457200" cy="95250"/>
                                                </a:xfrm>
                                                <a:prstGeom prst="rect">
                                                  <a:avLst/>
                                                </a:prstGeom>
                                              </pic:spPr>
                                            </pic:pic>
                                          </a:graphicData>
                                        </a:graphic>
                                      </wp:inline>
                                    </w:drawing>
                                  </w:r>
                                  <w:bookmarkStart w:id="240" w:name="i-122"/>
                                  <w:bookmarkEnd w:id="24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5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22" descr=""/>
                                          <pic:cNvPicPr>
                                            <a:picLocks noChangeAspect="1" noChangeArrowheads="1"/>
                                          </pic:cNvPicPr>
                                        </pic:nvPicPr>
                                        <pic:blipFill>
                                          <a:blip r:embed="rId239"/>
                                          <a:stretch>
                                            <a:fillRect/>
                                          </a:stretch>
                                        </pic:blipFill>
                                        <pic:spPr bwMode="auto">
                                          <a:xfrm>
                                            <a:off x="0" y="0"/>
                                            <a:ext cx="457200" cy="95250"/>
                                          </a:xfrm>
                                          <a:prstGeom prst="rect">
                                            <a:avLst/>
                                          </a:prstGeom>
                                        </pic:spPr>
                                      </pic:pic>
                                    </a:graphicData>
                                  </a:graphic>
                                </wp:inline>
                              </w:drawing>
                            </w:r>
                            <w:bookmarkStart w:id="241" w:name="i-122"/>
                            <w:bookmarkEnd w:id="24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3089" w:type="dxa"/>
        <w:jc w:val="left"/>
        <w:tblInd w:w="0" w:type="dxa"/>
        <w:tblLayout w:type="fixed"/>
        <w:tblCellMar>
          <w:top w:w="28" w:type="dxa"/>
          <w:left w:w="28" w:type="dxa"/>
          <w:bottom w:w="28" w:type="dxa"/>
          <w:right w:w="28" w:type="dxa"/>
        </w:tblCellMar>
      </w:tblPr>
      <w:tblGrid>
        <w:gridCol w:w="988"/>
        <w:gridCol w:w="869"/>
        <w:gridCol w:w="1232"/>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DF1995"/>
                <w:sz w:val="22"/>
              </w:rPr>
            </w:pPr>
            <w:r>
              <w:rPr>
                <w:rFonts w:ascii="Roboto;sans-serif" w:hAnsi="Roboto;sans-serif"/>
                <w:b/>
                <w:color w:val="DF1995"/>
                <w:sz w:val="22"/>
              </w:rPr>
              <w:t>Determining Fair Value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estimate the fair value of share options granted using the Black-Scholes valuation method and a single option award approach. This fair value is then amortized on a straight-line basis over the requisite service periods of the awards, which is generally the vesting period. The fair market value of RSU awards granted is the closing price of our shares on the date of grant and is generally recognized as compensation expense on a straight-line basis over the respective vesting period. For shares purchased under the ESPP, we estimate the grant-date fair value, and the resulting share-based compensation expense, using the Black-Scholes option-pricing model.</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Expected Term – The expected term used in the Black-Scholes valuation method represents the period that the stock options are expected to be outstanding and is determined based on historical experience of similar awards, considering the contractual terms of the stock options and vesting schedules.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Expected Volatility – The expected volatility used in the Black-Scholes valuation method is derived from the implied volatility related to our share price over the expected term.</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Expected Dividend – We have never paid dividends on our shares and, accordingly, the dividend yield percentage is zero for all periods.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Risk-Free Interest Rate – The risk-free interest rate used in the Black-Scholes valuation method is the implied yield currently available on U.S. Treasury constant maturities issued with a term equivalent to the expected terms.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Stock Options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When determining the current share prices underlying the stock options for calculating the grant-date fair value, we reference observable market prices of similar or identical instruments in active markets.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fair value of employee stock options was estimated using the following weighted-average assumptions:</w:t>
      </w:r>
    </w:p>
    <w:tbl>
      <w:tblPr>
        <w:tblW w:w="9744" w:type="dxa"/>
        <w:jc w:val="left"/>
        <w:tblInd w:w="0" w:type="dxa"/>
        <w:tblLayout w:type="fixed"/>
        <w:tblCellMar>
          <w:top w:w="28" w:type="dxa"/>
          <w:left w:w="28" w:type="dxa"/>
          <w:bottom w:w="28" w:type="dxa"/>
          <w:right w:w="28" w:type="dxa"/>
        </w:tblCellMar>
      </w:tblPr>
      <w:tblGrid>
        <w:gridCol w:w="1660"/>
        <w:gridCol w:w="1463"/>
        <w:gridCol w:w="1467"/>
        <w:gridCol w:w="364"/>
        <w:gridCol w:w="946"/>
        <w:gridCol w:w="175"/>
        <w:gridCol w:w="109"/>
        <w:gridCol w:w="109"/>
        <w:gridCol w:w="109"/>
        <w:gridCol w:w="364"/>
        <w:gridCol w:w="946"/>
        <w:gridCol w:w="175"/>
        <w:gridCol w:w="109"/>
        <w:gridCol w:w="109"/>
        <w:gridCol w:w="109"/>
        <w:gridCol w:w="357"/>
        <w:gridCol w:w="930"/>
        <w:gridCol w:w="243"/>
      </w:tblGrid>
      <w:tr>
        <w:trPr/>
        <w:tc>
          <w:tcPr>
            <w:tcW w:w="166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Expected term in years</w:t>
            </w:r>
          </w:p>
        </w:tc>
        <w:tc>
          <w:tcPr>
            <w:tcW w:w="1485"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1383C6"/>
                <w:sz w:val="18"/>
              </w:rPr>
            </w:pPr>
            <w:r>
              <w:rPr>
                <w:rFonts w:ascii="Roboto;sans-serif" w:hAnsi="Roboto;sans-serif"/>
                <w:b w:val="false"/>
                <w:color w:val="1383C6"/>
                <w:sz w:val="18"/>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4.9</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Expected volatility </w:t>
            </w:r>
          </w:p>
        </w:tc>
        <w:tc>
          <w:tcPr>
            <w:tcW w:w="1485" w:type="dxa"/>
            <w:gridSpan w:val="3"/>
            <w:tcBorders/>
            <w:shd w:fill="E7F2F9" w:val="clear"/>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1383C6"/>
                <w:sz w:val="18"/>
              </w:rPr>
            </w:pPr>
            <w:r>
              <w:rPr>
                <w:rFonts w:ascii="Roboto;sans-serif" w:hAnsi="Roboto;sans-serif"/>
                <w:b w:val="false"/>
                <w:color w:val="1383C6"/>
                <w:sz w:val="18"/>
              </w:rPr>
              <w:t>95% - 96%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81% - 93%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77% - 78%</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Risk-free interest rate </w:t>
            </w:r>
          </w:p>
        </w:tc>
        <w:tc>
          <w:tcPr>
            <w:tcW w:w="1485" w:type="dxa"/>
            <w:gridSpan w:val="3"/>
            <w:tcBorders/>
            <w:shd w:fill="E7F2F9" w:val="clear"/>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1383C6"/>
                <w:sz w:val="18"/>
              </w:rPr>
            </w:pPr>
            <w:r>
              <w:rPr>
                <w:rFonts w:ascii="Roboto;sans-serif" w:hAnsi="Roboto;sans-serif"/>
                <w:b w:val="false"/>
                <w:color w:val="1383C6"/>
                <w:sz w:val="18"/>
              </w:rPr>
              <w:t>3.89% – 4.29%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3.48% – 4.32%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3.73% – 4.60%</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Dividend yield </w:t>
            </w:r>
          </w:p>
        </w:tc>
        <w:tc>
          <w:tcPr>
            <w:tcW w:w="1485"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center"/>
              <w:rPr>
                <w:color w:val="1383C6"/>
              </w:rPr>
            </w:pPr>
            <w:r>
              <w:rPr>
                <w:color w:val="1383C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grant date fair value per share</w:t>
            </w:r>
          </w:p>
        </w:tc>
        <w:tc>
          <w:tcPr>
            <w:tcW w:w="364"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0.90 </w:t>
            </w:r>
          </w:p>
        </w:tc>
        <w:tc>
          <w:tcPr>
            <w:tcW w:w="17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7.32 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There were no stock options exercised during the year ended December 31, 2025. Cash received from option exercises for the years ended December 31, 2024 and 2023 was $1.6 million and $6.5 million, respectively. </w:t>
      </w:r>
    </w:p>
    <w:p>
      <w:pPr>
        <w:pStyle w:val="TextBody"/>
        <w:bidi w:val="0"/>
        <w:spacing w:lineRule="auto" w:line="288" w:before="240" w:after="283"/>
        <w:jc w:val="both"/>
        <w:rPr/>
      </w:pPr>
      <w:r>
        <w:rPr>
          <w:rFonts w:ascii="Roboto;sans-serif" w:hAnsi="Roboto;sans-serif"/>
          <w:b/>
          <w:i/>
          <w:color w:val="DF1995"/>
          <w:sz w:val="20"/>
        </w:rPr>
        <w:t>ESPP</w:t>
      </w:r>
      <w:r>
        <w:rPr>
          <w:color w:val="000000"/>
        </w:rPr>
        <w:t xml:space="preserv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fair value of shares to be issued under the ESPP was estimated using the following assumptions:</w:t>
      </w:r>
    </w:p>
    <w:tbl>
      <w:tblPr>
        <w:tblW w:w="9054" w:type="dxa"/>
        <w:jc w:val="left"/>
        <w:tblInd w:w="0" w:type="dxa"/>
        <w:tblLayout w:type="fixed"/>
        <w:tblCellMar>
          <w:top w:w="28" w:type="dxa"/>
          <w:left w:w="28" w:type="dxa"/>
          <w:bottom w:w="28" w:type="dxa"/>
          <w:right w:w="28" w:type="dxa"/>
        </w:tblCellMar>
      </w:tblPr>
      <w:tblGrid>
        <w:gridCol w:w="1660"/>
        <w:gridCol w:w="1463"/>
        <w:gridCol w:w="1467"/>
        <w:gridCol w:w="327"/>
        <w:gridCol w:w="850"/>
        <w:gridCol w:w="158"/>
        <w:gridCol w:w="109"/>
        <w:gridCol w:w="109"/>
        <w:gridCol w:w="109"/>
        <w:gridCol w:w="298"/>
        <w:gridCol w:w="774"/>
        <w:gridCol w:w="143"/>
        <w:gridCol w:w="109"/>
        <w:gridCol w:w="109"/>
        <w:gridCol w:w="109"/>
        <w:gridCol w:w="294"/>
        <w:gridCol w:w="766"/>
        <w:gridCol w:w="200"/>
      </w:tblGrid>
      <w:tr>
        <w:trPr/>
        <w:tc>
          <w:tcPr>
            <w:tcW w:w="166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Expected term in years</w:t>
            </w:r>
          </w:p>
        </w:tc>
        <w:tc>
          <w:tcPr>
            <w:tcW w:w="1335"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1383C6"/>
                <w:sz w:val="18"/>
              </w:rPr>
            </w:pPr>
            <w:r>
              <w:rPr>
                <w:rFonts w:ascii="Roboto;sans-serif" w:hAnsi="Roboto;sans-serif"/>
                <w:b w:val="false"/>
                <w:color w:val="1383C6"/>
                <w:sz w:val="18"/>
              </w:rPr>
              <w:t>0.5 - 2.0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0.5 - 2.0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0.5 - 2.0</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Expected volatility </w:t>
            </w:r>
          </w:p>
        </w:tc>
        <w:tc>
          <w:tcPr>
            <w:tcW w:w="1335" w:type="dxa"/>
            <w:gridSpan w:val="3"/>
            <w:tcBorders/>
            <w:shd w:fill="E7F2F9" w:val="clear"/>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1383C6"/>
                <w:sz w:val="18"/>
              </w:rPr>
            </w:pPr>
            <w:r>
              <w:rPr>
                <w:rFonts w:ascii="Roboto;sans-serif" w:hAnsi="Roboto;sans-serif"/>
                <w:b w:val="false"/>
                <w:color w:val="1383C6"/>
                <w:sz w:val="18"/>
              </w:rPr>
              <w:t>101% - 113%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81% - 118%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79% - 97%</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Risk-free interest rate </w:t>
            </w:r>
          </w:p>
        </w:tc>
        <w:tc>
          <w:tcPr>
            <w:tcW w:w="1335" w:type="dxa"/>
            <w:gridSpan w:val="3"/>
            <w:tcBorders/>
            <w:shd w:fill="E7F2F9" w:val="clear"/>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1383C6"/>
                <w:sz w:val="18"/>
              </w:rPr>
            </w:pPr>
            <w:r>
              <w:rPr>
                <w:rFonts w:ascii="Roboto;sans-serif" w:hAnsi="Roboto;sans-serif"/>
                <w:b w:val="false"/>
                <w:color w:val="1383C6"/>
                <w:sz w:val="18"/>
              </w:rPr>
              <w:t>3.7% - 4.3%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3.9% - 5.3%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4.9% - 5.5%</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Dividend yield </w:t>
            </w:r>
          </w:p>
        </w:tc>
        <w:tc>
          <w:tcPr>
            <w:tcW w:w="1335"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center"/>
              <w:rPr>
                <w:color w:val="1383C6"/>
              </w:rPr>
            </w:pPr>
            <w:r>
              <w:rPr>
                <w:color w:val="1383C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grant date fair value per share</w:t>
            </w:r>
          </w:p>
        </w:tc>
        <w:tc>
          <w:tcPr>
            <w:tcW w:w="327"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50"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0.89 </w:t>
            </w:r>
          </w:p>
        </w:tc>
        <w:tc>
          <w:tcPr>
            <w:tcW w:w="158"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4"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5.34 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received through the ESPP for the years ended December 31, 2025, 2024, and 2023 was $3.4 million, $6.1 million, and $8.8 million, respectively.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December 31, 2025, $46.8 million of total unrecognized compensation expense related to stock options, restricted stock, and ESPP shares was expected to be recognized over a weighted-average period of 1.6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12520"/>
                <wp:effectExtent l="0" t="0" r="0" b="0"/>
                <wp:wrapNone/>
                <wp:docPr id="357" name="Frame12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58"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23" descr=""/>
                                                <pic:cNvPicPr>
                                                  <a:picLocks noChangeAspect="1" noChangeArrowheads="1"/>
                                                </pic:cNvPicPr>
                                              </pic:nvPicPr>
                                              <pic:blipFill>
                                                <a:blip r:embed="rId240"/>
                                                <a:stretch>
                                                  <a:fillRect/>
                                                </a:stretch>
                                              </pic:blipFill>
                                              <pic:spPr bwMode="auto">
                                                <a:xfrm>
                                                  <a:off x="0" y="0"/>
                                                  <a:ext cx="457200" cy="95250"/>
                                                </a:xfrm>
                                                <a:prstGeom prst="rect">
                                                  <a:avLst/>
                                                </a:prstGeom>
                                              </pic:spPr>
                                            </pic:pic>
                                          </a:graphicData>
                                        </a:graphic>
                                      </wp:inline>
                                    </w:drawing>
                                  </w:r>
                                  <w:bookmarkStart w:id="242" w:name="i-123"/>
                                  <w:bookmarkEnd w:id="24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5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123" descr=""/>
                                          <pic:cNvPicPr>
                                            <a:picLocks noChangeAspect="1" noChangeArrowheads="1"/>
                                          </pic:cNvPicPr>
                                        </pic:nvPicPr>
                                        <pic:blipFill>
                                          <a:blip r:embed="rId241"/>
                                          <a:stretch>
                                            <a:fillRect/>
                                          </a:stretch>
                                        </pic:blipFill>
                                        <pic:spPr bwMode="auto">
                                          <a:xfrm>
                                            <a:off x="0" y="0"/>
                                            <a:ext cx="457200" cy="95250"/>
                                          </a:xfrm>
                                          <a:prstGeom prst="rect">
                                            <a:avLst/>
                                          </a:prstGeom>
                                        </pic:spPr>
                                      </pic:pic>
                                    </a:graphicData>
                                  </a:graphic>
                                </wp:inline>
                              </w:drawing>
                            </w:r>
                            <w:bookmarkStart w:id="243" w:name="i-123"/>
                            <w:bookmarkEnd w:id="24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4154" w:type="dxa"/>
        <w:jc w:val="left"/>
        <w:tblInd w:w="0" w:type="dxa"/>
        <w:tblLayout w:type="fixed"/>
        <w:tblCellMar>
          <w:top w:w="28" w:type="dxa"/>
          <w:left w:w="28" w:type="dxa"/>
          <w:bottom w:w="28" w:type="dxa"/>
          <w:right w:w="28" w:type="dxa"/>
        </w:tblCellMar>
      </w:tblPr>
      <w:tblGrid>
        <w:gridCol w:w="1331"/>
        <w:gridCol w:w="1170"/>
        <w:gridCol w:w="1653"/>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10. NET LOSS PER SHARE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following table presents the calculation of the basic and diluted net loss per share amounts presented on our consolidated statements of operations and comprehensive loss: </w:t>
      </w:r>
    </w:p>
    <w:tbl>
      <w:tblPr>
        <w:tblW w:w="10205" w:type="dxa"/>
        <w:jc w:val="left"/>
        <w:tblInd w:w="0" w:type="dxa"/>
        <w:tblLayout w:type="fixed"/>
        <w:tblCellMar>
          <w:top w:w="28" w:type="dxa"/>
          <w:left w:w="28" w:type="dxa"/>
          <w:bottom w:w="28" w:type="dxa"/>
          <w:right w:w="28" w:type="dxa"/>
        </w:tblCellMar>
      </w:tblPr>
      <w:tblGrid>
        <w:gridCol w:w="2167"/>
        <w:gridCol w:w="1656"/>
        <w:gridCol w:w="1665"/>
        <w:gridCol w:w="226"/>
        <w:gridCol w:w="1003"/>
        <w:gridCol w:w="109"/>
        <w:gridCol w:w="109"/>
        <w:gridCol w:w="109"/>
        <w:gridCol w:w="109"/>
        <w:gridCol w:w="226"/>
        <w:gridCol w:w="1003"/>
        <w:gridCol w:w="109"/>
        <w:gridCol w:w="109"/>
        <w:gridCol w:w="109"/>
        <w:gridCol w:w="109"/>
        <w:gridCol w:w="226"/>
        <w:gridCol w:w="1003"/>
        <w:gridCol w:w="158"/>
      </w:tblGrid>
      <w:tr>
        <w:trPr/>
        <w:tc>
          <w:tcPr>
            <w:tcW w:w="216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8"/>
              </w:rPr>
            </w:pPr>
            <w:r>
              <w:rPr>
                <w:rFonts w:ascii="Roboto;sans-serif" w:hAnsi="Roboto;sans-serif"/>
                <w:b w:val="false"/>
                <w:i/>
                <w:color w:val="000000"/>
                <w:sz w:val="18"/>
              </w:rPr>
              <w:t>(In thousands, except per share amounts)</w:t>
            </w:r>
          </w:p>
        </w:tc>
        <w:tc>
          <w:tcPr>
            <w:tcW w:w="1338"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Numerator:</w:t>
            </w:r>
          </w:p>
        </w:tc>
        <w:tc>
          <w:tcPr>
            <w:tcW w:w="1338"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Basic</w:t>
            </w:r>
          </w:p>
        </w:tc>
        <w:tc>
          <w:tcPr>
            <w:tcW w:w="1338"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Basic net loss</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03"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(546,376)</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3"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(309,851)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3"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(306,735)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Diluted</w:t>
            </w:r>
          </w:p>
        </w:tc>
        <w:tc>
          <w:tcPr>
            <w:tcW w:w="1338"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Basic net loss</w:t>
            </w:r>
          </w:p>
        </w:tc>
        <w:tc>
          <w:tcPr>
            <w:tcW w:w="226" w:type="dxa"/>
            <w:tcBorders/>
            <w:shd w:fill="E7F2F9"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03" w:type="dxa"/>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(546,376)</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3"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(309,851)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3"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(306,735)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 Interest charges applicable to convertible notes (2028 Notes)</w:t>
            </w:r>
          </w:p>
        </w:tc>
        <w:tc>
          <w:tcPr>
            <w:tcW w:w="1229"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Gain on debt restructuring (2029 Notes)</w:t>
            </w:r>
          </w:p>
        </w:tc>
        <w:tc>
          <w:tcPr>
            <w:tcW w:w="1229"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(154,407)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Diluted net loss</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03"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(546,376)</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(457,830)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(306,735)</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Denominator:</w:t>
            </w:r>
          </w:p>
        </w:tc>
        <w:tc>
          <w:tcPr>
            <w:tcW w:w="1338"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Basic</w:t>
            </w:r>
          </w:p>
        </w:tc>
        <w:tc>
          <w:tcPr>
            <w:tcW w:w="1338"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shares used in computing basic net loss per share</w:t>
            </w:r>
          </w:p>
        </w:tc>
        <w:tc>
          <w:tcPr>
            <w:tcW w:w="1229"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299,959 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253,629 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Basic net loss per share</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03"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(1.82)</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Diluted</w:t>
            </w:r>
          </w:p>
        </w:tc>
        <w:tc>
          <w:tcPr>
            <w:tcW w:w="1338"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shares used in computing basic net loss per share</w:t>
            </w:r>
          </w:p>
        </w:tc>
        <w:tc>
          <w:tcPr>
            <w:tcW w:w="1338"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299,959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274,488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253,629</w:t>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 Weighted average shares issuable upon conversion of convertible notes (2028 Notes)</w:t>
            </w:r>
          </w:p>
        </w:tc>
        <w:tc>
          <w:tcPr>
            <w:tcW w:w="1338"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 Weighted average shares issuable upon conversion of convertible notes (2029 Notes)</w:t>
            </w:r>
          </w:p>
        </w:tc>
        <w:tc>
          <w:tcPr>
            <w:tcW w:w="1338"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48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8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8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shares used in computing diluted net loss per share</w:t>
            </w:r>
          </w:p>
        </w:tc>
        <w:tc>
          <w:tcPr>
            <w:tcW w:w="1338"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299,959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288,366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253,629</w:t>
            </w:r>
          </w:p>
        </w:tc>
      </w:tr>
      <w:tr>
        <w:trPr/>
        <w:tc>
          <w:tcPr>
            <w:tcW w:w="5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Diluted net loss per share</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1003"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(1.82)</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The following shares issuable upon conversion of the convertible senior notes and outstanding equity awards were excluded from the computation of diluted net loss per share for the periods presented because the effect of including such shares would have been antidilutive:</w:t>
      </w:r>
    </w:p>
    <w:tbl>
      <w:tblPr>
        <w:tblW w:w="8985" w:type="dxa"/>
        <w:jc w:val="left"/>
        <w:tblInd w:w="0" w:type="dxa"/>
        <w:tblLayout w:type="fixed"/>
        <w:tblCellMar>
          <w:top w:w="28" w:type="dxa"/>
          <w:left w:w="28" w:type="dxa"/>
          <w:bottom w:w="28" w:type="dxa"/>
          <w:right w:w="28" w:type="dxa"/>
        </w:tblCellMar>
      </w:tblPr>
      <w:tblGrid>
        <w:gridCol w:w="2001"/>
        <w:gridCol w:w="1755"/>
        <w:gridCol w:w="1764"/>
        <w:gridCol w:w="254"/>
        <w:gridCol w:w="254"/>
        <w:gridCol w:w="258"/>
        <w:gridCol w:w="187"/>
        <w:gridCol w:w="187"/>
        <w:gridCol w:w="187"/>
        <w:gridCol w:w="254"/>
        <w:gridCol w:w="254"/>
        <w:gridCol w:w="258"/>
        <w:gridCol w:w="187"/>
        <w:gridCol w:w="187"/>
        <w:gridCol w:w="187"/>
        <w:gridCol w:w="240"/>
        <w:gridCol w:w="240"/>
        <w:gridCol w:w="331"/>
      </w:tblGrid>
      <w:tr>
        <w:trPr/>
        <w:tc>
          <w:tcPr>
            <w:tcW w:w="2001"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76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Shares issuable upon conversion of convertible senior notes</w:t>
            </w:r>
          </w:p>
        </w:tc>
        <w:tc>
          <w:tcPr>
            <w:tcW w:w="766"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61,415</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20,512</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31,063</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Equity awards</w:t>
            </w:r>
          </w:p>
        </w:tc>
        <w:tc>
          <w:tcPr>
            <w:tcW w:w="766" w:type="dxa"/>
            <w:gridSpan w:val="3"/>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41,613</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34,136</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27,246</w:t>
            </w:r>
          </w:p>
        </w:tc>
      </w:tr>
    </w:tbl>
    <w:p>
      <w:pPr>
        <w:pStyle w:val="TextBody"/>
        <w:bidi w:val="0"/>
        <w:spacing w:lineRule="auto" w:line="288" w:before="120" w:after="283"/>
        <w:jc w:val="left"/>
        <w:rPr/>
      </w:pPr>
      <w:r>
        <w:rPr>
          <w:rFonts w:ascii="Roboto;sans-serif" w:hAnsi="Roboto;sans-serif"/>
          <w:b w:val="false"/>
          <w:color w:val="000000"/>
          <w:sz w:val="20"/>
        </w:rPr>
        <w:t xml:space="preserve">See </w:t>
      </w:r>
      <w:hyperlink w:anchor="i9dad38eca65443b9a8bcd939ad72e7eb_97">
        <w:r>
          <w:rPr>
            <w:rStyle w:val="InternetLink"/>
            <w:rFonts w:ascii="Roboto;sans-serif" w:hAnsi="Roboto;sans-serif"/>
            <w:b w:val="false"/>
            <w:i/>
            <w:color w:val="0000FF"/>
            <w:sz w:val="20"/>
            <w:u w:val="single"/>
          </w:rPr>
          <w:t>Note 2. Business Acquisitions</w:t>
        </w:r>
      </w:hyperlink>
      <w:r>
        <w:rPr>
          <w:rFonts w:ascii="Roboto;sans-serif" w:hAnsi="Roboto;sans-serif"/>
          <w:b w:val="false"/>
          <w:color w:val="000000"/>
          <w:sz w:val="20"/>
        </w:rPr>
        <w:t xml:space="preserve">, for detailed information on contingently issuable shares that would be due upon achievement of a milestone. See </w:t>
      </w:r>
      <w:hyperlink w:anchor="i9dad38eca65443b9a8bcd939ad72e7eb_124">
        <w:r>
          <w:rPr>
            <w:rStyle w:val="InternetLink"/>
            <w:rFonts w:ascii="Roboto;sans-serif" w:hAnsi="Roboto;sans-serif"/>
            <w:b w:val="false"/>
            <w:i/>
            <w:color w:val="0000FF"/>
            <w:sz w:val="20"/>
            <w:u w:val="single"/>
          </w:rPr>
          <w:t>Note 9. Stockholders’ Equity</w:t>
        </w:r>
      </w:hyperlink>
      <w:r>
        <w:rPr>
          <w:color w:val="000000"/>
        </w:rPr>
        <w:t xml:space="preserve"> </w:t>
      </w:r>
      <w:r>
        <w:rPr>
          <w:rFonts w:ascii="Roboto;sans-serif" w:hAnsi="Roboto;sans-serif"/>
          <w:b w:val="false"/>
          <w:color w:val="000000"/>
          <w:sz w:val="20"/>
        </w:rPr>
        <w:t>for detailed information on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15" w:type="dxa"/>
        <w:jc w:val="left"/>
        <w:tblInd w:w="0" w:type="dxa"/>
        <w:tblLayout w:type="fixed"/>
        <w:tblCellMar>
          <w:top w:w="28" w:type="dxa"/>
          <w:left w:w="28" w:type="dxa"/>
          <w:bottom w:w="28" w:type="dxa"/>
          <w:right w:w="28" w:type="dxa"/>
        </w:tblCellMar>
      </w:tblPr>
      <w:tblGrid>
        <w:gridCol w:w="2215"/>
        <w:gridCol w:w="1944"/>
        <w:gridCol w:w="2756"/>
      </w:tblGrid>
      <w:tr>
        <w:trPr/>
        <w:tc>
          <w:tcPr>
            <w:tcW w:w="2215"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11. SEGMENT AND GEOGRAPHIC INFORMATION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organized as, and operate in, one reportable segment: the development, manufacturing, and marketing of integrated platforms for genetic analysis. Our chief operating decision-maker ("CODM") is our Chief Executive Officer. Our CODM reviews financial information presented on a consolidated basis for the purposes of evaluating financial performance and allocating resources.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a regular basis, our CODM reviews:</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total revenues by category</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total expenses and expenses by function, including sales and marketing and general and administrative, which include depreciation and share-based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12520"/>
                <wp:effectExtent l="0" t="0" r="0" b="0"/>
                <wp:wrapNone/>
                <wp:docPr id="360" name="Frame12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6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124" descr=""/>
                                                <pic:cNvPicPr>
                                                  <a:picLocks noChangeAspect="1" noChangeArrowheads="1"/>
                                                </pic:cNvPicPr>
                                              </pic:nvPicPr>
                                              <pic:blipFill>
                                                <a:blip r:embed="rId242"/>
                                                <a:stretch>
                                                  <a:fillRect/>
                                                </a:stretch>
                                              </pic:blipFill>
                                              <pic:spPr bwMode="auto">
                                                <a:xfrm>
                                                  <a:off x="0" y="0"/>
                                                  <a:ext cx="457200" cy="95250"/>
                                                </a:xfrm>
                                                <a:prstGeom prst="rect">
                                                  <a:avLst/>
                                                </a:prstGeom>
                                              </pic:spPr>
                                            </pic:pic>
                                          </a:graphicData>
                                        </a:graphic>
                                      </wp:inline>
                                    </w:drawing>
                                  </w:r>
                                  <w:bookmarkStart w:id="244" w:name="i-124"/>
                                  <w:bookmarkEnd w:id="24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6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24" descr=""/>
                                          <pic:cNvPicPr>
                                            <a:picLocks noChangeAspect="1" noChangeArrowheads="1"/>
                                          </pic:cNvPicPr>
                                        </pic:nvPicPr>
                                        <pic:blipFill>
                                          <a:blip r:embed="rId243"/>
                                          <a:stretch>
                                            <a:fillRect/>
                                          </a:stretch>
                                        </pic:blipFill>
                                        <pic:spPr bwMode="auto">
                                          <a:xfrm>
                                            <a:off x="0" y="0"/>
                                            <a:ext cx="457200" cy="95250"/>
                                          </a:xfrm>
                                          <a:prstGeom prst="rect">
                                            <a:avLst/>
                                          </a:prstGeom>
                                        </pic:spPr>
                                      </pic:pic>
                                    </a:graphicData>
                                  </a:graphic>
                                </wp:inline>
                              </w:drawing>
                            </w:r>
                            <w:bookmarkStart w:id="245" w:name="i-124"/>
                            <w:bookmarkEnd w:id="24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net loss per share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assets are primarily located in the United States of America and not allocated to any specific region, and we do not measure the performance of geographic regions based upon asset-based metrics. Therefore, geographic information is presented only for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segment profit or loss, including significant segment expenses is as follows:</w:t>
      </w:r>
    </w:p>
    <w:tbl>
      <w:tblPr>
        <w:tblW w:w="9354" w:type="dxa"/>
        <w:jc w:val="left"/>
        <w:tblInd w:w="0" w:type="dxa"/>
        <w:tblLayout w:type="fixed"/>
        <w:tblCellMar>
          <w:top w:w="28" w:type="dxa"/>
          <w:left w:w="28" w:type="dxa"/>
          <w:bottom w:w="28" w:type="dxa"/>
          <w:right w:w="28" w:type="dxa"/>
        </w:tblCellMar>
      </w:tblPr>
      <w:tblGrid>
        <w:gridCol w:w="1616"/>
        <w:gridCol w:w="1419"/>
        <w:gridCol w:w="1435"/>
        <w:gridCol w:w="517"/>
        <w:gridCol w:w="518"/>
        <w:gridCol w:w="196"/>
        <w:gridCol w:w="187"/>
        <w:gridCol w:w="187"/>
        <w:gridCol w:w="187"/>
        <w:gridCol w:w="517"/>
        <w:gridCol w:w="518"/>
        <w:gridCol w:w="196"/>
        <w:gridCol w:w="187"/>
        <w:gridCol w:w="187"/>
        <w:gridCol w:w="187"/>
        <w:gridCol w:w="517"/>
        <w:gridCol w:w="518"/>
        <w:gridCol w:w="265"/>
      </w:tblGrid>
      <w:tr>
        <w:trPr/>
        <w:tc>
          <w:tcPr>
            <w:tcW w:w="161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5"/>
              </w:rPr>
            </w:pPr>
            <w:r>
              <w:rPr>
                <w:rFonts w:ascii="Roboto;sans-serif" w:hAnsi="Roboto;sans-serif"/>
                <w:b w:val="false"/>
                <w:i/>
                <w:color w:val="000000"/>
                <w:sz w:val="15"/>
              </w:rPr>
              <w:t>(In thousands)</w:t>
            </w:r>
          </w:p>
        </w:tc>
        <w:tc>
          <w:tcPr>
            <w:tcW w:w="123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1035"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160,005 </w:t>
            </w:r>
          </w:p>
        </w:tc>
        <w:tc>
          <w:tcPr>
            <w:tcW w:w="196"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154,014 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200,521 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w:t>
            </w:r>
          </w:p>
        </w:tc>
        <w:tc>
          <w:tcPr>
            <w:tcW w:w="123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114,225 </w:t>
            </w:r>
          </w:p>
        </w:tc>
        <w:tc>
          <w:tcPr>
            <w:tcW w:w="19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116,732 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147,741 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97,307 </w:t>
            </w:r>
          </w:p>
        </w:tc>
        <w:tc>
          <w:tcPr>
            <w:tcW w:w="19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134,922 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187,170 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72,972 </w:t>
            </w:r>
          </w:p>
        </w:tc>
        <w:tc>
          <w:tcPr>
            <w:tcW w:w="19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87,244 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79,287 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68,521 </w:t>
            </w:r>
          </w:p>
        </w:tc>
        <w:tc>
          <w:tcPr>
            <w:tcW w:w="19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87,773 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90,531 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charges</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15,000 </w:t>
            </w:r>
          </w:p>
        </w:tc>
        <w:tc>
          <w:tcPr>
            <w:tcW w:w="19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184,500 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Merger-related expenses</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9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9,042 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(18,700)</w:t>
            </w:r>
          </w:p>
        </w:tc>
        <w:tc>
          <w:tcPr>
            <w:tcW w:w="19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(850)</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15,060 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364,541 </w:t>
            </w:r>
          </w:p>
        </w:tc>
        <w:tc>
          <w:tcPr>
            <w:tcW w:w="19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18,006 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6,157 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on extinguishment of debt</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9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2,033 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Gain on debt restructuring</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color w:val="1383C6"/>
              </w:rPr>
            </w:pPr>
            <w:r>
              <w:rPr>
                <w:color w:val="1383C6"/>
              </w:rPr>
              <w:t>— </w:t>
            </w:r>
          </w:p>
        </w:tc>
        <w:tc>
          <w:tcPr>
            <w:tcW w:w="19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(154,407)</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income, net</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7,803 </w:t>
            </w:r>
          </w:p>
        </w:tc>
        <w:tc>
          <w:tcPr>
            <w:tcW w:w="19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10,371 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18,341 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provision (benefit)</w:t>
            </w:r>
          </w:p>
        </w:tc>
        <w:tc>
          <w:tcPr>
            <w:tcW w:w="1035"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318 </w:t>
            </w:r>
          </w:p>
        </w:tc>
        <w:tc>
          <w:tcPr>
            <w:tcW w:w="19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(11,424)</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Consolidated net loss</w:t>
            </w:r>
          </w:p>
        </w:tc>
        <w:tc>
          <w:tcPr>
            <w:tcW w:w="1035" w:type="dxa"/>
            <w:gridSpan w:val="2"/>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(546,376)</w:t>
            </w:r>
          </w:p>
        </w:tc>
        <w:tc>
          <w:tcPr>
            <w:tcW w:w="19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(309,851)</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(306,735)</w:t>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Roboto;sans-serif" w:hAnsi="Roboto;sans-serif"/>
          <w:b w:val="false"/>
          <w:color w:val="000000"/>
          <w:sz w:val="20"/>
        </w:rPr>
      </w:pPr>
      <w:r>
        <w:rPr>
          <w:rFonts w:ascii="Roboto;sans-serif" w:hAnsi="Roboto;sans-serif"/>
          <w:b w:val="false"/>
          <w:color w:val="000000"/>
          <w:sz w:val="20"/>
        </w:rPr>
        <w:t>A summary of our revenue by geographic location is as follows:</w:t>
      </w:r>
    </w:p>
    <w:tbl>
      <w:tblPr>
        <w:tblW w:w="7497" w:type="dxa"/>
        <w:jc w:val="left"/>
        <w:tblInd w:w="0" w:type="dxa"/>
        <w:tblLayout w:type="fixed"/>
        <w:tblCellMar>
          <w:top w:w="28" w:type="dxa"/>
          <w:left w:w="28" w:type="dxa"/>
          <w:bottom w:w="28" w:type="dxa"/>
          <w:right w:w="28" w:type="dxa"/>
        </w:tblCellMar>
      </w:tblPr>
      <w:tblGrid>
        <w:gridCol w:w="1071"/>
        <w:gridCol w:w="940"/>
        <w:gridCol w:w="944"/>
        <w:gridCol w:w="226"/>
        <w:gridCol w:w="946"/>
        <w:gridCol w:w="109"/>
        <w:gridCol w:w="109"/>
        <w:gridCol w:w="109"/>
        <w:gridCol w:w="109"/>
        <w:gridCol w:w="226"/>
        <w:gridCol w:w="946"/>
        <w:gridCol w:w="109"/>
        <w:gridCol w:w="109"/>
        <w:gridCol w:w="109"/>
        <w:gridCol w:w="109"/>
        <w:gridCol w:w="226"/>
        <w:gridCol w:w="94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8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Americas </w:t>
            </w:r>
            <w:r>
              <w:rPr>
                <w:rFonts w:ascii="Roboto;sans-serif" w:hAnsi="Roboto;sans-serif"/>
                <w:b w:val="false"/>
                <w:color w:val="000000"/>
                <w:sz w:val="12"/>
              </w:rPr>
              <w:t>(1)</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72,798 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78,711 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105,410 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Europe, Middle East, and Africa</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44,051 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40,658 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Asia-Pacific</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43,156 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54,453 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160,005 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154,014 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200,521 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Roboto;sans-serif" w:hAnsi="Roboto;sans-serif"/>
          <w:b w:val="false"/>
          <w:color w:val="000000"/>
          <w:sz w:val="10"/>
        </w:rPr>
        <w:t>(1)</w:t>
      </w:r>
      <w:r>
        <w:rPr>
          <w:color w:val="000000"/>
        </w:rPr>
        <w:t xml:space="preserve">     </w:t>
      </w:r>
      <w:r>
        <w:rPr>
          <w:rFonts w:ascii="Roboto;sans-serif" w:hAnsi="Roboto;sans-serif"/>
          <w:b w:val="false"/>
          <w:color w:val="000000"/>
          <w:sz w:val="16"/>
        </w:rPr>
        <w:t>Includes United States revenue of $69.7 million, $75.3 million, and $100.5 million for the years ended December 31, 2025, 2024, and 2023, respectively.</w:t>
      </w:r>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A summary of our revenue by category is as follows:</w:t>
      </w:r>
    </w:p>
    <w:tbl>
      <w:tblPr>
        <w:tblW w:w="7062" w:type="dxa"/>
        <w:jc w:val="left"/>
        <w:tblInd w:w="0" w:type="dxa"/>
        <w:tblLayout w:type="fixed"/>
        <w:tblCellMar>
          <w:top w:w="28" w:type="dxa"/>
          <w:left w:w="28" w:type="dxa"/>
          <w:bottom w:w="28" w:type="dxa"/>
          <w:right w:w="28" w:type="dxa"/>
        </w:tblCellMar>
      </w:tblPr>
      <w:tblGrid>
        <w:gridCol w:w="913"/>
        <w:gridCol w:w="801"/>
        <w:gridCol w:w="806"/>
        <w:gridCol w:w="226"/>
        <w:gridCol w:w="946"/>
        <w:gridCol w:w="109"/>
        <w:gridCol w:w="109"/>
        <w:gridCol w:w="109"/>
        <w:gridCol w:w="109"/>
        <w:gridCol w:w="226"/>
        <w:gridCol w:w="946"/>
        <w:gridCol w:w="109"/>
        <w:gridCol w:w="109"/>
        <w:gridCol w:w="109"/>
        <w:gridCol w:w="109"/>
        <w:gridCol w:w="226"/>
        <w:gridCol w:w="946"/>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Years Ended December 31,</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242424"/>
                <w:sz w:val="16"/>
              </w:rPr>
            </w:pPr>
            <w:r>
              <w:rPr>
                <w:rFonts w:ascii="Roboto;sans-serif" w:hAnsi="Roboto;sans-serif"/>
                <w:b w:val="false"/>
                <w:i/>
                <w:color w:val="242424"/>
                <w:sz w:val="16"/>
              </w:rPr>
              <w:t>(In thousands)</w:t>
            </w:r>
          </w:p>
        </w:tc>
        <w:tc>
          <w:tcPr>
            <w:tcW w:w="1281" w:type="dxa"/>
            <w:gridSpan w:val="3"/>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1383C6"/>
                <w:sz w:val="18"/>
              </w:rPr>
            </w:pPr>
            <w:r>
              <w:rPr>
                <w:rFonts w:ascii="Roboto;sans-serif" w:hAnsi="Roboto;sans-serif"/>
                <w:b/>
                <w:color w:val="1383C6"/>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Instrument revenue</w:t>
            </w:r>
          </w:p>
        </w:tc>
        <w:tc>
          <w:tcPr>
            <w:tcW w:w="22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53,819 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65,776 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120,451 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Consumables revenue</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81,939 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63,421 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Product revenue</w:t>
            </w:r>
          </w:p>
        </w:tc>
        <w:tc>
          <w:tcPr>
            <w:tcW w:w="1172" w:type="dxa"/>
            <w:gridSpan w:val="2"/>
            <w:tcBorders>
              <w:top w:val="single" w:sz="8" w:space="0" w:color="000000"/>
            </w:tcBorders>
            <w:shd w:fill="E7F2F9"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135,758 </w:t>
            </w:r>
          </w:p>
        </w:tc>
        <w:tc>
          <w:tcPr>
            <w:tcW w:w="109" w:type="dxa"/>
            <w:tcBorders>
              <w:top w:val="single" w:sz="8" w:space="0" w:color="000000"/>
            </w:tcBorders>
            <w:shd w:fill="E7F2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136,149 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183,872 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Service and other revenue</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24,247 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16,649 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22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1383C6"/>
                <w:sz w:val="18"/>
              </w:rPr>
            </w:pPr>
            <w:r>
              <w:rPr>
                <w:rFonts w:ascii="Roboto;sans-serif" w:hAnsi="Roboto;sans-serif"/>
                <w:b w:val="false"/>
                <w:color w:val="1383C6"/>
                <w:sz w:val="18"/>
              </w:rPr>
              <w:t>160,005 </w:t>
            </w:r>
          </w:p>
        </w:tc>
        <w:tc>
          <w:tcPr>
            <w:tcW w:w="109" w:type="dxa"/>
            <w:tcBorders>
              <w:top w:val="single" w:sz="8" w:space="0" w:color="000000"/>
              <w:bottom w:val="double" w:sz="8" w:space="0" w:color="000000"/>
            </w:tcBorders>
            <w:shd w:fill="E7F2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154,014 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200,521 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112520"/>
                <wp:effectExtent l="0" t="0" r="0" b="0"/>
                <wp:wrapNone/>
                <wp:docPr id="363" name="Frame12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6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25" descr=""/>
                                                <pic:cNvPicPr>
                                                  <a:picLocks noChangeAspect="1" noChangeArrowheads="1"/>
                                                </pic:cNvPicPr>
                                              </pic:nvPicPr>
                                              <pic:blipFill>
                                                <a:blip r:embed="rId244"/>
                                                <a:stretch>
                                                  <a:fillRect/>
                                                </a:stretch>
                                              </pic:blipFill>
                                              <pic:spPr bwMode="auto">
                                                <a:xfrm>
                                                  <a:off x="0" y="0"/>
                                                  <a:ext cx="457200" cy="95250"/>
                                                </a:xfrm>
                                                <a:prstGeom prst="rect">
                                                  <a:avLst/>
                                                </a:prstGeom>
                                              </pic:spPr>
                                            </pic:pic>
                                          </a:graphicData>
                                        </a:graphic>
                                      </wp:inline>
                                    </w:drawing>
                                  </w:r>
                                  <w:bookmarkStart w:id="246" w:name="i-125"/>
                                  <w:bookmarkEnd w:id="24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6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25" descr=""/>
                                          <pic:cNvPicPr>
                                            <a:picLocks noChangeAspect="1" noChangeArrowheads="1"/>
                                          </pic:cNvPicPr>
                                        </pic:nvPicPr>
                                        <pic:blipFill>
                                          <a:blip r:embed="rId245"/>
                                          <a:stretch>
                                            <a:fillRect/>
                                          </a:stretch>
                                        </pic:blipFill>
                                        <pic:spPr bwMode="auto">
                                          <a:xfrm>
                                            <a:off x="0" y="0"/>
                                            <a:ext cx="457200" cy="95250"/>
                                          </a:xfrm>
                                          <a:prstGeom prst="rect">
                                            <a:avLst/>
                                          </a:prstGeom>
                                        </pic:spPr>
                                      </pic:pic>
                                    </a:graphicData>
                                  </a:graphic>
                                </wp:inline>
                              </w:drawing>
                            </w:r>
                            <w:bookmarkStart w:id="247" w:name="i-125"/>
                            <w:bookmarkEnd w:id="24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4155" w:type="dxa"/>
        <w:jc w:val="left"/>
        <w:tblInd w:w="0" w:type="dxa"/>
        <w:tblLayout w:type="fixed"/>
        <w:tblCellMar>
          <w:top w:w="28" w:type="dxa"/>
          <w:left w:w="28" w:type="dxa"/>
          <w:bottom w:w="28" w:type="dxa"/>
          <w:right w:w="28" w:type="dxa"/>
        </w:tblCellMar>
      </w:tblPr>
      <w:tblGrid>
        <w:gridCol w:w="1331"/>
        <w:gridCol w:w="1169"/>
        <w:gridCol w:w="1655"/>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12. SUBSEQUENT EVENTS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January 30, 2026, we completed a disposition of certain assets to Buyer pursuant to an Asset Purchase Agreement dated January 30, 2026. Under the agreement, Buyer acquired certain intellectual property and other assets related to our short-read DNA sequencing technology and related clustering, sequencing reagent, and detection technologies. In consideration, Buyer paid $50.0 million in cash, assumed certain liabilities, and granted us a non-exclusive license to certain intellectual property included in the purchased assets. In connection with the Asset Sale, Buyer will pay, at our direction, 4% of the net cash proceeds to the former equity holders of Apton Biosystems, Inc. in connection with the waiver of remaining milestone obligations from our August 2023 acquisition of Apton, with such payment expected in the first quarter of 2026. As a result, we received approximately $48.1 million in net cash proceeds from the Asset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12520"/>
                <wp:effectExtent l="0" t="0" r="0" b="0"/>
                <wp:wrapNone/>
                <wp:docPr id="366" name="Frame12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6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26" descr=""/>
                                                <pic:cNvPicPr>
                                                  <a:picLocks noChangeAspect="1" noChangeArrowheads="1"/>
                                                </pic:cNvPicPr>
                                              </pic:nvPicPr>
                                              <pic:blipFill>
                                                <a:blip r:embed="rId246"/>
                                                <a:stretch>
                                                  <a:fillRect/>
                                                </a:stretch>
                                              </pic:blipFill>
                                              <pic:spPr bwMode="auto">
                                                <a:xfrm>
                                                  <a:off x="0" y="0"/>
                                                  <a:ext cx="457200" cy="95250"/>
                                                </a:xfrm>
                                                <a:prstGeom prst="rect">
                                                  <a:avLst/>
                                                </a:prstGeom>
                                              </pic:spPr>
                                            </pic:pic>
                                          </a:graphicData>
                                        </a:graphic>
                                      </wp:inline>
                                    </w:drawing>
                                  </w:r>
                                  <w:bookmarkStart w:id="248" w:name="i-126"/>
                                  <w:bookmarkEnd w:id="24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68"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26" descr=""/>
                                          <pic:cNvPicPr>
                                            <a:picLocks noChangeAspect="1" noChangeArrowheads="1"/>
                                          </pic:cNvPicPr>
                                        </pic:nvPicPr>
                                        <pic:blipFill>
                                          <a:blip r:embed="rId247"/>
                                          <a:stretch>
                                            <a:fillRect/>
                                          </a:stretch>
                                        </pic:blipFill>
                                        <pic:spPr bwMode="auto">
                                          <a:xfrm>
                                            <a:off x="0" y="0"/>
                                            <a:ext cx="457200" cy="95250"/>
                                          </a:xfrm>
                                          <a:prstGeom prst="rect">
                                            <a:avLst/>
                                          </a:prstGeom>
                                        </pic:spPr>
                                      </pic:pic>
                                    </a:graphicData>
                                  </a:graphic>
                                </wp:inline>
                              </w:drawing>
                            </w:r>
                            <w:bookmarkStart w:id="249" w:name="i-126"/>
                            <w:bookmarkEnd w:id="24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9. CHANGES IN AND DISAGREEMENTS WITH ACCOUNTANTS ON ACCOUNTING AND FINANCIAL DISCLOSURE</w:t>
            </w:r>
          </w:p>
        </w:tc>
      </w:tr>
    </w:tbl>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489" w:type="dxa"/>
        <w:jc w:val="left"/>
        <w:tblInd w:w="0" w:type="dxa"/>
        <w:tblLayout w:type="fixed"/>
        <w:tblCellMar>
          <w:top w:w="28" w:type="dxa"/>
          <w:left w:w="28" w:type="dxa"/>
          <w:bottom w:w="28" w:type="dxa"/>
          <w:right w:w="28" w:type="dxa"/>
        </w:tblCellMar>
      </w:tblPr>
      <w:tblGrid>
        <w:gridCol w:w="1757"/>
        <w:gridCol w:w="1544"/>
        <w:gridCol w:w="2188"/>
      </w:tblGrid>
      <w:tr>
        <w:trPr/>
        <w:tc>
          <w:tcPr>
            <w:tcW w:w="175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9A. CONTROLS AND PROCEDURES</w:t>
            </w:r>
          </w:p>
        </w:tc>
      </w:tr>
    </w:tbl>
    <w:tbl>
      <w:tblPr>
        <w:tblW w:w="6389" w:type="dxa"/>
        <w:jc w:val="left"/>
        <w:tblInd w:w="0" w:type="dxa"/>
        <w:tblLayout w:type="fixed"/>
        <w:tblCellMar>
          <w:top w:w="28" w:type="dxa"/>
          <w:left w:w="28" w:type="dxa"/>
          <w:bottom w:w="28" w:type="dxa"/>
          <w:right w:w="28" w:type="dxa"/>
        </w:tblCellMar>
      </w:tblPr>
      <w:tblGrid>
        <w:gridCol w:w="2044"/>
        <w:gridCol w:w="1799"/>
        <w:gridCol w:w="2546"/>
      </w:tblGrid>
      <w:tr>
        <w:trPr/>
        <w:tc>
          <w:tcPr>
            <w:tcW w:w="2044"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Evaluation of Disclosure Controls and Procedures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management, with the participation of our Chief Executive Officer, our Chief Financial Officer, and our Chief Accounting Officer, evaluated the effectiveness of our disclosure controls and procedures (as defined in Rules 13a–15(e) and 15d–15(e) of the Exchange Act) as of the end of the period covered by this Annual Report on Form 10–K.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judgement in evaluating the cost-benefit relationship of possible controls and procedures. Based on this evaluation, our Chief Executive Officer, our Chief Financial Officer, and our principal accounting officer concluded that our disclosure controls and procedures were effective at a reasonable assurance level as of the end of the period covered by this report. </w:t>
      </w:r>
    </w:p>
    <w:tbl>
      <w:tblPr>
        <w:tblW w:w="8655" w:type="dxa"/>
        <w:jc w:val="left"/>
        <w:tblInd w:w="0" w:type="dxa"/>
        <w:tblLayout w:type="fixed"/>
        <w:tblCellMar>
          <w:top w:w="28" w:type="dxa"/>
          <w:left w:w="28" w:type="dxa"/>
          <w:bottom w:w="28" w:type="dxa"/>
          <w:right w:w="28" w:type="dxa"/>
        </w:tblCellMar>
      </w:tblPr>
      <w:tblGrid>
        <w:gridCol w:w="2769"/>
        <w:gridCol w:w="2434"/>
        <w:gridCol w:w="3452"/>
      </w:tblGrid>
      <w:tr>
        <w:trPr/>
        <w:tc>
          <w:tcPr>
            <w:tcW w:w="2769"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3452"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Management's Report on Internal Control Over Financial Reporting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management is responsible for establishing and maintaining adequate internal control over financial reporting, as such term is defined in Exchange Act Rules 13a-15(f). Pacific Biosciences of California, Inc.’s internal control over financial reporting is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Management assessed the effectiveness of the Company’s internal control over financial reporting as of December 31, 2025. In making this assessment, management used the criteria set forth by the Committee of Sponsoring Organizations of the Treadway Commission (2013 framework) (the COSO criteria). Based on our assessment, we concluded that, as of December 31, 2025, the Company’s internal control over financial reporting was effective based on those criteria.</w:t>
      </w:r>
    </w:p>
    <w:p>
      <w:pPr>
        <w:pStyle w:val="TextBody"/>
        <w:bidi w:val="0"/>
        <w:spacing w:lineRule="auto" w:line="288" w:before="120" w:after="283"/>
        <w:jc w:val="both"/>
        <w:rPr/>
      </w:pPr>
      <w:r>
        <w:rPr>
          <w:rFonts w:ascii="Roboto;sans-serif" w:hAnsi="Roboto;sans-serif"/>
          <w:b w:val="false"/>
          <w:color w:val="000000"/>
          <w:sz w:val="20"/>
        </w:rPr>
        <w:t xml:space="preserve">The Company’s internal control over financial reporting as of December 31, 2025 has been audited by Ernst &amp; Young LLP, the independent registered public accounting firm who also audited the Company’s financial statements. Ernst &amp; Young’s attestation report on the Company’s internal control over financial reporting appears on page </w:t>
      </w:r>
      <w:hyperlink w:anchor="i9dad38eca65443b9a8bcd939ad72e7eb_142">
        <w:r>
          <w:rPr>
            <w:rStyle w:val="InternetLink"/>
            <w:rFonts w:ascii="Roboto;sans-serif" w:hAnsi="Roboto;sans-serif"/>
            <w:b w:val="false"/>
            <w:color w:val="0070C0"/>
            <w:sz w:val="20"/>
            <w:u w:val="single"/>
          </w:rPr>
          <w:t>123</w:t>
        </w:r>
      </w:hyperlink>
      <w:r>
        <w:rPr>
          <w:color w:val="000000"/>
        </w:rPr>
        <w:t xml:space="preserve"> </w:t>
      </w:r>
      <w:r>
        <w:rPr>
          <w:rFonts w:ascii="Roboto;sans-serif" w:hAnsi="Roboto;sans-serif"/>
          <w:b w:val="false"/>
          <w:color w:val="000000"/>
          <w:sz w:val="20"/>
        </w:rPr>
        <w:t>hereof.</w:t>
      </w:r>
    </w:p>
    <w:tbl>
      <w:tblPr>
        <w:tblW w:w="6870" w:type="dxa"/>
        <w:jc w:val="left"/>
        <w:tblInd w:w="0" w:type="dxa"/>
        <w:tblLayout w:type="fixed"/>
        <w:tblCellMar>
          <w:top w:w="28" w:type="dxa"/>
          <w:left w:w="28" w:type="dxa"/>
          <w:bottom w:w="28" w:type="dxa"/>
          <w:right w:w="28" w:type="dxa"/>
        </w:tblCellMar>
      </w:tblPr>
      <w:tblGrid>
        <w:gridCol w:w="2197"/>
        <w:gridCol w:w="1932"/>
        <w:gridCol w:w="2741"/>
      </w:tblGrid>
      <w:tr>
        <w:trPr/>
        <w:tc>
          <w:tcPr>
            <w:tcW w:w="2197"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Changes in Internal Control Over Financial Reporting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were no material changes in our internal control over financial reporting identified in connection with the evaluation required by Rule 13a-15(d) and 15d-15(d) of the Exchange Act that occurred during the year ended December 31, 2025, that have materially affected, or were reasonably likely to materially affect, our internal control over financial reporting.</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12520"/>
                <wp:effectExtent l="0" t="0" r="0" b="0"/>
                <wp:wrapNone/>
                <wp:docPr id="369" name="Frame12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7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27" descr=""/>
                                                <pic:cNvPicPr>
                                                  <a:picLocks noChangeAspect="1" noChangeArrowheads="1"/>
                                                </pic:cNvPicPr>
                                              </pic:nvPicPr>
                                              <pic:blipFill>
                                                <a:blip r:embed="rId248"/>
                                                <a:stretch>
                                                  <a:fillRect/>
                                                </a:stretch>
                                              </pic:blipFill>
                                              <pic:spPr bwMode="auto">
                                                <a:xfrm>
                                                  <a:off x="0" y="0"/>
                                                  <a:ext cx="457200" cy="95250"/>
                                                </a:xfrm>
                                                <a:prstGeom prst="rect">
                                                  <a:avLst/>
                                                </a:prstGeom>
                                              </pic:spPr>
                                            </pic:pic>
                                          </a:graphicData>
                                        </a:graphic>
                                      </wp:inline>
                                    </w:drawing>
                                  </w:r>
                                  <w:bookmarkStart w:id="250" w:name="i-127"/>
                                  <w:bookmarkEnd w:id="25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7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27" descr=""/>
                                          <pic:cNvPicPr>
                                            <a:picLocks noChangeAspect="1" noChangeArrowheads="1"/>
                                          </pic:cNvPicPr>
                                        </pic:nvPicPr>
                                        <pic:blipFill>
                                          <a:blip r:embed="rId249"/>
                                          <a:stretch>
                                            <a:fillRect/>
                                          </a:stretch>
                                        </pic:blipFill>
                                        <pic:spPr bwMode="auto">
                                          <a:xfrm>
                                            <a:off x="0" y="0"/>
                                            <a:ext cx="457200" cy="95250"/>
                                          </a:xfrm>
                                          <a:prstGeom prst="rect">
                                            <a:avLst/>
                                          </a:prstGeom>
                                        </pic:spPr>
                                      </pic:pic>
                                    </a:graphicData>
                                  </a:graphic>
                                </wp:inline>
                              </w:drawing>
                            </w:r>
                            <w:bookmarkStart w:id="251" w:name="i-127"/>
                            <w:bookmarkEnd w:id="25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center"/>
        <w:rPr>
          <w:rFonts w:ascii="Roboto;sans-serif" w:hAnsi="Roboto;sans-serif"/>
          <w:b/>
          <w:color w:val="000000"/>
          <w:sz w:val="20"/>
        </w:rPr>
      </w:pPr>
      <w:r>
        <w:rPr>
          <w:rFonts w:ascii="Roboto;sans-serif" w:hAnsi="Roboto;sans-serif"/>
          <w:b/>
          <w:color w:val="000000"/>
          <w:sz w:val="20"/>
        </w:rPr>
        <w:t>Report of Independent Registered Public Accounting Firm</w:t>
      </w:r>
    </w:p>
    <w:p>
      <w:pPr>
        <w:pStyle w:val="TextBody"/>
        <w:bidi w:val="0"/>
        <w:spacing w:lineRule="auto" w:line="288" w:before="300" w:after="283"/>
        <w:jc w:val="left"/>
        <w:rPr>
          <w:rFonts w:ascii="Roboto;sans-serif" w:hAnsi="Roboto;sans-serif"/>
          <w:b w:val="false"/>
          <w:color w:val="000000"/>
          <w:sz w:val="20"/>
        </w:rPr>
      </w:pPr>
      <w:r>
        <w:rPr>
          <w:rFonts w:ascii="Roboto;sans-serif" w:hAnsi="Roboto;sans-serif"/>
          <w:b w:val="false"/>
          <w:color w:val="000000"/>
          <w:sz w:val="20"/>
        </w:rPr>
        <w:t>To the Stockholders and the Board of Directors of Pacific Biosciences of California, Inc.</w:t>
      </w:r>
    </w:p>
    <w:p>
      <w:pPr>
        <w:pStyle w:val="TextBody"/>
        <w:bidi w:val="0"/>
        <w:spacing w:lineRule="auto" w:line="288" w:before="300" w:after="283"/>
        <w:jc w:val="left"/>
        <w:rPr>
          <w:rFonts w:ascii="Roboto;sans-serif" w:hAnsi="Roboto;sans-serif"/>
          <w:b/>
          <w:color w:val="000000"/>
          <w:sz w:val="20"/>
        </w:rPr>
      </w:pPr>
      <w:r>
        <w:rPr>
          <w:rFonts w:ascii="Roboto;sans-serif" w:hAnsi="Roboto;sans-serif"/>
          <w:b/>
          <w:color w:val="000000"/>
          <w:sz w:val="20"/>
        </w:rPr>
        <w:t>Opinion on Internal Control Over Financial Reporting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audited Pacific Biosciences of California, Inc.’s internal control over financial reporting as of December 31, 2025, based on criteria established in Internal Control—Integrated Framework issued by the Committee of Sponsoring Organizations of the Treadway Commission (2013 framework) (the COSO criteria). In our opinion, Pacific Biosciences of California, Inc. (the Company) maintained, in all material respects, effective internal control over financial reporting as of December 31, 2025, based on the COSO criteria.</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also have audited, in accordance with the standards of the Public Company Accounting Oversight Board (United States) (PCAOB), the 2025 consolidated financial statements of the Company and our report dated February 25, 2026 expressed an unqualified opinion thereon.</w:t>
      </w: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Basis for Opinion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288" w:before="240" w:after="283"/>
        <w:jc w:val="left"/>
        <w:rPr>
          <w:rFonts w:ascii="Roboto;sans-serif" w:hAnsi="Roboto;sans-serif"/>
          <w:b/>
          <w:color w:val="000000"/>
          <w:sz w:val="20"/>
        </w:rPr>
      </w:pPr>
      <w:r>
        <w:rPr>
          <w:rFonts w:ascii="Roboto;sans-serif" w:hAnsi="Roboto;sans-serif"/>
          <w:b/>
          <w:color w:val="000000"/>
          <w:sz w:val="20"/>
        </w:rPr>
        <w:t>Definition and Limitations of Internal Control Over Financial Reporting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360" w:after="283"/>
        <w:jc w:val="both"/>
        <w:rPr>
          <w:rFonts w:ascii="Roboto;sans-serif" w:hAnsi="Roboto;sans-serif"/>
          <w:b w:val="false"/>
          <w:color w:val="000000"/>
          <w:sz w:val="20"/>
        </w:rPr>
      </w:pPr>
      <w:r>
        <w:rPr>
          <w:rFonts w:ascii="Roboto;sans-serif" w:hAnsi="Roboto;sans-serif"/>
          <w:b w:val="false"/>
          <w:color w:val="000000"/>
          <w:sz w:val="20"/>
        </w:rPr>
        <w:t>/s/ Ernst &amp; Young LLP</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San Mateo, California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February 25,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12520"/>
                <wp:effectExtent l="0" t="0" r="0" b="0"/>
                <wp:wrapNone/>
                <wp:docPr id="372" name="Frame12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73"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28" descr=""/>
                                                <pic:cNvPicPr>
                                                  <a:picLocks noChangeAspect="1" noChangeArrowheads="1"/>
                                                </pic:cNvPicPr>
                                              </pic:nvPicPr>
                                              <pic:blipFill>
                                                <a:blip r:embed="rId250"/>
                                                <a:stretch>
                                                  <a:fillRect/>
                                                </a:stretch>
                                              </pic:blipFill>
                                              <pic:spPr bwMode="auto">
                                                <a:xfrm>
                                                  <a:off x="0" y="0"/>
                                                  <a:ext cx="457200" cy="95250"/>
                                                </a:xfrm>
                                                <a:prstGeom prst="rect">
                                                  <a:avLst/>
                                                </a:prstGeom>
                                              </pic:spPr>
                                            </pic:pic>
                                          </a:graphicData>
                                        </a:graphic>
                                      </wp:inline>
                                    </w:drawing>
                                  </w:r>
                                  <w:bookmarkStart w:id="252" w:name="i-128"/>
                                  <w:bookmarkEnd w:id="25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7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28" descr=""/>
                                          <pic:cNvPicPr>
                                            <a:picLocks noChangeAspect="1" noChangeArrowheads="1"/>
                                          </pic:cNvPicPr>
                                        </pic:nvPicPr>
                                        <pic:blipFill>
                                          <a:blip r:embed="rId251"/>
                                          <a:stretch>
                                            <a:fillRect/>
                                          </a:stretch>
                                        </pic:blipFill>
                                        <pic:spPr bwMode="auto">
                                          <a:xfrm>
                                            <a:off x="0" y="0"/>
                                            <a:ext cx="457200" cy="95250"/>
                                          </a:xfrm>
                                          <a:prstGeom prst="rect">
                                            <a:avLst/>
                                          </a:prstGeom>
                                        </pic:spPr>
                                      </pic:pic>
                                    </a:graphicData>
                                  </a:graphic>
                                </wp:inline>
                              </w:drawing>
                            </w:r>
                            <w:bookmarkStart w:id="253" w:name="i-128"/>
                            <w:bookmarkEnd w:id="25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4364" w:type="dxa"/>
        <w:jc w:val="left"/>
        <w:tblInd w:w="0" w:type="dxa"/>
        <w:tblLayout w:type="fixed"/>
        <w:tblCellMar>
          <w:top w:w="28" w:type="dxa"/>
          <w:left w:w="28" w:type="dxa"/>
          <w:bottom w:w="28" w:type="dxa"/>
          <w:right w:w="28" w:type="dxa"/>
        </w:tblCellMar>
      </w:tblPr>
      <w:tblGrid>
        <w:gridCol w:w="1398"/>
        <w:gridCol w:w="1226"/>
        <w:gridCol w:w="1740"/>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9B. OTHER INFORMATION</w:t>
            </w:r>
          </w:p>
        </w:tc>
      </w:tr>
    </w:tbl>
    <w:tbl>
      <w:tblPr>
        <w:tblW w:w="7694" w:type="dxa"/>
        <w:jc w:val="left"/>
        <w:tblInd w:w="0" w:type="dxa"/>
        <w:tblLayout w:type="fixed"/>
        <w:tblCellMar>
          <w:top w:w="28" w:type="dxa"/>
          <w:left w:w="28" w:type="dxa"/>
          <w:bottom w:w="28" w:type="dxa"/>
          <w:right w:w="28" w:type="dxa"/>
        </w:tblCellMar>
      </w:tblPr>
      <w:tblGrid>
        <w:gridCol w:w="2460"/>
        <w:gridCol w:w="2164"/>
        <w:gridCol w:w="3070"/>
      </w:tblGrid>
      <w:tr>
        <w:trPr/>
        <w:tc>
          <w:tcPr>
            <w:tcW w:w="246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r>
      <w:tr>
        <w:trPr/>
        <w:tc>
          <w:tcPr>
            <w:tcW w:w="769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Securities Trading Plans of Directors and Executive Officers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our last fiscal quarter, none of our directors or officers, as defined in Rule 16a-1(f), adopted and/or terminated a “Rule 10b5-1 trading arrangement” or a “non-Rule 10b5-1 trading arrangement,” each as defined in Item 408 of Regulation S-K.</w:t>
      </w:r>
    </w:p>
    <w:tbl>
      <w:tblPr>
        <w:tblW w:w="6734" w:type="dxa"/>
        <w:jc w:val="left"/>
        <w:tblInd w:w="0" w:type="dxa"/>
        <w:tblLayout w:type="fixed"/>
        <w:tblCellMar>
          <w:top w:w="28" w:type="dxa"/>
          <w:left w:w="28" w:type="dxa"/>
          <w:bottom w:w="28" w:type="dxa"/>
          <w:right w:w="28" w:type="dxa"/>
        </w:tblCellMar>
      </w:tblPr>
      <w:tblGrid>
        <w:gridCol w:w="2155"/>
        <w:gridCol w:w="1893"/>
        <w:gridCol w:w="2686"/>
      </w:tblGrid>
      <w:tr>
        <w:trPr/>
        <w:tc>
          <w:tcPr>
            <w:tcW w:w="2155"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Adoption of Executive Incentive Compensation Plan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On February 24, 2026, our board of directors adopted the Executive Incentive Compensation Plan (the “Incentive Compensation Plan”). The Incentive Compensation Plan allows us to grant incentive awards, generally payable in cash (or its equivalent), to employees selected by the administrator of the Incentive Compensation Plan, including our named executive officers, based upon performance goals established by the administrator.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Under the Incentive Compensation Plan, the administrator determines the performance goals applicable to any award, which goals may include, without limitation, goals related to research and development milestones, regulatory milestones or regulatory-related goals, gross margin, financial milestones, new product or business development, operating margin, product release timelines or other product release milestones, publications, cash flow, procurement, savings, internal structure, revenue, earnings, 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 committee appointed by our board of directors (which, until our board of directors determines otherwise, will be the Compensation Committee of our board of directors (the “Committee”)) administers the Incentive Compensation Plan. Our board of directors may administer the Incentive Compensation Plan concurrently with the Committee or revoke the delegation of some or all authority previously delegated. The administrator of the Incentive Compensation Plan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Actual awards generally will be paid in cash (or its equivalent), and, unless otherwise determined by the administrator, to earn an actual award, a participant must be employed by the Company Group (as defined in the Incentive Compensation Plan) on the date the actual award is paid. Payment of awards occurs as soon as practicable after the end of the performance period to which the actual award relates and after the actual award is approved by the administrator, but no later than the dates set forth in the Incentive Compensation Plan.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administrator has the authority to amend, suspend or terminate the Incentive Compensation Plan at any time and for any reason, provided such action does not, without the consent of a participant, alter or impair the existing rights of such participant with respect to any earned award.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above description of the material terms of the Incentive Compensation Plan does not purport to be complete and is qualified in its entirety by reference to the Incentive Compensation Plan attached hereto as Exhibit 10.32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2"/>
        <w:gridCol w:w="2872"/>
        <w:gridCol w:w="4071"/>
      </w:tblGrid>
      <w:tr>
        <w:trPr/>
        <w:tc>
          <w:tcPr>
            <w:tcW w:w="326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1080"/>
              <w:jc w:val="left"/>
              <w:rPr>
                <w:rFonts w:ascii="Roboto;sans-serif" w:hAnsi="Roboto;sans-serif"/>
                <w:b/>
                <w:color w:val="DF1995"/>
                <w:sz w:val="24"/>
              </w:rPr>
            </w:pPr>
            <w:r>
              <w:rPr>
                <w:rFonts w:ascii="Roboto;sans-serif" w:hAnsi="Roboto;sans-serif"/>
                <w:b/>
                <w:color w:val="DF1995"/>
                <w:sz w:val="24"/>
              </w:rPr>
              <w:t>ITEM 9C. DISCLOSURE REGARDING FOREIGN JURISDICTIONS THAT PREVENT INSPECTIONS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12520"/>
                <wp:effectExtent l="0" t="0" r="0" b="0"/>
                <wp:wrapNone/>
                <wp:docPr id="375" name="Frame12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7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29" descr=""/>
                                                <pic:cNvPicPr>
                                                  <a:picLocks noChangeAspect="1" noChangeArrowheads="1"/>
                                                </pic:cNvPicPr>
                                              </pic:nvPicPr>
                                              <pic:blipFill>
                                                <a:blip r:embed="rId252"/>
                                                <a:stretch>
                                                  <a:fillRect/>
                                                </a:stretch>
                                              </pic:blipFill>
                                              <pic:spPr bwMode="auto">
                                                <a:xfrm>
                                                  <a:off x="0" y="0"/>
                                                  <a:ext cx="457200" cy="95250"/>
                                                </a:xfrm>
                                                <a:prstGeom prst="rect">
                                                  <a:avLst/>
                                                </a:prstGeom>
                                              </pic:spPr>
                                            </pic:pic>
                                          </a:graphicData>
                                        </a:graphic>
                                      </wp:inline>
                                    </w:drawing>
                                  </w:r>
                                  <w:bookmarkStart w:id="254" w:name="i-129"/>
                                  <w:bookmarkEnd w:id="25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7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29" descr=""/>
                                          <pic:cNvPicPr>
                                            <a:picLocks noChangeAspect="1" noChangeArrowheads="1"/>
                                          </pic:cNvPicPr>
                                        </pic:nvPicPr>
                                        <pic:blipFill>
                                          <a:blip r:embed="rId253"/>
                                          <a:stretch>
                                            <a:fillRect/>
                                          </a:stretch>
                                        </pic:blipFill>
                                        <pic:spPr bwMode="auto">
                                          <a:xfrm>
                                            <a:off x="0" y="0"/>
                                            <a:ext cx="457200" cy="95250"/>
                                          </a:xfrm>
                                          <a:prstGeom prst="rect">
                                            <a:avLst/>
                                          </a:prstGeom>
                                        </pic:spPr>
                                      </pic:pic>
                                    </a:graphicData>
                                  </a:graphic>
                                </wp:inline>
                              </w:drawing>
                            </w:r>
                            <w:bookmarkStart w:id="255" w:name="i-129"/>
                            <w:bookmarkEnd w:id="25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center"/>
        <w:rPr>
          <w:rFonts w:ascii="Roboto;sans-serif" w:hAnsi="Roboto;sans-serif"/>
          <w:b/>
          <w:color w:val="DF1995"/>
          <w:sz w:val="24"/>
        </w:rPr>
      </w:pPr>
      <w:r>
        <w:rPr>
          <w:rFonts w:ascii="Roboto;sans-serif" w:hAnsi="Roboto;sans-serif"/>
          <w:b/>
          <w:color w:val="DF1995"/>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8"/>
        <w:gridCol w:w="2868"/>
        <w:gridCol w:w="4069"/>
      </w:tblGrid>
      <w:tr>
        <w:trPr/>
        <w:tc>
          <w:tcPr>
            <w:tcW w:w="3268"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10. DIRECTORS, EXECUTIVE OFFICERS AND CORPORATE GOVERNANCE</w:t>
            </w:r>
          </w:p>
        </w:tc>
      </w:tr>
    </w:tbl>
    <w:p>
      <w:pPr>
        <w:pStyle w:val="TextBody"/>
        <w:bidi w:val="0"/>
        <w:spacing w:lineRule="auto" w:line="288" w:before="120" w:after="283"/>
        <w:ind w:left="0" w:right="0" w:hanging="1440"/>
        <w:jc w:val="both"/>
        <w:rPr>
          <w:rFonts w:ascii="Roboto;sans-serif" w:hAnsi="Roboto;sans-serif"/>
          <w:b w:val="false"/>
          <w:color w:val="000000"/>
          <w:sz w:val="20"/>
        </w:rPr>
      </w:pPr>
      <w:r>
        <w:rPr>
          <w:rFonts w:ascii="Roboto;sans-serif" w:hAnsi="Roboto;sans-serif"/>
          <w:b w:val="false"/>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190" w:type="dxa"/>
        <w:jc w:val="left"/>
        <w:tblInd w:w="0" w:type="dxa"/>
        <w:tblLayout w:type="fixed"/>
        <w:tblCellMar>
          <w:top w:w="28" w:type="dxa"/>
          <w:left w:w="28" w:type="dxa"/>
          <w:bottom w:w="28" w:type="dxa"/>
          <w:right w:w="28" w:type="dxa"/>
        </w:tblCellMar>
      </w:tblPr>
      <w:tblGrid>
        <w:gridCol w:w="1660"/>
        <w:gridCol w:w="1459"/>
        <w:gridCol w:w="2071"/>
      </w:tblGrid>
      <w:tr>
        <w:trPr/>
        <w:tc>
          <w:tcPr>
            <w:tcW w:w="166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11. EXECUTIVE COMPENSATION</w:t>
            </w:r>
          </w:p>
        </w:tc>
      </w:tr>
    </w:tbl>
    <w:p>
      <w:pPr>
        <w:pStyle w:val="TextBody"/>
        <w:bidi w:val="0"/>
        <w:spacing w:lineRule="auto" w:line="288" w:before="120" w:after="283"/>
        <w:ind w:left="0" w:right="0" w:hanging="1440"/>
        <w:jc w:val="both"/>
        <w:rPr>
          <w:rFonts w:ascii="Roboto;sans-serif" w:hAnsi="Roboto;sans-serif"/>
          <w:b w:val="false"/>
          <w:color w:val="000000"/>
          <w:sz w:val="20"/>
        </w:rPr>
      </w:pPr>
      <w:r>
        <w:rPr>
          <w:rFonts w:ascii="Roboto;sans-serif" w:hAnsi="Roboto;sans-serif"/>
          <w:b w:val="false"/>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8"/>
        <w:gridCol w:w="2867"/>
        <w:gridCol w:w="4070"/>
      </w:tblGrid>
      <w:tr>
        <w:trPr/>
        <w:tc>
          <w:tcPr>
            <w:tcW w:w="3268"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1080"/>
              <w:jc w:val="left"/>
              <w:rPr>
                <w:rFonts w:ascii="Roboto;sans-serif" w:hAnsi="Roboto;sans-serif"/>
                <w:b/>
                <w:color w:val="DF1995"/>
                <w:sz w:val="24"/>
              </w:rPr>
            </w:pPr>
            <w:r>
              <w:rPr>
                <w:rFonts w:ascii="Roboto;sans-serif" w:hAnsi="Roboto;sans-serif"/>
                <w:b/>
                <w:color w:val="DF1995"/>
                <w:sz w:val="24"/>
              </w:rPr>
              <w:t>ITEM 12. SECURITY OWNERSHIP OF CERTAIN BENEFICIAL OWNERS AND MANAGEMENT AND RELATED STOCKHOLDER MATTERS</w:t>
            </w:r>
          </w:p>
        </w:tc>
      </w:tr>
    </w:tbl>
    <w:p>
      <w:pPr>
        <w:pStyle w:val="TextBody"/>
        <w:bidi w:val="0"/>
        <w:spacing w:lineRule="auto" w:line="288" w:before="120" w:after="283"/>
        <w:ind w:left="0" w:right="0" w:hanging="1440"/>
        <w:jc w:val="both"/>
        <w:rPr>
          <w:rFonts w:ascii="Roboto;sans-serif" w:hAnsi="Roboto;sans-serif"/>
          <w:b w:val="false"/>
          <w:color w:val="000000"/>
          <w:sz w:val="20"/>
        </w:rPr>
      </w:pPr>
      <w:r>
        <w:rPr>
          <w:rFonts w:ascii="Roboto;sans-serif" w:hAnsi="Roboto;sans-serif"/>
          <w:b w:val="false"/>
          <w:color w:val="000000"/>
          <w:sz w:val="20"/>
        </w:rPr>
        <w:t xml:space="preserve">Information responsive to this item is incorporated herein by reference to our definitive proxy statement with respect to our 2026 Annual Meeting of Stockholders to be filed with the SEC within 120 days after the end of the fiscal year covered by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2"/>
        <w:gridCol w:w="2871"/>
        <w:gridCol w:w="4072"/>
      </w:tblGrid>
      <w:tr>
        <w:trPr/>
        <w:tc>
          <w:tcPr>
            <w:tcW w:w="3262"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1080"/>
              <w:jc w:val="left"/>
              <w:rPr>
                <w:rFonts w:ascii="Roboto;sans-serif" w:hAnsi="Roboto;sans-serif"/>
                <w:b/>
                <w:color w:val="DF1995"/>
                <w:sz w:val="24"/>
              </w:rPr>
            </w:pPr>
            <w:r>
              <w:rPr>
                <w:rFonts w:ascii="Roboto;sans-serif" w:hAnsi="Roboto;sans-serif"/>
                <w:b/>
                <w:color w:val="DF1995"/>
                <w:sz w:val="24"/>
              </w:rPr>
              <w:t>ITEM 13. CERTAIN RELATIONSHIPS AND RELATED TRANSACTIONS, AND DIRECTOR INDEPENDENCE</w:t>
            </w:r>
          </w:p>
        </w:tc>
      </w:tr>
    </w:tbl>
    <w:p>
      <w:pPr>
        <w:pStyle w:val="TextBody"/>
        <w:bidi w:val="0"/>
        <w:spacing w:lineRule="auto" w:line="288" w:before="120" w:after="283"/>
        <w:ind w:left="0" w:right="0" w:hanging="1440"/>
        <w:jc w:val="both"/>
        <w:rPr>
          <w:rFonts w:ascii="Roboto;sans-serif" w:hAnsi="Roboto;sans-serif"/>
          <w:b w:val="false"/>
          <w:color w:val="000000"/>
          <w:sz w:val="20"/>
        </w:rPr>
      </w:pPr>
      <w:r>
        <w:rPr>
          <w:rFonts w:ascii="Roboto;sans-serif" w:hAnsi="Roboto;sans-serif"/>
          <w:b w:val="false"/>
          <w:color w:val="000000"/>
          <w:sz w:val="20"/>
        </w:rPr>
        <w:t xml:space="preserve">Information responsive to this item is incorporated herein by reference to our definitive proxy statement with respect to our 2026 Annual Meeting of Stockholders to be filed with the SEC within 120 days after the end of the fiscal year covered by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619" w:type="dxa"/>
        <w:jc w:val="left"/>
        <w:tblInd w:w="0" w:type="dxa"/>
        <w:tblLayout w:type="fixed"/>
        <w:tblCellMar>
          <w:top w:w="28" w:type="dxa"/>
          <w:left w:w="28" w:type="dxa"/>
          <w:bottom w:w="28" w:type="dxa"/>
          <w:right w:w="28" w:type="dxa"/>
        </w:tblCellMar>
      </w:tblPr>
      <w:tblGrid>
        <w:gridCol w:w="2440"/>
        <w:gridCol w:w="2142"/>
        <w:gridCol w:w="3037"/>
      </w:tblGrid>
      <w:tr>
        <w:trPr/>
        <w:tc>
          <w:tcPr>
            <w:tcW w:w="244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14. PRINCIPAL ACCOUNTANT FEES AND SERVICES</w:t>
            </w:r>
          </w:p>
        </w:tc>
      </w:tr>
    </w:tbl>
    <w:p>
      <w:pPr>
        <w:pStyle w:val="TextBody"/>
        <w:bidi w:val="0"/>
        <w:spacing w:lineRule="auto" w:line="288" w:before="120" w:after="120"/>
        <w:ind w:left="0" w:right="0" w:hanging="1440"/>
        <w:jc w:val="both"/>
        <w:rPr>
          <w:rFonts w:ascii="Roboto;sans-serif" w:hAnsi="Roboto;sans-serif"/>
          <w:b w:val="false"/>
          <w:color w:val="000000"/>
          <w:sz w:val="20"/>
        </w:rPr>
      </w:pPr>
      <w:r>
        <w:rPr>
          <w:rFonts w:ascii="Roboto;sans-serif" w:hAnsi="Roboto;sans-serif"/>
          <w:b w:val="false"/>
          <w:color w:val="000000"/>
          <w:sz w:val="20"/>
        </w:rPr>
        <w:t xml:space="preserve">Information responsive to this item is incorporated herein by reference to our definitive proxy statement with respect to our 2026 Annual Meeting of Stockholders to be filed with the SEC within 120 days after the end of the fiscal year covered by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12520"/>
                <wp:effectExtent l="0" t="0" r="0" b="0"/>
                <wp:wrapNone/>
                <wp:docPr id="378" name="Frame12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7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30" descr=""/>
                                                <pic:cNvPicPr>
                                                  <a:picLocks noChangeAspect="1" noChangeArrowheads="1"/>
                                                </pic:cNvPicPr>
                                              </pic:nvPicPr>
                                              <pic:blipFill>
                                                <a:blip r:embed="rId254"/>
                                                <a:stretch>
                                                  <a:fillRect/>
                                                </a:stretch>
                                              </pic:blipFill>
                                              <pic:spPr bwMode="auto">
                                                <a:xfrm>
                                                  <a:off x="0" y="0"/>
                                                  <a:ext cx="457200" cy="95250"/>
                                                </a:xfrm>
                                                <a:prstGeom prst="rect">
                                                  <a:avLst/>
                                                </a:prstGeom>
                                              </pic:spPr>
                                            </pic:pic>
                                          </a:graphicData>
                                        </a:graphic>
                                      </wp:inline>
                                    </w:drawing>
                                  </w:r>
                                  <w:bookmarkStart w:id="256" w:name="i-130"/>
                                  <w:bookmarkEnd w:id="25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8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30" descr=""/>
                                          <pic:cNvPicPr>
                                            <a:picLocks noChangeAspect="1" noChangeArrowheads="1"/>
                                          </pic:cNvPicPr>
                                        </pic:nvPicPr>
                                        <pic:blipFill>
                                          <a:blip r:embed="rId255"/>
                                          <a:stretch>
                                            <a:fillRect/>
                                          </a:stretch>
                                        </pic:blipFill>
                                        <pic:spPr bwMode="auto">
                                          <a:xfrm>
                                            <a:off x="0" y="0"/>
                                            <a:ext cx="457200" cy="95250"/>
                                          </a:xfrm>
                                          <a:prstGeom prst="rect">
                                            <a:avLst/>
                                          </a:prstGeom>
                                        </pic:spPr>
                                      </pic:pic>
                                    </a:graphicData>
                                  </a:graphic>
                                </wp:inline>
                              </w:drawing>
                            </w:r>
                            <w:bookmarkStart w:id="257" w:name="i-130"/>
                            <w:bookmarkEnd w:id="25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center"/>
        <w:rPr>
          <w:rFonts w:ascii="Roboto;sans-serif" w:hAnsi="Roboto;sans-serif"/>
          <w:b/>
          <w:color w:val="DF1995"/>
          <w:sz w:val="24"/>
        </w:rPr>
      </w:pPr>
      <w:r>
        <w:rPr>
          <w:rFonts w:ascii="Roboto;sans-serif" w:hAnsi="Roboto;sans-serif"/>
          <w:b/>
          <w:color w:val="DF1995"/>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249" w:type="dxa"/>
        <w:jc w:val="left"/>
        <w:tblInd w:w="0" w:type="dxa"/>
        <w:tblLayout w:type="fixed"/>
        <w:tblCellMar>
          <w:top w:w="28" w:type="dxa"/>
          <w:left w:w="28" w:type="dxa"/>
          <w:bottom w:w="28" w:type="dxa"/>
          <w:right w:w="28" w:type="dxa"/>
        </w:tblCellMar>
      </w:tblPr>
      <w:tblGrid>
        <w:gridCol w:w="2643"/>
        <w:gridCol w:w="2321"/>
        <w:gridCol w:w="3285"/>
      </w:tblGrid>
      <w:tr>
        <w:trPr/>
        <w:tc>
          <w:tcPr>
            <w:tcW w:w="2643"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8249"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15. EXHIBITS AND FINANCIAL STATEMENT SCHEDULES</w:t>
            </w:r>
          </w:p>
        </w:tc>
      </w:tr>
    </w:tbl>
    <w:p>
      <w:pPr>
        <w:pStyle w:val="TextBody"/>
        <w:bidi w:val="0"/>
        <w:spacing w:lineRule="auto" w:line="288" w:before="180" w:after="283"/>
        <w:ind w:left="0" w:right="0" w:hanging="540"/>
        <w:jc w:val="both"/>
        <w:rPr>
          <w:rFonts w:ascii="Roboto;sans-serif" w:hAnsi="Roboto;sans-serif"/>
          <w:b w:val="false"/>
          <w:color w:val="000000"/>
          <w:sz w:val="20"/>
        </w:rPr>
      </w:pPr>
      <w:r>
        <w:rPr>
          <w:rFonts w:ascii="Roboto;sans-serif" w:hAnsi="Roboto;sans-serif"/>
          <w:b w:val="false"/>
          <w:color w:val="000000"/>
          <w:sz w:val="20"/>
        </w:rPr>
        <w:t xml:space="preserve">(a)The following documents are filed as part of, or incorporated by reference into, this Annual Report on Form 10-K: </w:t>
      </w:r>
    </w:p>
    <w:p>
      <w:pPr>
        <w:pStyle w:val="TextBody"/>
        <w:bidi w:val="0"/>
        <w:spacing w:lineRule="auto" w:line="288" w:before="120" w:after="283"/>
        <w:ind w:left="0" w:right="0" w:hanging="360"/>
        <w:jc w:val="both"/>
        <w:rPr/>
      </w:pPr>
      <w:r>
        <w:rPr>
          <w:rFonts w:ascii="Roboto;sans-serif" w:hAnsi="Roboto;sans-serif"/>
          <w:b w:val="false"/>
          <w:color w:val="000000"/>
          <w:sz w:val="20"/>
        </w:rPr>
        <w:t>1.</w:t>
      </w:r>
      <w:r>
        <w:rPr>
          <w:rFonts w:ascii="Roboto;sans-serif" w:hAnsi="Roboto;sans-serif"/>
          <w:b w:val="false"/>
          <w:i/>
          <w:color w:val="000000"/>
          <w:sz w:val="20"/>
        </w:rPr>
        <w:t>Financial Statements</w:t>
      </w:r>
      <w:r>
        <w:rPr>
          <w:rFonts w:ascii="Roboto;sans-serif" w:hAnsi="Roboto;sans-serif"/>
          <w:b w:val="false"/>
          <w:color w:val="000000"/>
          <w:sz w:val="20"/>
        </w:rPr>
        <w:t xml:space="preserve">: See Index to Consolidated Financial Statements under Item 8 of this Annual Report on Form 10-K. </w:t>
      </w:r>
    </w:p>
    <w:p>
      <w:pPr>
        <w:pStyle w:val="TextBody"/>
        <w:bidi w:val="0"/>
        <w:spacing w:lineRule="auto" w:line="288" w:before="120" w:after="283"/>
        <w:ind w:left="0" w:right="0" w:hanging="360"/>
        <w:jc w:val="both"/>
        <w:rPr/>
      </w:pPr>
      <w:r>
        <w:rPr>
          <w:rFonts w:ascii="Roboto;sans-serif" w:hAnsi="Roboto;sans-serif"/>
          <w:b w:val="false"/>
          <w:color w:val="000000"/>
          <w:sz w:val="20"/>
        </w:rPr>
        <w:t>2.</w:t>
      </w:r>
      <w:r>
        <w:rPr>
          <w:rFonts w:ascii="Roboto;sans-serif" w:hAnsi="Roboto;sans-serif"/>
          <w:b w:val="false"/>
          <w:i/>
          <w:color w:val="000000"/>
          <w:sz w:val="20"/>
        </w:rPr>
        <w:t>Financial Statement Schedules</w:t>
      </w:r>
      <w:r>
        <w:rPr>
          <w:rFonts w:ascii="Roboto;sans-serif" w:hAnsi="Roboto;sans-serif"/>
          <w:b w:val="false"/>
          <w:color w:val="000000"/>
          <w:sz w:val="20"/>
        </w:rPr>
        <w:t xml:space="preserve">: All schedules are omitted because they are not required, are not applicable or the information is included in the Consolidated Financial Statements or notes thereto. </w:t>
      </w:r>
    </w:p>
    <w:p>
      <w:pPr>
        <w:pStyle w:val="TextBody"/>
        <w:bidi w:val="0"/>
        <w:spacing w:lineRule="auto" w:line="288" w:before="120" w:after="283"/>
        <w:ind w:left="0" w:right="0" w:hanging="360"/>
        <w:jc w:val="both"/>
        <w:rPr/>
      </w:pPr>
      <w:r>
        <w:rPr>
          <w:rFonts w:ascii="Roboto;sans-serif" w:hAnsi="Roboto;sans-serif"/>
          <w:b w:val="false"/>
          <w:color w:val="000000"/>
          <w:sz w:val="20"/>
        </w:rPr>
        <w:t>3.</w:t>
      </w:r>
      <w:r>
        <w:rPr>
          <w:rFonts w:ascii="Roboto;sans-serif" w:hAnsi="Roboto;sans-serif"/>
          <w:b w:val="false"/>
          <w:i/>
          <w:color w:val="000000"/>
          <w:sz w:val="20"/>
        </w:rPr>
        <w:t>Exhibits</w:t>
      </w:r>
      <w:r>
        <w:rPr>
          <w:rFonts w:ascii="Roboto;sans-serif" w:hAnsi="Roboto;sans-serif"/>
          <w:b w:val="false"/>
          <w:color w:val="000000"/>
          <w:sz w:val="20"/>
        </w:rPr>
        <w:t xml:space="preserve">: We have filed or incorporated by reference into this Annual Report on Form 10-K, the exhibits listed on the accompanying Exhibit Index immediately below. </w:t>
      </w:r>
    </w:p>
    <w:p>
      <w:pPr>
        <w:pStyle w:val="TextBody"/>
        <w:bidi w:val="0"/>
        <w:spacing w:lineRule="auto" w:line="288" w:before="180" w:after="283"/>
        <w:ind w:left="0" w:right="0" w:hanging="540"/>
        <w:jc w:val="both"/>
        <w:rPr>
          <w:rFonts w:ascii="Roboto;sans-serif" w:hAnsi="Roboto;sans-serif"/>
          <w:b w:val="false"/>
          <w:color w:val="000000"/>
          <w:sz w:val="20"/>
        </w:rPr>
      </w:pPr>
      <w:r>
        <w:rPr>
          <w:rFonts w:ascii="Roboto;sans-serif" w:hAnsi="Roboto;sans-serif"/>
          <w:b w:val="false"/>
          <w:color w:val="000000"/>
          <w:sz w:val="20"/>
        </w:rPr>
        <w:t xml:space="preserve">(b)Financial Statement Schedules: See Item 15(a)(2), above. </w:t>
      </w:r>
    </w:p>
    <w:p>
      <w:pPr>
        <w:pStyle w:val="TextBody"/>
        <w:bidi w:val="0"/>
        <w:spacing w:lineRule="auto" w:line="288" w:before="180" w:after="283"/>
        <w:ind w:left="0" w:right="0" w:hanging="540"/>
        <w:jc w:val="both"/>
        <w:rPr/>
      </w:pPr>
      <w:r>
        <w:rPr>
          <w:rFonts w:ascii="Roboto;sans-serif" w:hAnsi="Roboto;sans-serif"/>
          <w:b w:val="false"/>
          <w:color w:val="000000"/>
          <w:sz w:val="20"/>
        </w:rPr>
        <w:t xml:space="preserve">(c)Exhibits: Refer to the </w:t>
      </w:r>
      <w:hyperlink w:anchor="i4d77e02243b643d38f7fe5cee006cdd9_754">
        <w:r>
          <w:rPr>
            <w:rStyle w:val="InternetLink"/>
            <w:rFonts w:ascii="Roboto;sans-serif" w:hAnsi="Roboto;sans-serif"/>
            <w:b w:val="false"/>
            <w:color w:val="0000FF"/>
            <w:sz w:val="20"/>
            <w:u w:val="single"/>
          </w:rPr>
          <w:t>Exhibit Index</w:t>
        </w:r>
      </w:hyperlink>
      <w:r>
        <w:rPr>
          <w:color w:val="000000"/>
        </w:rPr>
        <w:t xml:space="preserve"> </w:t>
      </w:r>
      <w:r>
        <w:rPr>
          <w:rFonts w:ascii="Roboto;sans-serif" w:hAnsi="Roboto;sans-serif"/>
          <w:b w:val="false"/>
          <w:color w:val="000000"/>
          <w:sz w:val="20"/>
        </w:rPr>
        <w:t xml:space="preserve">that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12520"/>
                <wp:effectExtent l="0" t="0" r="0" b="0"/>
                <wp:wrapNone/>
                <wp:docPr id="381" name="Frame12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82"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131" descr=""/>
                                                <pic:cNvPicPr>
                                                  <a:picLocks noChangeAspect="1" noChangeArrowheads="1"/>
                                                </pic:cNvPicPr>
                                              </pic:nvPicPr>
                                              <pic:blipFill>
                                                <a:blip r:embed="rId256"/>
                                                <a:stretch>
                                                  <a:fillRect/>
                                                </a:stretch>
                                              </pic:blipFill>
                                              <pic:spPr bwMode="auto">
                                                <a:xfrm>
                                                  <a:off x="0" y="0"/>
                                                  <a:ext cx="457200" cy="95250"/>
                                                </a:xfrm>
                                                <a:prstGeom prst="rect">
                                                  <a:avLst/>
                                                </a:prstGeom>
                                              </pic:spPr>
                                            </pic:pic>
                                          </a:graphicData>
                                        </a:graphic>
                                      </wp:inline>
                                    </w:drawing>
                                  </w:r>
                                  <w:bookmarkStart w:id="258" w:name="i-131"/>
                                  <w:bookmarkEnd w:id="25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83"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131" descr=""/>
                                          <pic:cNvPicPr>
                                            <a:picLocks noChangeAspect="1" noChangeArrowheads="1"/>
                                          </pic:cNvPicPr>
                                        </pic:nvPicPr>
                                        <pic:blipFill>
                                          <a:blip r:embed="rId257"/>
                                          <a:stretch>
                                            <a:fillRect/>
                                          </a:stretch>
                                        </pic:blipFill>
                                        <pic:spPr bwMode="auto">
                                          <a:xfrm>
                                            <a:off x="0" y="0"/>
                                            <a:ext cx="457200" cy="95250"/>
                                          </a:xfrm>
                                          <a:prstGeom prst="rect">
                                            <a:avLst/>
                                          </a:prstGeom>
                                        </pic:spPr>
                                      </pic:pic>
                                    </a:graphicData>
                                  </a:graphic>
                                </wp:inline>
                              </w:drawing>
                            </w:r>
                            <w:bookmarkStart w:id="259" w:name="i-131"/>
                            <w:bookmarkEnd w:id="25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center"/>
        <w:rPr>
          <w:rFonts w:ascii="Roboto;sans-serif" w:hAnsi="Roboto;sans-serif"/>
          <w:b/>
          <w:color w:val="DF1995"/>
          <w:sz w:val="22"/>
        </w:rPr>
      </w:pPr>
      <w:bookmarkStart w:id="260" w:name="i4d77e02243b643d38f7fe5cee006cdd9_754"/>
      <w:bookmarkEnd w:id="260"/>
      <w:r>
        <w:rPr>
          <w:rFonts w:ascii="Roboto;sans-serif" w:hAnsi="Roboto;sans-serif"/>
          <w:b/>
          <w:color w:val="DF1995"/>
          <w:sz w:val="22"/>
        </w:rPr>
        <w:t>Exhibit Index</w:t>
      </w:r>
    </w:p>
    <w:tbl>
      <w:tblPr>
        <w:tblW w:w="10205" w:type="dxa"/>
        <w:jc w:val="center"/>
        <w:tblInd w:w="0" w:type="dxa"/>
        <w:tblLayout w:type="fixed"/>
        <w:tblCellMar>
          <w:top w:w="28" w:type="dxa"/>
          <w:left w:w="28" w:type="dxa"/>
          <w:bottom w:w="28" w:type="dxa"/>
          <w:right w:w="28" w:type="dxa"/>
        </w:tblCellMar>
      </w:tblPr>
      <w:tblGrid>
        <w:gridCol w:w="342"/>
        <w:gridCol w:w="301"/>
        <w:gridCol w:w="303"/>
        <w:gridCol w:w="2119"/>
        <w:gridCol w:w="1981"/>
        <w:gridCol w:w="1998"/>
        <w:gridCol w:w="338"/>
        <w:gridCol w:w="231"/>
        <w:gridCol w:w="231"/>
        <w:gridCol w:w="387"/>
        <w:gridCol w:w="334"/>
        <w:gridCol w:w="243"/>
        <w:gridCol w:w="505"/>
        <w:gridCol w:w="454"/>
        <w:gridCol w:w="43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Incorporated by reference herein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Exhibit</w:t>
              <w:br/>
              <w:t>Number</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Description</w:t>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Form</w:t>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Exhibit No.</w:t>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Filing Date</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3.1</w:t>
            </w:r>
          </w:p>
        </w:tc>
        <w:tc>
          <w:tcPr>
            <w:tcW w:w="6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58">
              <w:r>
                <w:rPr>
                  <w:rStyle w:val="InternetLink"/>
                  <w:rFonts w:ascii="Roboto;sans-serif" w:hAnsi="Roboto;sans-serif"/>
                  <w:b w:val="false"/>
                  <w:color w:val="000000"/>
                  <w:sz w:val="18"/>
                  <w:u w:val="single"/>
                </w:rPr>
                <w:t>Amended and Restated Certificate of Incorporation</w:t>
              </w:r>
            </w:hyperlink>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March 23, 2011</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3.2</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9">
              <w:r>
                <w:rPr>
                  <w:rStyle w:val="InternetLink"/>
                  <w:rFonts w:ascii="Roboto;sans-serif" w:hAnsi="Roboto;sans-serif"/>
                  <w:b w:val="false"/>
                  <w:color w:val="000000"/>
                  <w:sz w:val="18"/>
                  <w:u w:val="single"/>
                </w:rPr>
                <w:t>Third Amended and Restated Bylaws of Pacific Biosciences of California, Inc.</w:t>
              </w:r>
            </w:hyperlink>
            <w:r>
              <w:rPr>
                <w:color w:val="000000"/>
              </w:rPr>
              <w:t xml:space="preserve"> </w:t>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November 7, 2022</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3.3</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0">
              <w:r>
                <w:rPr>
                  <w:rStyle w:val="InternetLink"/>
                  <w:rFonts w:ascii="Roboto;sans-serif" w:hAnsi="Roboto;sans-serif"/>
                  <w:b w:val="false"/>
                  <w:color w:val="000000"/>
                  <w:sz w:val="18"/>
                  <w:u w:val="single"/>
                </w:rPr>
                <w:t>Certificate of Amendment to the Amended and Restated Certificate of Incorporation of Pacific Biosciences of California, Inc. to declassify the Board</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June 20, 2024</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3.4</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1">
              <w:r>
                <w:rPr>
                  <w:rStyle w:val="InternetLink"/>
                  <w:rFonts w:ascii="Roboto;sans-serif" w:hAnsi="Roboto;sans-serif"/>
                  <w:b w:val="false"/>
                  <w:color w:val="000000"/>
                  <w:sz w:val="18"/>
                  <w:u w:val="single"/>
                </w:rPr>
                <w:t>Certificate of Amendment to the Certificate of Incorporation of Pacific Biosciences of California, Inc. to limit the liability of officers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3.2</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June 20, 2024</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4.1</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2">
              <w:r>
                <w:rPr>
                  <w:rStyle w:val="InternetLink"/>
                  <w:rFonts w:ascii="Roboto;sans-serif" w:hAnsi="Roboto;sans-serif"/>
                  <w:b w:val="false"/>
                  <w:color w:val="000000"/>
                  <w:sz w:val="18"/>
                  <w:u w:val="single"/>
                </w:rPr>
                <w:t>Specimen Common Stock Certificate</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S-1/A</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4.1</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October 1, 2010</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4.2</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cb-exx42xdescriptionofse.htm">
              <w:r>
                <w:rPr>
                  <w:rStyle w:val="InternetLink"/>
                  <w:rFonts w:ascii="Roboto;sans-serif" w:hAnsi="Roboto;sans-serif"/>
                  <w:b w:val="false"/>
                  <w:color w:val="000000"/>
                  <w:sz w:val="18"/>
                  <w:u w:val="single"/>
                </w:rPr>
                <w:t>Description of Registrant’s securities registered under Section 12 of the Exchange Act</w:t>
              </w:r>
            </w:hyperlink>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Filed herewith</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4.3</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3">
              <w:r>
                <w:rPr>
                  <w:rStyle w:val="InternetLink"/>
                  <w:rFonts w:ascii="Roboto;sans-serif" w:hAnsi="Roboto;sans-serif"/>
                  <w:b w:val="false"/>
                  <w:color w:val="000000"/>
                  <w:sz w:val="18"/>
                  <w:u w:val="single"/>
                </w:rPr>
                <w:t>Indenture, dated February 16, 2021, between Pacific Biosciences of California, Inc., and U.S. Bank National Association, as Trustee</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10-Q</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4.1</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August 4, 2023</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4.4</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4">
              <w:r>
                <w:rPr>
                  <w:rStyle w:val="InternetLink"/>
                  <w:rFonts w:ascii="Roboto;sans-serif" w:hAnsi="Roboto;sans-serif"/>
                  <w:b w:val="false"/>
                  <w:color w:val="000000"/>
                  <w:sz w:val="18"/>
                  <w:u w:val="single"/>
                </w:rPr>
                <w:t>Form of 1.50% Convertible Senior Notes due 2028 (included in Exhibit 4.3)</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10-Q</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4.1</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August 4, 2023</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4.5</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5">
              <w:r>
                <w:rPr>
                  <w:rStyle w:val="InternetLink"/>
                  <w:rFonts w:ascii="Roboto;sans-serif" w:hAnsi="Roboto;sans-serif"/>
                  <w:b w:val="false"/>
                  <w:color w:val="000000"/>
                  <w:sz w:val="18"/>
                  <w:u w:val="single"/>
                </w:rPr>
                <w:t>Indenture, dated as of June 30, 2023, by and between Pacific Biosciences of California, Inc. and U.S. Bank Trust Company, National Association, as Trustee</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4.1</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June 30, 2023</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4.6</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6">
              <w:r>
                <w:rPr>
                  <w:rStyle w:val="InternetLink"/>
                  <w:rFonts w:ascii="Roboto;sans-serif" w:hAnsi="Roboto;sans-serif"/>
                  <w:b w:val="false"/>
                  <w:color w:val="000000"/>
                  <w:sz w:val="18"/>
                  <w:u w:val="single"/>
                </w:rPr>
                <w:t>Form of 1.375% Convertible Senior Note due 2030 (included in Exhibit 4.5)</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4.2</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June 30, 2023</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4.7</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7">
              <w:r>
                <w:rPr>
                  <w:rStyle w:val="InternetLink"/>
                  <w:rFonts w:ascii="Roboto;sans-serif" w:hAnsi="Roboto;sans-serif"/>
                  <w:b w:val="false"/>
                  <w:color w:val="000000"/>
                  <w:sz w:val="18"/>
                  <w:u w:val="single"/>
                </w:rPr>
                <w:t>Indenture, dated as of November 21, 2024, by and between Pacific Biosciences of California, Inc. and U.S. Bank Trust Company, National Association, as Trustee.</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4.1</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November 22, 2024</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4.8</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8">
              <w:r>
                <w:rPr>
                  <w:rStyle w:val="InternetLink"/>
                  <w:rFonts w:ascii="Roboto;sans-serif" w:hAnsi="Roboto;sans-serif"/>
                  <w:b w:val="false"/>
                  <w:color w:val="000000"/>
                  <w:sz w:val="18"/>
                  <w:u w:val="single"/>
                </w:rPr>
                <w:t>Form of 1.50% Convertible Senior Note due 2029 (included in Exhibit 4.7)</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4.2</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November 22, 2024</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10.1+</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9">
              <w:r>
                <w:rPr>
                  <w:rStyle w:val="InternetLink"/>
                  <w:rFonts w:ascii="Roboto;sans-serif" w:hAnsi="Roboto;sans-serif"/>
                  <w:b w:val="false"/>
                  <w:color w:val="000000"/>
                  <w:sz w:val="18"/>
                  <w:u w:val="single"/>
                </w:rPr>
                <w:t>Form of Director and Executive Officer Indemnification Agreement</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S-1</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August 16, 2010</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10.2+</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0">
              <w:r>
                <w:rPr>
                  <w:rStyle w:val="InternetLink"/>
                  <w:rFonts w:ascii="Roboto;sans-serif" w:hAnsi="Roboto;sans-serif"/>
                  <w:b w:val="false"/>
                  <w:color w:val="000000"/>
                  <w:sz w:val="18"/>
                  <w:u w:val="single"/>
                </w:rPr>
                <w:t>2010 Equity Incentive Plan</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S-1</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10.4</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August 16, 2010</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10.3+</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1">
              <w:r>
                <w:rPr>
                  <w:rStyle w:val="InternetLink"/>
                  <w:rFonts w:ascii="Roboto;sans-serif" w:hAnsi="Roboto;sans-serif"/>
                  <w:b w:val="false"/>
                  <w:color w:val="000000"/>
                  <w:sz w:val="18"/>
                  <w:u w:val="single"/>
                </w:rPr>
                <w:t>2010 Equity Incentive Plan forms of agreement</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10-Q</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May 2, 2018</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10.4+</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2">
              <w:r>
                <w:rPr>
                  <w:rStyle w:val="InternetLink"/>
                  <w:rFonts w:ascii="Roboto;sans-serif" w:hAnsi="Roboto;sans-serif"/>
                  <w:b w:val="false"/>
                  <w:color w:val="000000"/>
                  <w:sz w:val="18"/>
                  <w:u w:val="single"/>
                </w:rPr>
                <w:t>2010 Employee Stock Purchase Plan and forms of agreement thereunder</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S-1</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10.5</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August 16, 2010</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10.5+</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3">
              <w:r>
                <w:rPr>
                  <w:rStyle w:val="InternetLink"/>
                  <w:rFonts w:ascii="Roboto;sans-serif" w:hAnsi="Roboto;sans-serif"/>
                  <w:b w:val="false"/>
                  <w:color w:val="000000"/>
                  <w:sz w:val="18"/>
                  <w:u w:val="single"/>
                </w:rPr>
                <w:t xml:space="preserve">2010 Outside Director Equity Incentive Plan </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S-1</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10.6</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August 16, 2010</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10.6+</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4">
              <w:r>
                <w:rPr>
                  <w:rStyle w:val="InternetLink"/>
                  <w:rFonts w:ascii="Roboto;sans-serif" w:hAnsi="Roboto;sans-serif"/>
                  <w:b w:val="false"/>
                  <w:color w:val="000000"/>
                  <w:sz w:val="18"/>
                  <w:u w:val="single"/>
                </w:rPr>
                <w:t>2010 Outside Director Equity Incentive Plan forms of agreement</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10-Q</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10.2</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May 2, 2018</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10.7+</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5">
              <w:r>
                <w:rPr>
                  <w:rStyle w:val="InternetLink"/>
                  <w:rFonts w:ascii="Roboto;sans-serif" w:hAnsi="Roboto;sans-serif"/>
                  <w:b w:val="false"/>
                  <w:color w:val="000000"/>
                  <w:sz w:val="18"/>
                  <w:u w:val="single"/>
                </w:rPr>
                <w:t xml:space="preserve">2020 Equity Incentive Plan, as amended </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June 6, 2025</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10.8+</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6">
              <w:r>
                <w:rPr>
                  <w:rStyle w:val="InternetLink"/>
                  <w:rFonts w:ascii="Roboto;sans-serif" w:hAnsi="Roboto;sans-serif"/>
                  <w:b w:val="false"/>
                  <w:color w:val="000000"/>
                  <w:sz w:val="18"/>
                  <w:u w:val="single"/>
                </w:rPr>
                <w:t>Form of Global Stock Option Agreement under the Pacific Biosciences of California, Inc., 2020 Equity Incentive Plan, as amended</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10.2</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June 20, 2024</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10.9+</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7">
              <w:r>
                <w:rPr>
                  <w:rStyle w:val="InternetLink"/>
                  <w:rFonts w:ascii="Roboto;sans-serif" w:hAnsi="Roboto;sans-serif"/>
                  <w:b w:val="false"/>
                  <w:color w:val="000000"/>
                  <w:sz w:val="18"/>
                  <w:u w:val="single"/>
                </w:rPr>
                <w:t>Form of Global Restricted Stock Unit Agreement under the Pacific Biosciences of California, Inc. 2020 Equity Incentive Plan, as amended</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10.3</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June 20, 2024</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10.10+</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8">
              <w:r>
                <w:rPr>
                  <w:rStyle w:val="InternetLink"/>
                  <w:rFonts w:ascii="Roboto;sans-serif" w:hAnsi="Roboto;sans-serif"/>
                  <w:b w:val="false"/>
                  <w:color w:val="000000"/>
                  <w:sz w:val="18"/>
                  <w:u w:val="single"/>
                </w:rPr>
                <w:t>Omniome Equity Incentive Plan of Pacific Biosciences of California, Inc., and related forms of agreement thereunder</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10-Q</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10.4</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November 5, 2021</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10.11+</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9">
              <w:r>
                <w:rPr>
                  <w:rStyle w:val="InternetLink"/>
                  <w:rFonts w:ascii="Roboto;sans-serif" w:hAnsi="Roboto;sans-serif"/>
                  <w:b w:val="false"/>
                  <w:color w:val="000000"/>
                  <w:sz w:val="18"/>
                  <w:u w:val="single"/>
                </w:rPr>
                <w:t>Pacific Biosciences of California, Inc. 2020 Inducement Equity Incentive Plan, as amended, and forms of agreement thereunder</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November 19, 2021</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Roboto;sans-serif" w:hAnsi="Roboto;sans-serif"/>
                <w:b w:val="false"/>
                <w:color w:val="0E32E1"/>
                <w:sz w:val="18"/>
              </w:rPr>
            </w:pPr>
            <w:r>
              <w:rPr>
                <w:rFonts w:ascii="Roboto;sans-serif" w:hAnsi="Roboto;sans-serif"/>
                <w:b w:val="false"/>
                <w:color w:val="0E32E1"/>
                <w:sz w:val="18"/>
              </w:rPr>
              <w:t>10.12+</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0">
              <w:r>
                <w:rPr>
                  <w:rStyle w:val="InternetLink"/>
                  <w:rFonts w:ascii="Roboto;sans-serif" w:hAnsi="Roboto;sans-serif"/>
                  <w:b w:val="false"/>
                  <w:color w:val="000000"/>
                  <w:sz w:val="18"/>
                  <w:u w:val="single"/>
                </w:rPr>
                <w:t>Form of Change in Control and Severance Agreement for executive officers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10.13</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March 17, 2025</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Roboto;sans-serif" w:hAnsi="Roboto;sans-serif"/>
                <w:b w:val="false"/>
                <w:color w:val="0E32E1"/>
                <w:sz w:val="18"/>
              </w:rPr>
            </w:pPr>
            <w:r>
              <w:rPr>
                <w:rFonts w:ascii="Roboto;sans-serif" w:hAnsi="Roboto;sans-serif"/>
                <w:b w:val="false"/>
                <w:color w:val="0E32E1"/>
                <w:sz w:val="18"/>
              </w:rPr>
              <w:t>10.13+</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1">
              <w:r>
                <w:rPr>
                  <w:rStyle w:val="InternetLink"/>
                  <w:rFonts w:ascii="Roboto;sans-serif" w:hAnsi="Roboto;sans-serif"/>
                  <w:b w:val="false"/>
                  <w:color w:val="000000"/>
                  <w:sz w:val="18"/>
                  <w:u w:val="single"/>
                </w:rPr>
                <w:t>Letter Relating to Employment Terms by and between the Registrant and Christian O. Henry effective September 14, 2020</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10.15</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February 26, 2021</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Roboto;sans-serif" w:hAnsi="Roboto;sans-serif"/>
                <w:b w:val="false"/>
                <w:color w:val="0E32E1"/>
                <w:sz w:val="18"/>
              </w:rPr>
            </w:pPr>
            <w:r>
              <w:rPr>
                <w:rFonts w:ascii="Roboto;sans-serif" w:hAnsi="Roboto;sans-serif"/>
                <w:b w:val="false"/>
                <w:color w:val="0E32E1"/>
                <w:sz w:val="18"/>
              </w:rPr>
              <w:t>10.14+</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2">
              <w:r>
                <w:rPr>
                  <w:rStyle w:val="InternetLink"/>
                  <w:rFonts w:ascii="Roboto;sans-serif" w:hAnsi="Roboto;sans-serif"/>
                  <w:b w:val="false"/>
                  <w:color w:val="000000"/>
                  <w:sz w:val="18"/>
                  <w:u w:val="single"/>
                </w:rPr>
                <w:t>Amended Change in Control and Severance Agreement by and between the Registrant and Christian O. Henry dated December 11, 2024</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10.15</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March 17, 2025</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Roboto;sans-serif" w:hAnsi="Roboto;sans-serif"/>
                <w:b w:val="false"/>
                <w:color w:val="0E32E1"/>
                <w:sz w:val="18"/>
              </w:rPr>
            </w:pPr>
            <w:r>
              <w:rPr>
                <w:rFonts w:ascii="Roboto;sans-serif" w:hAnsi="Roboto;sans-serif"/>
                <w:b w:val="false"/>
                <w:color w:val="0E32E1"/>
                <w:sz w:val="18"/>
              </w:rPr>
              <w:t>10.15+</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3">
              <w:r>
                <w:rPr>
                  <w:rStyle w:val="InternetLink"/>
                  <w:rFonts w:ascii="Roboto;sans-serif" w:hAnsi="Roboto;sans-serif"/>
                  <w:b w:val="false"/>
                  <w:color w:val="000000"/>
                  <w:sz w:val="18"/>
                  <w:u w:val="single"/>
                </w:rPr>
                <w:t>Letter Relating to Employment Terms by and between the Registrant and Mark Van Oene effective January 8, 2021</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10.18</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February 26, 2021</w:t>
            </w:r>
          </w:p>
        </w:tc>
      </w:tr>
      <w:tr>
        <w:trPr/>
        <w:tc>
          <w:tcPr>
            <w:tcW w:w="946"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Roboto;sans-serif" w:hAnsi="Roboto;sans-serif"/>
                <w:b w:val="false"/>
                <w:color w:val="0E32E1"/>
                <w:sz w:val="18"/>
              </w:rPr>
            </w:pPr>
            <w:r>
              <w:rPr>
                <w:rFonts w:ascii="Roboto;sans-serif" w:hAnsi="Roboto;sans-serif"/>
                <w:b w:val="false"/>
                <w:color w:val="0E32E1"/>
                <w:sz w:val="18"/>
              </w:rPr>
              <w:t>10.16+</w:t>
            </w:r>
          </w:p>
        </w:tc>
        <w:tc>
          <w:tcPr>
            <w:tcW w:w="6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4">
              <w:r>
                <w:rPr>
                  <w:rStyle w:val="InternetLink"/>
                  <w:rFonts w:ascii="Roboto;sans-serif" w:hAnsi="Roboto;sans-serif"/>
                  <w:b w:val="false"/>
                  <w:color w:val="000000"/>
                  <w:sz w:val="18"/>
                  <w:u w:val="single"/>
                </w:rPr>
                <w:t>Amended Change in Control and Severance Agreement by and between the Registrant and Mark Van Oene dated December 12, 2024</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10.17</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March 17,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12520"/>
                <wp:effectExtent l="0" t="0" r="0" b="0"/>
                <wp:wrapNone/>
                <wp:docPr id="384" name="Frame12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8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132" descr=""/>
                                                <pic:cNvPicPr>
                                                  <a:picLocks noChangeAspect="1" noChangeArrowheads="1"/>
                                                </pic:cNvPicPr>
                                              </pic:nvPicPr>
                                              <pic:blipFill>
                                                <a:blip r:embed="rId285"/>
                                                <a:stretch>
                                                  <a:fillRect/>
                                                </a:stretch>
                                              </pic:blipFill>
                                              <pic:spPr bwMode="auto">
                                                <a:xfrm>
                                                  <a:off x="0" y="0"/>
                                                  <a:ext cx="457200" cy="95250"/>
                                                </a:xfrm>
                                                <a:prstGeom prst="rect">
                                                  <a:avLst/>
                                                </a:prstGeom>
                                              </pic:spPr>
                                            </pic:pic>
                                          </a:graphicData>
                                        </a:graphic>
                                      </wp:inline>
                                    </w:drawing>
                                  </w:r>
                                  <w:bookmarkStart w:id="261" w:name="i-132"/>
                                  <w:bookmarkEnd w:id="26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8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32" descr=""/>
                                          <pic:cNvPicPr>
                                            <a:picLocks noChangeAspect="1" noChangeArrowheads="1"/>
                                          </pic:cNvPicPr>
                                        </pic:nvPicPr>
                                        <pic:blipFill>
                                          <a:blip r:embed="rId286"/>
                                          <a:stretch>
                                            <a:fillRect/>
                                          </a:stretch>
                                        </pic:blipFill>
                                        <pic:spPr bwMode="auto">
                                          <a:xfrm>
                                            <a:off x="0" y="0"/>
                                            <a:ext cx="457200" cy="95250"/>
                                          </a:xfrm>
                                          <a:prstGeom prst="rect">
                                            <a:avLst/>
                                          </a:prstGeom>
                                        </pic:spPr>
                                      </pic:pic>
                                    </a:graphicData>
                                  </a:graphic>
                                </wp:inline>
                              </w:drawing>
                            </w:r>
                            <w:bookmarkStart w:id="262" w:name="i-132"/>
                            <w:bookmarkEnd w:id="26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10205" w:type="dxa"/>
        <w:jc w:val="center"/>
        <w:tblInd w:w="0" w:type="dxa"/>
        <w:tblLayout w:type="fixed"/>
        <w:tblCellMar>
          <w:top w:w="28" w:type="dxa"/>
          <w:left w:w="28" w:type="dxa"/>
          <w:bottom w:w="28" w:type="dxa"/>
          <w:right w:w="28" w:type="dxa"/>
        </w:tblCellMar>
      </w:tblPr>
      <w:tblGrid>
        <w:gridCol w:w="260"/>
        <w:gridCol w:w="228"/>
        <w:gridCol w:w="230"/>
        <w:gridCol w:w="2744"/>
        <w:gridCol w:w="2180"/>
        <w:gridCol w:w="2186"/>
        <w:gridCol w:w="145"/>
        <w:gridCol w:w="145"/>
        <w:gridCol w:w="146"/>
        <w:gridCol w:w="215"/>
        <w:gridCol w:w="215"/>
        <w:gridCol w:w="216"/>
        <w:gridCol w:w="550"/>
        <w:gridCol w:w="322"/>
        <w:gridCol w:w="423"/>
      </w:tblGrid>
      <w:tr>
        <w:trPr/>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Roboto;sans-serif" w:hAnsi="Roboto;sans-serif"/>
                <w:b w:val="false"/>
                <w:color w:val="0E32E1"/>
                <w:sz w:val="18"/>
              </w:rPr>
            </w:pPr>
            <w:r>
              <w:rPr>
                <w:rFonts w:ascii="Roboto;sans-serif" w:hAnsi="Roboto;sans-serif"/>
                <w:b w:val="false"/>
                <w:color w:val="0E32E1"/>
                <w:sz w:val="18"/>
              </w:rPr>
              <w:t>10.17†</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7">
              <w:r>
                <w:rPr>
                  <w:rStyle w:val="InternetLink"/>
                  <w:rFonts w:ascii="Roboto;sans-serif" w:hAnsi="Roboto;sans-serif"/>
                  <w:b w:val="false"/>
                  <w:color w:val="000000"/>
                  <w:sz w:val="18"/>
                  <w:u w:val="single"/>
                </w:rPr>
                <w:t>Lease Agreement by and between the Registrant and Menlo Park Portfolio II, LLC, dated July 22, 2015</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10.18</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March 17, 2025</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60"/>
              <w:jc w:val="left"/>
              <w:rPr>
                <w:rFonts w:ascii="Roboto;sans-serif" w:hAnsi="Roboto;sans-serif"/>
                <w:b w:val="false"/>
                <w:color w:val="0E32E1"/>
                <w:sz w:val="18"/>
              </w:rPr>
            </w:pPr>
            <w:r>
              <w:rPr>
                <w:rFonts w:ascii="Roboto;sans-serif" w:hAnsi="Roboto;sans-serif"/>
                <w:b w:val="false"/>
                <w:color w:val="0E32E1"/>
                <w:sz w:val="18"/>
              </w:rPr>
              <w:t>10.18†</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8">
              <w:r>
                <w:rPr>
                  <w:rStyle w:val="InternetLink"/>
                  <w:rFonts w:ascii="Roboto;sans-serif" w:hAnsi="Roboto;sans-serif"/>
                  <w:b w:val="false"/>
                  <w:color w:val="000000"/>
                  <w:sz w:val="18"/>
                  <w:u w:val="single"/>
                </w:rPr>
                <w:t>First Amendment to Lease Agreement by and between the Registrant and Menlo Park Portfolio II, LLC, dated December 23, 2016</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10.19</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March 17, 2025</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10.19</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9">
              <w:r>
                <w:rPr>
                  <w:rStyle w:val="InternetLink"/>
                  <w:rFonts w:ascii="Roboto;sans-serif" w:hAnsi="Roboto;sans-serif"/>
                  <w:b w:val="false"/>
                  <w:color w:val="000000"/>
                  <w:sz w:val="18"/>
                  <w:u w:val="single"/>
                </w:rPr>
                <w:t>Second Amendment to Lease Agreement by and between the Registrant and Menlo Park Portfolio II, LLC, dated December 30, 2019</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10.20</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March 17, 2025</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10.20</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0">
              <w:r>
                <w:rPr>
                  <w:rStyle w:val="InternetLink"/>
                  <w:rFonts w:ascii="Roboto;sans-serif" w:hAnsi="Roboto;sans-serif"/>
                  <w:b w:val="false"/>
                  <w:color w:val="000000"/>
                  <w:sz w:val="18"/>
                  <w:u w:val="single"/>
                </w:rPr>
                <w:t>Third Amendment to Lease Agreement by and between the Registrant and Menlo Park Portfolio II, LLC, dated March 7, 2025</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10.21</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March 17, 2025</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10.21</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1">
              <w:r>
                <w:rPr>
                  <w:rStyle w:val="InternetLink"/>
                  <w:rFonts w:ascii="Roboto;sans-serif" w:hAnsi="Roboto;sans-serif"/>
                  <w:b w:val="false"/>
                  <w:color w:val="000000"/>
                  <w:sz w:val="18"/>
                  <w:u w:val="single"/>
                </w:rPr>
                <w:t>Investment Agreement, dated as of February 9, 2021, between Pacific Biosciences of California, Inc. and SB Northstar LP.</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February 10, 2021</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Roboto;sans-serif" w:hAnsi="Roboto;sans-serif"/>
                <w:b w:val="false"/>
                <w:color w:val="0E32E1"/>
                <w:sz w:val="18"/>
              </w:rPr>
            </w:pPr>
            <w:r>
              <w:rPr>
                <w:rFonts w:ascii="Roboto;sans-serif" w:hAnsi="Roboto;sans-serif"/>
                <w:b w:val="false"/>
                <w:color w:val="0E32E1"/>
                <w:sz w:val="18"/>
              </w:rPr>
              <w:t>10.22+</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2">
              <w:r>
                <w:rPr>
                  <w:rStyle w:val="InternetLink"/>
                  <w:rFonts w:ascii="Roboto;sans-serif" w:hAnsi="Roboto;sans-serif"/>
                  <w:b w:val="false"/>
                  <w:color w:val="000000"/>
                  <w:sz w:val="18"/>
                  <w:u w:val="single"/>
                </w:rPr>
                <w:t>Letter Relating to Employment Terms by and between the Registrant and Michele Farmer effective May 17, 2021</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10-Q</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10.2</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August 6, 2021</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10.23</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3">
              <w:r>
                <w:rPr>
                  <w:rStyle w:val="InternetLink"/>
                  <w:rFonts w:ascii="Roboto;sans-serif" w:hAnsi="Roboto;sans-serif"/>
                  <w:b w:val="false"/>
                  <w:color w:val="000000"/>
                  <w:sz w:val="18"/>
                  <w:u w:val="single"/>
                </w:rPr>
                <w:t>Agreement and Plan of Merger of Reorganization among Pacific Biosciences of California, Inc., Apollo Acquisition Corp., Apollo Acquisition Sub, LLC, Omniome, Inc. and Shareholder Representative Services, LLC, as securityholder representative, dated as of July 19, 2021</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July 20, 2021</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10.24</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4">
              <w:r>
                <w:rPr>
                  <w:rStyle w:val="InternetLink"/>
                  <w:rFonts w:ascii="Roboto;sans-serif" w:hAnsi="Roboto;sans-serif"/>
                  <w:b w:val="false"/>
                  <w:color w:val="000000"/>
                  <w:sz w:val="18"/>
                  <w:u w:val="single"/>
                </w:rPr>
                <w:t>Securities Purchase Agreement, dated as of July 19, 2021, by and between Pacific Biosciences of California, Inc., and each of the Investors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10.2</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July 20, 2021</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10.25</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5">
              <w:r>
                <w:rPr>
                  <w:rStyle w:val="InternetLink"/>
                  <w:rFonts w:ascii="Roboto;sans-serif" w:hAnsi="Roboto;sans-serif"/>
                  <w:b w:val="false"/>
                  <w:color w:val="000000"/>
                  <w:sz w:val="18"/>
                  <w:u w:val="single"/>
                </w:rPr>
                <w:t>Letter Agreement, dated June 23, 2023, between the Company and Chimera Investment LLC</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June 26, 2023</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10.26</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6">
              <w:r>
                <w:rPr>
                  <w:rStyle w:val="InternetLink"/>
                  <w:rFonts w:ascii="Roboto;sans-serif" w:hAnsi="Roboto;sans-serif"/>
                  <w:b w:val="false"/>
                  <w:color w:val="000000"/>
                  <w:sz w:val="18"/>
                  <w:u w:val="single"/>
                </w:rPr>
                <w:t>Letter Agreement, dated November 7, 2024, between the Company and SB Northstar LP</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November 7, 2024</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10.27</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7">
              <w:r>
                <w:rPr>
                  <w:rStyle w:val="InternetLink"/>
                  <w:rFonts w:ascii="Roboto;sans-serif" w:hAnsi="Roboto;sans-serif"/>
                  <w:b w:val="false"/>
                  <w:color w:val="000000"/>
                  <w:sz w:val="18"/>
                  <w:u w:val="single"/>
                </w:rPr>
                <w:t>Letter Agreement, dated November 21, 2024, between the Company and SB Northstar LP</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November 22, 2024</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Roboto;sans-serif" w:hAnsi="Roboto;sans-serif"/>
                <w:b w:val="false"/>
                <w:color w:val="0E32E1"/>
                <w:sz w:val="18"/>
              </w:rPr>
            </w:pPr>
            <w:r>
              <w:rPr>
                <w:rFonts w:ascii="Roboto;sans-serif" w:hAnsi="Roboto;sans-serif"/>
                <w:b w:val="false"/>
                <w:color w:val="0E32E1"/>
                <w:sz w:val="18"/>
              </w:rPr>
              <w:t>10.28+</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8">
              <w:r>
                <w:rPr>
                  <w:rStyle w:val="InternetLink"/>
                  <w:rFonts w:ascii="Roboto;sans-serif" w:hAnsi="Roboto;sans-serif"/>
                  <w:b w:val="false"/>
                  <w:color w:val="000000"/>
                  <w:sz w:val="18"/>
                  <w:u w:val="single"/>
                </w:rPr>
                <w:t>Form of Performance-Based Restricted Stock Unit Award Agreement under the Pacific Biosciences of California, Inc. 2020 Equity Incentive Plan, as amended</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10-K</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10.28</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February 28, 2024</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Roboto;sans-serif" w:hAnsi="Roboto;sans-serif"/>
                <w:b w:val="false"/>
                <w:color w:val="0E32E1"/>
                <w:sz w:val="18"/>
              </w:rPr>
            </w:pPr>
            <w:r>
              <w:rPr>
                <w:rFonts w:ascii="Roboto;sans-serif" w:hAnsi="Roboto;sans-serif"/>
                <w:b w:val="false"/>
                <w:color w:val="0E32E1"/>
                <w:sz w:val="18"/>
              </w:rPr>
              <w:t>10.29+</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9">
              <w:r>
                <w:rPr>
                  <w:rStyle w:val="InternetLink"/>
                  <w:rFonts w:ascii="Roboto;sans-serif" w:hAnsi="Roboto;sans-serif"/>
                  <w:b w:val="false"/>
                  <w:color w:val="000000"/>
                  <w:sz w:val="18"/>
                  <w:u w:val="single"/>
                </w:rPr>
                <w:t>Outside Director Compensation Policy</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10-Q</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10.3</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May 12, 2025</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Roboto;sans-serif" w:hAnsi="Roboto;sans-serif"/>
                <w:b w:val="false"/>
                <w:color w:val="0E32E1"/>
                <w:sz w:val="18"/>
              </w:rPr>
            </w:pPr>
            <w:r>
              <w:rPr>
                <w:rFonts w:ascii="Roboto;sans-serif" w:hAnsi="Roboto;sans-serif"/>
                <w:b w:val="false"/>
                <w:color w:val="0E32E1"/>
                <w:sz w:val="18"/>
              </w:rPr>
              <w:t>10.30+</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0">
              <w:r>
                <w:rPr>
                  <w:rStyle w:val="InternetLink"/>
                  <w:rFonts w:ascii="Roboto;sans-serif" w:hAnsi="Roboto;sans-serif"/>
                  <w:b w:val="false"/>
                  <w:color w:val="000000"/>
                  <w:sz w:val="18"/>
                  <w:u w:val="single"/>
                </w:rPr>
                <w:t>Letter Relating to Employment Terms by and between the Registrant and James R. Gibson effective March 24, 2025</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10-Q</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10.2</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May 12, 2025</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Roboto;sans-serif" w:hAnsi="Roboto;sans-serif"/>
                <w:b w:val="false"/>
                <w:color w:val="0E32E1"/>
                <w:sz w:val="18"/>
              </w:rPr>
            </w:pPr>
            <w:r>
              <w:rPr>
                <w:rFonts w:ascii="Roboto;sans-serif" w:hAnsi="Roboto;sans-serif"/>
                <w:b w:val="false"/>
                <w:color w:val="0E32E1"/>
                <w:sz w:val="18"/>
              </w:rPr>
              <w:t>10.31+</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1">
              <w:r>
                <w:rPr>
                  <w:rStyle w:val="InternetLink"/>
                  <w:rFonts w:ascii="Roboto;sans-serif" w:hAnsi="Roboto;sans-serif"/>
                  <w:b w:val="false"/>
                  <w:color w:val="000000"/>
                  <w:sz w:val="18"/>
                  <w:u w:val="single"/>
                </w:rPr>
                <w:t>Asset Purchase Agreement, dated January 30, 2026, by and between the Company, Illumina Cambridge Limited, and Illumina, Inc.</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10.1</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February 2, 2026</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Roboto;sans-serif" w:hAnsi="Roboto;sans-serif"/>
                <w:b w:val="false"/>
                <w:color w:val="0E32E1"/>
                <w:sz w:val="18"/>
              </w:rPr>
            </w:pPr>
            <w:r>
              <w:rPr>
                <w:rFonts w:ascii="Roboto;sans-serif" w:hAnsi="Roboto;sans-serif"/>
                <w:b w:val="false"/>
                <w:color w:val="0E32E1"/>
                <w:sz w:val="18"/>
              </w:rPr>
              <w:t>10.32+</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cb-exx1032xexecutiveince.htm">
              <w:r>
                <w:rPr>
                  <w:rStyle w:val="InternetLink"/>
                  <w:rFonts w:ascii="Roboto;sans-serif" w:hAnsi="Roboto;sans-serif"/>
                  <w:b w:val="false"/>
                  <w:color w:val="000000"/>
                  <w:sz w:val="18"/>
                  <w:u w:val="single"/>
                </w:rPr>
                <w:t>Executive Incentive Compensation Plan</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Filed herewith</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19.1</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2">
              <w:r>
                <w:rPr>
                  <w:rStyle w:val="InternetLink"/>
                  <w:rFonts w:ascii="Roboto;sans-serif" w:hAnsi="Roboto;sans-serif"/>
                  <w:b w:val="false"/>
                  <w:color w:val="000000"/>
                  <w:sz w:val="18"/>
                  <w:u w:val="single"/>
                </w:rPr>
                <w:t>Insider Trading Policy</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10-K</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19.1</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March 17, 2025</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21.1</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cb-exx211x2025.htm">
              <w:r>
                <w:rPr>
                  <w:rStyle w:val="InternetLink"/>
                  <w:rFonts w:ascii="Roboto;sans-serif" w:hAnsi="Roboto;sans-serif"/>
                  <w:b w:val="false"/>
                  <w:color w:val="000000"/>
                  <w:sz w:val="18"/>
                  <w:u w:val="single"/>
                </w:rPr>
                <w:t>List of Subsidiaries of the Registrant</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Filed herewith</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23.1</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cb-exx231x2025.htm">
              <w:r>
                <w:rPr>
                  <w:rStyle w:val="InternetLink"/>
                  <w:rFonts w:ascii="Roboto;sans-serif" w:hAnsi="Roboto;sans-serif"/>
                  <w:b w:val="false"/>
                  <w:color w:val="000000"/>
                  <w:sz w:val="18"/>
                  <w:u w:val="single"/>
                </w:rPr>
                <w:t>Consent of Independent Registered Public Accounting Firm</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Filed herewith</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31.1</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cb-exx311x2025.htm">
              <w:r>
                <w:rPr>
                  <w:rStyle w:val="InternetLink"/>
                  <w:rFonts w:ascii="Roboto;sans-serif" w:hAnsi="Roboto;sans-serif"/>
                  <w:b w:val="false"/>
                  <w:color w:val="000000"/>
                  <w:sz w:val="18"/>
                  <w:u w:val="single"/>
                </w:rPr>
                <w:t>Certification of Chief Executive Officer pursuant to Exchange Act Rules 13a-14(a) and 15d-14(a), as adopted pursuant to Section 302 of the Sarbanes-Oxley Act of 2002</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Filed herewith</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31.2</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cb-exx312x2025.htm">
              <w:r>
                <w:rPr>
                  <w:rStyle w:val="InternetLink"/>
                  <w:rFonts w:ascii="Roboto;sans-serif" w:hAnsi="Roboto;sans-serif"/>
                  <w:b w:val="false"/>
                  <w:color w:val="000000"/>
                  <w:sz w:val="18"/>
                  <w:u w:val="single"/>
                </w:rPr>
                <w:t>Certification of Chief Financial Officer pursuant to Exchange Act Rules 13a-14(a) and 15d-14(a), as adopted pursuant to Section 302 of the Sarbanes-Oxley Act of 2002</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Filed herewith</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60"/>
              <w:jc w:val="left"/>
              <w:rPr>
                <w:rFonts w:ascii="Roboto;sans-serif" w:hAnsi="Roboto;sans-serif"/>
                <w:b w:val="false"/>
                <w:color w:val="0E32E1"/>
                <w:sz w:val="18"/>
              </w:rPr>
            </w:pPr>
            <w:r>
              <w:rPr>
                <w:rFonts w:ascii="Roboto;sans-serif" w:hAnsi="Roboto;sans-serif"/>
                <w:b w:val="false"/>
                <w:color w:val="0E32E1"/>
                <w:sz w:val="18"/>
              </w:rPr>
              <w:t>32.1*</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cb-exx321x2025.htm">
              <w:r>
                <w:rPr>
                  <w:rStyle w:val="InternetLink"/>
                  <w:rFonts w:ascii="Roboto;sans-serif" w:hAnsi="Roboto;sans-serif"/>
                  <w:b w:val="false"/>
                  <w:color w:val="000000"/>
                  <w:sz w:val="18"/>
                  <w:u w:val="single"/>
                </w:rPr>
                <w:t>Certification of Chief Executive Officer pursuant to 18 U.S.C. Section 1350, as adopted pursuant to Section 906 of the Sarbanes-Oxley Act of 2002</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Furnished herewith</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60"/>
              <w:jc w:val="left"/>
              <w:rPr>
                <w:rFonts w:ascii="Roboto;sans-serif" w:hAnsi="Roboto;sans-serif"/>
                <w:b w:val="false"/>
                <w:color w:val="0E32E1"/>
                <w:sz w:val="18"/>
              </w:rPr>
            </w:pPr>
            <w:r>
              <w:rPr>
                <w:rFonts w:ascii="Roboto;sans-serif" w:hAnsi="Roboto;sans-serif"/>
                <w:b w:val="false"/>
                <w:color w:val="0E32E1"/>
                <w:sz w:val="18"/>
              </w:rPr>
              <w:t>32.2*</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cb-exx322x2025.htm">
              <w:r>
                <w:rPr>
                  <w:rStyle w:val="InternetLink"/>
                  <w:rFonts w:ascii="Roboto;sans-serif" w:hAnsi="Roboto;sans-serif"/>
                  <w:b w:val="false"/>
                  <w:color w:val="000000"/>
                  <w:sz w:val="18"/>
                  <w:u w:val="single"/>
                </w:rPr>
                <w:t>Certification of Chief Financial Officer pursuant to 18 U.S.C. Section 1350, as adopted pursuant to Section 906 of the Sarbanes-Oxley Act of 2002</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Furnished herewith</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97.1</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3">
              <w:r>
                <w:rPr>
                  <w:rStyle w:val="InternetLink"/>
                  <w:rFonts w:ascii="Roboto;sans-serif" w:hAnsi="Roboto;sans-serif"/>
                  <w:b w:val="false"/>
                  <w:color w:val="000000"/>
                  <w:sz w:val="18"/>
                  <w:u w:val="single"/>
                </w:rPr>
                <w:t>Compensation Recovery Policy</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8"/>
              </w:rPr>
            </w:pPr>
            <w:r>
              <w:rPr>
                <w:rFonts w:ascii="Roboto;sans-serif" w:hAnsi="Roboto;sans-serif"/>
                <w:b w:val="false"/>
                <w:color w:val="000000"/>
                <w:sz w:val="18"/>
              </w:rPr>
              <w:t>10-K</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97.1</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February 28, 2024</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101.INS</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XBRL Instance Document (the instance document does not appear in the Interactive Data File because its XBRL tags are embedded within the Inline XBRL document)</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Filed herewith</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101.SCH</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XBRL Taxonomy Extension Schema Document</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Filed herewith</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101.CAL</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XBRL Taxonomy Extension Calculation Linkbase Document</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Filed herewith</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101.DEF</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XBRL Taxonomy Extension Definition Linkbase Document</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Filed herewith</w:t>
            </w:r>
          </w:p>
        </w:tc>
      </w:tr>
      <w:tr>
        <w:trPr/>
        <w:tc>
          <w:tcPr>
            <w:tcW w:w="718"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101.LAB</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XBRL Taxonomy Extension Labels Linkbase Document</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Filed herewith</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12520"/>
                <wp:effectExtent l="0" t="0" r="0" b="0"/>
                <wp:wrapNone/>
                <wp:docPr id="387" name="Frame13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88"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33" descr=""/>
                                                <pic:cNvPicPr>
                                                  <a:picLocks noChangeAspect="1" noChangeArrowheads="1"/>
                                                </pic:cNvPicPr>
                                              </pic:nvPicPr>
                                              <pic:blipFill>
                                                <a:blip r:embed="rId304"/>
                                                <a:stretch>
                                                  <a:fillRect/>
                                                </a:stretch>
                                              </pic:blipFill>
                                              <pic:spPr bwMode="auto">
                                                <a:xfrm>
                                                  <a:off x="0" y="0"/>
                                                  <a:ext cx="457200" cy="95250"/>
                                                </a:xfrm>
                                                <a:prstGeom prst="rect">
                                                  <a:avLst/>
                                                </a:prstGeom>
                                              </pic:spPr>
                                            </pic:pic>
                                          </a:graphicData>
                                        </a:graphic>
                                      </wp:inline>
                                    </w:drawing>
                                  </w:r>
                                  <w:bookmarkStart w:id="263" w:name="i-133"/>
                                  <w:bookmarkEnd w:id="263"/>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8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33" descr=""/>
                                          <pic:cNvPicPr>
                                            <a:picLocks noChangeAspect="1" noChangeArrowheads="1"/>
                                          </pic:cNvPicPr>
                                        </pic:nvPicPr>
                                        <pic:blipFill>
                                          <a:blip r:embed="rId305"/>
                                          <a:stretch>
                                            <a:fillRect/>
                                          </a:stretch>
                                        </pic:blipFill>
                                        <pic:spPr bwMode="auto">
                                          <a:xfrm>
                                            <a:off x="0" y="0"/>
                                            <a:ext cx="457200" cy="95250"/>
                                          </a:xfrm>
                                          <a:prstGeom prst="rect">
                                            <a:avLst/>
                                          </a:prstGeom>
                                        </pic:spPr>
                                      </pic:pic>
                                    </a:graphicData>
                                  </a:graphic>
                                </wp:inline>
                              </w:drawing>
                            </w:r>
                            <w:bookmarkStart w:id="264" w:name="i-133"/>
                            <w:bookmarkEnd w:id="264"/>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10205" w:type="dxa"/>
        <w:jc w:val="center"/>
        <w:tblInd w:w="0" w:type="dxa"/>
        <w:tblLayout w:type="fixed"/>
        <w:tblCellMar>
          <w:top w:w="28" w:type="dxa"/>
          <w:left w:w="28" w:type="dxa"/>
          <w:bottom w:w="28" w:type="dxa"/>
          <w:right w:w="28" w:type="dxa"/>
        </w:tblCellMar>
      </w:tblPr>
      <w:tblGrid>
        <w:gridCol w:w="312"/>
        <w:gridCol w:w="274"/>
        <w:gridCol w:w="276"/>
        <w:gridCol w:w="2428"/>
        <w:gridCol w:w="2428"/>
        <w:gridCol w:w="2433"/>
        <w:gridCol w:w="109"/>
        <w:gridCol w:w="109"/>
        <w:gridCol w:w="109"/>
        <w:gridCol w:w="109"/>
        <w:gridCol w:w="109"/>
        <w:gridCol w:w="109"/>
        <w:gridCol w:w="409"/>
        <w:gridCol w:w="409"/>
        <w:gridCol w:w="582"/>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101.PRE</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Filed herewith</w:t>
            </w:r>
          </w:p>
        </w:tc>
      </w:tr>
      <w:tr>
        <w:trPr/>
        <w:tc>
          <w:tcPr>
            <w:tcW w:w="862"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Roboto;sans-serif" w:hAnsi="Roboto;sans-serif"/>
                <w:b w:val="false"/>
                <w:color w:val="0E32E1"/>
                <w:sz w:val="18"/>
              </w:rPr>
            </w:pPr>
            <w:r>
              <w:rPr>
                <w:rFonts w:ascii="Roboto;sans-serif" w:hAnsi="Roboto;sans-serif"/>
                <w:b w:val="false"/>
                <w:color w:val="0E32E1"/>
                <w:sz w:val="18"/>
              </w:rPr>
              <w:t>104</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Cover Page Interactive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Filed herewith</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6"/>
              </w:rPr>
            </w:pPr>
            <w:r>
              <w:rPr>
                <w:rFonts w:ascii="Roboto;sans-serif" w:hAnsi="Roboto;sans-serif"/>
                <w:b w:val="false"/>
                <w:color w:val="000000"/>
                <w:sz w:val="16"/>
              </w:rPr>
              <w:t xml:space="preserve">Indicates management contract or compensatory plan.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Roboto;sans-serif" w:hAnsi="Roboto;sans-serif"/>
                <w:b w:val="false"/>
                <w:color w:val="000000"/>
                <w:sz w:val="16"/>
              </w:rPr>
            </w:pPr>
            <w:r>
              <w:rPr>
                <w:rFonts w:ascii="Roboto;sans-serif" w:hAnsi="Roboto;sans-serif"/>
                <w:b w:val="false"/>
                <w:color w:val="000000"/>
                <w:sz w:val="16"/>
              </w:rPr>
              <w:t>Certain confidential information contained in this Exhibit was omitted by means of marking such portions with brackets because (i) the identified confidential information is not material and (ii) the company customarily and actually treats that information as private or confidential.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Roboto;sans-serif" w:hAnsi="Roboto;sans-serif"/>
                <w:b w:val="false"/>
                <w:color w:val="000000"/>
                <w:sz w:val="16"/>
              </w:rPr>
            </w:pPr>
            <w:r>
              <w:rPr>
                <w:rFonts w:ascii="Roboto;sans-serif" w:hAnsi="Roboto;sans-serif"/>
                <w:b w:val="false"/>
                <w:color w:val="000000"/>
                <w:sz w:val="16"/>
              </w:rPr>
              <w:t>The certifications attached as Exhibit 32.1 and 32.2 that accompany this Annual Report on Form 10-K are deemed furnished and not filed with the Securities and Exchange Commission and are not to be incorporated by reference into any filing of Pacific Biosciences of California, Inc. under the Securities Act or the Exchange Act, whether made before or after the date of this Annual Report on Form 10-K,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10" w:type="dxa"/>
        <w:jc w:val="left"/>
        <w:tblInd w:w="0" w:type="dxa"/>
        <w:tblLayout w:type="fixed"/>
        <w:tblCellMar>
          <w:top w:w="28" w:type="dxa"/>
          <w:left w:w="28" w:type="dxa"/>
          <w:bottom w:w="28" w:type="dxa"/>
          <w:right w:w="28" w:type="dxa"/>
        </w:tblCellMar>
      </w:tblPr>
      <w:tblGrid>
        <w:gridCol w:w="1405"/>
        <w:gridCol w:w="1236"/>
        <w:gridCol w:w="1769"/>
      </w:tblGrid>
      <w:tr>
        <w:trPr/>
        <w:tc>
          <w:tcPr>
            <w:tcW w:w="140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16. FORM 10-K SUMMARY</w:t>
            </w:r>
          </w:p>
        </w:tc>
      </w:tr>
    </w:tbl>
    <w:p>
      <w:pPr>
        <w:pStyle w:val="TextBody"/>
        <w:bidi w:val="0"/>
        <w:spacing w:lineRule="auto" w:line="288" w:before="120" w:after="283"/>
        <w:ind w:left="0" w:right="0" w:hanging="1440"/>
        <w:jc w:val="both"/>
        <w:rPr>
          <w:rFonts w:ascii="Roboto;sans-serif" w:hAnsi="Roboto;sans-serif"/>
          <w:b w:val="false"/>
          <w:color w:val="000000"/>
          <w:sz w:val="20"/>
        </w:rPr>
      </w:pPr>
      <w:r>
        <w:rPr>
          <w:rFonts w:ascii="Roboto;sans-serif" w:hAnsi="Roboto;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12520"/>
                <wp:effectExtent l="0" t="0" r="0" b="0"/>
                <wp:wrapNone/>
                <wp:docPr id="390" name="Frame13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9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34" descr=""/>
                                                <pic:cNvPicPr>
                                                  <a:picLocks noChangeAspect="1" noChangeArrowheads="1"/>
                                                </pic:cNvPicPr>
                                              </pic:nvPicPr>
                                              <pic:blipFill>
                                                <a:blip r:embed="rId306"/>
                                                <a:stretch>
                                                  <a:fillRect/>
                                                </a:stretch>
                                              </pic:blipFill>
                                              <pic:spPr bwMode="auto">
                                                <a:xfrm>
                                                  <a:off x="0" y="0"/>
                                                  <a:ext cx="457200" cy="95250"/>
                                                </a:xfrm>
                                                <a:prstGeom prst="rect">
                                                  <a:avLst/>
                                                </a:prstGeom>
                                              </pic:spPr>
                                            </pic:pic>
                                          </a:graphicData>
                                        </a:graphic>
                                      </wp:inline>
                                    </w:drawing>
                                  </w:r>
                                  <w:bookmarkStart w:id="265" w:name="i-134"/>
                                  <w:bookmarkEnd w:id="265"/>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9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134" descr=""/>
                                          <pic:cNvPicPr>
                                            <a:picLocks noChangeAspect="1" noChangeArrowheads="1"/>
                                          </pic:cNvPicPr>
                                        </pic:nvPicPr>
                                        <pic:blipFill>
                                          <a:blip r:embed="rId307"/>
                                          <a:stretch>
                                            <a:fillRect/>
                                          </a:stretch>
                                        </pic:blipFill>
                                        <pic:spPr bwMode="auto">
                                          <a:xfrm>
                                            <a:off x="0" y="0"/>
                                            <a:ext cx="457200" cy="95250"/>
                                          </a:xfrm>
                                          <a:prstGeom prst="rect">
                                            <a:avLst/>
                                          </a:prstGeom>
                                        </pic:spPr>
                                      </pic:pic>
                                    </a:graphicData>
                                  </a:graphic>
                                </wp:inline>
                              </w:drawing>
                            </w:r>
                            <w:bookmarkStart w:id="266" w:name="i-134"/>
                            <w:bookmarkEnd w:id="266"/>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1889" w:type="dxa"/>
        <w:jc w:val="left"/>
        <w:tblInd w:w="0" w:type="dxa"/>
        <w:tblLayout w:type="fixed"/>
        <w:tblCellMar>
          <w:top w:w="28" w:type="dxa"/>
          <w:left w:w="28" w:type="dxa"/>
          <w:bottom w:w="28" w:type="dxa"/>
          <w:right w:w="28" w:type="dxa"/>
        </w:tblCellMar>
      </w:tblPr>
      <w:tblGrid>
        <w:gridCol w:w="604"/>
        <w:gridCol w:w="530"/>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SIGNATURES</w:t>
            </w:r>
          </w:p>
        </w:tc>
      </w:tr>
    </w:tbl>
    <w:p>
      <w:pPr>
        <w:pStyle w:val="TextBody"/>
        <w:bidi w:val="0"/>
        <w:spacing w:lineRule="auto" w:line="288" w:before="120" w:after="283"/>
        <w:ind w:left="0" w:right="0" w:hanging="1440"/>
        <w:jc w:val="both"/>
        <w:rPr>
          <w:rFonts w:ascii="Roboto;sans-serif" w:hAnsi="Roboto;sans-serif"/>
          <w:b w:val="false"/>
          <w:color w:val="000000"/>
          <w:sz w:val="20"/>
        </w:rPr>
      </w:pPr>
      <w:r>
        <w:rPr>
          <w:rFonts w:ascii="Roboto;sans-serif" w:hAnsi="Roboto;sans-serif"/>
          <w:b w:val="false"/>
          <w:color w:val="000000"/>
          <w:sz w:val="20"/>
        </w:rPr>
        <w:t xml:space="preserve">Pursuant to the requirements of Section 13 or 15(d) of the Securities Exchange Act of 1934, the registrant has duly caused this Annual Report on Form 10-K to be signed on its behalf by the undersigned, thereunto duly authorized. </w:t>
      </w:r>
    </w:p>
    <w:tbl>
      <w:tblPr>
        <w:tblW w:w="8734" w:type="dxa"/>
        <w:jc w:val="left"/>
        <w:tblInd w:w="0" w:type="dxa"/>
        <w:tblLayout w:type="fixed"/>
        <w:tblCellMar>
          <w:top w:w="28" w:type="dxa"/>
          <w:left w:w="28" w:type="dxa"/>
          <w:bottom w:w="28" w:type="dxa"/>
          <w:right w:w="28" w:type="dxa"/>
        </w:tblCellMar>
      </w:tblPr>
      <w:tblGrid>
        <w:gridCol w:w="891"/>
        <w:gridCol w:w="780"/>
        <w:gridCol w:w="788"/>
        <w:gridCol w:w="657"/>
        <w:gridCol w:w="657"/>
        <w:gridCol w:w="657"/>
        <w:gridCol w:w="1253"/>
        <w:gridCol w:w="1253"/>
        <w:gridCol w:w="1798"/>
      </w:tblGrid>
      <w:tr>
        <w:trPr/>
        <w:tc>
          <w:tcPr>
            <w:tcW w:w="8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Pacific Biosciences of California, Inc.</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Date: February 25, 2026</w:t>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 xml:space="preserve">/s/ Christian O. Henry </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Christian O. Henry</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President and Chief Executive Officer</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Date: February 25, 2026</w:t>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20"/>
              </w:rPr>
            </w:pPr>
            <w:r>
              <w:rPr>
                <w:rFonts w:ascii="Roboto;sans-serif" w:hAnsi="Roboto;sans-serif"/>
                <w:b w:val="false"/>
                <w:color w:val="000000"/>
                <w:sz w:val="20"/>
              </w:rPr>
              <w:t>/s/ Jim R. Gibson</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Jim R. Gibson</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Chief Financial Officer</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Date: February 25, 2026</w:t>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 xml:space="preserve">/s/ Michele Farmer </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Michele Farmer</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 xml:space="preserve">Vice President and Chief Accounting Officer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12520"/>
                <wp:effectExtent l="0" t="0" r="0" b="0"/>
                <wp:wrapNone/>
                <wp:docPr id="393" name="Frame13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9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135" descr=""/>
                                                <pic:cNvPicPr>
                                                  <a:picLocks noChangeAspect="1" noChangeArrowheads="1"/>
                                                </pic:cNvPicPr>
                                              </pic:nvPicPr>
                                              <pic:blipFill>
                                                <a:blip r:embed="rId308"/>
                                                <a:stretch>
                                                  <a:fillRect/>
                                                </a:stretch>
                                              </pic:blipFill>
                                              <pic:spPr bwMode="auto">
                                                <a:xfrm>
                                                  <a:off x="0" y="0"/>
                                                  <a:ext cx="457200" cy="95250"/>
                                                </a:xfrm>
                                                <a:prstGeom prst="rect">
                                                  <a:avLst/>
                                                </a:prstGeom>
                                              </pic:spPr>
                                            </pic:pic>
                                          </a:graphicData>
                                        </a:graphic>
                                      </wp:inline>
                                    </w:drawing>
                                  </w:r>
                                  <w:bookmarkStart w:id="267" w:name="i-135"/>
                                  <w:bookmarkEnd w:id="267"/>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9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35" descr=""/>
                                          <pic:cNvPicPr>
                                            <a:picLocks noChangeAspect="1" noChangeArrowheads="1"/>
                                          </pic:cNvPicPr>
                                        </pic:nvPicPr>
                                        <pic:blipFill>
                                          <a:blip r:embed="rId309"/>
                                          <a:stretch>
                                            <a:fillRect/>
                                          </a:stretch>
                                        </pic:blipFill>
                                        <pic:spPr bwMode="auto">
                                          <a:xfrm>
                                            <a:off x="0" y="0"/>
                                            <a:ext cx="457200" cy="95250"/>
                                          </a:xfrm>
                                          <a:prstGeom prst="rect">
                                            <a:avLst/>
                                          </a:prstGeom>
                                        </pic:spPr>
                                      </pic:pic>
                                    </a:graphicData>
                                  </a:graphic>
                                </wp:inline>
                              </w:drawing>
                            </w:r>
                            <w:bookmarkStart w:id="268" w:name="i-135"/>
                            <w:bookmarkEnd w:id="268"/>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tbl>
      <w:tblPr>
        <w:tblW w:w="3165" w:type="dxa"/>
        <w:jc w:val="left"/>
        <w:tblInd w:w="0" w:type="dxa"/>
        <w:tblLayout w:type="fixed"/>
        <w:tblCellMar>
          <w:top w:w="28" w:type="dxa"/>
          <w:left w:w="28" w:type="dxa"/>
          <w:bottom w:w="28" w:type="dxa"/>
          <w:right w:w="28" w:type="dxa"/>
        </w:tblCellMar>
      </w:tblPr>
      <w:tblGrid>
        <w:gridCol w:w="1012"/>
        <w:gridCol w:w="889"/>
        <w:gridCol w:w="1264"/>
      </w:tblGrid>
      <w:tr>
        <w:trPr/>
        <w:tc>
          <w:tcPr>
            <w:tcW w:w="101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DF1995"/>
              <w:bottom w:val="single" w:sz="8" w:space="0" w:color="DF1995"/>
            </w:tcBorders>
            <w:tcMar>
              <w:top w:w="30"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POWER OF ATTORNEY</w:t>
            </w:r>
          </w:p>
        </w:tc>
      </w:tr>
    </w:tbl>
    <w:p>
      <w:pPr>
        <w:pStyle w:val="TextBody"/>
        <w:bidi w:val="0"/>
        <w:spacing w:lineRule="auto" w:line="288" w:before="180" w:after="283"/>
        <w:ind w:left="0" w:right="0" w:hanging="1440"/>
        <w:jc w:val="both"/>
        <w:rPr>
          <w:rFonts w:ascii="Roboto;sans-serif" w:hAnsi="Roboto;sans-serif"/>
          <w:b w:val="false"/>
          <w:color w:val="000000"/>
          <w:sz w:val="20"/>
        </w:rPr>
      </w:pPr>
      <w:r>
        <w:rPr>
          <w:rFonts w:ascii="Roboto;sans-serif" w:hAnsi="Roboto;sans-serif"/>
          <w:b w:val="false"/>
          <w:color w:val="000000"/>
          <w:sz w:val="20"/>
        </w:rPr>
        <w:t>KNOW ALL PERSONS BY THESE PRESENTS, that each person whose signature appears below hereby constitutes and appoints Christian O. Henry, Jim R. Gibson, Brett Atkins, and Michele Farmer, and each of them, as his or her true and lawful attorney-in-fact and agent, with full power of substitution and resubstitution, for each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12520"/>
                <wp:effectExtent l="0" t="0" r="0" b="0"/>
                <wp:wrapNone/>
                <wp:docPr id="396" name="Frame13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97"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36" descr=""/>
                                                <pic:cNvPicPr>
                                                  <a:picLocks noChangeAspect="1" noChangeArrowheads="1"/>
                                                </pic:cNvPicPr>
                                              </pic:nvPicPr>
                                              <pic:blipFill>
                                                <a:blip r:embed="rId310"/>
                                                <a:stretch>
                                                  <a:fillRect/>
                                                </a:stretch>
                                              </pic:blipFill>
                                              <pic:spPr bwMode="auto">
                                                <a:xfrm>
                                                  <a:off x="0" y="0"/>
                                                  <a:ext cx="457200" cy="95250"/>
                                                </a:xfrm>
                                                <a:prstGeom prst="rect">
                                                  <a:avLst/>
                                                </a:prstGeom>
                                              </pic:spPr>
                                            </pic:pic>
                                          </a:graphicData>
                                        </a:graphic>
                                      </wp:inline>
                                    </w:drawing>
                                  </w:r>
                                  <w:bookmarkStart w:id="269" w:name="i-136"/>
                                  <w:bookmarkEnd w:id="269"/>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98"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36" descr=""/>
                                          <pic:cNvPicPr>
                                            <a:picLocks noChangeAspect="1" noChangeArrowheads="1"/>
                                          </pic:cNvPicPr>
                                        </pic:nvPicPr>
                                        <pic:blipFill>
                                          <a:blip r:embed="rId311"/>
                                          <a:stretch>
                                            <a:fillRect/>
                                          </a:stretch>
                                        </pic:blipFill>
                                        <pic:spPr bwMode="auto">
                                          <a:xfrm>
                                            <a:off x="0" y="0"/>
                                            <a:ext cx="457200" cy="95250"/>
                                          </a:xfrm>
                                          <a:prstGeom prst="rect">
                                            <a:avLst/>
                                          </a:prstGeom>
                                        </pic:spPr>
                                      </pic:pic>
                                    </a:graphicData>
                                  </a:graphic>
                                </wp:inline>
                              </w:drawing>
                            </w:r>
                            <w:bookmarkStart w:id="270" w:name="i-136"/>
                            <w:bookmarkEnd w:id="270"/>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9dad38eca65443b9a8bcd939ad72e7eb_7">
        <w:r>
          <w:rPr>
            <w:rStyle w:val="InternetLink"/>
          </w:rPr>
          <w:t xml:space="preserve">Table of </w:t>
        </w:r>
      </w:hyperlink>
      <w:hyperlink w:anchor="i9dad38eca65443b9a8bcd939ad72e7eb_7">
        <w:r>
          <w:rPr>
            <w:rStyle w:val="InternetLink"/>
          </w:rPr>
          <w:t>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Pursuant to the requirements of the Securities Exchange Act of 1934, as amended, this report has been signed by the following persons on behalf of the Registrant in the capacities and on the dates indicated.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737"/>
        <w:gridCol w:w="671"/>
        <w:gridCol w:w="673"/>
        <w:gridCol w:w="109"/>
        <w:gridCol w:w="109"/>
        <w:gridCol w:w="109"/>
        <w:gridCol w:w="1843"/>
        <w:gridCol w:w="1808"/>
        <w:gridCol w:w="1830"/>
        <w:gridCol w:w="530"/>
        <w:gridCol w:w="530"/>
        <w:gridCol w:w="537"/>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Title</w:t>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Date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u w:val="single"/>
              </w:rPr>
            </w:pPr>
            <w:r>
              <w:rPr>
                <w:rFonts w:ascii="Roboto;sans-serif" w:hAnsi="Roboto;sans-serif"/>
                <w:b w:val="false"/>
                <w:color w:val="000000"/>
                <w:sz w:val="20"/>
                <w:u w:val="single"/>
              </w:rPr>
              <w:t xml:space="preserve">/s/ Christian O. Henry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Director, President, Chief Executive Officer</w:t>
            </w:r>
          </w:p>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(Principal Executive Officer)</w:t>
            </w:r>
          </w:p>
        </w:tc>
        <w:tc>
          <w:tcPr>
            <w:tcW w:w="15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February 25, 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Christian O. Henry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vMerge w:val="continue"/>
            <w:tcBorders/>
            <w:tcMar>
              <w:top w:w="0" w:type="dxa"/>
              <w:left w:w="0" w:type="dxa"/>
              <w:bottom w:w="0" w:type="dxa"/>
              <w:right w:w="0" w:type="dxa"/>
            </w:tcMar>
            <w:vAlign w:val="center"/>
          </w:tcPr>
          <w:p>
            <w:pPr>
              <w:pStyle w:val="Normal"/>
              <w:bidi w:val="0"/>
              <w:jc w:val="left"/>
              <w:rPr/>
            </w:pPr>
            <w:r>
              <w:rPr/>
            </w:r>
          </w:p>
        </w:tc>
        <w:tc>
          <w:tcPr>
            <w:tcW w:w="1597" w:type="dxa"/>
            <w:gridSpan w:val="3"/>
            <w:vMerge w:val="continue"/>
            <w:tcBorders/>
            <w:tcMar>
              <w:top w:w="0" w:type="dxa"/>
              <w:left w:w="0" w:type="dxa"/>
              <w:bottom w:w="0" w:type="dxa"/>
              <w:right w:w="0" w:type="dxa"/>
            </w:tcMar>
            <w:vAlign w:val="center"/>
          </w:tcPr>
          <w:p>
            <w:pPr>
              <w:pStyle w:val="Normal"/>
              <w:bidi w:val="0"/>
              <w:jc w:val="left"/>
              <w:rPr/>
            </w:pPr>
            <w:r>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u w:val="single"/>
              </w:rPr>
            </w:pPr>
            <w:r>
              <w:rPr>
                <w:rFonts w:ascii="Roboto;sans-serif" w:hAnsi="Roboto;sans-serif"/>
                <w:b w:val="false"/>
                <w:color w:val="000000"/>
                <w:sz w:val="20"/>
                <w:u w:val="single"/>
              </w:rPr>
              <w:t>/s/ Jim R. Gibson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Chief Financial Officer</w:t>
            </w:r>
          </w:p>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(Principal Financial Officer)</w:t>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February 25, 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Jim R. Gibson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vMerge w:val="continue"/>
            <w:tcBorders/>
            <w:tcMar>
              <w:top w:w="0" w:type="dxa"/>
              <w:left w:w="0" w:type="dxa"/>
              <w:bottom w:w="0" w:type="dxa"/>
              <w:right w:w="0" w:type="dxa"/>
            </w:tcMar>
            <w:vAlign w:val="center"/>
          </w:tcPr>
          <w:p>
            <w:pPr>
              <w:pStyle w:val="Normal"/>
              <w:bidi w:val="0"/>
              <w:jc w:val="left"/>
              <w:rPr/>
            </w:pPr>
            <w:r>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u w:val="single"/>
              </w:rPr>
            </w:pPr>
            <w:r>
              <w:rPr>
                <w:rFonts w:ascii="Roboto;sans-serif" w:hAnsi="Roboto;sans-serif"/>
                <w:b w:val="false"/>
                <w:color w:val="000000"/>
                <w:sz w:val="20"/>
                <w:u w:val="single"/>
              </w:rPr>
              <w:t>/s/ Michele Farmer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Vice President and Chief Accounting Officer (Principal Accounting Officer)</w:t>
            </w:r>
          </w:p>
        </w:tc>
        <w:tc>
          <w:tcPr>
            <w:tcW w:w="15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February 25, 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Michele Farmer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vMerge w:val="continue"/>
            <w:tcBorders/>
            <w:tcMar>
              <w:top w:w="0" w:type="dxa"/>
              <w:left w:w="0" w:type="dxa"/>
              <w:bottom w:w="0" w:type="dxa"/>
              <w:right w:w="0" w:type="dxa"/>
            </w:tcMar>
            <w:vAlign w:val="center"/>
          </w:tcPr>
          <w:p>
            <w:pPr>
              <w:pStyle w:val="Normal"/>
              <w:bidi w:val="0"/>
              <w:jc w:val="left"/>
              <w:rPr/>
            </w:pPr>
            <w:r>
              <w:rPr/>
            </w:r>
          </w:p>
        </w:tc>
        <w:tc>
          <w:tcPr>
            <w:tcW w:w="1597" w:type="dxa"/>
            <w:gridSpan w:val="3"/>
            <w:vMerge w:val="continue"/>
            <w:tcBorders/>
            <w:tcMar>
              <w:top w:w="0" w:type="dxa"/>
              <w:left w:w="0" w:type="dxa"/>
              <w:bottom w:w="0" w:type="dxa"/>
              <w:right w:w="0" w:type="dxa"/>
            </w:tcMar>
            <w:vAlign w:val="center"/>
          </w:tcPr>
          <w:p>
            <w:pPr>
              <w:pStyle w:val="Normal"/>
              <w:bidi w:val="0"/>
              <w:jc w:val="left"/>
              <w:rPr/>
            </w:pPr>
            <w:r>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u w:val="single"/>
              </w:rPr>
            </w:pPr>
            <w:r>
              <w:rPr>
                <w:rFonts w:ascii="Roboto;sans-serif" w:hAnsi="Roboto;sans-serif"/>
                <w:b w:val="false"/>
                <w:color w:val="000000"/>
                <w:sz w:val="20"/>
                <w:u w:val="single"/>
              </w:rPr>
              <w:t>/s/ John F. Milligan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Chairman of the Board of Directors</w:t>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February 25, 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John F. Milligan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u w:val="single"/>
              </w:rPr>
            </w:pPr>
            <w:r>
              <w:rPr>
                <w:rFonts w:ascii="Roboto;sans-serif" w:hAnsi="Roboto;sans-serif"/>
                <w:b w:val="false"/>
                <w:color w:val="000000"/>
                <w:sz w:val="20"/>
                <w:u w:val="single"/>
              </w:rPr>
              <w:t>/s/ William W. Ericson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Director</w:t>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February 25, 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William W. Ericson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u w:val="single"/>
              </w:rPr>
            </w:pPr>
            <w:r>
              <w:rPr>
                <w:rFonts w:ascii="Roboto;sans-serif" w:hAnsi="Roboto;sans-serif"/>
                <w:b w:val="false"/>
                <w:color w:val="000000"/>
                <w:sz w:val="20"/>
                <w:u w:val="single"/>
              </w:rPr>
              <w:t>/s/ Randall S. Livingston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Director</w:t>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February 25, 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Randall S. Livingston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u w:val="single"/>
              </w:rPr>
            </w:pPr>
            <w:r>
              <w:rPr>
                <w:rFonts w:ascii="Roboto;sans-serif" w:hAnsi="Roboto;sans-serif"/>
                <w:b w:val="false"/>
                <w:color w:val="000000"/>
                <w:sz w:val="20"/>
                <w:u w:val="single"/>
              </w:rPr>
              <w:t>/s/ Marshall L. Mohr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Director</w:t>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February 25, 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Marshall L. Mohr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u w:val="single"/>
              </w:rPr>
            </w:pPr>
            <w:r>
              <w:rPr>
                <w:rFonts w:ascii="Roboto;sans-serif" w:hAnsi="Roboto;sans-serif"/>
                <w:b w:val="false"/>
                <w:color w:val="000000"/>
                <w:sz w:val="20"/>
                <w:u w:val="single"/>
              </w:rPr>
              <w:t>/s/ Kathy Ordoñez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Director</w:t>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February 25, 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Kathy Ordoñez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u w:val="single"/>
              </w:rPr>
            </w:pPr>
            <w:r>
              <w:rPr>
                <w:rFonts w:ascii="Roboto;sans-serif" w:hAnsi="Roboto;sans-serif"/>
                <w:b w:val="false"/>
                <w:color w:val="000000"/>
                <w:sz w:val="20"/>
                <w:u w:val="single"/>
              </w:rPr>
              <w:t>/s/ Lucy Shapiro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Director</w:t>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February 25, 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Lucy Shapiro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u w:val="single"/>
              </w:rPr>
            </w:pPr>
            <w:r>
              <w:rPr>
                <w:rFonts w:ascii="Roboto;sans-serif" w:hAnsi="Roboto;sans-serif"/>
                <w:b w:val="false"/>
                <w:color w:val="000000"/>
                <w:sz w:val="20"/>
                <w:u w:val="single"/>
              </w:rPr>
              <w:t>/s/ Christopher M.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Director</w:t>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February 25, 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Christopher M.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u w:val="single"/>
              </w:rPr>
            </w:pPr>
            <w:r>
              <w:rPr>
                <w:rFonts w:ascii="Roboto;sans-serif" w:hAnsi="Roboto;sans-serif"/>
                <w:b w:val="false"/>
                <w:color w:val="000000"/>
                <w:sz w:val="20"/>
                <w:u w:val="single"/>
              </w:rPr>
              <w:t>/s/ Hannah A. Valantine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Director</w:t>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February 25, 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Hannah A. Valantine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12520"/>
                <wp:effectExtent l="0" t="0" r="0" b="0"/>
                <wp:wrapNone/>
                <wp:docPr id="399" name="Frame13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0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37" descr=""/>
                                                <pic:cNvPicPr>
                                                  <a:picLocks noChangeAspect="1" noChangeArrowheads="1"/>
                                                </pic:cNvPicPr>
                                              </pic:nvPicPr>
                                              <pic:blipFill>
                                                <a:blip r:embed="rId312"/>
                                                <a:stretch>
                                                  <a:fillRect/>
                                                </a:stretch>
                                              </pic:blipFill>
                                              <pic:spPr bwMode="auto">
                                                <a:xfrm>
                                                  <a:off x="0" y="0"/>
                                                  <a:ext cx="457200" cy="95250"/>
                                                </a:xfrm>
                                                <a:prstGeom prst="rect">
                                                  <a:avLst/>
                                                </a:prstGeom>
                                              </pic:spPr>
                                            </pic:pic>
                                          </a:graphicData>
                                        </a:graphic>
                                      </wp:inline>
                                    </w:drawing>
                                  </w:r>
                                  <w:bookmarkStart w:id="271" w:name="i-137"/>
                                  <w:bookmarkEnd w:id="271"/>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24" w:type="dxa"/>
                        <w:jc w:val="left"/>
                        <w:tblInd w:w="0" w:type="dxa"/>
                        <w:tblLayout w:type="fixed"/>
                        <w:tblCellMar>
                          <w:top w:w="28" w:type="dxa"/>
                          <w:left w:w="28" w:type="dxa"/>
                          <w:bottom w:w="28" w:type="dxa"/>
                          <w:right w:w="28" w:type="dxa"/>
                        </w:tblCellMar>
                      </w:tblPr>
                      <w:tblGrid>
                        <w:gridCol w:w="297"/>
                        <w:gridCol w:w="261"/>
                        <w:gridCol w:w="263"/>
                        <w:gridCol w:w="754"/>
                        <w:gridCol w:w="754"/>
                        <w:gridCol w:w="757"/>
                        <w:gridCol w:w="109"/>
                        <w:gridCol w:w="109"/>
                        <w:gridCol w:w="109"/>
                        <w:gridCol w:w="149"/>
                        <w:gridCol w:w="149"/>
                        <w:gridCol w:w="2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0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137" descr=""/>
                                          <pic:cNvPicPr>
                                            <a:picLocks noChangeAspect="1" noChangeArrowheads="1"/>
                                          </pic:cNvPicPr>
                                        </pic:nvPicPr>
                                        <pic:blipFill>
                                          <a:blip r:embed="rId313"/>
                                          <a:stretch>
                                            <a:fillRect/>
                                          </a:stretch>
                                        </pic:blipFill>
                                        <pic:spPr bwMode="auto">
                                          <a:xfrm>
                                            <a:off x="0" y="0"/>
                                            <a:ext cx="457200" cy="95250"/>
                                          </a:xfrm>
                                          <a:prstGeom prst="rect">
                                            <a:avLst/>
                                          </a:prstGeom>
                                        </pic:spPr>
                                      </pic:pic>
                                    </a:graphicData>
                                  </a:graphic>
                                </wp:inline>
                              </w:drawing>
                            </w:r>
                            <w:bookmarkStart w:id="272" w:name="i-137"/>
                            <w:bookmarkEnd w:id="272"/>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DF1995"/>
                                <w:sz w:val="20"/>
                              </w:rPr>
                            </w:pPr>
                            <w:r>
                              <w:rPr>
                                <w:rFonts w:ascii="Roboto;sans-serif" w:hAnsi="Roboto;sans-serif"/>
                                <w:b w:val="false"/>
                                <w:color w:val="DF1995"/>
                                <w:sz w:val="20"/>
                              </w:rPr>
                              <w:t>Fiscal 2025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DF1995"/>
                                <w:sz w:val="20"/>
                              </w:rPr>
                            </w:pPr>
                            <w:r>
                              <w:rPr>
                                <w:rFonts w:ascii="Roboto;sans-serif" w:hAnsi="Roboto;sans-serif"/>
                                <w:b w:val="false"/>
                                <w:color w:val="DF1995"/>
                                <w:sz w:val="20"/>
                              </w:rPr>
                              <w:t>132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4"/>
        </w:rPr>
      </w:pPr>
      <w:r>
        <w:rPr>
          <w:rFonts w:ascii="Times New Roman;serif" w:hAnsi="Times New Roman;serif"/>
          <w:b/>
          <w:color w:val="000000"/>
          <w:sz w:val="24"/>
        </w:rPr>
        <w:t xml:space="preserve">Exhibit 4.2 </w:t>
      </w:r>
    </w:p>
    <w:p>
      <w:pPr>
        <w:pStyle w:val="TextBody"/>
        <w:bidi w:val="0"/>
        <w:spacing w:lineRule="auto" w:line="288" w:before="240" w:after="283"/>
        <w:jc w:val="center"/>
        <w:rPr/>
      </w:pPr>
      <w:r>
        <w:rPr>
          <w:rFonts w:ascii="Times New Roman;serif" w:hAnsi="Times New Roman;serif"/>
          <w:b/>
          <w:color w:val="000000"/>
          <w:sz w:val="24"/>
        </w:rPr>
        <w:t>DESCRIPTION OF THE REGISTRANT’S SECURITIES</w:t>
      </w:r>
      <w:r>
        <w:rPr>
          <w:rFonts w:ascii="Times New Roman;serif" w:hAnsi="Times New Roman;serif"/>
          <w:b w:val="false"/>
          <w:color w:val="000000"/>
          <w:sz w:val="24"/>
        </w:rPr>
        <w:br/>
      </w:r>
      <w:r>
        <w:rPr>
          <w:rFonts w:ascii="Times New Roman;serif" w:hAnsi="Times New Roman;serif"/>
          <w:b/>
          <w:color w:val="000000"/>
          <w:sz w:val="24"/>
        </w:rPr>
        <w:t>REGISTERED PURSUANT TO SECTION 12 OF THE</w:t>
      </w:r>
      <w:r>
        <w:rPr>
          <w:rFonts w:ascii="Times New Roman;serif" w:hAnsi="Times New Roman;serif"/>
          <w:b w:val="false"/>
          <w:color w:val="000000"/>
          <w:sz w:val="24"/>
        </w:rPr>
        <w:br/>
      </w:r>
      <w:r>
        <w:rPr>
          <w:rFonts w:ascii="Times New Roman;serif" w:hAnsi="Times New Roman;serif"/>
          <w:b/>
          <w:color w:val="000000"/>
          <w:sz w:val="24"/>
        </w:rPr>
        <w:t>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DESCRIPTION OF CAPITAL STOCK</w:t>
      </w:r>
    </w:p>
    <w:p>
      <w:pPr>
        <w:pStyle w:val="TextBody"/>
        <w:bidi w:val="0"/>
        <w:spacing w:lineRule="auto" w:line="288" w:before="240" w:after="283"/>
        <w:ind w:left="0" w:right="0" w:firstLine="567"/>
        <w:jc w:val="left"/>
        <w:rPr>
          <w:rFonts w:ascii="Times New Roman;serif" w:hAnsi="Times New Roman;serif"/>
          <w:b w:val="false"/>
          <w:color w:val="000000"/>
          <w:sz w:val="24"/>
        </w:rPr>
      </w:pPr>
      <w:r>
        <w:rPr>
          <w:rFonts w:ascii="Times New Roman;serif" w:hAnsi="Times New Roman;serif"/>
          <w:b w:val="false"/>
          <w:color w:val="000000"/>
          <w:sz w:val="24"/>
        </w:rPr>
        <w:t>The following information describes our common stock and preferred stock, as well as certain provisions of our amended and restated certificate of incorporation (as amended, the “amended and restated certificate of incorporation”) and amended and restated bylaws. This summary does not purport to be complete and is qualified in its entirety by the provisions of our amended and restated certificate of incorporation and amended and restated bylaws, copies of which have been filed as exhibits to this Annual Report on Form 10-K, as well as to the applicable provisions of the Delaware General Corporation Law.</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General</w:t>
      </w:r>
    </w:p>
    <w:p>
      <w:pPr>
        <w:pStyle w:val="TextBody"/>
        <w:bidi w:val="0"/>
        <w:spacing w:lineRule="auto" w:line="288" w:before="240" w:after="283"/>
        <w:ind w:left="0" w:right="0" w:firstLine="567"/>
        <w:jc w:val="left"/>
        <w:rPr>
          <w:rFonts w:ascii="Times New Roman;serif" w:hAnsi="Times New Roman;serif"/>
          <w:b w:val="false"/>
          <w:color w:val="000000"/>
          <w:sz w:val="24"/>
        </w:rPr>
      </w:pPr>
      <w:r>
        <w:rPr>
          <w:rFonts w:ascii="Times New Roman;serif" w:hAnsi="Times New Roman;serif"/>
          <w:b w:val="false"/>
          <w:color w:val="000000"/>
          <w:sz w:val="24"/>
        </w:rPr>
        <w:t xml:space="preserve">Our authorized capital stock consists of 1,000,000,000 shares of common stock with a $0.001 par value per share, and 50,000,000 shares of undesignated preferred stock with a $0.001 par value per share. Our board of directors may establish the rights, powers and preferences of the preferred stock from time to time. </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Common Stock</w:t>
      </w:r>
    </w:p>
    <w:p>
      <w:pPr>
        <w:pStyle w:val="TextBody"/>
        <w:bidi w:val="0"/>
        <w:spacing w:lineRule="auto" w:line="288" w:before="240" w:after="283"/>
        <w:ind w:left="0" w:right="0" w:firstLine="567"/>
        <w:jc w:val="left"/>
        <w:rPr>
          <w:rFonts w:ascii="Times New Roman;serif" w:hAnsi="Times New Roman;serif"/>
          <w:b w:val="false"/>
          <w:color w:val="000000"/>
          <w:sz w:val="24"/>
        </w:rPr>
      </w:pPr>
      <w:r>
        <w:rPr>
          <w:rFonts w:ascii="Times New Roman;serif" w:hAnsi="Times New Roman;serif"/>
          <w:b w:val="false"/>
          <w:color w:val="000000"/>
          <w:sz w:val="24"/>
        </w:rPr>
        <w:t>Each holder of our common stock is entitled to one vote for each share on each matter properly submitted to stockholders on which the holders of common stock are entitled to vote. Subject to any preferential rights of any outstanding preferred stock, holders of our common stock are entitled to receive ratably the dividends and other distributions, if any, as may be declared from time to time by the board of directors out of any assets or funds legally available therefor. We have never declared or paid any cash dividend on our capital stock and do not anticipate paying any cash dividends in the foreseeable future. In the event of our liquidation, dissolution or winding up, holders of our common stock are entitled to share ratably in our assets remaining after the payment of liabilities and any preferential rights of any outstanding preferred stock.</w:t>
      </w:r>
    </w:p>
    <w:p>
      <w:pPr>
        <w:pStyle w:val="TextBody"/>
        <w:bidi w:val="0"/>
        <w:spacing w:lineRule="auto" w:line="288" w:before="240" w:after="283"/>
        <w:ind w:left="0" w:right="0" w:firstLine="567"/>
        <w:jc w:val="left"/>
        <w:rPr>
          <w:rFonts w:ascii="Times New Roman;serif" w:hAnsi="Times New Roman;serif"/>
          <w:b w:val="false"/>
          <w:color w:val="000000"/>
          <w:sz w:val="24"/>
        </w:rPr>
      </w:pPr>
      <w:r>
        <w:rPr>
          <w:rFonts w:ascii="Times New Roman;serif" w:hAnsi="Times New Roman;serif"/>
          <w:b w:val="false"/>
          <w:color w:val="000000"/>
          <w:sz w:val="24"/>
        </w:rPr>
        <w:t>Holders of our common stock have no preemptive or conversion rights or other subscription rights, and there are no redemption or sinking fund provisions applicable to the common stock. The outstanding shares of common stock are fully paid and non-assessable. The rights and powers of the holders of our common stock are subject to, and may be adversely affected by, the rights, powers and preferences of the holders of shares of any series of preferred stock that we may designate and issue in the future.</w:t>
      </w:r>
    </w:p>
    <w:p>
      <w:pPr>
        <w:pStyle w:val="TextBody"/>
        <w:bidi w:val="0"/>
        <w:spacing w:lineRule="auto" w:line="288" w:before="240" w:after="283"/>
        <w:ind w:left="0" w:right="0" w:firstLine="567"/>
        <w:jc w:val="left"/>
        <w:rPr>
          <w:rFonts w:ascii="Times New Roman;serif" w:hAnsi="Times New Roman;serif"/>
          <w:b w:val="false"/>
          <w:color w:val="000000"/>
          <w:sz w:val="24"/>
        </w:rPr>
      </w:pPr>
      <w:r>
        <w:rPr>
          <w:rFonts w:ascii="Times New Roman;serif" w:hAnsi="Times New Roman;serif"/>
          <w:b w:val="false"/>
          <w:color w:val="000000"/>
          <w:sz w:val="24"/>
        </w:rPr>
        <w:t xml:space="preserve">Our common stock is listed on the NASDAQ Global Select Market under the symbol “PACB.” The transfer agent and registrar for the common stock is Computershare Trust Company, N.A.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402"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Preferred Stock</w:t>
      </w:r>
    </w:p>
    <w:p>
      <w:pPr>
        <w:pStyle w:val="TextBody"/>
        <w:bidi w:val="0"/>
        <w:spacing w:lineRule="auto" w:line="288" w:before="240" w:after="283"/>
        <w:ind w:left="0" w:right="0" w:firstLine="567"/>
        <w:jc w:val="left"/>
        <w:rPr>
          <w:rFonts w:ascii="Times New Roman;serif" w:hAnsi="Times New Roman;serif"/>
          <w:b w:val="false"/>
          <w:color w:val="000000"/>
          <w:sz w:val="24"/>
        </w:rPr>
      </w:pPr>
      <w:r>
        <w:rPr>
          <w:rFonts w:ascii="Times New Roman;serif" w:hAnsi="Times New Roman;serif"/>
          <w:b w:val="false"/>
          <w:color w:val="000000"/>
          <w:sz w:val="24"/>
        </w:rPr>
        <w:t>Under the terms of our amended and restated certificate of incorporation, our board of directors is authorized to issue shares of preferred stock in one or more series without stockholder approval. Our board of directors has the discretion to determine the rights, powers, preferences and restrictions, including voting rights, dividend rights, conversion rights, redemption privileges and liquidation preferences, of each series of preferred stock. Subject to limitations under applicable law, there are no restrictions presently on the repurchase or redemption of any shares of our preferred stock.</w:t>
      </w:r>
    </w:p>
    <w:p>
      <w:pPr>
        <w:pStyle w:val="TextBody"/>
        <w:bidi w:val="0"/>
        <w:spacing w:lineRule="auto" w:line="288" w:before="240" w:after="283"/>
        <w:ind w:left="0" w:right="0" w:firstLine="567"/>
        <w:jc w:val="left"/>
        <w:rPr>
          <w:rFonts w:ascii="Times New Roman;serif" w:hAnsi="Times New Roman;serif"/>
          <w:b w:val="false"/>
          <w:color w:val="000000"/>
          <w:sz w:val="24"/>
        </w:rPr>
      </w:pPr>
      <w:r>
        <w:rPr>
          <w:rFonts w:ascii="Times New Roman;serif" w:hAnsi="Times New Roman;serif"/>
          <w:b w:val="false"/>
          <w:color w:val="000000"/>
          <w:sz w:val="24"/>
        </w:rPr>
        <w:t>The issuance of shares of preferred stock will affect, and may adversely affect, the rights of holders of common stock. It is not possible to state the actual effect of the issuance of any shares of preferred stock on the rights of holders of common stock until our board of directors determines the specific rights attached to that preferred stock. The effects of issuing additional preferred stock could include one or more of the following:</w:t>
      </w:r>
    </w:p>
    <w:p>
      <w:pPr>
        <w:pStyle w:val="TextBody"/>
        <w:bidi w:val="0"/>
        <w:spacing w:lineRule="auto" w:line="288" w:before="240" w:after="283"/>
        <w:ind w:left="0" w:right="0" w:hanging="567"/>
        <w:jc w:val="left"/>
        <w:rPr/>
      </w:pPr>
      <w:r>
        <w:rPr>
          <w:color w:val="000000"/>
        </w:rPr>
        <w:t>•</w:t>
      </w:r>
      <w:r>
        <w:rPr>
          <w:rFonts w:ascii="Times New Roman;serif" w:hAnsi="Times New Roman;serif"/>
          <w:b w:val="false"/>
          <w:color w:val="000000"/>
          <w:sz w:val="24"/>
        </w:rPr>
        <w:t>restricting dividends on the common stock;</w:t>
      </w:r>
    </w:p>
    <w:p>
      <w:pPr>
        <w:pStyle w:val="TextBody"/>
        <w:bidi w:val="0"/>
        <w:spacing w:lineRule="auto" w:line="288" w:before="240" w:after="283"/>
        <w:ind w:left="0" w:right="0" w:hanging="567"/>
        <w:jc w:val="left"/>
        <w:rPr/>
      </w:pPr>
      <w:r>
        <w:rPr>
          <w:color w:val="000000"/>
        </w:rPr>
        <w:t>•</w:t>
      </w:r>
      <w:r>
        <w:rPr>
          <w:rFonts w:ascii="Times New Roman;serif" w:hAnsi="Times New Roman;serif"/>
          <w:b w:val="false"/>
          <w:color w:val="000000"/>
          <w:sz w:val="24"/>
        </w:rPr>
        <w:t>diluting the voting power of the common stock;</w:t>
      </w:r>
    </w:p>
    <w:p>
      <w:pPr>
        <w:pStyle w:val="TextBody"/>
        <w:bidi w:val="0"/>
        <w:spacing w:lineRule="auto" w:line="288" w:before="240" w:after="283"/>
        <w:ind w:left="0" w:right="0" w:hanging="567"/>
        <w:jc w:val="left"/>
        <w:rPr/>
      </w:pPr>
      <w:r>
        <w:rPr>
          <w:color w:val="000000"/>
        </w:rPr>
        <w:t>•</w:t>
      </w:r>
      <w:r>
        <w:rPr>
          <w:rFonts w:ascii="Times New Roman;serif" w:hAnsi="Times New Roman;serif"/>
          <w:b w:val="false"/>
          <w:color w:val="000000"/>
          <w:sz w:val="24"/>
        </w:rPr>
        <w:t>impairing the liquidation rights of the common stock; or</w:t>
      </w:r>
    </w:p>
    <w:p>
      <w:pPr>
        <w:pStyle w:val="TextBody"/>
        <w:bidi w:val="0"/>
        <w:spacing w:lineRule="auto" w:line="288" w:before="240" w:after="283"/>
        <w:ind w:left="0" w:right="0" w:hanging="567"/>
        <w:jc w:val="left"/>
        <w:rPr/>
      </w:pPr>
      <w:r>
        <w:rPr>
          <w:color w:val="000000"/>
        </w:rPr>
        <w:t>•</w:t>
      </w:r>
      <w:r>
        <w:rPr>
          <w:rFonts w:ascii="Times New Roman;serif" w:hAnsi="Times New Roman;serif"/>
          <w:b w:val="false"/>
          <w:color w:val="000000"/>
          <w:sz w:val="24"/>
        </w:rPr>
        <w:t>delaying or preventing changes in control or management of our company.</w:t>
      </w:r>
    </w:p>
    <w:p>
      <w:pPr>
        <w:pStyle w:val="TextBody"/>
        <w:bidi w:val="0"/>
        <w:spacing w:lineRule="auto" w:line="288" w:before="240" w:after="283"/>
        <w:ind w:left="0" w:right="0" w:firstLine="567"/>
        <w:jc w:val="left"/>
        <w:rPr>
          <w:rFonts w:ascii="Times New Roman;serif" w:hAnsi="Times New Roman;serif"/>
          <w:b w:val="false"/>
          <w:color w:val="000000"/>
          <w:sz w:val="24"/>
        </w:rPr>
      </w:pPr>
      <w:r>
        <w:rPr>
          <w:rFonts w:ascii="Times New Roman;serif" w:hAnsi="Times New Roman;serif"/>
          <w:b w:val="false"/>
          <w:color w:val="000000"/>
          <w:sz w:val="24"/>
        </w:rPr>
        <w:t>Preferred stock will be fully paid and nonassessable upon issuance.</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Effect of Certain Provisions of our Amended and Restated Certificate of Incorporation and Amended and Restated Bylaws and the Delaware Anti-Takeover Statute</w:t>
      </w:r>
    </w:p>
    <w:p>
      <w:pPr>
        <w:pStyle w:val="TextBody"/>
        <w:bidi w:val="0"/>
        <w:spacing w:lineRule="auto" w:line="288" w:before="240" w:after="283"/>
        <w:ind w:left="0" w:right="0" w:firstLine="567"/>
        <w:jc w:val="left"/>
        <w:rPr>
          <w:rFonts w:ascii="Times New Roman;serif" w:hAnsi="Times New Roman;serif"/>
          <w:b w:val="false"/>
          <w:color w:val="000000"/>
          <w:sz w:val="24"/>
        </w:rPr>
      </w:pPr>
      <w:r>
        <w:rPr>
          <w:rFonts w:ascii="Times New Roman;serif" w:hAnsi="Times New Roman;serif"/>
          <w:b w:val="false"/>
          <w:color w:val="000000"/>
          <w:sz w:val="24"/>
        </w:rPr>
        <w:t>Some provisions of Delaware law and our amended and restated certificate of incorporation and amended and restated bylaws contain provisions that could make the following transactions more difficult:</w:t>
      </w:r>
    </w:p>
    <w:p>
      <w:pPr>
        <w:pStyle w:val="TextBody"/>
        <w:bidi w:val="0"/>
        <w:spacing w:lineRule="auto" w:line="288" w:before="240" w:after="283"/>
        <w:ind w:left="0" w:right="0" w:hanging="567"/>
        <w:jc w:val="left"/>
        <w:rPr/>
      </w:pPr>
      <w:r>
        <w:rPr>
          <w:color w:val="000000"/>
        </w:rPr>
        <w:t>•</w:t>
      </w:r>
      <w:r>
        <w:rPr>
          <w:rFonts w:ascii="Times New Roman;serif" w:hAnsi="Times New Roman;serif"/>
          <w:b w:val="false"/>
          <w:color w:val="000000"/>
          <w:sz w:val="24"/>
        </w:rPr>
        <w:t>acquisition of us by means of a tender offer;</w:t>
      </w:r>
    </w:p>
    <w:p>
      <w:pPr>
        <w:pStyle w:val="TextBody"/>
        <w:bidi w:val="0"/>
        <w:spacing w:lineRule="auto" w:line="288" w:before="240" w:after="283"/>
        <w:ind w:left="0" w:right="0" w:hanging="567"/>
        <w:jc w:val="left"/>
        <w:rPr/>
      </w:pPr>
      <w:r>
        <w:rPr>
          <w:color w:val="000000"/>
        </w:rPr>
        <w:t>•</w:t>
      </w:r>
      <w:r>
        <w:rPr>
          <w:rFonts w:ascii="Times New Roman;serif" w:hAnsi="Times New Roman;serif"/>
          <w:b w:val="false"/>
          <w:color w:val="000000"/>
          <w:sz w:val="24"/>
        </w:rPr>
        <w:t>acquisition of us by means of a proxy contest or otherwise; or</w:t>
      </w:r>
    </w:p>
    <w:p>
      <w:pPr>
        <w:pStyle w:val="TextBody"/>
        <w:bidi w:val="0"/>
        <w:spacing w:lineRule="auto" w:line="288" w:before="240" w:after="283"/>
        <w:ind w:left="0" w:right="0" w:hanging="567"/>
        <w:jc w:val="left"/>
        <w:rPr/>
      </w:pPr>
      <w:r>
        <w:rPr>
          <w:color w:val="000000"/>
        </w:rPr>
        <w:t>•</w:t>
      </w:r>
      <w:r>
        <w:rPr>
          <w:rFonts w:ascii="Times New Roman;serif" w:hAnsi="Times New Roman;serif"/>
          <w:b w:val="false"/>
          <w:color w:val="000000"/>
          <w:sz w:val="24"/>
        </w:rPr>
        <w:t>removal of our incumbent officers and directors.</w:t>
      </w:r>
    </w:p>
    <w:p>
      <w:pPr>
        <w:pStyle w:val="TextBody"/>
        <w:bidi w:val="0"/>
        <w:spacing w:lineRule="auto" w:line="288" w:before="240" w:after="283"/>
        <w:ind w:left="0" w:right="0" w:firstLine="567"/>
        <w:jc w:val="left"/>
        <w:rPr>
          <w:rFonts w:ascii="Times New Roman;serif" w:hAnsi="Times New Roman;serif"/>
          <w:b w:val="false"/>
          <w:color w:val="000000"/>
          <w:sz w:val="24"/>
        </w:rPr>
      </w:pPr>
      <w:r>
        <w:rPr>
          <w:rFonts w:ascii="Times New Roman;serif" w:hAnsi="Times New Roman;serif"/>
          <w:b w:val="false"/>
          <w:color w:val="000000"/>
          <w:sz w:val="24"/>
        </w:rPr>
        <w:t>Those provisions, summarized below, are expected to discourage coercive takeover practices and inadequate takeover bids and to promote stability in our management. These provisions are also designed to encourage persons seeking to acquire control of us to first negotiate with our board of directors.</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Amended and Restated Certificate of Incorporation and Amended and Restated Bylaws</w:t>
      </w:r>
    </w:p>
    <w:p>
      <w:pPr>
        <w:pStyle w:val="TextBody"/>
        <w:bidi w:val="0"/>
        <w:spacing w:lineRule="auto" w:line="288" w:before="120" w:after="283"/>
        <w:ind w:left="0" w:right="0" w:firstLine="567"/>
        <w:jc w:val="left"/>
        <w:rPr>
          <w:rFonts w:ascii="Times New Roman;serif" w:hAnsi="Times New Roman;serif"/>
          <w:b w:val="false"/>
          <w:color w:val="000000"/>
          <w:sz w:val="24"/>
        </w:rPr>
      </w:pPr>
      <w:r>
        <w:rPr>
          <w:rFonts w:ascii="Times New Roman;serif" w:hAnsi="Times New Roman;serif"/>
          <w:b w:val="false"/>
          <w:color w:val="000000"/>
          <w:sz w:val="24"/>
        </w:rPr>
        <w:t>Our amended and restated certificate of incorporation and our amended and restated bylaws provide for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403"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240" w:after="283"/>
        <w:ind w:left="0" w:right="0" w:hanging="567"/>
        <w:jc w:val="left"/>
        <w:rPr/>
      </w:pPr>
      <w:r>
        <w:rPr>
          <w:color w:val="000000"/>
        </w:rPr>
        <w:t>•</w:t>
      </w:r>
      <w:r>
        <w:rPr>
          <w:rFonts w:ascii="Times New Roman;serif" w:hAnsi="Times New Roman;serif"/>
          <w:b w:val="false"/>
          <w:i/>
          <w:color w:val="000000"/>
          <w:sz w:val="24"/>
        </w:rPr>
        <w:t>Undesignated Preferred Stock</w:t>
      </w:r>
      <w:r>
        <w:rPr>
          <w:rFonts w:ascii="Times New Roman;serif" w:hAnsi="Times New Roman;serif"/>
          <w:b w:val="false"/>
          <w:color w:val="000000"/>
          <w:sz w:val="24"/>
        </w:rPr>
        <w:t>. Our board of directors may issue one or more series of preferred stock with voting or other rights, powers or preferences that could impede the success of any attempt to change control of our company. These and other provisions may have the effect of deterring hostile takeovers or delaying changes in control or management of our company.</w:t>
      </w:r>
    </w:p>
    <w:p>
      <w:pPr>
        <w:pStyle w:val="TextBody"/>
        <w:bidi w:val="0"/>
        <w:spacing w:lineRule="auto" w:line="288" w:before="240" w:after="283"/>
        <w:ind w:left="0" w:right="0" w:hanging="567"/>
        <w:jc w:val="left"/>
        <w:rPr/>
      </w:pPr>
      <w:r>
        <w:rPr>
          <w:color w:val="000000"/>
        </w:rPr>
        <w:t>•</w:t>
      </w:r>
      <w:r>
        <w:rPr>
          <w:rFonts w:ascii="Times New Roman;serif" w:hAnsi="Times New Roman;serif"/>
          <w:b w:val="false"/>
          <w:i/>
          <w:color w:val="000000"/>
          <w:sz w:val="24"/>
        </w:rPr>
        <w:t>Stockholder Special Meetings</w:t>
      </w:r>
      <w:r>
        <w:rPr>
          <w:rFonts w:ascii="Times New Roman;serif" w:hAnsi="Times New Roman;serif"/>
          <w:b w:val="false"/>
          <w:color w:val="000000"/>
          <w:sz w:val="24"/>
        </w:rPr>
        <w:t>. Our amended and restated certificate of incorporation and amended and restated bylaws provide that in general a special meeting of stockholders may be called only by our board of directors, its chairperson, our chief executive officer or our president (in the absence of a chief executive officer).</w:t>
      </w:r>
    </w:p>
    <w:p>
      <w:pPr>
        <w:pStyle w:val="TextBody"/>
        <w:bidi w:val="0"/>
        <w:spacing w:lineRule="auto" w:line="288" w:before="240" w:after="283"/>
        <w:ind w:left="0" w:right="0" w:hanging="567"/>
        <w:jc w:val="left"/>
        <w:rPr/>
      </w:pPr>
      <w:r>
        <w:rPr>
          <w:color w:val="000000"/>
        </w:rPr>
        <w:t>•</w:t>
      </w:r>
      <w:r>
        <w:rPr>
          <w:rFonts w:ascii="Times New Roman;serif" w:hAnsi="Times New Roman;serif"/>
          <w:b w:val="false"/>
          <w:i/>
          <w:color w:val="000000"/>
          <w:sz w:val="24"/>
        </w:rPr>
        <w:t>Requirements for Advance Notification of Stockholder Nominations and Proposals</w:t>
      </w:r>
      <w:r>
        <w:rPr>
          <w:rFonts w:ascii="Times New Roman;serif" w:hAnsi="Times New Roman;serif"/>
          <w:b w:val="false"/>
          <w:color w:val="000000"/>
          <w:sz w:val="24"/>
        </w:rPr>
        <w:t>. Our amended and restated bylaws establish advance notice procedures with respect to stockholder proposals and the nomination by stockholders of candidates for election as directors.</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i/>
          <w:color w:val="000000"/>
          <w:sz w:val="24"/>
        </w:rPr>
        <w:t>Board Classification</w:t>
      </w:r>
      <w:r>
        <w:rPr>
          <w:rFonts w:ascii="Times New Roman;serif" w:hAnsi="Times New Roman;serif"/>
          <w:b w:val="false"/>
          <w:color w:val="000000"/>
          <w:sz w:val="24"/>
        </w:rPr>
        <w:t xml:space="preserve">. Our board of directors is divided into three classes, designated Class I, Class II and Class III. The directors in each class have been elected to serve for a three-year term, one class being elected each year by our stockholders. At our annual meeting of stockholders held in 2025 (the “2025 Annual Meeting”), the successors of the Class III directors whose terms expire at the 2025 Annual Meeting will each be elected for a term expiring at our annual meeting of stockholders held in 2026 (the “2026 Annual Meeting”). At the 2026 Annual Meeting, the successors of the directors whose terms expire at the 2026 Annual Meeting (including the Class I directors and the successors of the directors elected at the 2025 Annual Meeting) will each be elected for a term expiring at our annual meeting of stockholders held in 2027 (the “2027 Annual Meeting”). At the 2027 Annual Meeting and at all annual meetings thereafter, all directors will be elected for terms expiring at the next annual meeting of stockholders. While our classified board structure will be phased out so that our board of directors will be fully declassified by the 2027 Annual Meeting, this system of electing directors may tend to discourage a third party from making a tender offer or otherwise attempting to obtain control of us, because it generally makes it more difficult for stockholders to replace a majority of the directors. </w:t>
      </w:r>
    </w:p>
    <w:p>
      <w:pPr>
        <w:pStyle w:val="TextBody"/>
        <w:bidi w:val="0"/>
        <w:spacing w:lineRule="auto" w:line="288" w:before="240" w:after="283"/>
        <w:ind w:left="0" w:right="0" w:hanging="567"/>
        <w:jc w:val="left"/>
        <w:rPr/>
      </w:pPr>
      <w:r>
        <w:rPr>
          <w:color w:val="000000"/>
        </w:rPr>
        <w:t>•</w:t>
      </w:r>
      <w:r>
        <w:rPr>
          <w:rFonts w:ascii="Times New Roman;serif" w:hAnsi="Times New Roman;serif"/>
          <w:b w:val="false"/>
          <w:i/>
          <w:color w:val="000000"/>
          <w:sz w:val="24"/>
        </w:rPr>
        <w:t>Limits on Ability of Stockholders to Act by Written Consent</w:t>
      </w:r>
      <w:r>
        <w:rPr>
          <w:rFonts w:ascii="Times New Roman;serif" w:hAnsi="Times New Roman;serif"/>
          <w:b w:val="false"/>
          <w:color w:val="000000"/>
          <w:sz w:val="24"/>
        </w:rPr>
        <w:t>. We have provided in our amended and restated certificate of incorporation and our amended and restated bylaws that, except as otherwise expressly provided by the terms of any series of preferred stock permitting the holders of such series of preferred stock to act by written consent, our stockholders may not act by written consent. This limit on the ability of our stockholders to act by written consent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certificate of incorporation and amended and restated bylaws.</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404"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240" w:after="283"/>
        <w:ind w:left="0" w:right="0" w:hanging="567"/>
        <w:jc w:val="left"/>
        <w:rPr/>
      </w:pPr>
      <w:r>
        <w:rPr>
          <w:color w:val="000000"/>
        </w:rPr>
        <w:t>•</w:t>
      </w:r>
      <w:r>
        <w:rPr>
          <w:rFonts w:ascii="Times New Roman;serif" w:hAnsi="Times New Roman;serif"/>
          <w:b w:val="false"/>
          <w:i/>
          <w:color w:val="000000"/>
          <w:sz w:val="24"/>
        </w:rPr>
        <w:t>Election and Removal of Directors</w:t>
      </w:r>
      <w:r>
        <w:rPr>
          <w:rFonts w:ascii="Times New Roman;serif" w:hAnsi="Times New Roman;serif"/>
          <w:b w:val="false"/>
          <w:color w:val="000000"/>
          <w:sz w:val="24"/>
        </w:rPr>
        <w:t xml:space="preserve">. Our amended and restated certificate of incorporation and amended and restated bylaws contain provisions that establish specific procedures for appointing and removing members of our board of directors. Under our amended and restated certificate of incorporation and amended and restated bylaws, subject to the rights of holders of any series of preferred stock with respect to the election of directors, and except as otherwise provided by resolution of our board of directors, vacancies and newly created directorships resulting from an increase in the authorized number of directors elected by all of the stockholders having the right to vote as a single class may be filled only by the affirmative vote of a majority of the directors then serving on the board of directors. Under our amended and restated certificate of incorporation and amended and restated bylaws, and subject to the rights of holders of any series of preferred stock with respect to the election of directors, directors may be removed from office in the manner provided in Section 141(k) of the Delaware General Corporation Law. </w:t>
      </w:r>
    </w:p>
    <w:p>
      <w:pPr>
        <w:pStyle w:val="TextBody"/>
        <w:bidi w:val="0"/>
        <w:spacing w:lineRule="auto" w:line="288" w:before="240" w:after="283"/>
        <w:ind w:left="0" w:right="0" w:hanging="567"/>
        <w:jc w:val="left"/>
        <w:rPr/>
      </w:pPr>
      <w:r>
        <w:rPr>
          <w:color w:val="000000"/>
        </w:rPr>
        <w:t>•</w:t>
      </w:r>
      <w:r>
        <w:rPr>
          <w:rFonts w:ascii="Times New Roman;serif" w:hAnsi="Times New Roman;serif"/>
          <w:b w:val="false"/>
          <w:i/>
          <w:color w:val="000000"/>
          <w:sz w:val="24"/>
        </w:rPr>
        <w:t>No Cumulative Voting</w:t>
      </w:r>
      <w:r>
        <w:rPr>
          <w:rFonts w:ascii="Times New Roman;serif" w:hAnsi="Times New Roman;serif"/>
          <w:b w:val="false"/>
          <w:color w:val="000000"/>
          <w:sz w:val="24"/>
        </w:rPr>
        <w:t>. The Delaware General Corporation Law provides that stockholders are not entitled to the right to cumulate votes in the election of directors unless our amended and restated certificate of incorporation provides otherwise. Our amended and restated certificate of incorporation and amended and restated bylaws do not expressly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Delaware Anti-Takeover Statute</w:t>
      </w:r>
    </w:p>
    <w:p>
      <w:pPr>
        <w:pStyle w:val="TextBody"/>
        <w:bidi w:val="0"/>
        <w:spacing w:lineRule="auto" w:line="288" w:before="120" w:after="283"/>
        <w:ind w:left="0" w:right="0" w:firstLine="567"/>
        <w:jc w:val="left"/>
        <w:rPr>
          <w:rFonts w:ascii="Times New Roman;serif" w:hAnsi="Times New Roman;serif"/>
          <w:b w:val="false"/>
          <w:color w:val="000000"/>
          <w:sz w:val="24"/>
        </w:rPr>
      </w:pPr>
      <w:r>
        <w:rPr>
          <w:rFonts w:ascii="Times New Roman;serif" w:hAnsi="Times New Roman;serif"/>
          <w:b w:val="false"/>
          <w:color w:val="000000"/>
          <w:sz w:val="24"/>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pStyle w:val="TextBody"/>
        <w:bidi w:val="0"/>
        <w:spacing w:lineRule="auto" w:line="288" w:before="120" w:after="283"/>
        <w:ind w:left="0" w:right="0" w:hanging="567"/>
        <w:jc w:val="left"/>
        <w:rPr/>
      </w:pPr>
      <w:r>
        <w:rPr>
          <w:color w:val="000000"/>
        </w:rPr>
        <w:t>•</w:t>
      </w:r>
      <w:r>
        <w:rPr>
          <w:rFonts w:ascii="Times New Roman;serif" w:hAnsi="Times New Roman;serif"/>
          <w:b w:val="false"/>
          <w:color w:val="000000"/>
          <w:sz w:val="24"/>
        </w:rPr>
        <w:t>prior to the date of the transaction, the board of directors of the corporation approved either the business combination or the transaction which resulted in the stockholder becoming an interested stockholder;</w:t>
      </w:r>
    </w:p>
    <w:p>
      <w:pPr>
        <w:pStyle w:val="TextBody"/>
        <w:bidi w:val="0"/>
        <w:spacing w:lineRule="auto" w:line="288" w:before="120" w:after="283"/>
        <w:ind w:left="0" w:right="0" w:hanging="567"/>
        <w:jc w:val="left"/>
        <w:rPr/>
      </w:pPr>
      <w:r>
        <w:rPr>
          <w:color w:val="000000"/>
        </w:rPr>
        <w:t>•</w:t>
      </w:r>
      <w:r>
        <w:rPr>
          <w:rFonts w:ascii="Times New Roman;serif" w:hAnsi="Times New Roman;serif"/>
          <w:b w:val="false"/>
          <w:color w:val="000000"/>
          <w:sz w:val="24"/>
        </w:rPr>
        <w:t xml:space="preserve">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405"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240" w:after="283"/>
        <w:ind w:left="0" w:right="0" w:hanging="567"/>
        <w:jc w:val="left"/>
        <w:rPr/>
      </w:pPr>
      <w:r>
        <w:rPr>
          <w:color w:val="000000"/>
        </w:rPr>
        <w:t>•</w:t>
      </w:r>
      <w:r>
        <w:rPr>
          <w:rFonts w:ascii="Times New Roman;serif" w:hAnsi="Times New Roman;serif"/>
          <w:b w:val="false"/>
          <w:color w:val="000000"/>
          <w:sz w:val="24"/>
        </w:rPr>
        <w:t>at or subsequent to the date of the transaction, the business combination is approved by the board of directors of the corporation and authorized at an annual or special meeting of stockholders, and not by written consent, by the affirmative vote of at least 66-2/3% of the outstanding voting stock which is not owned by the interested stockholder.</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Generally, a business combination includes a merger, asset or stock sale, or other transaction resulting in a financial benefit to the interested stockholder. An interested stockholder is a person who, together with its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attempts that might result in a premium over the market price for the shares of common stock held by stockholders.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10.32</w:t>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406"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PACIFIC BIOSCIENCES OF CALIFORNIA, INC.</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EXECUTIVE INCENTIVE COMPENSATION PLAN</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(Adopted February [__], 2026)</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4"/>
          <w:u w:val="single"/>
        </w:rPr>
        <w:t>Purposes of the Plan</w:t>
      </w:r>
      <w:r>
        <w:rPr>
          <w:rFonts w:ascii="Times New Roman;serif" w:hAnsi="Times New Roman;serif"/>
          <w:b w:val="false"/>
          <w:color w:val="000000"/>
          <w:sz w:val="24"/>
        </w:rPr>
        <w:t>. The Plan is intended to increase stockholder value and the success of the Company by motivating Employees to (a) perform to the best of their abilities and (b) achieve the Company’s objectives.</w:t>
      </w:r>
    </w:p>
    <w:p>
      <w:pPr>
        <w:pStyle w:val="TextBody"/>
        <w:bidi w:val="0"/>
        <w:spacing w:lineRule="auto" w:line="240" w:before="240" w:after="283"/>
        <w:ind w:left="0" w:right="0" w:firstLine="720"/>
        <w:jc w:val="left"/>
        <w:rPr/>
      </w:pPr>
      <w:r>
        <w:rPr>
          <w:rFonts w:ascii="Times New Roman;serif" w:hAnsi="Times New Roman;serif"/>
          <w:b w:val="false"/>
          <w:color w:val="000000"/>
          <w:sz w:val="22"/>
        </w:rPr>
        <w:t>2.</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2.1</w:t>
      </w:r>
      <w:r>
        <w:rPr>
          <w:color w:val="000000"/>
        </w:rPr>
        <w:t>“</w:t>
      </w:r>
      <w:r>
        <w:rPr>
          <w:rFonts w:ascii="Times New Roman;serif" w:hAnsi="Times New Roman;serif"/>
          <w:b w:val="false"/>
          <w:color w:val="000000"/>
          <w:sz w:val="24"/>
          <w:u w:val="single"/>
        </w:rPr>
        <w:t>Actual Award</w:t>
      </w:r>
      <w:r>
        <w:rPr>
          <w:color w:val="000000"/>
        </w:rPr>
        <w:t xml:space="preserve">” </w:t>
      </w:r>
      <w:r>
        <w:rPr>
          <w:rFonts w:ascii="Times New Roman;serif" w:hAnsi="Times New Roman;serif"/>
          <w:b w:val="false"/>
          <w:color w:val="000000"/>
          <w:sz w:val="24"/>
        </w:rPr>
        <w:t>means as to any Performance Period, the actual award (if any) payable to a Participant for the Performance Period, subject to the authority of the Administrator (as defined in Section 3) under Section 4.4.</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2.2</w:t>
      </w: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any corporation or other entity (including, but not limited to, partnerships and joint ventures) that, from time to time and at the time of any determination, directly or indirectly, is in control of or is controlled by the Company.</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2.3</w:t>
      </w: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2.4</w:t>
      </w:r>
      <w:r>
        <w:rPr>
          <w:color w:val="000000"/>
        </w:rPr>
        <w:t>“</w:t>
      </w:r>
      <w:r>
        <w:rPr>
          <w:rFonts w:ascii="Times New Roman;serif" w:hAnsi="Times New Roman;serif"/>
          <w:b w:val="false"/>
          <w:color w:val="000000"/>
          <w:sz w:val="24"/>
          <w:u w:val="single"/>
        </w:rPr>
        <w:t>Bonus Pool</w:t>
      </w:r>
      <w:r>
        <w:rPr>
          <w:color w:val="000000"/>
        </w:rPr>
        <w:t xml:space="preserve">” </w:t>
      </w:r>
      <w:r>
        <w:rPr>
          <w:rFonts w:ascii="Times New Roman;serif" w:hAnsi="Times New Roman;serif"/>
          <w:b w:val="false"/>
          <w:color w:val="000000"/>
          <w:sz w:val="24"/>
        </w:rPr>
        <w:t>means the pool of funds available for distribution to Participants. Subject to the terms of the Plan, the Administrator establishes the Bonus Pool for each Performance Period.</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2.5</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U.S. Internal Revenue Code of 1986, as amended. Reference to a specific section of the Code or regulation thereunder will include such section or regulation, any valid regulation or formal guidance of general or direct applicability promulgated under such section or regulation, and any comparable provision of any future legislation or regulation amending, supplementing or superseding such section or regulation.</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2.6</w:t>
      </w:r>
      <w:r>
        <w:rPr>
          <w:color w:val="000000"/>
        </w:rPr>
        <w:t>“</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a committee appointed by the Board (pursuant to Section 3) to administer the Plan.</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2.7</w:t>
      </w: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Pacific Biosciences of California, Inc., a Delaware corporation, or any successor thereto.</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2.8</w:t>
      </w:r>
      <w:r>
        <w:rPr>
          <w:color w:val="000000"/>
        </w:rPr>
        <w:t>“</w:t>
      </w:r>
      <w:r>
        <w:rPr>
          <w:rFonts w:ascii="Times New Roman;serif" w:hAnsi="Times New Roman;serif"/>
          <w:b w:val="false"/>
          <w:color w:val="000000"/>
          <w:sz w:val="24"/>
          <w:u w:val="single"/>
        </w:rPr>
        <w:t>Company Group</w:t>
      </w:r>
      <w:r>
        <w:rPr>
          <w:color w:val="000000"/>
        </w:rPr>
        <w:t xml:space="preserve">” </w:t>
      </w:r>
      <w:r>
        <w:rPr>
          <w:rFonts w:ascii="Times New Roman;serif" w:hAnsi="Times New Roman;serif"/>
          <w:b w:val="false"/>
          <w:color w:val="000000"/>
          <w:sz w:val="24"/>
        </w:rPr>
        <w:t>means the Company and any Parents, Subsidiaries, and Affiliates.</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2.9</w:t>
      </w: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a permanent and total disability determined in accordance with uniform and nondiscriminatory standards adopted by the Administrator from time to time.</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2.10</w:t>
      </w:r>
      <w:r>
        <w:rPr>
          <w:color w:val="000000"/>
        </w:rPr>
        <w:t>“</w:t>
      </w:r>
      <w:r>
        <w:rPr>
          <w:rFonts w:ascii="Times New Roman;serif" w:hAnsi="Times New Roman;serif"/>
          <w:b w:val="false"/>
          <w:color w:val="000000"/>
          <w:sz w:val="24"/>
          <w:u w:val="single"/>
        </w:rPr>
        <w:t>Employee</w:t>
      </w:r>
      <w:r>
        <w:rPr>
          <w:color w:val="000000"/>
        </w:rPr>
        <w:t xml:space="preserve">” </w:t>
      </w:r>
      <w:r>
        <w:rPr>
          <w:rFonts w:ascii="Times New Roman;serif" w:hAnsi="Times New Roman;serif"/>
          <w:b w:val="false"/>
          <w:color w:val="000000"/>
          <w:sz w:val="24"/>
        </w:rPr>
        <w:t>means any executive, officer, or other employee of the Company Group, whether such individual is so employed at the time the Plan is adopted or becomes so employed subsequent to the adoption of the Plan.</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327660"/>
                <wp:effectExtent l="0" t="0" r="0" b="0"/>
                <wp:wrapNone/>
                <wp:docPr id="407" name="Frame14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2.11</w:t>
      </w:r>
      <w:r>
        <w:rPr>
          <w:color w:val="000000"/>
        </w:rPr>
        <w:t>“</w:t>
      </w:r>
      <w:r>
        <w:rPr>
          <w:rFonts w:ascii="Times New Roman;serif" w:hAnsi="Times New Roman;serif"/>
          <w:b w:val="false"/>
          <w:color w:val="000000"/>
          <w:sz w:val="24"/>
          <w:u w:val="single"/>
        </w:rPr>
        <w:t>Fiscal Year</w:t>
      </w:r>
      <w:r>
        <w:rPr>
          <w:color w:val="000000"/>
        </w:rPr>
        <w:t xml:space="preserve">” </w:t>
      </w:r>
      <w:r>
        <w:rPr>
          <w:rFonts w:ascii="Times New Roman;serif" w:hAnsi="Times New Roman;serif"/>
          <w:b w:val="false"/>
          <w:color w:val="000000"/>
          <w:sz w:val="24"/>
        </w:rPr>
        <w:t>means the fiscal year of the Company.</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2.12</w:t>
      </w: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 xml:space="preserve">means a “parent corporation,” whether now or hereafter existing, as defined in Code Section 424(e). </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2.13</w:t>
      </w: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as to any Performance Period, an Employee who has been selected by the Administrator for participation in the Plan for that Performance Period.</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2.14</w:t>
      </w:r>
      <w:r>
        <w:rPr>
          <w:color w:val="000000"/>
        </w:rPr>
        <w:t>“</w:t>
      </w:r>
      <w:r>
        <w:rPr>
          <w:rFonts w:ascii="Times New Roman;serif" w:hAnsi="Times New Roman;serif"/>
          <w:b w:val="false"/>
          <w:color w:val="000000"/>
          <w:sz w:val="24"/>
          <w:u w:val="single"/>
        </w:rPr>
        <w:t>Performance Period</w:t>
      </w:r>
      <w:r>
        <w:rPr>
          <w:color w:val="000000"/>
        </w:rPr>
        <w:t xml:space="preserve">” </w:t>
      </w:r>
      <w:r>
        <w:rPr>
          <w:rFonts w:ascii="Times New Roman;serif" w:hAnsi="Times New Roman;serif"/>
          <w:b w:val="false"/>
          <w:color w:val="000000"/>
          <w:sz w:val="24"/>
        </w:rPr>
        <w:t>means the period of time for the measurement of the performance criteria that must be met to receive an Actual Award, as determined by the Administrator. A Performance Period may be divided into one or more shorter periods if, for example, but not by way of limitation, the Administrator desires to measure some performance criteria over twelve (12) months and other criteria over three (3) months.</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2.15</w:t>
      </w: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this Executive Incentive Compensation Plan (including any appendix attached hereto), as may be amended from time to time.</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2.16</w:t>
      </w:r>
      <w:r>
        <w:rPr>
          <w:color w:val="000000"/>
        </w:rPr>
        <w:t>“</w:t>
      </w:r>
      <w:r>
        <w:rPr>
          <w:rFonts w:ascii="Times New Roman;serif" w:hAnsi="Times New Roman;serif"/>
          <w:b w:val="false"/>
          <w:color w:val="000000"/>
          <w:sz w:val="24"/>
          <w:u w:val="single"/>
        </w:rPr>
        <w:t>Section 409A</w:t>
      </w:r>
      <w:r>
        <w:rPr>
          <w:color w:val="000000"/>
        </w:rPr>
        <w:t xml:space="preserve">” </w:t>
      </w:r>
      <w:r>
        <w:rPr>
          <w:rFonts w:ascii="Times New Roman;serif" w:hAnsi="Times New Roman;serif"/>
          <w:b w:val="false"/>
          <w:color w:val="000000"/>
          <w:sz w:val="24"/>
        </w:rPr>
        <w:t>means Section 409A of the Code and any applicable state law equivalent, as each may be promulgated, amended or modified from time to time.</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2.17</w:t>
      </w: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a “subsidiary corporation,” whether now or hereafter existing, as defined in Code Section 424(f), in relation to the Company.</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2.18</w:t>
      </w:r>
      <w:r>
        <w:rPr>
          <w:color w:val="000000"/>
        </w:rPr>
        <w:t>“</w:t>
      </w:r>
      <w:r>
        <w:rPr>
          <w:rFonts w:ascii="Times New Roman;serif" w:hAnsi="Times New Roman;serif"/>
          <w:b w:val="false"/>
          <w:color w:val="000000"/>
          <w:sz w:val="24"/>
          <w:u w:val="single"/>
        </w:rPr>
        <w:t>Target Award</w:t>
      </w:r>
      <w:r>
        <w:rPr>
          <w:color w:val="000000"/>
        </w:rPr>
        <w:t xml:space="preserve">” </w:t>
      </w:r>
      <w:r>
        <w:rPr>
          <w:rFonts w:ascii="Times New Roman;serif" w:hAnsi="Times New Roman;serif"/>
          <w:b w:val="false"/>
          <w:color w:val="000000"/>
          <w:sz w:val="24"/>
        </w:rPr>
        <w:t>means the target award, at one hundred percent (100%) of target level performance achievement, payable under the Plan to a Participant for a Performance Period, as determined by the Administrator in accordance with Section 4.2.</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2.19</w:t>
      </w:r>
      <w:r>
        <w:rPr>
          <w:color w:val="000000"/>
        </w:rPr>
        <w:t>“</w:t>
      </w:r>
      <w:r>
        <w:rPr>
          <w:rFonts w:ascii="Times New Roman;serif" w:hAnsi="Times New Roman;serif"/>
          <w:b w:val="false"/>
          <w:color w:val="000000"/>
          <w:sz w:val="24"/>
          <w:u w:val="single"/>
        </w:rPr>
        <w:t>Tax Withholdings</w:t>
      </w:r>
      <w:r>
        <w:rPr>
          <w:color w:val="000000"/>
        </w:rPr>
        <w:t xml:space="preserve">” </w:t>
      </w:r>
      <w:r>
        <w:rPr>
          <w:rFonts w:ascii="Times New Roman;serif" w:hAnsi="Times New Roman;serif"/>
          <w:b w:val="false"/>
          <w:color w:val="000000"/>
          <w:sz w:val="24"/>
        </w:rPr>
        <w:t>means tax, social insurance and social security liability or premium obligations in connection with the awards under the Plan, including without limitation: (a) all federal, state, and local income, employment and any other taxes (including the Participant’s U.S. Federal Insurance Contributions Act (FICA) obligation) that are required to be withheld by the Company Group, (b) the Participant’s and, to the extent required by the Company Group, the fringe benefit tax liability of the Company Group associated with an award under the Plan, and (c) any other taxes or social insurance or social security liabilities or premium the responsibility for which the Participant has, or has agreed to bear, with respect to such award under the Plan.</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2.20</w:t>
      </w:r>
      <w:r>
        <w:rPr>
          <w:color w:val="000000"/>
        </w:rPr>
        <w:t>“</w:t>
      </w:r>
      <w:r>
        <w:rPr>
          <w:rFonts w:ascii="Times New Roman;serif" w:hAnsi="Times New Roman;serif"/>
          <w:b w:val="false"/>
          <w:color w:val="000000"/>
          <w:sz w:val="24"/>
          <w:u w:val="single"/>
        </w:rPr>
        <w:t>Termination of Employment</w:t>
      </w:r>
      <w:r>
        <w:rPr>
          <w:color w:val="000000"/>
        </w:rPr>
        <w:t xml:space="preserve">” </w:t>
      </w:r>
      <w:r>
        <w:rPr>
          <w:rFonts w:ascii="Times New Roman;serif" w:hAnsi="Times New Roman;serif"/>
          <w:b w:val="false"/>
          <w:color w:val="000000"/>
          <w:sz w:val="24"/>
        </w:rPr>
        <w:t>means a cessation of the employee-employer relationship between an Employee and the Company Group, including without limitation a termination by resignation, discharge, death, Disability, retirement, or the disaffiliation of a Parent, Subsidiary or Affiliate. For purposes of the Plan, transfer of employment of a Participant between any members of the Company Group (for example, between the Company and a Subsidiary) will not be deemed a Termination of Employment.</w:t>
      </w:r>
    </w:p>
    <w:p>
      <w:pPr>
        <w:pStyle w:val="TextBody"/>
        <w:bidi w:val="0"/>
        <w:spacing w:lineRule="auto" w:line="240" w:before="240" w:after="283"/>
        <w:ind w:left="0" w:right="0" w:firstLine="720"/>
        <w:jc w:val="left"/>
        <w:rPr/>
      </w:pPr>
      <w:r>
        <w:rPr>
          <w:rFonts w:ascii="Times New Roman;serif" w:hAnsi="Times New Roman;serif"/>
          <w:b w:val="false"/>
          <w:color w:val="000000"/>
          <w:sz w:val="22"/>
        </w:rPr>
        <w:t>3.</w:t>
      </w:r>
      <w:r>
        <w:rPr>
          <w:rFonts w:ascii="Times New Roman;serif" w:hAnsi="Times New Roman;serif"/>
          <w:b w:val="false"/>
          <w:color w:val="000000"/>
          <w:sz w:val="24"/>
          <w:u w:val="single"/>
        </w:rPr>
        <w:t>Administration of the Plan</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3.1</w:t>
      </w:r>
      <w:r>
        <w:rPr>
          <w:rFonts w:ascii="Times New Roman;serif" w:hAnsi="Times New Roman;serif"/>
          <w:b w:val="false"/>
          <w:color w:val="000000"/>
          <w:sz w:val="24"/>
          <w:u w:val="single"/>
        </w:rPr>
        <w:t>Administrator</w:t>
      </w:r>
      <w:r>
        <w:rPr>
          <w:rFonts w:ascii="Times New Roman;serif" w:hAnsi="Times New Roman;serif"/>
          <w:b w:val="false"/>
          <w:color w:val="000000"/>
          <w:sz w:val="24"/>
        </w:rPr>
        <w:t>. The Plan will be administered by the Board or a Committee (the “</w:t>
      </w:r>
      <w:r>
        <w:rPr>
          <w:rFonts w:ascii="Times New Roman;serif" w:hAnsi="Times New Roman;serif"/>
          <w:b w:val="false"/>
          <w:color w:val="000000"/>
          <w:sz w:val="24"/>
          <w:u w:val="single"/>
        </w:rPr>
        <w:t>Administrator</w:t>
      </w:r>
      <w:r>
        <w:rPr>
          <w:color w:val="000000"/>
        </w:rPr>
        <w:t>”</w:t>
      </w:r>
      <w:r>
        <w:rPr>
          <w:rFonts w:ascii="Times New Roman;serif" w:hAnsi="Times New Roman;serif"/>
          <w:b w:val="false"/>
          <w:color w:val="000000"/>
          <w:sz w:val="24"/>
        </w:rPr>
        <w:t xml:space="preserve">). To the extent necessary or desirable to satisfy applicable laws, the Committee acting as the Administrator will consist of not less than two (2) members of the Board.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60655"/>
                <wp:effectExtent l="0" t="0" r="0" b="0"/>
                <wp:wrapNone/>
                <wp:docPr id="408"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The members of any Committee will be appointed from time to time by, and serve at the pleasure of, the Board. The Board may retain the authority to administer the Plan concurrently with a Committee and may revoke the delegation of some or all authority previously delegated. Different Administrators may administer the Plan with respect to different groups of Employees. Unless and until the Board otherwise determines, the Board’s Compensation Committee will administer the Plan.</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3.2</w:t>
      </w:r>
      <w:r>
        <w:rPr>
          <w:rFonts w:ascii="Times New Roman;serif" w:hAnsi="Times New Roman;serif"/>
          <w:b w:val="false"/>
          <w:color w:val="000000"/>
          <w:sz w:val="24"/>
          <w:u w:val="single"/>
        </w:rPr>
        <w:t>Administrator Authority</w:t>
      </w:r>
      <w:r>
        <w:rPr>
          <w:rFonts w:ascii="Times New Roman;serif" w:hAnsi="Times New Roman;serif"/>
          <w:b w:val="false"/>
          <w:color w:val="000000"/>
          <w:sz w:val="24"/>
        </w:rPr>
        <w:t>. It will be the duty of the Administrator to administer the Plan in accordance with the Plan’s provisions. The Administrator will have all powers and discretion necessary or appropriate to administer the Plan and to control its operation, including, but not limited to, the power to (a) determine which Employees will be granted awards, (b) prescribe the terms and conditions of awards, (c) interpret the Plan and the awards, (d) adopt such procedures and sub-plans as are necessary or appropriate to permit participation in the Plan by Employees who are non-U.S. nationals or employed outside of the U.S. or to qualify awards for special tax treatment under the laws of jurisdictions other than the U.S., (e) adopt rules for the administration, interpretation and application of the Plan as are consistent therewith, and (f) interpret, amend or revoke any such rules. Any determinations and decisions made or to be made by the Administrator pursuant to the provisions of the Plan, unless specified otherwise by the Administrator, will be in the Administrator’s sole discretion.</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3.3</w:t>
      </w:r>
      <w:r>
        <w:rPr>
          <w:rFonts w:ascii="Times New Roman;serif" w:hAnsi="Times New Roman;serif"/>
          <w:b w:val="false"/>
          <w:color w:val="000000"/>
          <w:sz w:val="24"/>
          <w:u w:val="single"/>
        </w:rPr>
        <w:t>Decisions Binding</w:t>
      </w:r>
      <w:r>
        <w:rPr>
          <w:rFonts w:ascii="Times New Roman;serif" w:hAnsi="Times New Roman;serif"/>
          <w:b w:val="false"/>
          <w:color w:val="000000"/>
          <w:sz w:val="24"/>
        </w:rPr>
        <w:t>. All determinations and decisions made by the Administrator and/or any delegate of the Administrator pursuant to the provisions of the Plan will be final, conclusive, and binding on all persons, and will be given the maximum deference permitted by law.</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3.4</w:t>
      </w:r>
      <w:r>
        <w:rPr>
          <w:rFonts w:ascii="Times New Roman;serif" w:hAnsi="Times New Roman;serif"/>
          <w:b w:val="false"/>
          <w:color w:val="000000"/>
          <w:sz w:val="24"/>
          <w:u w:val="single"/>
        </w:rPr>
        <w:t>Delegation by Administrator</w:t>
      </w:r>
      <w:r>
        <w:rPr>
          <w:rFonts w:ascii="Times New Roman;serif" w:hAnsi="Times New Roman;serif"/>
          <w:b w:val="false"/>
          <w:color w:val="000000"/>
          <w:sz w:val="24"/>
        </w:rPr>
        <w:t>. The Administrator, on such terms and conditions as it may provide, may delegate all or part of its authority and powers under the Plan to one or more directors and/or officers of the Company. Such delegation may be revoked at any time.</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3.5</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Each person who is or will have been a member of the Administrator will be 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and (b) from any and all amounts paid by him or her in settlement thereof, with the Company’s approval, or paid by him or her in satisfaction of any judgment in any such claim, action, suit, or proceeding against him or her, provided he or she will give the Company an opportunity, at its own expense, to handle and defend the same before he or she undertakes to handle and defend it on his or her own behalf. The foregoing right of indemnification will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60655"/>
                <wp:effectExtent l="0" t="0" r="0" b="0"/>
                <wp:wrapNone/>
                <wp:docPr id="409"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240" w:after="283"/>
        <w:ind w:left="0" w:right="0" w:firstLine="720"/>
        <w:jc w:val="left"/>
        <w:rPr/>
      </w:pPr>
      <w:r>
        <w:rPr>
          <w:rFonts w:ascii="Times New Roman;serif" w:hAnsi="Times New Roman;serif"/>
          <w:b w:val="false"/>
          <w:color w:val="000000"/>
          <w:sz w:val="22"/>
        </w:rPr>
        <w:t>4.</w:t>
      </w:r>
      <w:r>
        <w:rPr>
          <w:rFonts w:ascii="Times New Roman;serif" w:hAnsi="Times New Roman;serif"/>
          <w:b w:val="false"/>
          <w:color w:val="000000"/>
          <w:sz w:val="24"/>
          <w:u w:val="single"/>
        </w:rPr>
        <w:t>Selection of Participants and Determination of Awards</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4.1</w:t>
      </w:r>
      <w:r>
        <w:rPr>
          <w:rFonts w:ascii="Times New Roman;serif" w:hAnsi="Times New Roman;serif"/>
          <w:b w:val="false"/>
          <w:color w:val="000000"/>
          <w:sz w:val="24"/>
          <w:u w:val="single"/>
        </w:rPr>
        <w:t>Selection of Participants</w:t>
      </w:r>
      <w:r>
        <w:rPr>
          <w:rFonts w:ascii="Times New Roman;serif" w:hAnsi="Times New Roman;serif"/>
          <w:b w:val="false"/>
          <w:color w:val="000000"/>
          <w:sz w:val="24"/>
        </w:rPr>
        <w:t>. The Administrator will select the Employees who will be Participants for any Performance Period. Participation in the Plan will be on a Performance Period by Performance Period basis. Accordingly, an Employee who is a Participant for a given Performance Period in no way is guaranteed or assured of being selected for participation in any subsequent Performance Period or Performance Periods. No Employee will have the right to be selected to receive an award under this Plan or, if so selected, to be selected to receive a future award.</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4.2</w:t>
      </w:r>
      <w:r>
        <w:rPr>
          <w:rFonts w:ascii="Times New Roman;serif" w:hAnsi="Times New Roman;serif"/>
          <w:b w:val="false"/>
          <w:color w:val="000000"/>
          <w:sz w:val="24"/>
          <w:u w:val="single"/>
        </w:rPr>
        <w:t>Determination of Target Awards</w:t>
      </w:r>
      <w:r>
        <w:rPr>
          <w:rFonts w:ascii="Times New Roman;serif" w:hAnsi="Times New Roman;serif"/>
          <w:b w:val="false"/>
          <w:color w:val="000000"/>
          <w:sz w:val="24"/>
        </w:rPr>
        <w:t>. The Administrator may establish a Target Award for each Participant (which may be expressed as a percentage of a Participant’s average annual base salary for the Performance Period or a fixed dollar amount or such other amount or based on such other formula or factors as the Administrator determines).</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4.3</w:t>
      </w:r>
      <w:r>
        <w:rPr>
          <w:rFonts w:ascii="Times New Roman;serif" w:hAnsi="Times New Roman;serif"/>
          <w:b w:val="false"/>
          <w:color w:val="000000"/>
          <w:sz w:val="24"/>
          <w:u w:val="single"/>
        </w:rPr>
        <w:t>Bonus Pool</w:t>
      </w:r>
      <w:r>
        <w:rPr>
          <w:rFonts w:ascii="Times New Roman;serif" w:hAnsi="Times New Roman;serif"/>
          <w:b w:val="false"/>
          <w:color w:val="000000"/>
          <w:sz w:val="24"/>
        </w:rPr>
        <w:t>. Each Performance Period, the Administrator may establish a Bonus Pool, which pool may be established before, during or after the applicable Performance Period. Actual Awards will be paid from the Bonus Pool (if a Bonus Pool has been established).</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4.4</w:t>
      </w:r>
      <w:r>
        <w:rPr>
          <w:rFonts w:ascii="Times New Roman;serif" w:hAnsi="Times New Roman;serif"/>
          <w:b w:val="false"/>
          <w:color w:val="000000"/>
          <w:sz w:val="24"/>
          <w:u w:val="single"/>
        </w:rPr>
        <w:t>Discretion to Modify Awards</w:t>
      </w:r>
      <w:r>
        <w:rPr>
          <w:rFonts w:ascii="Times New Roman;serif" w:hAnsi="Times New Roman;serif"/>
          <w:b w:val="false"/>
          <w:color w:val="000000"/>
          <w:sz w:val="24"/>
        </w:rPr>
        <w:t>. Notwithstanding any contrary provision of the Plan, the Administrator, at any time prior to payment of an Actual Award, may: (a) increase, reduce or eliminate a Participant’s Actual Award, and/or (b) increase, reduce or eliminate the amount allocated to the Bonus Pool. The Actual Award may be below, at or above the Target Award, as determined by the Administrator. The Administrator may determine the amount of any increase, reduction, or elimination based on such factors as it deems relevant, and will not be required to establish any allocation or weighting with respect to the factors it considers.</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4.5</w:t>
      </w:r>
      <w:r>
        <w:rPr>
          <w:rFonts w:ascii="Times New Roman;serif" w:hAnsi="Times New Roman;serif"/>
          <w:b w:val="false"/>
          <w:color w:val="000000"/>
          <w:sz w:val="24"/>
          <w:u w:val="single"/>
        </w:rPr>
        <w:t>Discretion to Determine Criteria</w:t>
      </w:r>
      <w:r>
        <w:rPr>
          <w:rFonts w:ascii="Times New Roman;serif" w:hAnsi="Times New Roman;serif"/>
          <w:b w:val="false"/>
          <w:color w:val="000000"/>
          <w:sz w:val="24"/>
        </w:rPr>
        <w:t>. Notwithstanding any contrary provision of the Plan, the Administrator will determine the performance goals, if any, applicable to any Target Award (or portion thereof) which may include, without limitation, goals related to: research and development milestones; regulatory milestones or regulatory-related goals; gross margin; financial milestones; new product or business development; operating margin; product release timelines or other product release milestones; publications; cash flow; procurement; savings; internal structure; revenue; earnings; leadership development; project function or portfolio-specific milestones; license or research collaboration agreements; capital raising; initial public offering preparations; patentability; and individual objectives such as peer reviews or other subjective or objective criteria</w:t>
      </w:r>
      <w:r>
        <w:rPr>
          <w:rFonts w:ascii="Times New Roman;serif" w:hAnsi="Times New Roman;serif"/>
          <w:b w:val="false"/>
          <w:color w:val="000000"/>
          <w:sz w:val="22"/>
        </w:rPr>
        <w:t xml:space="preserve">. </w:t>
      </w:r>
      <w:r>
        <w:rPr>
          <w:rFonts w:ascii="Times New Roman;serif" w:hAnsi="Times New Roman;serif"/>
          <w:b w:val="false"/>
          <w:color w:val="000000"/>
          <w:sz w:val="24"/>
        </w:rPr>
        <w:t>As determined by the Administrator, the performance goals may be based on U.S. generally accepted accounting principles (“</w:t>
      </w:r>
      <w:r>
        <w:rPr>
          <w:rFonts w:ascii="Times New Roman;serif" w:hAnsi="Times New Roman;serif"/>
          <w:b w:val="false"/>
          <w:color w:val="000000"/>
          <w:sz w:val="24"/>
          <w:u w:val="single"/>
        </w:rPr>
        <w:t>GAAP</w:t>
      </w:r>
      <w:r>
        <w:rPr>
          <w:color w:val="000000"/>
        </w:rPr>
        <w:t>”</w:t>
      </w:r>
      <w:r>
        <w:rPr>
          <w:rFonts w:ascii="Times New Roman;serif" w:hAnsi="Times New Roman;serif"/>
          <w:b w:val="false"/>
          <w:color w:val="000000"/>
          <w:sz w:val="24"/>
        </w:rPr>
        <w:t xml:space="preserve">) or non-GAAP results and any actual results may be adjusted by the Administrator for one-time items or unbudgeted or unexpected items and/or payments of Actual Awards under the Plan when determining whether the performance goals have been met. The performance goals may be based on any factors the Administrator determines relevant, including without limitation on an individual, divisional, portfolio, project, business unit, segment or Company-wide basis. Any criteria used may be measured on such basis as the Administrator determines, including without limitation: (a) in absolute terms, (b) in combination with another performance goal or goals (for example, but not by way of limitation, as a ratio or matrix), (c) in relative terms (including, but not limited to, results for other periods, passage of time and/or against another company or companies or an index or indices), (d) on a per-share basis, (e) against the performance of the Company as a whole or a segment of the Company and/or (f) on a pre-tax or after-tax basis. The performance goals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60655"/>
                <wp:effectExtent l="0" t="0" r="0" b="0"/>
                <wp:wrapNone/>
                <wp:docPr id="410"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may differ from Participant to Participant and from award to award. Failure to meet the applicable performance goals will result in a failure to earn the Target Award, except as provided in Section 4.4.</w:t>
      </w:r>
    </w:p>
    <w:p>
      <w:pPr>
        <w:pStyle w:val="TextBody"/>
        <w:bidi w:val="0"/>
        <w:spacing w:lineRule="auto" w:line="240" w:before="240" w:after="283"/>
        <w:ind w:left="0" w:right="0" w:firstLine="720"/>
        <w:jc w:val="left"/>
        <w:rPr/>
      </w:pPr>
      <w:r>
        <w:rPr>
          <w:rFonts w:ascii="Times New Roman;serif" w:hAnsi="Times New Roman;serif"/>
          <w:b w:val="false"/>
          <w:color w:val="000000"/>
          <w:sz w:val="22"/>
        </w:rPr>
        <w:t>5.</w:t>
      </w:r>
      <w:r>
        <w:rPr>
          <w:rFonts w:ascii="Times New Roman;serif" w:hAnsi="Times New Roman;serif"/>
          <w:b w:val="false"/>
          <w:color w:val="000000"/>
          <w:sz w:val="24"/>
          <w:u w:val="single"/>
        </w:rPr>
        <w:t>Payment of Awards</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5.1</w:t>
      </w:r>
      <w:r>
        <w:rPr>
          <w:rFonts w:ascii="Times New Roman;serif" w:hAnsi="Times New Roman;serif"/>
          <w:b w:val="false"/>
          <w:color w:val="000000"/>
          <w:sz w:val="24"/>
          <w:u w:val="single"/>
        </w:rPr>
        <w:t>Right to Receive Payment</w:t>
      </w:r>
      <w:r>
        <w:rPr>
          <w:rFonts w:ascii="Times New Roman;serif" w:hAnsi="Times New Roman;serif"/>
          <w:b w:val="false"/>
          <w:color w:val="000000"/>
          <w:sz w:val="24"/>
        </w:rPr>
        <w:t>. Each Actual Award will be paid solely from the general assets of the Company Group. Nothing in this Plan will be construed to create a trust or to establish or evidence any Participant’s claim of any right other than as an unsecured general creditor with respect to any payment to which the Participant may be entitled.</w:t>
      </w:r>
    </w:p>
    <w:p>
      <w:pPr>
        <w:pStyle w:val="TextBody"/>
        <w:bidi w:val="0"/>
        <w:spacing w:lineRule="auto" w:line="240" w:before="240" w:after="283"/>
        <w:ind w:left="0" w:right="0" w:firstLine="1440"/>
        <w:jc w:val="left"/>
        <w:rPr/>
      </w:pPr>
      <w:r>
        <w:rPr>
          <w:rFonts w:ascii="Times New Roman;serif" w:hAnsi="Times New Roman;serif"/>
          <w:b w:val="false"/>
          <w:color w:val="000000"/>
          <w:sz w:val="22"/>
        </w:rPr>
        <w:t>5.2</w:t>
      </w:r>
      <w:r>
        <w:rPr>
          <w:rFonts w:ascii="Times New Roman;serif" w:hAnsi="Times New Roman;serif"/>
          <w:b w:val="false"/>
          <w:color w:val="000000"/>
          <w:sz w:val="24"/>
          <w:u w:val="single"/>
        </w:rPr>
        <w:t>Timing of Payment</w:t>
      </w:r>
      <w:r>
        <w:rPr>
          <w:rFonts w:ascii="Times New Roman;serif" w:hAnsi="Times New Roman;serif"/>
          <w:b w:val="false"/>
          <w:color w:val="000000"/>
          <w:sz w:val="24"/>
        </w:rPr>
        <w:t>. Payment of each Actual Award will be made as soon as practicable after the end of the Performance Period to which the Actual Award relates and after the Actual Award is approved by the Administrator, but in no event after the later of (a) the fifteenth (15th) day of the third (3rd) month of the Fiscal Year immediately following the Fiscal Year in which the Participant’s Actual Award first becomes no longer subject to a substantial risk of forfeiture, and (b) March 15 of the calendar year immediately following the calendar year in which the Participant’s Actual Award first becomes no longer subject to a substantial risk of forfeiture. Unless otherwise determined by the Administrator, to earn an Actual Award a Participant must be employed by the Company Group on the date the Actual Award is paid, and in all cases subject to the Administrator’s discretion pursuant to Section 4.4.</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5.3</w:t>
      </w:r>
      <w:r>
        <w:rPr>
          <w:rFonts w:ascii="Times New Roman;serif" w:hAnsi="Times New Roman;serif"/>
          <w:b w:val="false"/>
          <w:color w:val="000000"/>
          <w:sz w:val="24"/>
          <w:u w:val="single"/>
        </w:rPr>
        <w:t>Form of Payment</w:t>
      </w:r>
      <w:r>
        <w:rPr>
          <w:rFonts w:ascii="Times New Roman;serif" w:hAnsi="Times New Roman;serif"/>
          <w:b w:val="false"/>
          <w:color w:val="000000"/>
          <w:sz w:val="24"/>
        </w:rPr>
        <w:t>. Each Actual Award generally will be paid in cash (or its equivalent) in a single lump sum. The Administrator reserves the right to settle an Actual Award with a grant of an equity award with such terms and conditions, including any vesting requirements, as determined by the Administrator.</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5.4</w:t>
      </w:r>
      <w:r>
        <w:rPr>
          <w:rFonts w:ascii="Times New Roman;serif" w:hAnsi="Times New Roman;serif"/>
          <w:b w:val="false"/>
          <w:color w:val="000000"/>
          <w:sz w:val="24"/>
          <w:u w:val="single"/>
        </w:rPr>
        <w:t>Payment in the Event of Death or Disability</w:t>
      </w:r>
      <w:r>
        <w:rPr>
          <w:rFonts w:ascii="Times New Roman;serif" w:hAnsi="Times New Roman;serif"/>
          <w:b w:val="false"/>
          <w:color w:val="000000"/>
          <w:sz w:val="24"/>
        </w:rPr>
        <w:t>. If a Termination of Employment occurs due to a Participant’s death or Disability prior to payment of an Actual Award that the Administrator has determined will be paid for a prior Performance Period, then the Actual Award will be paid to the Participant or the Participant’s estate, as the case may be, subject to the Administrator’s discretion pursuant to Section 4.4.</w:t>
      </w:r>
    </w:p>
    <w:p>
      <w:pPr>
        <w:pStyle w:val="TextBody"/>
        <w:bidi w:val="0"/>
        <w:spacing w:lineRule="auto" w:line="240" w:before="240" w:after="283"/>
        <w:ind w:left="0" w:right="0" w:firstLine="720"/>
        <w:jc w:val="left"/>
        <w:rPr/>
      </w:pPr>
      <w:r>
        <w:rPr>
          <w:rFonts w:ascii="Times New Roman;serif" w:hAnsi="Times New Roman;serif"/>
          <w:b w:val="false"/>
          <w:color w:val="000000"/>
          <w:sz w:val="22"/>
        </w:rPr>
        <w:t>6.</w:t>
      </w:r>
      <w:r>
        <w:rPr>
          <w:rFonts w:ascii="Times New Roman;serif" w:hAnsi="Times New Roman;serif"/>
          <w:b w:val="false"/>
          <w:color w:val="000000"/>
          <w:sz w:val="24"/>
          <w:u w:val="single"/>
        </w:rPr>
        <w:t>General Provisions</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6.1</w:t>
      </w:r>
      <w:r>
        <w:rPr>
          <w:rFonts w:ascii="Times New Roman;serif" w:hAnsi="Times New Roman;serif"/>
          <w:b w:val="false"/>
          <w:color w:val="000000"/>
          <w:sz w:val="24"/>
          <w:u w:val="single"/>
        </w:rPr>
        <w:t>Tax Matters</w:t>
      </w:r>
      <w:r>
        <w:rPr>
          <w:rFonts w:ascii="Times New Roman;serif" w:hAnsi="Times New Roman;serif"/>
          <w:b w:val="false"/>
          <w:color w:val="000000"/>
          <w:sz w:val="24"/>
        </w:rPr>
        <w:t>.</w:t>
      </w:r>
    </w:p>
    <w:p>
      <w:pPr>
        <w:pStyle w:val="TextBody"/>
        <w:bidi w:val="0"/>
        <w:spacing w:lineRule="auto" w:line="240" w:before="240" w:after="283"/>
        <w:ind w:left="0" w:right="0" w:firstLine="2160"/>
        <w:jc w:val="both"/>
        <w:rPr/>
      </w:pPr>
      <w:r>
        <w:rPr>
          <w:rFonts w:ascii="Times New Roman;serif" w:hAnsi="Times New Roman;serif"/>
          <w:b w:val="false"/>
          <w:color w:val="000000"/>
          <w:sz w:val="22"/>
        </w:rPr>
        <w:t>6.1.1</w:t>
      </w:r>
      <w:r>
        <w:rPr>
          <w:rFonts w:ascii="Times New Roman;serif" w:hAnsi="Times New Roman;serif"/>
          <w:b w:val="false"/>
          <w:color w:val="000000"/>
          <w:sz w:val="24"/>
          <w:u w:val="single"/>
        </w:rPr>
        <w:t>Section 409A</w:t>
      </w:r>
      <w:r>
        <w:rPr>
          <w:rFonts w:ascii="Times New Roman;serif" w:hAnsi="Times New Roman;serif"/>
          <w:b w:val="false"/>
          <w:color w:val="000000"/>
          <w:sz w:val="24"/>
        </w:rPr>
        <w:t>. It is the intent that this Plan be exempt from or comply with the requirements of Section 409A so that none of the payments to be provided hereunder will be subject to the additional tax imposed under Section 409A, and any ambiguities or ambiguous terms will be interpreted to be so exempt or so comply. Each payment under this Plan is intended to constitute a separate payment for purposes of Treasury Regulations Section 1.409A-2(b)(2). In no event will the Company Group have any liability, obligation, or responsibility to reimburse, indemnify or hold harmless any Participant or other Employee for any taxes, penalties or interest imposed, or other costs incurred, as a result of Section 409A.</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60655"/>
                <wp:effectExtent l="0" t="0" r="0" b="0"/>
                <wp:wrapNone/>
                <wp:docPr id="411"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240" w:after="283"/>
        <w:ind w:left="0" w:right="0" w:firstLine="2160"/>
        <w:jc w:val="both"/>
        <w:rPr/>
      </w:pPr>
      <w:r>
        <w:rPr>
          <w:rFonts w:ascii="Times New Roman;serif" w:hAnsi="Times New Roman;serif"/>
          <w:b w:val="false"/>
          <w:color w:val="000000"/>
          <w:sz w:val="22"/>
        </w:rPr>
        <w:t>6.1.2</w:t>
      </w:r>
      <w:r>
        <w:rPr>
          <w:rFonts w:ascii="Times New Roman;serif" w:hAnsi="Times New Roman;serif"/>
          <w:b w:val="false"/>
          <w:color w:val="000000"/>
          <w:sz w:val="24"/>
          <w:u w:val="single"/>
        </w:rPr>
        <w:t>Tax Withholdings</w:t>
      </w:r>
      <w:r>
        <w:rPr>
          <w:rFonts w:ascii="Times New Roman;serif" w:hAnsi="Times New Roman;serif"/>
          <w:b w:val="false"/>
          <w:color w:val="000000"/>
          <w:sz w:val="24"/>
        </w:rPr>
        <w:t>. The Company Group will have the right and authority to deduct from any Actual Award all applicable Tax Withholdings. Prior to the payment of an Actual Award or such earlier time as any Tax Withholdings are due, the Company Group is permitted to deduct or withhold, or require a Participant to remit to the Company Group, an amount sufficient to satisfy any Tax Withholdings with respect to such Actual Award.</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6.2</w:t>
      </w:r>
      <w:r>
        <w:rPr>
          <w:rFonts w:ascii="Times New Roman;serif" w:hAnsi="Times New Roman;serif"/>
          <w:b w:val="false"/>
          <w:color w:val="000000"/>
          <w:sz w:val="24"/>
          <w:u w:val="single"/>
        </w:rPr>
        <w:t>No Effect on Employment or Service</w:t>
      </w:r>
      <w:r>
        <w:rPr>
          <w:rFonts w:ascii="Times New Roman;serif" w:hAnsi="Times New Roman;serif"/>
          <w:b w:val="false"/>
          <w:color w:val="000000"/>
          <w:sz w:val="24"/>
        </w:rPr>
        <w:t>. Neither the Plan nor any award under the Plan will confer upon a Participant any right regarding continuing the Participant’s relationship as an Employee or other service provider to the Company Group, nor will they interfere with or limit in any way the right of the Company Group or the Participant to terminate such relationship at any time, with or without cause, to the extent permitted by applicable laws.</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6.3</w:t>
      </w:r>
      <w:r>
        <w:rPr>
          <w:rFonts w:ascii="Times New Roman;serif" w:hAnsi="Times New Roman;serif"/>
          <w:b w:val="false"/>
          <w:color w:val="000000"/>
          <w:sz w:val="24"/>
          <w:u w:val="single"/>
        </w:rPr>
        <w:t>Forfeiture Events</w:t>
      </w:r>
      <w:r>
        <w:rPr>
          <w:rFonts w:ascii="Times New Roman;serif" w:hAnsi="Times New Roman;serif"/>
          <w:b w:val="false"/>
          <w:color w:val="000000"/>
          <w:sz w:val="24"/>
        </w:rPr>
        <w:t>.</w:t>
      </w:r>
    </w:p>
    <w:p>
      <w:pPr>
        <w:pStyle w:val="TextBody"/>
        <w:bidi w:val="0"/>
        <w:spacing w:lineRule="auto" w:line="240" w:before="240" w:after="283"/>
        <w:ind w:left="0" w:right="0" w:firstLine="2160"/>
        <w:jc w:val="both"/>
        <w:rPr/>
      </w:pPr>
      <w:r>
        <w:rPr>
          <w:rFonts w:ascii="Times New Roman;serif" w:hAnsi="Times New Roman;serif"/>
          <w:b w:val="false"/>
          <w:color w:val="000000"/>
          <w:sz w:val="22"/>
        </w:rPr>
        <w:t>6.3.1</w:t>
      </w:r>
      <w:r>
        <w:rPr>
          <w:rFonts w:ascii="Times New Roman;serif" w:hAnsi="Times New Roman;serif"/>
          <w:b w:val="false"/>
          <w:color w:val="000000"/>
          <w:sz w:val="24"/>
          <w:u w:val="single"/>
        </w:rPr>
        <w:t>Clawback Policy; Applicable Laws</w:t>
      </w:r>
      <w:r>
        <w:rPr>
          <w:rFonts w:ascii="Times New Roman;serif" w:hAnsi="Times New Roman;serif"/>
          <w:b w:val="false"/>
          <w:color w:val="000000"/>
          <w:sz w:val="24"/>
        </w:rPr>
        <w:t>. All awards under the Plan will be subject to reduction, cancellation, forfeiture, or recoupment in accordance with any clawback policy that the Company Group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with respect to an award under the Plan as the Administrator determines necessary or appropriate, including without limitation a reacquisition right in respect of previously acquired cash, stock, or other property provided with respect to an award. Unless this Section 6.3.1 is specifically mentioned and waived in a written agreement between a Participant and a member of the Company Group or other document, no recovery of compensation under a clawback policy will give the Participant the right to resign for “good reason” or “constructive termination” (or similar term) under any agreement with a member of the Company Group.</w:t>
      </w:r>
    </w:p>
    <w:p>
      <w:pPr>
        <w:pStyle w:val="TextBody"/>
        <w:bidi w:val="0"/>
        <w:spacing w:lineRule="auto" w:line="240" w:before="240" w:after="283"/>
        <w:ind w:left="0" w:right="0" w:firstLine="2160"/>
        <w:jc w:val="both"/>
        <w:rPr/>
      </w:pPr>
      <w:r>
        <w:rPr>
          <w:rFonts w:ascii="Times New Roman;serif" w:hAnsi="Times New Roman;serif"/>
          <w:b w:val="false"/>
          <w:color w:val="000000"/>
          <w:sz w:val="22"/>
        </w:rPr>
        <w:t>6.3.2</w:t>
      </w:r>
      <w:r>
        <w:rPr>
          <w:rFonts w:ascii="Times New Roman;serif" w:hAnsi="Times New Roman;serif"/>
          <w:b w:val="false"/>
          <w:color w:val="000000"/>
          <w:sz w:val="24"/>
          <w:u w:val="single"/>
        </w:rPr>
        <w:t>Additional Forfeiture Terms</w:t>
      </w:r>
      <w:r>
        <w:rPr>
          <w:rFonts w:ascii="Times New Roman;serif" w:hAnsi="Times New Roman;serif"/>
          <w:b w:val="false"/>
          <w:color w:val="000000"/>
          <w:sz w:val="24"/>
        </w:rPr>
        <w:t xml:space="preserve">. The Administrator may specify when providing for an award under the Plan that the Participant’s rights, payments, and benefits with respect to the award will be subject to reduction, cancellation, forfeiture, or recoupment upon the occurrence of specified events, in addition to any otherwise applicable vesting or performance conditions of the award. Such events may include, without limitation, termination of the Participant’s status as an Employee for “cause” or any act by a Participant, whether before or after the Participant’s status as an Employee terminates, that would constitute “cause.” </w:t>
      </w:r>
    </w:p>
    <w:p>
      <w:pPr>
        <w:pStyle w:val="TextBody"/>
        <w:bidi w:val="0"/>
        <w:spacing w:lineRule="auto" w:line="240" w:before="240" w:after="283"/>
        <w:ind w:left="0" w:right="0" w:firstLine="2160"/>
        <w:jc w:val="both"/>
        <w:rPr/>
      </w:pPr>
      <w:r>
        <w:rPr>
          <w:rFonts w:ascii="Times New Roman;serif" w:hAnsi="Times New Roman;serif"/>
          <w:b w:val="false"/>
          <w:color w:val="000000"/>
          <w:sz w:val="22"/>
        </w:rPr>
        <w:t>6.3.3</w:t>
      </w:r>
      <w:r>
        <w:rPr>
          <w:rFonts w:ascii="Times New Roman;serif" w:hAnsi="Times New Roman;serif"/>
          <w:b w:val="false"/>
          <w:color w:val="000000"/>
          <w:sz w:val="24"/>
          <w:u w:val="single"/>
        </w:rPr>
        <w:t>Accounting Restatements</w:t>
      </w:r>
      <w:r>
        <w:rPr>
          <w:rFonts w:ascii="Times New Roman;serif" w:hAnsi="Times New Roman;serif"/>
          <w:b w:val="false"/>
          <w:color w:val="000000"/>
          <w:sz w:val="24"/>
        </w:rPr>
        <w:t>. If the Company is required to prepare an accounting restatement due to the material noncompliance of the Company, as a result of misconduct, with any financial reporting requirement under the securities laws, then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will reimburse the Company Group the amount of any payment with respect to an award earned or accrued during the twelve (12) month period following the first public issuance or filing with the U.S. Securities and Exchange Commission (whichever first occurred) of the financial document embodying such financial reporting requirement.</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60655"/>
                <wp:effectExtent l="0" t="0" r="0" b="0"/>
                <wp:wrapNone/>
                <wp:docPr id="412"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240" w:after="283"/>
        <w:ind w:left="0" w:right="0" w:firstLine="1440"/>
        <w:jc w:val="both"/>
        <w:rPr/>
      </w:pPr>
      <w:r>
        <w:rPr>
          <w:rFonts w:ascii="Times New Roman;serif" w:hAnsi="Times New Roman;serif"/>
          <w:b w:val="false"/>
          <w:color w:val="000000"/>
          <w:sz w:val="22"/>
        </w:rPr>
        <w:t>6.4</w:t>
      </w:r>
      <w:r>
        <w:rPr>
          <w:rFonts w:ascii="Times New Roman;serif" w:hAnsi="Times New Roman;serif"/>
          <w:b w:val="false"/>
          <w:color w:val="000000"/>
          <w:sz w:val="24"/>
          <w:u w:val="single"/>
        </w:rPr>
        <w:t>Successors</w:t>
      </w:r>
      <w:r>
        <w:rPr>
          <w:rFonts w:ascii="Times New Roman;serif" w:hAnsi="Times New Roman;serif"/>
          <w:b w:val="false"/>
          <w:color w:val="000000"/>
          <w:sz w:val="24"/>
        </w:rPr>
        <w:t>. All obligations of the Company under the Plan, with respect to awards under the Plan, will be binding on any successor to the Company, whether the existence of such successor is the result of a direct or indirect purchase, merger, consolidation, or otherwise, of all or substantially all of the business or assets of the Company.</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6.5</w:t>
      </w:r>
      <w:r>
        <w:rPr>
          <w:rFonts w:ascii="Times New Roman;serif" w:hAnsi="Times New Roman;serif"/>
          <w:b w:val="false"/>
          <w:color w:val="000000"/>
          <w:sz w:val="24"/>
          <w:u w:val="single"/>
        </w:rPr>
        <w:t>Nontransferability of Awards</w:t>
      </w:r>
      <w:r>
        <w:rPr>
          <w:rFonts w:ascii="Times New Roman;serif" w:hAnsi="Times New Roman;serif"/>
          <w:b w:val="false"/>
          <w:color w:val="000000"/>
          <w:sz w:val="24"/>
        </w:rPr>
        <w:t>. No award under the Plan may be sold, transferred, pledged, assigned, or otherwise alienated or hypothecated, other than by will or by the laws of descent and distribution, and except as provided in Section 5.4. All rights with respect to an award granted to a Participant will be available during his or her lifetime only to the Participant.</w:t>
      </w:r>
    </w:p>
    <w:p>
      <w:pPr>
        <w:pStyle w:val="TextBody"/>
        <w:bidi w:val="0"/>
        <w:spacing w:lineRule="auto" w:line="240" w:before="240" w:after="283"/>
        <w:ind w:left="0" w:right="0" w:firstLine="720"/>
        <w:jc w:val="left"/>
        <w:rPr/>
      </w:pPr>
      <w:r>
        <w:rPr>
          <w:rFonts w:ascii="Times New Roman;serif" w:hAnsi="Times New Roman;serif"/>
          <w:b w:val="false"/>
          <w:color w:val="000000"/>
          <w:sz w:val="22"/>
        </w:rPr>
        <w:t>7.</w:t>
      </w:r>
      <w:r>
        <w:rPr>
          <w:rFonts w:ascii="Times New Roman;serif" w:hAnsi="Times New Roman;serif"/>
          <w:b w:val="false"/>
          <w:color w:val="000000"/>
          <w:sz w:val="24"/>
          <w:u w:val="single"/>
        </w:rPr>
        <w:t>Amendment, Termination, and Duration</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7.1</w:t>
      </w:r>
      <w:r>
        <w:rPr>
          <w:rFonts w:ascii="Times New Roman;serif" w:hAnsi="Times New Roman;serif"/>
          <w:b w:val="false"/>
          <w:color w:val="000000"/>
          <w:sz w:val="24"/>
          <w:u w:val="single"/>
        </w:rPr>
        <w:t>Amendment, Suspension, or Termination</w:t>
      </w:r>
      <w:r>
        <w:rPr>
          <w:rFonts w:ascii="Times New Roman;serif" w:hAnsi="Times New Roman;serif"/>
          <w:b w:val="false"/>
          <w:color w:val="000000"/>
          <w:sz w:val="24"/>
        </w:rPr>
        <w:t>. The Administrator may amend or terminate the Plan, or any part thereof, at any time and for any reason. The amendment, suspension or termination of the Plan will not, without the consent of the Participant, alter or impair any rights or obligations under any Actual Award earned by such Participant. No award may be granted during any period of suspension or after termination of the Plan.</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7.2</w:t>
      </w:r>
      <w:r>
        <w:rPr>
          <w:rFonts w:ascii="Times New Roman;serif" w:hAnsi="Times New Roman;serif"/>
          <w:b w:val="false"/>
          <w:color w:val="000000"/>
          <w:sz w:val="24"/>
          <w:u w:val="single"/>
        </w:rPr>
        <w:t>Duration of Plan</w:t>
      </w:r>
      <w:r>
        <w:rPr>
          <w:rFonts w:ascii="Times New Roman;serif" w:hAnsi="Times New Roman;serif"/>
          <w:b w:val="false"/>
          <w:color w:val="000000"/>
          <w:sz w:val="24"/>
        </w:rPr>
        <w:t>. The Plan will commence on the date first adopted by the Board or the Compensation Committee of the Board, and subject to Section 7.1 (regarding the Administrator’s right to amend or terminate the Plan), will remain in effect thereafter until terminated.</w:t>
      </w:r>
    </w:p>
    <w:p>
      <w:pPr>
        <w:pStyle w:val="TextBody"/>
        <w:bidi w:val="0"/>
        <w:spacing w:lineRule="auto" w:line="240" w:before="240" w:after="283"/>
        <w:ind w:left="0" w:right="0" w:firstLine="720"/>
        <w:jc w:val="left"/>
        <w:rPr/>
      </w:pPr>
      <w:r>
        <w:rPr>
          <w:rFonts w:ascii="Times New Roman;serif" w:hAnsi="Times New Roman;serif"/>
          <w:b w:val="false"/>
          <w:color w:val="000000"/>
          <w:sz w:val="22"/>
        </w:rPr>
        <w:t>8.</w:t>
      </w:r>
      <w:r>
        <w:rPr>
          <w:rFonts w:ascii="Times New Roman;serif" w:hAnsi="Times New Roman;serif"/>
          <w:b w:val="false"/>
          <w:color w:val="000000"/>
          <w:sz w:val="24"/>
          <w:u w:val="single"/>
        </w:rPr>
        <w:t>Legal Construction</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8.1</w:t>
      </w:r>
      <w:r>
        <w:rPr>
          <w:rFonts w:ascii="Times New Roman;serif" w:hAnsi="Times New Roman;serif"/>
          <w:b w:val="false"/>
          <w:color w:val="000000"/>
          <w:sz w:val="24"/>
          <w:u w:val="single"/>
        </w:rPr>
        <w:t>Gender and Number</w:t>
      </w:r>
      <w:r>
        <w:rPr>
          <w:rFonts w:ascii="Times New Roman;serif" w:hAnsi="Times New Roman;serif"/>
          <w:b w:val="false"/>
          <w:color w:val="000000"/>
          <w:sz w:val="24"/>
        </w:rPr>
        <w:t>. Unless otherwise indicated by the context, any feminine term used herein also will include the masculine and any masculine term used herein also will include the feminine; the plural will include the singular and the singular will include the plural.</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8.2</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if the invalid, illegal, or unenforceable provision had not been included.</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8.3</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The Plan and all awards will be construed in accordance with and governed by the laws of the State of Delaware, but without regard to its conflict of law provisions.</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8.4</w:t>
      </w:r>
      <w:r>
        <w:rPr>
          <w:rFonts w:ascii="Times New Roman;serif" w:hAnsi="Times New Roman;serif"/>
          <w:b w:val="false"/>
          <w:color w:val="000000"/>
          <w:sz w:val="24"/>
          <w:u w:val="single"/>
        </w:rPr>
        <w:t>Bonus Plan</w:t>
      </w:r>
      <w:r>
        <w:rPr>
          <w:rFonts w:ascii="Times New Roman;serif" w:hAnsi="Times New Roman;serif"/>
          <w:b w:val="false"/>
          <w:color w:val="000000"/>
          <w:sz w:val="24"/>
        </w:rPr>
        <w:t>. The Plan is intended to be a “bonus program” as defined under U.S. Department of Labor regulations section 2510.3-2(c) and will be construed and administered in accordance with such intention.</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8.5</w:t>
      </w:r>
      <w:r>
        <w:rPr>
          <w:rFonts w:ascii="Times New Roman;serif" w:hAnsi="Times New Roman;serif"/>
          <w:b w:val="false"/>
          <w:color w:val="000000"/>
          <w:sz w:val="24"/>
          <w:u w:val="single"/>
        </w:rPr>
        <w:t>Headings</w:t>
      </w:r>
      <w:r>
        <w:rPr>
          <w:rFonts w:ascii="Times New Roman;serif" w:hAnsi="Times New Roman;serif"/>
          <w:b w:val="false"/>
          <w:color w:val="000000"/>
          <w:sz w:val="24"/>
        </w:rPr>
        <w:t>. Headings are provided herein for convenience only, and will not serve as a basis for interpretation or construction of the Plan.</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60655"/>
                <wp:effectExtent l="0" t="0" r="0" b="0"/>
                <wp:wrapNone/>
                <wp:docPr id="413"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4"/>
          <w:u w:val="single"/>
        </w:rPr>
        <w:t>Compliance with Applicable Laws</w:t>
      </w:r>
      <w:r>
        <w:rPr>
          <w:rFonts w:ascii="Times New Roman;serif" w:hAnsi="Times New Roman;serif"/>
          <w:b w:val="false"/>
          <w:color w:val="000000"/>
          <w:sz w:val="24"/>
        </w:rPr>
        <w:t>. Awards under the Plan (including without limitation the granting of such awards) will be subject to all applicable laws, rules and regulations, and to such approvals by any governmental agencies or national securities exchanges as may be required.</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60655"/>
                <wp:effectExtent l="0" t="0" r="0" b="0"/>
                <wp:wrapNone/>
                <wp:docPr id="414"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Exhibit 21.1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LIST OF SUBSIDIARIES</w:t>
      </w:r>
    </w:p>
    <w:tbl>
      <w:tblPr>
        <w:tblW w:w="6921" w:type="dxa"/>
        <w:jc w:val="left"/>
        <w:tblInd w:w="0" w:type="dxa"/>
        <w:tblLayout w:type="fixed"/>
        <w:tblCellMar>
          <w:top w:w="28" w:type="dxa"/>
          <w:left w:w="28" w:type="dxa"/>
          <w:bottom w:w="28" w:type="dxa"/>
          <w:right w:w="28" w:type="dxa"/>
        </w:tblCellMar>
      </w:tblPr>
      <w:tblGrid>
        <w:gridCol w:w="1222"/>
        <w:gridCol w:w="1075"/>
        <w:gridCol w:w="1078"/>
        <w:gridCol w:w="759"/>
        <w:gridCol w:w="759"/>
        <w:gridCol w:w="762"/>
        <w:gridCol w:w="370"/>
        <w:gridCol w:w="370"/>
        <w:gridCol w:w="526"/>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Subsidiary name</w:t>
            </w:r>
          </w:p>
        </w:tc>
        <w:tc>
          <w:tcPr>
            <w:tcW w:w="22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Jurisdiction</w:t>
            </w:r>
          </w:p>
        </w:tc>
        <w:tc>
          <w:tcPr>
            <w:tcW w:w="1266" w:type="dxa"/>
            <w:gridSpan w:val="3"/>
            <w:tcBorders/>
            <w:tcMar>
              <w:top w:w="0" w:type="dxa"/>
              <w:left w:w="0" w:type="dxa"/>
              <w:bottom w:w="0" w:type="dxa"/>
              <w:right w:w="0" w:type="dxa"/>
            </w:tcMar>
            <w:vAlign w:val="center"/>
          </w:tcPr>
          <w:p>
            <w:pPr>
              <w:pStyle w:val="TableContents"/>
              <w:bidi w:val="0"/>
              <w:spacing w:lineRule="auto" w:line="276" w:before="0" w:after="0"/>
              <w:ind w:left="0" w:right="0" w:firstLine="350"/>
              <w:jc w:val="left"/>
              <w:rPr>
                <w:rFonts w:ascii="Times New Roman;serif" w:hAnsi="Times New Roman;serif"/>
                <w:b/>
                <w:color w:val="000000"/>
                <w:sz w:val="20"/>
              </w:rPr>
            </w:pPr>
            <w:r>
              <w:rPr>
                <w:rFonts w:ascii="Times New Roman;serif" w:hAnsi="Times New Roman;serif"/>
                <w:b/>
                <w:color w:val="000000"/>
                <w:sz w:val="20"/>
              </w:rPr>
              <w:t>Type</w:t>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Pacific Biosciences International LLC</w:t>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ind w:left="0" w:right="0" w:firstLine="350"/>
              <w:jc w:val="left"/>
              <w:rPr>
                <w:rFonts w:ascii="Times New Roman;serif" w:hAnsi="Times New Roman;serif"/>
                <w:b w:val="false"/>
                <w:color w:val="000000"/>
                <w:sz w:val="20"/>
              </w:rPr>
            </w:pPr>
            <w:r>
              <w:rPr>
                <w:rFonts w:ascii="Times New Roman;serif" w:hAnsi="Times New Roman;serif"/>
                <w:b w:val="false"/>
                <w:color w:val="000000"/>
                <w:sz w:val="20"/>
              </w:rPr>
              <w:t>Domestic</w:t>
            </w:r>
          </w:p>
        </w:tc>
      </w:tr>
      <w:tr>
        <w:trPr/>
        <w:tc>
          <w:tcPr>
            <w:tcW w:w="33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Pacific Biosciences Canada Limited</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Canada (Ontario)</w:t>
            </w:r>
          </w:p>
        </w:tc>
        <w:tc>
          <w:tcPr>
            <w:tcW w:w="126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50"/>
              <w:jc w:val="left"/>
              <w:rPr>
                <w:rFonts w:ascii="Times New Roman;serif" w:hAnsi="Times New Roman;serif"/>
                <w:b w:val="false"/>
                <w:color w:val="000000"/>
                <w:sz w:val="20"/>
              </w:rPr>
            </w:pPr>
            <w:r>
              <w:rPr>
                <w:rFonts w:ascii="Times New Roman;serif" w:hAnsi="Times New Roman;serif"/>
                <w:b w:val="false"/>
                <w:color w:val="000000"/>
                <w:sz w:val="20"/>
              </w:rPr>
              <w:t>Foreign</w:t>
            </w:r>
          </w:p>
        </w:tc>
      </w:tr>
      <w:tr>
        <w:trPr/>
        <w:tc>
          <w:tcPr>
            <w:tcW w:w="33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Pacific Biosciences Germany GmbH</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Germany (Munich)</w:t>
            </w:r>
          </w:p>
        </w:tc>
        <w:tc>
          <w:tcPr>
            <w:tcW w:w="126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50"/>
              <w:jc w:val="left"/>
              <w:rPr>
                <w:rFonts w:ascii="Times New Roman;serif" w:hAnsi="Times New Roman;serif"/>
                <w:b w:val="false"/>
                <w:color w:val="000000"/>
                <w:sz w:val="20"/>
              </w:rPr>
            </w:pPr>
            <w:r>
              <w:rPr>
                <w:rFonts w:ascii="Times New Roman;serif" w:hAnsi="Times New Roman;serif"/>
                <w:b w:val="false"/>
                <w:color w:val="000000"/>
                <w:sz w:val="20"/>
              </w:rPr>
              <w:t>Foreign</w:t>
            </w:r>
          </w:p>
        </w:tc>
      </w:tr>
      <w:tr>
        <w:trPr/>
        <w:tc>
          <w:tcPr>
            <w:tcW w:w="33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Pacific Biosciences Japan GK</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Japan (Tokyo)</w:t>
            </w:r>
          </w:p>
        </w:tc>
        <w:tc>
          <w:tcPr>
            <w:tcW w:w="126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50"/>
              <w:jc w:val="left"/>
              <w:rPr>
                <w:rFonts w:ascii="Times New Roman;serif" w:hAnsi="Times New Roman;serif"/>
                <w:b w:val="false"/>
                <w:color w:val="000000"/>
                <w:sz w:val="20"/>
              </w:rPr>
            </w:pPr>
            <w:r>
              <w:rPr>
                <w:rFonts w:ascii="Times New Roman;serif" w:hAnsi="Times New Roman;serif"/>
                <w:b w:val="false"/>
                <w:color w:val="000000"/>
                <w:sz w:val="20"/>
              </w:rPr>
              <w:t>Foreign</w:t>
            </w:r>
          </w:p>
        </w:tc>
      </w:tr>
      <w:tr>
        <w:trPr/>
        <w:tc>
          <w:tcPr>
            <w:tcW w:w="33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Pacific Biosciences (Shanghai) Co., Ltd.</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China (Shanghai)</w:t>
            </w:r>
          </w:p>
        </w:tc>
        <w:tc>
          <w:tcPr>
            <w:tcW w:w="126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50"/>
              <w:jc w:val="left"/>
              <w:rPr>
                <w:rFonts w:ascii="Times New Roman;serif" w:hAnsi="Times New Roman;serif"/>
                <w:b w:val="false"/>
                <w:color w:val="000000"/>
                <w:sz w:val="20"/>
              </w:rPr>
            </w:pPr>
            <w:r>
              <w:rPr>
                <w:rFonts w:ascii="Times New Roman;serif" w:hAnsi="Times New Roman;serif"/>
                <w:b w:val="false"/>
                <w:color w:val="000000"/>
                <w:sz w:val="20"/>
              </w:rPr>
              <w:t>Foreign</w:t>
            </w:r>
          </w:p>
        </w:tc>
      </w:tr>
      <w:tr>
        <w:trPr/>
        <w:tc>
          <w:tcPr>
            <w:tcW w:w="33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PacBio Singapore Pte. Limited</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26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50"/>
              <w:jc w:val="left"/>
              <w:rPr>
                <w:rFonts w:ascii="Times New Roman;serif" w:hAnsi="Times New Roman;serif"/>
                <w:b w:val="false"/>
                <w:color w:val="000000"/>
                <w:sz w:val="20"/>
              </w:rPr>
            </w:pPr>
            <w:r>
              <w:rPr>
                <w:rFonts w:ascii="Times New Roman;serif" w:hAnsi="Times New Roman;serif"/>
                <w:b w:val="false"/>
                <w:color w:val="000000"/>
                <w:sz w:val="20"/>
              </w:rPr>
              <w:t>Foreign</w:t>
            </w:r>
          </w:p>
        </w:tc>
      </w:tr>
      <w:tr>
        <w:trPr/>
        <w:tc>
          <w:tcPr>
            <w:tcW w:w="33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Pacific Biosciences UK, Ltd.</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(London)</w:t>
            </w:r>
          </w:p>
        </w:tc>
        <w:tc>
          <w:tcPr>
            <w:tcW w:w="126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50"/>
              <w:jc w:val="left"/>
              <w:rPr>
                <w:rFonts w:ascii="Times New Roman;serif" w:hAnsi="Times New Roman;serif"/>
                <w:b w:val="false"/>
                <w:color w:val="000000"/>
                <w:sz w:val="20"/>
              </w:rPr>
            </w:pPr>
            <w:r>
              <w:rPr>
                <w:rFonts w:ascii="Times New Roman;serif" w:hAnsi="Times New Roman;serif"/>
                <w:b w:val="false"/>
                <w:color w:val="000000"/>
                <w:sz w:val="20"/>
              </w:rPr>
              <w:t>Foreign</w:t>
            </w:r>
          </w:p>
        </w:tc>
      </w:tr>
      <w:tr>
        <w:trPr/>
        <w:tc>
          <w:tcPr>
            <w:tcW w:w="33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Omniome, LLC</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126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50"/>
              <w:jc w:val="left"/>
              <w:rPr>
                <w:rFonts w:ascii="Times New Roman;serif" w:hAnsi="Times New Roman;serif"/>
                <w:b w:val="false"/>
                <w:color w:val="000000"/>
                <w:sz w:val="20"/>
              </w:rPr>
            </w:pPr>
            <w:r>
              <w:rPr>
                <w:rFonts w:ascii="Times New Roman;serif" w:hAnsi="Times New Roman;serif"/>
                <w:b w:val="false"/>
                <w:color w:val="000000"/>
                <w:sz w:val="20"/>
              </w:rPr>
              <w:t>Domestic</w:t>
            </w:r>
          </w:p>
        </w:tc>
      </w:tr>
      <w:tr>
        <w:trPr/>
        <w:tc>
          <w:tcPr>
            <w:tcW w:w="33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Circulomics Inc.</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126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50"/>
              <w:jc w:val="left"/>
              <w:rPr>
                <w:rFonts w:ascii="Times New Roman;serif" w:hAnsi="Times New Roman;serif"/>
                <w:b w:val="false"/>
                <w:color w:val="000000"/>
                <w:sz w:val="20"/>
              </w:rPr>
            </w:pPr>
            <w:r>
              <w:rPr>
                <w:rFonts w:ascii="Times New Roman;serif" w:hAnsi="Times New Roman;serif"/>
                <w:b w:val="false"/>
                <w:color w:val="000000"/>
                <w:sz w:val="20"/>
              </w:rPr>
              <w:t>Domestic</w:t>
            </w:r>
          </w:p>
        </w:tc>
      </w:tr>
      <w:tr>
        <w:trPr/>
        <w:tc>
          <w:tcPr>
            <w:tcW w:w="33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PacBio B.V.</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Netherlands (Amsterdam)</w:t>
            </w:r>
          </w:p>
        </w:tc>
        <w:tc>
          <w:tcPr>
            <w:tcW w:w="126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50"/>
              <w:jc w:val="left"/>
              <w:rPr>
                <w:rFonts w:ascii="Times New Roman;serif" w:hAnsi="Times New Roman;serif"/>
                <w:b w:val="false"/>
                <w:color w:val="000000"/>
                <w:sz w:val="20"/>
              </w:rPr>
            </w:pPr>
            <w:r>
              <w:rPr>
                <w:rFonts w:ascii="Times New Roman;serif" w:hAnsi="Times New Roman;serif"/>
                <w:b w:val="false"/>
                <w:color w:val="000000"/>
                <w:sz w:val="20"/>
              </w:rPr>
              <w:t>Foreign</w:t>
            </w:r>
          </w:p>
        </w:tc>
      </w:tr>
      <w:tr>
        <w:trPr/>
        <w:tc>
          <w:tcPr>
            <w:tcW w:w="33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PacBio of Korea, Yuhan Hoesa</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126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50"/>
              <w:jc w:val="left"/>
              <w:rPr>
                <w:rFonts w:ascii="Times New Roman;serif" w:hAnsi="Times New Roman;serif"/>
                <w:b w:val="false"/>
                <w:color w:val="000000"/>
                <w:sz w:val="20"/>
              </w:rPr>
            </w:pPr>
            <w:r>
              <w:rPr>
                <w:rFonts w:ascii="Times New Roman;serif" w:hAnsi="Times New Roman;serif"/>
                <w:b w:val="false"/>
                <w:color w:val="000000"/>
                <w:sz w:val="20"/>
              </w:rPr>
              <w:t>Foreign</w:t>
            </w:r>
          </w:p>
        </w:tc>
      </w:tr>
      <w:tr>
        <w:trPr/>
        <w:tc>
          <w:tcPr>
            <w:tcW w:w="33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Apton Biosystems LLC</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126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50"/>
              <w:jc w:val="left"/>
              <w:rPr>
                <w:rFonts w:ascii="Times New Roman;serif" w:hAnsi="Times New Roman;serif"/>
                <w:b w:val="false"/>
                <w:color w:val="000000"/>
                <w:sz w:val="20"/>
              </w:rPr>
            </w:pPr>
            <w:r>
              <w:rPr>
                <w:rFonts w:ascii="Times New Roman;serif" w:hAnsi="Times New Roman;serif"/>
                <w:b w:val="false"/>
                <w:color w:val="000000"/>
                <w:sz w:val="20"/>
              </w:rPr>
              <w:t>Domestic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415"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2"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(1)Registration Statements (Forms S-8 Nos. 333-241687, 333-251153, 333-253669, 333-255342, 333-259671, 333-261251, 333-263101, 333-265249, 333-270122, 333-277486, 333-280353, 333-285848 and 333-289383) pertaining to the Pacific Biosciences of California, Inc. 2010 Employee Stock Purchase Plan, the Pacific Biosciences of California, Inc. 2020 Equity Incentive Plan, the Pacific Biosciences of California, Inc. 2020 Inducement Equity Incentive Plan, and the Omniome Equity Incentive Plan of Pacific Biosciences of California, Inc.,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(2)Registration Statements and Post-Effective Amendments No. 1 to the Registration Statements (Forms S-8 Nos. 333-170211, 333-179810, 333-186065, 333-193437, 333-201678, 333-209157, 333-215746, 333-222696, 333-229368, and 333-236061) pertaining to the Pacific Biosciences of California, Inc. 2010 Equity Incentive Plan, the Pacific Biosciences of California, Inc. 2010 Employee Stock Purchase Plan, the Pacific Biosciences of California, Inc. 2010 Outside Director Equity Incentive Plan, the Pacific Biosciences of California, Inc. 2005 Stock Plan and the Pacific Biosciences of California, Inc. 2004 Equity Incentive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our reports dated February 25, 2026, with respect to the consolidated financial statements of Pacific Biosciences of California, Inc. and the effectiveness of internal control over financial reporting of Pacific Biosciences of California, Inc. included in this Annual Report (Form 10-K) of Pacific Biosciences of California, Inc. for the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Mateo,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416"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EXCHANGE ACT RULES 13a-14(a)/15d-14(a), AS ADOPTED PURSUANT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 SECTION 302 OF THE SARBANES-OXLEY ACT OF 2002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Christian Henry, certify that: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annual report on Form 10-K of Pacific Biosciences of California, Inc.;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2.</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3.</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4.</w:t>
      </w:r>
      <w:r>
        <w:rPr>
          <w:rFonts w:ascii="Times New Roman;serif" w:hAnsi="Times New Roman;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c)</w:t>
      </w:r>
      <w:r>
        <w:rPr>
          <w:rFonts w:ascii="Times New Roman;serif" w:hAnsi="Times New Roman;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d)</w:t>
      </w:r>
      <w:r>
        <w:rPr>
          <w:rFonts w:ascii="Times New Roman;serif" w:hAnsi="Times New Roman;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5.</w:t>
      </w:r>
      <w:r>
        <w:rPr>
          <w:rFonts w:ascii="Times New Roman;serif" w:hAnsi="Times New Roman;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tbl>
      <w:tblPr>
        <w:tblW w:w="3630" w:type="dxa"/>
        <w:jc w:val="left"/>
        <w:tblInd w:w="0" w:type="dxa"/>
        <w:tblLayout w:type="fixed"/>
        <w:tblCellMar>
          <w:top w:w="28" w:type="dxa"/>
          <w:left w:w="28" w:type="dxa"/>
          <w:bottom w:w="28" w:type="dxa"/>
          <w:right w:w="28" w:type="dxa"/>
        </w:tblCellMar>
      </w:tblPr>
      <w:tblGrid>
        <w:gridCol w:w="151"/>
        <w:gridCol w:w="134"/>
        <w:gridCol w:w="135"/>
        <w:gridCol w:w="939"/>
        <w:gridCol w:w="939"/>
        <w:gridCol w:w="1332"/>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Christian O. Henry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Christian O. Henry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417"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EXCHANGE ACT RULES 13a-14(a)/15d-14(a), AS ADOPTED PURSUANT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 SECTION 302 OF THE SARBANES-OXLEY ACT OF 2002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Jim Gibson, certify that: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annual report on Form 10-K of Pacific Biosciences of California, Inc.;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2.</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3.</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4.</w:t>
      </w:r>
      <w:r>
        <w:rPr>
          <w:rFonts w:ascii="Times New Roman;serif" w:hAnsi="Times New Roman;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c)</w:t>
      </w:r>
      <w:r>
        <w:rPr>
          <w:rFonts w:ascii="Times New Roman;serif" w:hAnsi="Times New Roman;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d)</w:t>
      </w:r>
      <w:r>
        <w:rPr>
          <w:rFonts w:ascii="Times New Roman;serif" w:hAnsi="Times New Roman;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5.</w:t>
      </w:r>
      <w:r>
        <w:rPr>
          <w:rFonts w:ascii="Times New Roman;serif" w:hAnsi="Times New Roman;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tbl>
      <w:tblPr>
        <w:tblW w:w="2834" w:type="dxa"/>
        <w:jc w:val="right"/>
        <w:tblInd w:w="0" w:type="dxa"/>
        <w:tblLayout w:type="fixed"/>
        <w:tblCellMar>
          <w:top w:w="28" w:type="dxa"/>
          <w:left w:w="28" w:type="dxa"/>
          <w:bottom w:w="28" w:type="dxa"/>
          <w:right w:w="28" w:type="dxa"/>
        </w:tblCellMar>
      </w:tblPr>
      <w:tblGrid>
        <w:gridCol w:w="151"/>
        <w:gridCol w:w="134"/>
        <w:gridCol w:w="135"/>
        <w:gridCol w:w="705"/>
        <w:gridCol w:w="705"/>
        <w:gridCol w:w="100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Jim R. Gibson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Jim R. Gibson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418"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CEO Furnished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Annual Report of Pacific Biosciences of California, Inc. (the “Company”) on Form 10-K for the period ended December 31, 2025,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 </w:t>
      </w:r>
    </w:p>
    <w:p>
      <w:pPr>
        <w:pStyle w:val="TextBody"/>
        <w:bidi w:val="0"/>
        <w:spacing w:lineRule="auto" w:line="288" w:before="120" w:after="283"/>
        <w:ind w:left="0" w:right="0" w:firstLine="360"/>
        <w:jc w:val="left"/>
        <w:rPr/>
      </w:pPr>
      <w:r>
        <w:rPr>
          <w:rFonts w:ascii="Times New Roman;serif" w:hAnsi="Times New Roman;serif"/>
          <w:b w:val="false"/>
          <w:color w:val="000000"/>
          <w:sz w:val="20"/>
        </w:rPr>
        <w:t>(i)</w:t>
      </w:r>
      <w:r>
        <w:rPr>
          <w:rFonts w:ascii="Times New Roman;serif" w:hAnsi="Times New Roman;serif"/>
          <w:b w:val="false"/>
          <w:color w:val="000000"/>
          <w:sz w:val="20"/>
        </w:rPr>
        <w:t xml:space="preserve">the Annual Report of the Company on Form 10-K for the period ended December 31, 2025 (the “Report”), fully complies with the requirements of section 13(a) or 15(d) of the Securities Exchange Act of 1934, and </w:t>
      </w:r>
    </w:p>
    <w:p>
      <w:pPr>
        <w:pStyle w:val="TextBody"/>
        <w:bidi w:val="0"/>
        <w:spacing w:lineRule="auto" w:line="288" w:before="120" w:after="283"/>
        <w:ind w:left="0" w:right="0" w:firstLine="360"/>
        <w:jc w:val="left"/>
        <w:rPr/>
      </w:pPr>
      <w:r>
        <w:rPr>
          <w:rFonts w:ascii="Times New Roman;serif" w:hAnsi="Times New Roman;serif"/>
          <w:b w:val="false"/>
          <w:color w:val="000000"/>
          <w:sz w:val="20"/>
        </w:rPr>
        <w:t>(ii)</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tbl>
      <w:tblPr>
        <w:tblW w:w="5295" w:type="dxa"/>
        <w:jc w:val="left"/>
        <w:tblInd w:w="0" w:type="dxa"/>
        <w:tblLayout w:type="fixed"/>
        <w:tblCellMar>
          <w:top w:w="28" w:type="dxa"/>
          <w:left w:w="28" w:type="dxa"/>
          <w:bottom w:w="28" w:type="dxa"/>
          <w:right w:w="28" w:type="dxa"/>
        </w:tblCellMar>
      </w:tblPr>
      <w:tblGrid>
        <w:gridCol w:w="754"/>
        <w:gridCol w:w="664"/>
        <w:gridCol w:w="667"/>
        <w:gridCol w:w="939"/>
        <w:gridCol w:w="939"/>
        <w:gridCol w:w="133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Christian O. Henry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Christian O. Henry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419"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CFO Furnished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Annual Report of Pacific Biosciences of California, Inc. (the “Company”) on Form 10-K for the period ended December 31, 2025, as filed with the Securities and Exchange Commission on the date hereof, I, Jim Gibson, Chief Financial Officer of the Company, certify for the purposes of section 1350 of chapter 63 of title 18 of the United States Code, as adopted pursuant to Section 906 of the Sarbanes-Oxley Act of 2002, that, to the best of my knowledge, </w:t>
      </w:r>
    </w:p>
    <w:p>
      <w:pPr>
        <w:pStyle w:val="TextBody"/>
        <w:bidi w:val="0"/>
        <w:spacing w:lineRule="auto" w:line="288" w:before="120" w:after="283"/>
        <w:ind w:left="0" w:right="0" w:firstLine="360"/>
        <w:jc w:val="left"/>
        <w:rPr/>
      </w:pPr>
      <w:r>
        <w:rPr>
          <w:rFonts w:ascii="Times New Roman;serif" w:hAnsi="Times New Roman;serif"/>
          <w:b w:val="false"/>
          <w:color w:val="000000"/>
          <w:sz w:val="20"/>
        </w:rPr>
        <w:t>(i)</w:t>
      </w:r>
      <w:r>
        <w:rPr>
          <w:rFonts w:ascii="Times New Roman;serif" w:hAnsi="Times New Roman;serif"/>
          <w:b w:val="false"/>
          <w:color w:val="000000"/>
          <w:sz w:val="20"/>
        </w:rPr>
        <w:t xml:space="preserve">the Annual Report of the Company on Form 10-K for the period ended December 31, 2025 (the “Report”), fully complies with the requirements of section 13(a) or 15(d) of the Securities Exchange Act of 1934, and </w:t>
      </w:r>
    </w:p>
    <w:p>
      <w:pPr>
        <w:pStyle w:val="TextBody"/>
        <w:bidi w:val="0"/>
        <w:spacing w:lineRule="auto" w:line="288" w:before="120" w:after="283"/>
        <w:ind w:left="0" w:right="0" w:firstLine="360"/>
        <w:jc w:val="left"/>
        <w:rPr/>
      </w:pPr>
      <w:r>
        <w:rPr>
          <w:rFonts w:ascii="Times New Roman;serif" w:hAnsi="Times New Roman;serif"/>
          <w:b w:val="false"/>
          <w:color w:val="000000"/>
          <w:sz w:val="20"/>
        </w:rPr>
        <w:t>(ii)</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tbl>
      <w:tblPr>
        <w:tblW w:w="4499" w:type="dxa"/>
        <w:jc w:val="left"/>
        <w:tblInd w:w="0" w:type="dxa"/>
        <w:tblLayout w:type="fixed"/>
        <w:tblCellMar>
          <w:top w:w="28" w:type="dxa"/>
          <w:left w:w="28" w:type="dxa"/>
          <w:bottom w:w="28" w:type="dxa"/>
          <w:right w:w="28" w:type="dxa"/>
        </w:tblCellMar>
      </w:tblPr>
      <w:tblGrid>
        <w:gridCol w:w="754"/>
        <w:gridCol w:w="664"/>
        <w:gridCol w:w="667"/>
        <w:gridCol w:w="705"/>
        <w:gridCol w:w="705"/>
        <w:gridCol w:w="100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Jim R. Gibson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Jim R. Gibson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420"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Roboto">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3.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1.jpeg"/><Relationship Id="rId76" Type="http://schemas.openxmlformats.org/officeDocument/2006/relationships/image" Target="media/image1.jpeg"/><Relationship Id="rId77" Type="http://schemas.openxmlformats.org/officeDocument/2006/relationships/image" Target="media/image1.jpeg"/><Relationship Id="rId78" Type="http://schemas.openxmlformats.org/officeDocument/2006/relationships/image" Target="media/image1.jpeg"/><Relationship Id="rId79" Type="http://schemas.openxmlformats.org/officeDocument/2006/relationships/image" Target="media/image1.jpeg"/><Relationship Id="rId80" Type="http://schemas.openxmlformats.org/officeDocument/2006/relationships/image" Target="media/image1.jpeg"/><Relationship Id="rId81" Type="http://schemas.openxmlformats.org/officeDocument/2006/relationships/image" Target="media/image1.jpeg"/><Relationship Id="rId82" Type="http://schemas.openxmlformats.org/officeDocument/2006/relationships/image" Target="media/image1.jpeg"/><Relationship Id="rId83" Type="http://schemas.openxmlformats.org/officeDocument/2006/relationships/image" Target="media/image1.jpeg"/><Relationship Id="rId84" Type="http://schemas.openxmlformats.org/officeDocument/2006/relationships/image" Target="media/image1.jpeg"/><Relationship Id="rId85" Type="http://schemas.openxmlformats.org/officeDocument/2006/relationships/image" Target="media/image1.jpeg"/><Relationship Id="rId86" Type="http://schemas.openxmlformats.org/officeDocument/2006/relationships/image" Target="media/image1.jpeg"/><Relationship Id="rId87" Type="http://schemas.openxmlformats.org/officeDocument/2006/relationships/image" Target="media/image1.jpeg"/><Relationship Id="rId88" Type="http://schemas.openxmlformats.org/officeDocument/2006/relationships/image" Target="media/image1.jpeg"/><Relationship Id="rId89" Type="http://schemas.openxmlformats.org/officeDocument/2006/relationships/image" Target="media/image1.jpeg"/><Relationship Id="rId90" Type="http://schemas.openxmlformats.org/officeDocument/2006/relationships/image" Target="media/image1.jpeg"/><Relationship Id="rId91" Type="http://schemas.openxmlformats.org/officeDocument/2006/relationships/image" Target="media/image1.jpeg"/><Relationship Id="rId92" Type="http://schemas.openxmlformats.org/officeDocument/2006/relationships/image" Target="media/image1.jpeg"/><Relationship Id="rId93" Type="http://schemas.openxmlformats.org/officeDocument/2006/relationships/image" Target="media/image1.jpeg"/><Relationship Id="rId94" Type="http://schemas.openxmlformats.org/officeDocument/2006/relationships/image" Target="media/image1.jpeg"/><Relationship Id="rId95" Type="http://schemas.openxmlformats.org/officeDocument/2006/relationships/image" Target="media/image1.jpeg"/><Relationship Id="rId96" Type="http://schemas.openxmlformats.org/officeDocument/2006/relationships/image" Target="media/image1.jpeg"/><Relationship Id="rId97" Type="http://schemas.openxmlformats.org/officeDocument/2006/relationships/image" Target="media/image1.jpeg"/><Relationship Id="rId98" Type="http://schemas.openxmlformats.org/officeDocument/2006/relationships/image" Target="media/image1.jpeg"/><Relationship Id="rId99" Type="http://schemas.openxmlformats.org/officeDocument/2006/relationships/image" Target="media/image1.jpeg"/><Relationship Id="rId100" Type="http://schemas.openxmlformats.org/officeDocument/2006/relationships/image" Target="media/image1.jpeg"/><Relationship Id="rId101" Type="http://schemas.openxmlformats.org/officeDocument/2006/relationships/image" Target="media/image1.jpeg"/><Relationship Id="rId102" Type="http://schemas.openxmlformats.org/officeDocument/2006/relationships/image" Target="media/image1.jpeg"/><Relationship Id="rId103" Type="http://schemas.openxmlformats.org/officeDocument/2006/relationships/image" Target="media/image1.jpeg"/><Relationship Id="rId104" Type="http://schemas.openxmlformats.org/officeDocument/2006/relationships/image" Target="media/image1.jpeg"/><Relationship Id="rId105" Type="http://schemas.openxmlformats.org/officeDocument/2006/relationships/image" Target="media/image1.jpeg"/><Relationship Id="rId106" Type="http://schemas.openxmlformats.org/officeDocument/2006/relationships/image" Target="media/image1.jpeg"/><Relationship Id="rId107" Type="http://schemas.openxmlformats.org/officeDocument/2006/relationships/image" Target="media/image1.jpeg"/><Relationship Id="rId108" Type="http://schemas.openxmlformats.org/officeDocument/2006/relationships/image" Target="media/image1.jpeg"/><Relationship Id="rId109" Type="http://schemas.openxmlformats.org/officeDocument/2006/relationships/image" Target="media/image1.jpeg"/><Relationship Id="rId110" Type="http://schemas.openxmlformats.org/officeDocument/2006/relationships/image" Target="media/image1.jpeg"/><Relationship Id="rId111" Type="http://schemas.openxmlformats.org/officeDocument/2006/relationships/image" Target="media/image1.jpeg"/><Relationship Id="rId112" Type="http://schemas.openxmlformats.org/officeDocument/2006/relationships/image" Target="media/image1.jpeg"/><Relationship Id="rId113" Type="http://schemas.openxmlformats.org/officeDocument/2006/relationships/image" Target="media/image1.jpeg"/><Relationship Id="rId114" Type="http://schemas.openxmlformats.org/officeDocument/2006/relationships/image" Target="media/image1.jpeg"/><Relationship Id="rId115" Type="http://schemas.openxmlformats.org/officeDocument/2006/relationships/image" Target="media/image1.jpeg"/><Relationship Id="rId116" Type="http://schemas.openxmlformats.org/officeDocument/2006/relationships/image" Target="media/image1.jpeg"/><Relationship Id="rId117" Type="http://schemas.openxmlformats.org/officeDocument/2006/relationships/image" Target="media/image4.jpeg"/><Relationship Id="rId118" Type="http://schemas.openxmlformats.org/officeDocument/2006/relationships/image" Target="media/image1.jpeg"/><Relationship Id="rId119" Type="http://schemas.openxmlformats.org/officeDocument/2006/relationships/image" Target="media/image1.jpeg"/><Relationship Id="rId120" Type="http://schemas.openxmlformats.org/officeDocument/2006/relationships/image" Target="media/image1.jpeg"/><Relationship Id="rId121" Type="http://schemas.openxmlformats.org/officeDocument/2006/relationships/image" Target="media/image1.jpeg"/><Relationship Id="rId122" Type="http://schemas.openxmlformats.org/officeDocument/2006/relationships/image" Target="media/image1.jpeg"/><Relationship Id="rId123" Type="http://schemas.openxmlformats.org/officeDocument/2006/relationships/image" Target="media/image1.jpeg"/><Relationship Id="rId124" Type="http://schemas.openxmlformats.org/officeDocument/2006/relationships/image" Target="media/image1.jpeg"/><Relationship Id="rId125" Type="http://schemas.openxmlformats.org/officeDocument/2006/relationships/image" Target="media/image1.jpeg"/><Relationship Id="rId126" Type="http://schemas.openxmlformats.org/officeDocument/2006/relationships/hyperlink" Target="https://www.sec.gov/ix?doc=/Archives/edgar/data/0001299130/000129913025000061/pacb-20241231.htm" TargetMode="External"/><Relationship Id="rId127" Type="http://schemas.openxmlformats.org/officeDocument/2006/relationships/image" Target="media/image1.jpeg"/><Relationship Id="rId128" Type="http://schemas.openxmlformats.org/officeDocument/2006/relationships/image" Target="media/image1.jpeg"/><Relationship Id="rId129" Type="http://schemas.openxmlformats.org/officeDocument/2006/relationships/image" Target="media/image5.jpeg"/><Relationship Id="rId130" Type="http://schemas.openxmlformats.org/officeDocument/2006/relationships/image" Target="media/image6.jpeg"/><Relationship Id="rId131" Type="http://schemas.openxmlformats.org/officeDocument/2006/relationships/image" Target="media/image7.jpeg"/><Relationship Id="rId132" Type="http://schemas.openxmlformats.org/officeDocument/2006/relationships/image" Target="media/image1.jpeg"/><Relationship Id="rId133" Type="http://schemas.openxmlformats.org/officeDocument/2006/relationships/image" Target="media/image1.jpeg"/><Relationship Id="rId134" Type="http://schemas.openxmlformats.org/officeDocument/2006/relationships/image" Target="media/image1.jpeg"/><Relationship Id="rId135" Type="http://schemas.openxmlformats.org/officeDocument/2006/relationships/image" Target="media/image1.jpeg"/><Relationship Id="rId136" Type="http://schemas.openxmlformats.org/officeDocument/2006/relationships/image" Target="media/image1.jpeg"/><Relationship Id="rId137" Type="http://schemas.openxmlformats.org/officeDocument/2006/relationships/image" Target="media/image1.jpeg"/><Relationship Id="rId138" Type="http://schemas.openxmlformats.org/officeDocument/2006/relationships/image" Target="media/image1.jpeg"/><Relationship Id="rId139" Type="http://schemas.openxmlformats.org/officeDocument/2006/relationships/image" Target="media/image1.jpeg"/><Relationship Id="rId140" Type="http://schemas.openxmlformats.org/officeDocument/2006/relationships/image" Target="media/image1.jpeg"/><Relationship Id="rId141" Type="http://schemas.openxmlformats.org/officeDocument/2006/relationships/image" Target="media/image1.jpeg"/><Relationship Id="rId142" Type="http://schemas.openxmlformats.org/officeDocument/2006/relationships/image" Target="media/image1.jpeg"/><Relationship Id="rId143" Type="http://schemas.openxmlformats.org/officeDocument/2006/relationships/image" Target="media/image1.jpeg"/><Relationship Id="rId144" Type="http://schemas.openxmlformats.org/officeDocument/2006/relationships/image" Target="media/image1.jpeg"/><Relationship Id="rId145" Type="http://schemas.openxmlformats.org/officeDocument/2006/relationships/image" Target="media/image1.jpeg"/><Relationship Id="rId146" Type="http://schemas.openxmlformats.org/officeDocument/2006/relationships/image" Target="media/image1.jpeg"/><Relationship Id="rId147" Type="http://schemas.openxmlformats.org/officeDocument/2006/relationships/image" Target="media/image1.jpeg"/><Relationship Id="rId148" Type="http://schemas.openxmlformats.org/officeDocument/2006/relationships/image" Target="media/image1.jpeg"/><Relationship Id="rId149" Type="http://schemas.openxmlformats.org/officeDocument/2006/relationships/image" Target="media/image1.jpeg"/><Relationship Id="rId150" Type="http://schemas.openxmlformats.org/officeDocument/2006/relationships/image" Target="media/image1.jpeg"/><Relationship Id="rId151" Type="http://schemas.openxmlformats.org/officeDocument/2006/relationships/image" Target="media/image1.jpeg"/><Relationship Id="rId152" Type="http://schemas.openxmlformats.org/officeDocument/2006/relationships/image" Target="media/image1.jpeg"/><Relationship Id="rId153" Type="http://schemas.openxmlformats.org/officeDocument/2006/relationships/image" Target="media/image1.jpeg"/><Relationship Id="rId154" Type="http://schemas.openxmlformats.org/officeDocument/2006/relationships/image" Target="media/image1.jpeg"/><Relationship Id="rId155" Type="http://schemas.openxmlformats.org/officeDocument/2006/relationships/image" Target="media/image1.jpeg"/><Relationship Id="rId156" Type="http://schemas.openxmlformats.org/officeDocument/2006/relationships/image" Target="media/image1.jpeg"/><Relationship Id="rId157" Type="http://schemas.openxmlformats.org/officeDocument/2006/relationships/image" Target="media/image1.jpeg"/><Relationship Id="rId158" Type="http://schemas.openxmlformats.org/officeDocument/2006/relationships/image" Target="media/image1.jpeg"/><Relationship Id="rId159" Type="http://schemas.openxmlformats.org/officeDocument/2006/relationships/image" Target="media/image1.jpeg"/><Relationship Id="rId160" Type="http://schemas.openxmlformats.org/officeDocument/2006/relationships/image" Target="media/image1.jpeg"/><Relationship Id="rId161" Type="http://schemas.openxmlformats.org/officeDocument/2006/relationships/image" Target="media/image1.jpeg"/><Relationship Id="rId162" Type="http://schemas.openxmlformats.org/officeDocument/2006/relationships/image" Target="media/image1.jpeg"/><Relationship Id="rId163" Type="http://schemas.openxmlformats.org/officeDocument/2006/relationships/image" Target="media/image1.jpeg"/><Relationship Id="rId164" Type="http://schemas.openxmlformats.org/officeDocument/2006/relationships/image" Target="media/image1.jpeg"/><Relationship Id="rId165" Type="http://schemas.openxmlformats.org/officeDocument/2006/relationships/image" Target="media/image1.jpeg"/><Relationship Id="rId166" Type="http://schemas.openxmlformats.org/officeDocument/2006/relationships/image" Target="media/image1.jpeg"/><Relationship Id="rId167" Type="http://schemas.openxmlformats.org/officeDocument/2006/relationships/image" Target="media/image1.jpeg"/><Relationship Id="rId168" Type="http://schemas.openxmlformats.org/officeDocument/2006/relationships/image" Target="media/image1.jpeg"/><Relationship Id="rId169" Type="http://schemas.openxmlformats.org/officeDocument/2006/relationships/image" Target="media/image1.jpeg"/><Relationship Id="rId170" Type="http://schemas.openxmlformats.org/officeDocument/2006/relationships/image" Target="media/image1.jpeg"/><Relationship Id="rId171" Type="http://schemas.openxmlformats.org/officeDocument/2006/relationships/image" Target="media/image1.jpeg"/><Relationship Id="rId172" Type="http://schemas.openxmlformats.org/officeDocument/2006/relationships/image" Target="media/image1.jpeg"/><Relationship Id="rId173" Type="http://schemas.openxmlformats.org/officeDocument/2006/relationships/image" Target="media/image1.jpeg"/><Relationship Id="rId174" Type="http://schemas.openxmlformats.org/officeDocument/2006/relationships/image" Target="media/image1.jpeg"/><Relationship Id="rId175" Type="http://schemas.openxmlformats.org/officeDocument/2006/relationships/image" Target="media/image1.jpeg"/><Relationship Id="rId176" Type="http://schemas.openxmlformats.org/officeDocument/2006/relationships/image" Target="media/image1.jpeg"/><Relationship Id="rId177" Type="http://schemas.openxmlformats.org/officeDocument/2006/relationships/image" Target="media/image1.jpeg"/><Relationship Id="rId178" Type="http://schemas.openxmlformats.org/officeDocument/2006/relationships/image" Target="media/image1.jpeg"/><Relationship Id="rId179" Type="http://schemas.openxmlformats.org/officeDocument/2006/relationships/image" Target="media/image1.jpeg"/><Relationship Id="rId180" Type="http://schemas.openxmlformats.org/officeDocument/2006/relationships/image" Target="media/image1.jpeg"/><Relationship Id="rId181" Type="http://schemas.openxmlformats.org/officeDocument/2006/relationships/image" Target="media/image1.jpeg"/><Relationship Id="rId182" Type="http://schemas.openxmlformats.org/officeDocument/2006/relationships/image" Target="media/image1.jpeg"/><Relationship Id="rId183" Type="http://schemas.openxmlformats.org/officeDocument/2006/relationships/image" Target="media/image1.jpeg"/><Relationship Id="rId184" Type="http://schemas.openxmlformats.org/officeDocument/2006/relationships/image" Target="media/image1.jpeg"/><Relationship Id="rId185" Type="http://schemas.openxmlformats.org/officeDocument/2006/relationships/image" Target="media/image1.jpeg"/><Relationship Id="rId186" Type="http://schemas.openxmlformats.org/officeDocument/2006/relationships/image" Target="media/image1.jpeg"/><Relationship Id="rId187" Type="http://schemas.openxmlformats.org/officeDocument/2006/relationships/image" Target="media/image1.jpeg"/><Relationship Id="rId188" Type="http://schemas.openxmlformats.org/officeDocument/2006/relationships/image" Target="media/image1.jpeg"/><Relationship Id="rId189" Type="http://schemas.openxmlformats.org/officeDocument/2006/relationships/image" Target="media/image1.jpeg"/><Relationship Id="rId190" Type="http://schemas.openxmlformats.org/officeDocument/2006/relationships/image" Target="media/image1.jpeg"/><Relationship Id="rId191" Type="http://schemas.openxmlformats.org/officeDocument/2006/relationships/image" Target="media/image1.jpeg"/><Relationship Id="rId192" Type="http://schemas.openxmlformats.org/officeDocument/2006/relationships/image" Target="media/image1.jpeg"/><Relationship Id="rId193" Type="http://schemas.openxmlformats.org/officeDocument/2006/relationships/image" Target="media/image1.jpeg"/><Relationship Id="rId194" Type="http://schemas.openxmlformats.org/officeDocument/2006/relationships/image" Target="media/image1.jpeg"/><Relationship Id="rId195" Type="http://schemas.openxmlformats.org/officeDocument/2006/relationships/image" Target="media/image1.jpeg"/><Relationship Id="rId196" Type="http://schemas.openxmlformats.org/officeDocument/2006/relationships/image" Target="media/image1.jpeg"/><Relationship Id="rId197" Type="http://schemas.openxmlformats.org/officeDocument/2006/relationships/image" Target="media/image1.jpeg"/><Relationship Id="rId198" Type="http://schemas.openxmlformats.org/officeDocument/2006/relationships/image" Target="media/image1.jpeg"/><Relationship Id="rId199" Type="http://schemas.openxmlformats.org/officeDocument/2006/relationships/image" Target="media/image1.jpeg"/><Relationship Id="rId200" Type="http://schemas.openxmlformats.org/officeDocument/2006/relationships/image" Target="media/image1.jpeg"/><Relationship Id="rId201" Type="http://schemas.openxmlformats.org/officeDocument/2006/relationships/image" Target="media/image1.jpeg"/><Relationship Id="rId202" Type="http://schemas.openxmlformats.org/officeDocument/2006/relationships/image" Target="media/image1.jpeg"/><Relationship Id="rId203" Type="http://schemas.openxmlformats.org/officeDocument/2006/relationships/image" Target="media/image1.jpeg"/><Relationship Id="rId204" Type="http://schemas.openxmlformats.org/officeDocument/2006/relationships/image" Target="media/image1.jpeg"/><Relationship Id="rId205" Type="http://schemas.openxmlformats.org/officeDocument/2006/relationships/image" Target="media/image1.jpeg"/><Relationship Id="rId206" Type="http://schemas.openxmlformats.org/officeDocument/2006/relationships/image" Target="media/image1.jpeg"/><Relationship Id="rId207" Type="http://schemas.openxmlformats.org/officeDocument/2006/relationships/image" Target="media/image1.jpeg"/><Relationship Id="rId208" Type="http://schemas.openxmlformats.org/officeDocument/2006/relationships/image" Target="media/image1.jpeg"/><Relationship Id="rId209" Type="http://schemas.openxmlformats.org/officeDocument/2006/relationships/image" Target="media/image1.jpeg"/><Relationship Id="rId210" Type="http://schemas.openxmlformats.org/officeDocument/2006/relationships/image" Target="media/image1.jpeg"/><Relationship Id="rId211" Type="http://schemas.openxmlformats.org/officeDocument/2006/relationships/image" Target="media/image1.jpeg"/><Relationship Id="rId212" Type="http://schemas.openxmlformats.org/officeDocument/2006/relationships/image" Target="media/image1.jpeg"/><Relationship Id="rId213" Type="http://schemas.openxmlformats.org/officeDocument/2006/relationships/image" Target="media/image1.jpeg"/><Relationship Id="rId214" Type="http://schemas.openxmlformats.org/officeDocument/2006/relationships/image" Target="media/image1.jpeg"/><Relationship Id="rId215" Type="http://schemas.openxmlformats.org/officeDocument/2006/relationships/image" Target="media/image1.jpeg"/><Relationship Id="rId216" Type="http://schemas.openxmlformats.org/officeDocument/2006/relationships/image" Target="media/image1.jpeg"/><Relationship Id="rId217" Type="http://schemas.openxmlformats.org/officeDocument/2006/relationships/image" Target="media/image1.jpeg"/><Relationship Id="rId218" Type="http://schemas.openxmlformats.org/officeDocument/2006/relationships/image" Target="media/image1.jpeg"/><Relationship Id="rId219" Type="http://schemas.openxmlformats.org/officeDocument/2006/relationships/image" Target="media/image1.jpeg"/><Relationship Id="rId220" Type="http://schemas.openxmlformats.org/officeDocument/2006/relationships/image" Target="media/image1.jpeg"/><Relationship Id="rId221" Type="http://schemas.openxmlformats.org/officeDocument/2006/relationships/image" Target="media/image1.jpeg"/><Relationship Id="rId222" Type="http://schemas.openxmlformats.org/officeDocument/2006/relationships/image" Target="media/image1.jpeg"/><Relationship Id="rId223" Type="http://schemas.openxmlformats.org/officeDocument/2006/relationships/image" Target="media/image1.jpeg"/><Relationship Id="rId224" Type="http://schemas.openxmlformats.org/officeDocument/2006/relationships/image" Target="media/image1.jpeg"/><Relationship Id="rId225" Type="http://schemas.openxmlformats.org/officeDocument/2006/relationships/image" Target="media/image1.jpeg"/><Relationship Id="rId226" Type="http://schemas.openxmlformats.org/officeDocument/2006/relationships/image" Target="media/image1.jpeg"/><Relationship Id="rId227" Type="http://schemas.openxmlformats.org/officeDocument/2006/relationships/image" Target="media/image1.jpeg"/><Relationship Id="rId228" Type="http://schemas.openxmlformats.org/officeDocument/2006/relationships/image" Target="media/image1.jpeg"/><Relationship Id="rId229" Type="http://schemas.openxmlformats.org/officeDocument/2006/relationships/image" Target="media/image1.jpeg"/><Relationship Id="rId230" Type="http://schemas.openxmlformats.org/officeDocument/2006/relationships/image" Target="media/image1.jpeg"/><Relationship Id="rId231" Type="http://schemas.openxmlformats.org/officeDocument/2006/relationships/image" Target="media/image1.jpeg"/><Relationship Id="rId232" Type="http://schemas.openxmlformats.org/officeDocument/2006/relationships/image" Target="media/image1.jpeg"/><Relationship Id="rId233" Type="http://schemas.openxmlformats.org/officeDocument/2006/relationships/image" Target="media/image1.jpeg"/><Relationship Id="rId234" Type="http://schemas.openxmlformats.org/officeDocument/2006/relationships/image" Target="media/image1.jpeg"/><Relationship Id="rId235" Type="http://schemas.openxmlformats.org/officeDocument/2006/relationships/image" Target="media/image1.jpeg"/><Relationship Id="rId236" Type="http://schemas.openxmlformats.org/officeDocument/2006/relationships/image" Target="media/image1.jpeg"/><Relationship Id="rId237" Type="http://schemas.openxmlformats.org/officeDocument/2006/relationships/image" Target="media/image1.jpeg"/><Relationship Id="rId238" Type="http://schemas.openxmlformats.org/officeDocument/2006/relationships/image" Target="media/image1.jpeg"/><Relationship Id="rId239" Type="http://schemas.openxmlformats.org/officeDocument/2006/relationships/image" Target="media/image1.jpeg"/><Relationship Id="rId240" Type="http://schemas.openxmlformats.org/officeDocument/2006/relationships/image" Target="media/image1.jpeg"/><Relationship Id="rId241" Type="http://schemas.openxmlformats.org/officeDocument/2006/relationships/image" Target="media/image1.jpeg"/><Relationship Id="rId242" Type="http://schemas.openxmlformats.org/officeDocument/2006/relationships/image" Target="media/image1.jpeg"/><Relationship Id="rId243" Type="http://schemas.openxmlformats.org/officeDocument/2006/relationships/image" Target="media/image1.jpeg"/><Relationship Id="rId244" Type="http://schemas.openxmlformats.org/officeDocument/2006/relationships/image" Target="media/image1.jpeg"/><Relationship Id="rId245" Type="http://schemas.openxmlformats.org/officeDocument/2006/relationships/image" Target="media/image1.jpeg"/><Relationship Id="rId246" Type="http://schemas.openxmlformats.org/officeDocument/2006/relationships/image" Target="media/image1.jpeg"/><Relationship Id="rId247" Type="http://schemas.openxmlformats.org/officeDocument/2006/relationships/image" Target="media/image1.jpeg"/><Relationship Id="rId248" Type="http://schemas.openxmlformats.org/officeDocument/2006/relationships/image" Target="media/image1.jpeg"/><Relationship Id="rId249" Type="http://schemas.openxmlformats.org/officeDocument/2006/relationships/image" Target="media/image1.jpeg"/><Relationship Id="rId250" Type="http://schemas.openxmlformats.org/officeDocument/2006/relationships/image" Target="media/image1.jpeg"/><Relationship Id="rId251" Type="http://schemas.openxmlformats.org/officeDocument/2006/relationships/image" Target="media/image1.jpeg"/><Relationship Id="rId252" Type="http://schemas.openxmlformats.org/officeDocument/2006/relationships/image" Target="media/image1.jpeg"/><Relationship Id="rId253" Type="http://schemas.openxmlformats.org/officeDocument/2006/relationships/image" Target="media/image1.jpeg"/><Relationship Id="rId254" Type="http://schemas.openxmlformats.org/officeDocument/2006/relationships/image" Target="media/image1.jpeg"/><Relationship Id="rId255" Type="http://schemas.openxmlformats.org/officeDocument/2006/relationships/image" Target="media/image1.jpeg"/><Relationship Id="rId256" Type="http://schemas.openxmlformats.org/officeDocument/2006/relationships/image" Target="media/image1.jpeg"/><Relationship Id="rId257" Type="http://schemas.openxmlformats.org/officeDocument/2006/relationships/image" Target="media/image1.jpeg"/><Relationship Id="rId258" Type="http://schemas.openxmlformats.org/officeDocument/2006/relationships/hyperlink" Target="https://www.sec.gov/Archives/edgar/data/1299130/000119312511075269/dex31.htm" TargetMode="External"/><Relationship Id="rId259" Type="http://schemas.openxmlformats.org/officeDocument/2006/relationships/hyperlink" Target="https://www.sec.gov/Archives/edgar/data/1299130/000129913022000128/pacb-20221103xex3_1.htm" TargetMode="External"/><Relationship Id="rId260" Type="http://schemas.openxmlformats.org/officeDocument/2006/relationships/hyperlink" Target="https://www.sec.gov/Archives/edgar/data/1299130/000129913024000146/exhibit31-certificateofame.htm" TargetMode="External"/><Relationship Id="rId261" Type="http://schemas.openxmlformats.org/officeDocument/2006/relationships/hyperlink" Target="https://www.sec.gov/Archives/edgar/data/1299130/000129913024000146/exhibit32-certificateofame.htm" TargetMode="External"/><Relationship Id="rId262" Type="http://schemas.openxmlformats.org/officeDocument/2006/relationships/hyperlink" Target="https://www.sec.gov/Archives/edgar/data/1299130/000119312510221497/dex41.htm" TargetMode="External"/><Relationship Id="rId263" Type="http://schemas.openxmlformats.org/officeDocument/2006/relationships/hyperlink" Target="https://www.sec.gov/Archives/edgar/data/1299130/000129913023000098/pacb-ex41x2021indenture.htm" TargetMode="External"/><Relationship Id="rId264" Type="http://schemas.openxmlformats.org/officeDocument/2006/relationships/hyperlink" Target="https://www.sec.gov/Archives/edgar/data/1299130/000129913023000098/pacb-ex41x2021indenture.htm" TargetMode="External"/><Relationship Id="rId265" Type="http://schemas.openxmlformats.org/officeDocument/2006/relationships/hyperlink" Target="https://www.sec.gov/Archives/edgar/data/1299130/000110465923077161/tm2320097d1_ex4-1.htm" TargetMode="External"/><Relationship Id="rId266" Type="http://schemas.openxmlformats.org/officeDocument/2006/relationships/hyperlink" Target="https://www.sec.gov/Archives/edgar/data/1299130/000110465923077161/tm2320097d1_ex4-1.htm" TargetMode="External"/><Relationship Id="rId267" Type="http://schemas.openxmlformats.org/officeDocument/2006/relationships/hyperlink" Target="https://www.sec.gov/Archives/edgar/data/0001299130/000129913024000189/exhibit41final.htm" TargetMode="External"/><Relationship Id="rId268" Type="http://schemas.openxmlformats.org/officeDocument/2006/relationships/hyperlink" Target="https://www.sec.gov/Archives/edgar/data/0001299130/000129913024000189/exhibit41final.htm" TargetMode="External"/><Relationship Id="rId269" Type="http://schemas.openxmlformats.org/officeDocument/2006/relationships/hyperlink" Target="https://www.sec.gov/Archives/edgar/data/1299130/000119312510189512/dex101.htm" TargetMode="External"/><Relationship Id="rId270" Type="http://schemas.openxmlformats.org/officeDocument/2006/relationships/hyperlink" Target="https://www.sec.gov/Archives/edgar/data/1299130/000119312510189512/dex104.htm" TargetMode="External"/><Relationship Id="rId271" Type="http://schemas.openxmlformats.org/officeDocument/2006/relationships/hyperlink" Target="https://www.sec.gov/Archives/edgar/data/1299130/000129913018000031/pacb-20180331xex10_1.htm" TargetMode="External"/><Relationship Id="rId272" Type="http://schemas.openxmlformats.org/officeDocument/2006/relationships/hyperlink" Target="https://www.sec.gov/Archives/edgar/data/1299130/000119312510189512/dex105.htm" TargetMode="External"/><Relationship Id="rId273" Type="http://schemas.openxmlformats.org/officeDocument/2006/relationships/hyperlink" Target="https://www.sec.gov/Archives/edgar/data/1299130/000119312510189512/dex106.htm" TargetMode="External"/><Relationship Id="rId274" Type="http://schemas.openxmlformats.org/officeDocument/2006/relationships/hyperlink" Target="https://www.sec.gov/Archives/edgar/data/1299130/000129913018000031/pacb-20180331xex10_2.htm" TargetMode="External"/><Relationship Id="rId275" Type="http://schemas.openxmlformats.org/officeDocument/2006/relationships/hyperlink" Target="https://www.sec.gov/Archives/edgar/data/1299130/000129913025000140/exhibit101-2020equityincen.htm" TargetMode="External"/><Relationship Id="rId276" Type="http://schemas.openxmlformats.org/officeDocument/2006/relationships/hyperlink" Target="https://www.sec.gov/Archives/edgar/data/1299130/000129913024000146/exhibit102-pacbio2020eipst.htm" TargetMode="External"/><Relationship Id="rId277" Type="http://schemas.openxmlformats.org/officeDocument/2006/relationships/hyperlink" Target="https://www.sec.gov/Archives/edgar/data/1299130/000129913024000146/exhibit103-pacbio2020eiprs.htm" TargetMode="External"/><Relationship Id="rId278" Type="http://schemas.openxmlformats.org/officeDocument/2006/relationships/hyperlink" Target="https://www.sec.gov/Archives/edgar/data/1299130/000129913021000216/pacb-20210930xex10_4.htm" TargetMode="External"/><Relationship Id="rId279" Type="http://schemas.openxmlformats.org/officeDocument/2006/relationships/hyperlink" Target="https://www.sec.gov/Archives/edgar/data/1299130/000129913021000223/pacb-20211119xex10_1.htm" TargetMode="External"/><Relationship Id="rId280" Type="http://schemas.openxmlformats.org/officeDocument/2006/relationships/hyperlink" Target="https://www.sec.gov/Archives/edgar/data/1299130/000129913025000061/pacb-exx1013xpacbiochangei.htm" TargetMode="External"/><Relationship Id="rId281" Type="http://schemas.openxmlformats.org/officeDocument/2006/relationships/hyperlink" Target="https://www.sec.gov/Archives/edgar/data/1299130/000129913021000098/pacb-20201231xex10_15.htm" TargetMode="External"/><Relationship Id="rId282" Type="http://schemas.openxmlformats.org/officeDocument/2006/relationships/hyperlink" Target="https://www.sec.gov/Archives/edgar/data/1299130/000129913025000061/pacb-exx1015xpacbioxceoame.htm" TargetMode="External"/><Relationship Id="rId283" Type="http://schemas.openxmlformats.org/officeDocument/2006/relationships/hyperlink" Target="https://www.sec.gov/Archives/edgar/data/1299130/000129913021000098/pacb-20201231xex10_18.htm" TargetMode="External"/><Relationship Id="rId284" Type="http://schemas.openxmlformats.org/officeDocument/2006/relationships/hyperlink" Target="https://www.sec.gov/Archives/edgar/data/1299130/000129913025000061/pacb-exx1017xpacbioxarchan.htm" TargetMode="External"/><Relationship Id="rId285" Type="http://schemas.openxmlformats.org/officeDocument/2006/relationships/image" Target="media/image1.jpeg"/><Relationship Id="rId286" Type="http://schemas.openxmlformats.org/officeDocument/2006/relationships/image" Target="media/image1.jpeg"/><Relationship Id="rId287" Type="http://schemas.openxmlformats.org/officeDocument/2006/relationships/hyperlink" Target="https://www.sec.gov/Archives/edgar/data/1299130/000129913025000061/pacb-exx1018xpacbxleaseedg.htm" TargetMode="External"/><Relationship Id="rId288" Type="http://schemas.openxmlformats.org/officeDocument/2006/relationships/hyperlink" Target="https://www.sec.gov/Archives/edgar/data/1299130/000129913025000061/pacb-exx1019xfirstamendmen.htm" TargetMode="External"/><Relationship Id="rId289" Type="http://schemas.openxmlformats.org/officeDocument/2006/relationships/hyperlink" Target="https://www.sec.gov/Archives/edgar/data/1299130/000129913025000061/pacb-exx1020xpacbioseconda.htm" TargetMode="External"/><Relationship Id="rId290" Type="http://schemas.openxmlformats.org/officeDocument/2006/relationships/hyperlink" Target="https://www.sec.gov/Archives/edgar/data/1299130/000129913025000061/pacb-exx1021xpacbiox1305ob.htm" TargetMode="External"/><Relationship Id="rId291" Type="http://schemas.openxmlformats.org/officeDocument/2006/relationships/hyperlink" Target="https://www.sec.gov/Archives/edgar/data/1299130/000119312521035435/d121704dex101.htm" TargetMode="External"/><Relationship Id="rId292" Type="http://schemas.openxmlformats.org/officeDocument/2006/relationships/hyperlink" Target="https://www.sec.gov/Archives/edgar/data/1299130/000129913021000192/pacb-20210630xex10_2.htm" TargetMode="External"/><Relationship Id="rId293" Type="http://schemas.openxmlformats.org/officeDocument/2006/relationships/hyperlink" Target="https://www.sec.gov/Archives/edgar/data/1299130/000119312521219136/d198514dex101.htm" TargetMode="External"/><Relationship Id="rId294" Type="http://schemas.openxmlformats.org/officeDocument/2006/relationships/hyperlink" Target="https://www.sec.gov/Archives/edgar/data/1299130/000119312521219136/d198514dex102.htm" TargetMode="External"/><Relationship Id="rId295" Type="http://schemas.openxmlformats.org/officeDocument/2006/relationships/hyperlink" Target="https://www.sec.gov/Archives/edgar/data/1299130/000110465923074397/tm2319528d1_ex10-1.htm" TargetMode="External"/><Relationship Id="rId296" Type="http://schemas.openxmlformats.org/officeDocument/2006/relationships/hyperlink" Target="https://www.sec.gov/Archives/edgar/data/0001299130/000110465924115291/tm2427787d2_ex10-1.htm" TargetMode="External"/><Relationship Id="rId297" Type="http://schemas.openxmlformats.org/officeDocument/2006/relationships/hyperlink" Target="https://www.sec.gov/Archives/edgar/data/0001299130/000129913024000189/exhibit101.htm" TargetMode="External"/><Relationship Id="rId298" Type="http://schemas.openxmlformats.org/officeDocument/2006/relationships/hyperlink" Target="https://www.sec.gov/Archives/edgar/data/1299130/000129913024000054/pacb-20231231xexx1028.htm" TargetMode="External"/><Relationship Id="rId299" Type="http://schemas.openxmlformats.org/officeDocument/2006/relationships/hyperlink" Target="https://www.sec.gov/Archives/edgar/data/1299130/000129913025000102/a103pacbiooutsidedirectorc.htm" TargetMode="External"/><Relationship Id="rId300" Type="http://schemas.openxmlformats.org/officeDocument/2006/relationships/hyperlink" Target="https://www.sec.gov/Archives/edgar/data/1299130/000129913025000102/a102jamesgibsonofferletter.htm" TargetMode="External"/><Relationship Id="rId301" Type="http://schemas.openxmlformats.org/officeDocument/2006/relationships/hyperlink" Target="https://www.sec.gov/Archives/edgar/data/1299130/000110465926009014/tm264755d1_ex10-1.htm" TargetMode="External"/><Relationship Id="rId302" Type="http://schemas.openxmlformats.org/officeDocument/2006/relationships/hyperlink" Target="https://www.sec.gov/Archives/edgar/data/1299130/000129913025000061/pacb-exx191xpacbioinsidert.htm" TargetMode="External"/><Relationship Id="rId303" Type="http://schemas.openxmlformats.org/officeDocument/2006/relationships/hyperlink" Target="https://www.sec.gov/Archives/edgar/data/1299130/000129913024000054/pacb-20231231xexx971.htm" TargetMode="External"/><Relationship Id="rId304" Type="http://schemas.openxmlformats.org/officeDocument/2006/relationships/image" Target="media/image1.jpeg"/><Relationship Id="rId305" Type="http://schemas.openxmlformats.org/officeDocument/2006/relationships/image" Target="media/image1.jpeg"/><Relationship Id="rId306" Type="http://schemas.openxmlformats.org/officeDocument/2006/relationships/image" Target="media/image1.jpeg"/><Relationship Id="rId307" Type="http://schemas.openxmlformats.org/officeDocument/2006/relationships/image" Target="media/image1.jpeg"/><Relationship Id="rId308" Type="http://schemas.openxmlformats.org/officeDocument/2006/relationships/image" Target="media/image1.jpeg"/><Relationship Id="rId309" Type="http://schemas.openxmlformats.org/officeDocument/2006/relationships/image" Target="media/image1.jpeg"/><Relationship Id="rId310" Type="http://schemas.openxmlformats.org/officeDocument/2006/relationships/image" Target="media/image1.jpeg"/><Relationship Id="rId311" Type="http://schemas.openxmlformats.org/officeDocument/2006/relationships/image" Target="media/image1.jpeg"/><Relationship Id="rId312" Type="http://schemas.openxmlformats.org/officeDocument/2006/relationships/image" Target="media/image1.jpeg"/><Relationship Id="rId313" Type="http://schemas.openxmlformats.org/officeDocument/2006/relationships/image" Target="media/image1.jpeg"/><Relationship Id="rId314" Type="http://schemas.openxmlformats.org/officeDocument/2006/relationships/fontTable" Target="fontTable.xml"/><Relationship Id="rId3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84339</Words>
  <Characters>472760</Characters>
  <CharactersWithSpaces>554072</CharactersWithSpaces>
  <Paragraphs>4701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