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762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165100</wp:posOffset>
            </wp:positionV>
            <wp:extent cx="7147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7560" cy="7620"/>
                    </a:xfrm>
                    <a:prstGeom prst="rect">
                      <a:avLst/>
                    </a:prstGeom>
                    <a:noFill/>
                  </pic:spPr>
                </pic:pic>
              </a:graphicData>
            </a:graphic>
          </wp:anchor>
        </w:drawing>
        <w:t>UNITED STATES</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92075</wp:posOffset>
            </wp:positionV>
            <wp:extent cx="28098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9875" cy="762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106045</wp:posOffset>
            </wp:positionV>
            <wp:extent cx="28098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9875" cy="762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11" w:lineRule="exact"/>
        <w:rPr>
          <w:sz w:val="24"/>
          <w:szCs w:val="24"/>
          <w:color w:val="auto"/>
        </w:rPr>
      </w:pPr>
    </w:p>
    <w:p>
      <w:pPr>
        <w:ind w:left="2160" w:hanging="239"/>
        <w:spacing w:after="0"/>
        <w:tabs>
          <w:tab w:leader="none" w:pos="216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2140" w:hanging="224"/>
        <w:spacing w:after="0"/>
        <w:tabs>
          <w:tab w:leader="none" w:pos="21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40" w:lineRule="exact"/>
        <w:rPr>
          <w:sz w:val="24"/>
          <w:szCs w:val="24"/>
          <w:color w:val="auto"/>
        </w:rPr>
      </w:pPr>
    </w:p>
    <w:p>
      <w:pPr>
        <w:ind w:left="416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111760</wp:posOffset>
            </wp:positionV>
            <wp:extent cx="28098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9875" cy="762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165100</wp:posOffset>
            </wp:positionV>
            <wp:extent cx="1970405" cy="427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0405" cy="427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00" w:type="dxa"/>
            <w:vAlign w:val="bottom"/>
            <w:gridSpan w:val="3"/>
          </w:tcPr>
          <w:p>
            <w:pPr>
              <w:jc w:val="center"/>
              <w:ind w:right="540"/>
              <w:spacing w:after="0"/>
              <w:rPr>
                <w:sz w:val="20"/>
                <w:szCs w:val="20"/>
                <w:color w:val="auto"/>
              </w:rPr>
            </w:pPr>
            <w:r>
              <w:rPr>
                <w:rFonts w:ascii="Arial" w:cs="Arial" w:eastAsia="Arial" w:hAnsi="Arial"/>
                <w:sz w:val="19"/>
                <w:szCs w:val="19"/>
                <w:b w:val="1"/>
                <w:bCs w:val="1"/>
                <w:color w:val="auto"/>
                <w:w w:val="90"/>
              </w:rPr>
              <w:t>Pacific Biosciences of California, Inc.</w:t>
            </w:r>
          </w:p>
        </w:tc>
        <w:tc>
          <w:tcPr>
            <w:tcW w:w="3440" w:type="dxa"/>
            <w:vAlign w:val="bottom"/>
          </w:tcPr>
          <w:p>
            <w:pPr>
              <w:spacing w:after="0"/>
              <w:rPr>
                <w:sz w:val="18"/>
                <w:szCs w:val="18"/>
                <w:color w:val="auto"/>
              </w:rPr>
            </w:pPr>
          </w:p>
        </w:tc>
      </w:tr>
      <w:tr>
        <w:trPr>
          <w:trHeight w:val="187"/>
        </w:trPr>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40" w:type="dxa"/>
            <w:vAlign w:val="bottom"/>
          </w:tcPr>
          <w:p>
            <w:pPr>
              <w:spacing w:after="0"/>
              <w:rPr>
                <w:sz w:val="16"/>
                <w:szCs w:val="16"/>
                <w:color w:val="auto"/>
              </w:rPr>
            </w:pPr>
          </w:p>
        </w:tc>
      </w:tr>
      <w:tr>
        <w:trPr>
          <w:trHeight w:val="150"/>
        </w:trPr>
        <w:tc>
          <w:tcPr>
            <w:tcW w:w="34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40" w:type="dxa"/>
            <w:vAlign w:val="bottom"/>
          </w:tcPr>
          <w:p>
            <w:pPr>
              <w:spacing w:after="0"/>
              <w:rPr>
                <w:sz w:val="13"/>
                <w:szCs w:val="13"/>
                <w:color w:val="auto"/>
              </w:rPr>
            </w:pPr>
          </w:p>
        </w:tc>
      </w:tr>
      <w:tr>
        <w:trPr>
          <w:trHeight w:val="285"/>
        </w:trPr>
        <w:tc>
          <w:tcPr>
            <w:tcW w:w="3940" w:type="dxa"/>
            <w:vAlign w:val="bottom"/>
            <w:gridSpan w:val="2"/>
          </w:tcPr>
          <w:p>
            <w:pPr>
              <w:jc w:val="center"/>
              <w:ind w:left="1616"/>
              <w:spacing w:after="0"/>
              <w:rPr>
                <w:sz w:val="20"/>
                <w:szCs w:val="20"/>
                <w:color w:val="auto"/>
              </w:rPr>
            </w:pPr>
            <w:r>
              <w:rPr>
                <w:rFonts w:ascii="Arial" w:cs="Arial" w:eastAsia="Arial" w:hAnsi="Arial"/>
                <w:sz w:val="13"/>
                <w:szCs w:val="13"/>
                <w:b w:val="1"/>
                <w:bCs w:val="1"/>
                <w:color w:val="auto"/>
                <w:w w:val="87"/>
              </w:rPr>
              <w:t>Delaware</w:t>
            </w: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40" w:type="dxa"/>
            <w:vAlign w:val="bottom"/>
          </w:tcPr>
          <w:p>
            <w:pPr>
              <w:jc w:val="right"/>
              <w:ind w:right="2476"/>
              <w:spacing w:after="0"/>
              <w:rPr>
                <w:sz w:val="20"/>
                <w:szCs w:val="20"/>
                <w:color w:val="auto"/>
              </w:rPr>
            </w:pPr>
            <w:r>
              <w:rPr>
                <w:rFonts w:ascii="Arial" w:cs="Arial" w:eastAsia="Arial" w:hAnsi="Arial"/>
                <w:sz w:val="13"/>
                <w:szCs w:val="13"/>
                <w:b w:val="1"/>
                <w:bCs w:val="1"/>
                <w:color w:val="auto"/>
              </w:rPr>
              <w:t>16-1590339</w:t>
            </w:r>
          </w:p>
        </w:tc>
      </w:tr>
      <w:tr>
        <w:trPr>
          <w:trHeight w:val="144"/>
        </w:trPr>
        <w:tc>
          <w:tcPr>
            <w:tcW w:w="3940" w:type="dxa"/>
            <w:vAlign w:val="bottom"/>
            <w:gridSpan w:val="2"/>
          </w:tcPr>
          <w:p>
            <w:pPr>
              <w:jc w:val="center"/>
              <w:ind w:left="1616"/>
              <w:spacing w:after="0" w:line="144" w:lineRule="exact"/>
              <w:rPr>
                <w:sz w:val="20"/>
                <w:szCs w:val="20"/>
                <w:color w:val="auto"/>
              </w:rPr>
            </w:pPr>
            <w:r>
              <w:rPr>
                <w:rFonts w:ascii="Arial" w:cs="Arial" w:eastAsia="Arial" w:hAnsi="Arial"/>
                <w:sz w:val="13"/>
                <w:szCs w:val="13"/>
                <w:b w:val="1"/>
                <w:bCs w:val="1"/>
                <w:color w:val="auto"/>
                <w:w w:val="90"/>
              </w:rPr>
              <w:t>(State or other jurisdiction of</w:t>
            </w:r>
          </w:p>
        </w:tc>
        <w:tc>
          <w:tcPr>
            <w:tcW w:w="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40" w:type="dxa"/>
            <w:vAlign w:val="bottom"/>
          </w:tcPr>
          <w:p>
            <w:pPr>
              <w:jc w:val="center"/>
              <w:ind w:right="2176"/>
              <w:spacing w:after="0" w:line="144"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3940" w:type="dxa"/>
            <w:vAlign w:val="bottom"/>
            <w:gridSpan w:val="2"/>
          </w:tcPr>
          <w:p>
            <w:pPr>
              <w:jc w:val="center"/>
              <w:ind w:left="1616"/>
              <w:spacing w:after="0"/>
              <w:rPr>
                <w:sz w:val="20"/>
                <w:szCs w:val="20"/>
                <w:color w:val="auto"/>
              </w:rPr>
            </w:pPr>
            <w:r>
              <w:rPr>
                <w:rFonts w:ascii="Arial" w:cs="Arial" w:eastAsia="Arial" w:hAnsi="Arial"/>
                <w:sz w:val="13"/>
                <w:szCs w:val="13"/>
                <w:b w:val="1"/>
                <w:bCs w:val="1"/>
                <w:color w:val="auto"/>
                <w:w w:val="89"/>
              </w:rPr>
              <w:t>incorporation or organization)</w:t>
            </w:r>
          </w:p>
        </w:tc>
        <w:tc>
          <w:tcPr>
            <w:tcW w:w="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40" w:type="dxa"/>
            <w:vAlign w:val="bottom"/>
          </w:tcPr>
          <w:p>
            <w:pPr>
              <w:jc w:val="center"/>
              <w:ind w:right="2176"/>
              <w:spacing w:after="0"/>
              <w:rPr>
                <w:sz w:val="20"/>
                <w:szCs w:val="20"/>
                <w:color w:val="auto"/>
              </w:rPr>
            </w:pPr>
            <w:r>
              <w:rPr>
                <w:rFonts w:ascii="Arial" w:cs="Arial" w:eastAsia="Arial" w:hAnsi="Arial"/>
                <w:sz w:val="13"/>
                <w:szCs w:val="13"/>
                <w:b w:val="1"/>
                <w:bCs w:val="1"/>
                <w:color w:val="auto"/>
                <w:w w:val="91"/>
              </w:rPr>
              <w:t>Identification No.)</w:t>
            </w:r>
          </w:p>
        </w:tc>
      </w:tr>
      <w:tr>
        <w:trPr>
          <w:trHeight w:val="267"/>
        </w:trPr>
        <w:tc>
          <w:tcPr>
            <w:tcW w:w="3940" w:type="dxa"/>
            <w:vAlign w:val="bottom"/>
            <w:gridSpan w:val="2"/>
          </w:tcPr>
          <w:p>
            <w:pPr>
              <w:jc w:val="center"/>
              <w:ind w:left="1616"/>
              <w:spacing w:after="0"/>
              <w:rPr>
                <w:sz w:val="20"/>
                <w:szCs w:val="20"/>
                <w:color w:val="auto"/>
              </w:rPr>
            </w:pPr>
            <w:r>
              <w:rPr>
                <w:rFonts w:ascii="Arial" w:cs="Arial" w:eastAsia="Arial" w:hAnsi="Arial"/>
                <w:sz w:val="13"/>
                <w:szCs w:val="13"/>
                <w:b w:val="1"/>
                <w:bCs w:val="1"/>
                <w:color w:val="auto"/>
                <w:w w:val="91"/>
              </w:rPr>
              <w:t>1305 O’Brien Drive</w:t>
            </w:r>
          </w:p>
        </w:tc>
        <w:tc>
          <w:tcPr>
            <w:tcW w:w="3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40" w:type="dxa"/>
            <w:vAlign w:val="bottom"/>
          </w:tcPr>
          <w:p>
            <w:pPr>
              <w:spacing w:after="0"/>
              <w:rPr>
                <w:sz w:val="23"/>
                <w:szCs w:val="23"/>
                <w:color w:val="auto"/>
              </w:rPr>
            </w:pPr>
          </w:p>
        </w:tc>
      </w:tr>
      <w:tr>
        <w:trPr>
          <w:trHeight w:val="144"/>
        </w:trPr>
        <w:tc>
          <w:tcPr>
            <w:tcW w:w="3940" w:type="dxa"/>
            <w:vAlign w:val="bottom"/>
            <w:gridSpan w:val="2"/>
          </w:tcPr>
          <w:p>
            <w:pPr>
              <w:jc w:val="center"/>
              <w:ind w:left="1616"/>
              <w:spacing w:after="0" w:line="144" w:lineRule="exact"/>
              <w:rPr>
                <w:sz w:val="20"/>
                <w:szCs w:val="20"/>
                <w:color w:val="auto"/>
              </w:rPr>
            </w:pPr>
            <w:r>
              <w:rPr>
                <w:rFonts w:ascii="Arial" w:cs="Arial" w:eastAsia="Arial" w:hAnsi="Arial"/>
                <w:sz w:val="13"/>
                <w:szCs w:val="13"/>
                <w:b w:val="1"/>
                <w:bCs w:val="1"/>
                <w:color w:val="auto"/>
                <w:w w:val="94"/>
              </w:rPr>
              <w:t>Menlo Park, CA</w:t>
            </w:r>
          </w:p>
        </w:tc>
        <w:tc>
          <w:tcPr>
            <w:tcW w:w="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40" w:type="dxa"/>
            <w:vAlign w:val="bottom"/>
          </w:tcPr>
          <w:p>
            <w:pPr>
              <w:jc w:val="right"/>
              <w:ind w:right="2616"/>
              <w:spacing w:after="0" w:line="144" w:lineRule="exact"/>
              <w:rPr>
                <w:sz w:val="20"/>
                <w:szCs w:val="20"/>
                <w:color w:val="auto"/>
              </w:rPr>
            </w:pPr>
            <w:r>
              <w:rPr>
                <w:rFonts w:ascii="Arial" w:cs="Arial" w:eastAsia="Arial" w:hAnsi="Arial"/>
                <w:sz w:val="13"/>
                <w:szCs w:val="13"/>
                <w:b w:val="1"/>
                <w:bCs w:val="1"/>
                <w:color w:val="auto"/>
              </w:rPr>
              <w:t>94025</w:t>
            </w:r>
          </w:p>
        </w:tc>
      </w:tr>
      <w:tr>
        <w:trPr>
          <w:trHeight w:val="166"/>
        </w:trPr>
        <w:tc>
          <w:tcPr>
            <w:tcW w:w="3940" w:type="dxa"/>
            <w:vAlign w:val="bottom"/>
            <w:gridSpan w:val="2"/>
          </w:tcPr>
          <w:p>
            <w:pPr>
              <w:jc w:val="center"/>
              <w:ind w:left="1616"/>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40" w:type="dxa"/>
            <w:vAlign w:val="bottom"/>
          </w:tcPr>
          <w:p>
            <w:pPr>
              <w:jc w:val="center"/>
              <w:ind w:right="2176"/>
              <w:spacing w:after="0"/>
              <w:rPr>
                <w:sz w:val="20"/>
                <w:szCs w:val="20"/>
                <w:color w:val="auto"/>
              </w:rPr>
            </w:pPr>
            <w:r>
              <w:rPr>
                <w:rFonts w:ascii="Arial" w:cs="Arial" w:eastAsia="Arial" w:hAnsi="Arial"/>
                <w:sz w:val="13"/>
                <w:szCs w:val="13"/>
                <w:b w:val="1"/>
                <w:bCs w:val="1"/>
                <w:color w:val="auto"/>
                <w:w w:val="93"/>
              </w:rPr>
              <w:t>(Zip Code)</w:t>
            </w:r>
          </w:p>
        </w:tc>
      </w:tr>
      <w:tr>
        <w:trPr>
          <w:trHeight w:val="267"/>
        </w:trPr>
        <w:tc>
          <w:tcPr>
            <w:tcW w:w="3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120" w:type="dxa"/>
            <w:vAlign w:val="bottom"/>
            <w:gridSpan w:val="2"/>
          </w:tcPr>
          <w:p>
            <w:pPr>
              <w:jc w:val="center"/>
              <w:ind w:left="168"/>
              <w:spacing w:after="0"/>
              <w:rPr>
                <w:sz w:val="20"/>
                <w:szCs w:val="20"/>
                <w:color w:val="auto"/>
              </w:rPr>
            </w:pPr>
            <w:r>
              <w:rPr>
                <w:rFonts w:ascii="Arial" w:cs="Arial" w:eastAsia="Arial" w:hAnsi="Arial"/>
                <w:sz w:val="13"/>
                <w:szCs w:val="13"/>
                <w:b w:val="1"/>
                <w:bCs w:val="1"/>
                <w:color w:val="auto"/>
                <w:w w:val="89"/>
              </w:rPr>
              <w:t>(650) 521-8000</w:t>
            </w:r>
          </w:p>
        </w:tc>
        <w:tc>
          <w:tcPr>
            <w:tcW w:w="780" w:type="dxa"/>
            <w:vAlign w:val="bottom"/>
          </w:tcPr>
          <w:p>
            <w:pPr>
              <w:spacing w:after="0"/>
              <w:rPr>
                <w:sz w:val="23"/>
                <w:szCs w:val="23"/>
                <w:color w:val="auto"/>
              </w:rPr>
            </w:pPr>
          </w:p>
        </w:tc>
        <w:tc>
          <w:tcPr>
            <w:tcW w:w="3440" w:type="dxa"/>
            <w:vAlign w:val="bottom"/>
          </w:tcPr>
          <w:p>
            <w:pPr>
              <w:spacing w:after="0"/>
              <w:rPr>
                <w:sz w:val="23"/>
                <w:szCs w:val="23"/>
                <w:color w:val="auto"/>
              </w:rPr>
            </w:pPr>
          </w:p>
        </w:tc>
      </w:tr>
      <w:tr>
        <w:trPr>
          <w:trHeight w:val="166"/>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0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8"/>
              </w:rPr>
              <w:t>(Registrant’s telephone number, including area code)</w:t>
            </w:r>
          </w:p>
        </w:tc>
        <w:tc>
          <w:tcPr>
            <w:tcW w:w="344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440" w:type="dxa"/>
            <w:vAlign w:val="bottom"/>
          </w:tcPr>
          <w:p>
            <w:pPr>
              <w:spacing w:after="0"/>
              <w:rPr>
                <w:sz w:val="12"/>
                <w:szCs w:val="12"/>
                <w:color w:val="auto"/>
              </w:rPr>
            </w:pPr>
          </w:p>
        </w:tc>
      </w:tr>
      <w:tr>
        <w:trPr>
          <w:trHeight w:val="234"/>
        </w:trPr>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00" w:type="dxa"/>
            <w:vAlign w:val="bottom"/>
            <w:gridSpan w:val="3"/>
          </w:tcPr>
          <w:p>
            <w:pPr>
              <w:jc w:val="center"/>
              <w:ind w:right="540"/>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440" w:type="dxa"/>
            <w:vAlign w:val="bottom"/>
          </w:tcPr>
          <w:p>
            <w:pPr>
              <w:spacing w:after="0"/>
              <w:rPr>
                <w:sz w:val="20"/>
                <w:szCs w:val="20"/>
                <w:color w:val="auto"/>
              </w:rPr>
            </w:pPr>
          </w:p>
        </w:tc>
      </w:tr>
      <w:tr>
        <w:trPr>
          <w:trHeight w:val="106"/>
        </w:trPr>
        <w:tc>
          <w:tcPr>
            <w:tcW w:w="394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r>
      <w:tr>
        <w:trPr>
          <w:trHeight w:val="157"/>
        </w:trPr>
        <w:tc>
          <w:tcPr>
            <w:tcW w:w="3940" w:type="dxa"/>
            <w:vAlign w:val="bottom"/>
            <w:tcBorders>
              <w:left w:val="single" w:sz="8" w:color="auto"/>
              <w:bottom w:val="single" w:sz="8" w:color="auto"/>
            </w:tcBorders>
            <w:gridSpan w:val="2"/>
          </w:tcPr>
          <w:p>
            <w:pPr>
              <w:jc w:val="center"/>
              <w:ind w:left="236"/>
              <w:spacing w:after="0"/>
              <w:rPr>
                <w:sz w:val="20"/>
                <w:szCs w:val="20"/>
                <w:color w:val="auto"/>
              </w:rPr>
            </w:pPr>
            <w:r>
              <w:rPr>
                <w:rFonts w:ascii="Arial" w:cs="Arial" w:eastAsia="Arial" w:hAnsi="Arial"/>
                <w:sz w:val="13"/>
                <w:szCs w:val="13"/>
                <w:color w:val="auto"/>
                <w:w w:val="88"/>
              </w:rPr>
              <w:t>Title of each class</w:t>
            </w:r>
          </w:p>
        </w:tc>
        <w:tc>
          <w:tcPr>
            <w:tcW w:w="3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78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jc w:val="center"/>
              <w:ind w:right="756"/>
              <w:spacing w:after="0"/>
              <w:rPr>
                <w:sz w:val="20"/>
                <w:szCs w:val="20"/>
                <w:color w:val="auto"/>
              </w:rPr>
            </w:pPr>
            <w:r>
              <w:rPr>
                <w:rFonts w:ascii="Arial" w:cs="Arial" w:eastAsia="Arial" w:hAnsi="Arial"/>
                <w:sz w:val="13"/>
                <w:szCs w:val="13"/>
                <w:color w:val="auto"/>
                <w:w w:val="87"/>
              </w:rPr>
              <w:t>Name of each exchange on which registered</w:t>
            </w:r>
          </w:p>
        </w:tc>
      </w:tr>
      <w:tr>
        <w:trPr>
          <w:trHeight w:val="160"/>
        </w:trPr>
        <w:tc>
          <w:tcPr>
            <w:tcW w:w="3940" w:type="dxa"/>
            <w:vAlign w:val="bottom"/>
            <w:tcBorders>
              <w:left w:val="single" w:sz="8" w:color="auto"/>
              <w:bottom w:val="single" w:sz="8" w:color="auto"/>
            </w:tcBorders>
            <w:gridSpan w:val="2"/>
          </w:tcPr>
          <w:p>
            <w:pPr>
              <w:jc w:val="center"/>
              <w:ind w:left="216"/>
              <w:spacing w:after="0"/>
              <w:rPr>
                <w:sz w:val="20"/>
                <w:szCs w:val="20"/>
                <w:color w:val="auto"/>
              </w:rPr>
            </w:pPr>
            <w:r>
              <w:rPr>
                <w:rFonts w:ascii="Arial" w:cs="Arial" w:eastAsia="Arial" w:hAnsi="Arial"/>
                <w:sz w:val="13"/>
                <w:szCs w:val="13"/>
                <w:color w:val="auto"/>
                <w:w w:val="88"/>
              </w:rPr>
              <w:t>Common Stock, par value $0.001 per share</w:t>
            </w:r>
          </w:p>
        </w:tc>
        <w:tc>
          <w:tcPr>
            <w:tcW w:w="3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PACB</w:t>
            </w:r>
          </w:p>
        </w:tc>
        <w:tc>
          <w:tcPr>
            <w:tcW w:w="78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jc w:val="center"/>
              <w:ind w:right="756"/>
              <w:spacing w:after="0"/>
              <w:rPr>
                <w:sz w:val="20"/>
                <w:szCs w:val="20"/>
                <w:color w:val="auto"/>
              </w:rPr>
            </w:pPr>
            <w:r>
              <w:rPr>
                <w:rFonts w:ascii="Arial" w:cs="Arial" w:eastAsia="Arial" w:hAnsi="Arial"/>
                <w:sz w:val="13"/>
                <w:szCs w:val="13"/>
                <w:color w:val="auto"/>
                <w:w w:val="94"/>
              </w:rPr>
              <w:t>The NASDAQ Stock Market LLC</w:t>
            </w:r>
          </w:p>
        </w:tc>
      </w:tr>
    </w:tbl>
    <w:p>
      <w:pPr>
        <w:spacing w:after="0" w:line="56" w:lineRule="exact"/>
        <w:rPr>
          <w:sz w:val="24"/>
          <w:szCs w:val="24"/>
          <w:color w:val="auto"/>
        </w:rPr>
      </w:pPr>
    </w:p>
    <w:p>
      <w:pPr>
        <w:ind w:right="40" w:firstLine="392"/>
        <w:spacing w:after="0" w:line="23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127" w:lineRule="exact"/>
        <w:rPr>
          <w:sz w:val="24"/>
          <w:szCs w:val="24"/>
          <w:color w:val="auto"/>
        </w:rPr>
      </w:pPr>
    </w:p>
    <w:p>
      <w:pPr>
        <w:ind w:right="400" w:firstLine="392"/>
        <w:spacing w:after="0" w:line="236"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127" w:lineRule="exact"/>
        <w:rPr>
          <w:sz w:val="24"/>
          <w:szCs w:val="24"/>
          <w:color w:val="auto"/>
        </w:rPr>
      </w:pPr>
    </w:p>
    <w:p>
      <w:pPr>
        <w:ind w:right="220" w:firstLine="392"/>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34"/>
        </w:trPr>
        <w:tc>
          <w:tcPr>
            <w:tcW w:w="2160" w:type="dxa"/>
            <w:vAlign w:val="bottom"/>
          </w:tcPr>
          <w:p>
            <w:pPr>
              <w:spacing w:after="0" w:line="134" w:lineRule="exact"/>
              <w:rPr>
                <w:sz w:val="20"/>
                <w:szCs w:val="20"/>
                <w:color w:val="auto"/>
              </w:rPr>
            </w:pPr>
            <w:r>
              <w:rPr>
                <w:rFonts w:ascii="Arial" w:cs="Arial" w:eastAsia="Arial" w:hAnsi="Arial"/>
                <w:sz w:val="13"/>
                <w:szCs w:val="13"/>
                <w:color w:val="auto"/>
              </w:rPr>
              <w:t>Large accelerated filer</w:t>
            </w:r>
          </w:p>
        </w:tc>
        <w:tc>
          <w:tcPr>
            <w:tcW w:w="3240" w:type="dxa"/>
            <w:vAlign w:val="bottom"/>
          </w:tcPr>
          <w:p>
            <w:pPr>
              <w:ind w:left="740"/>
              <w:spacing w:after="0" w:line="134" w:lineRule="exact"/>
              <w:rPr>
                <w:sz w:val="20"/>
                <w:szCs w:val="20"/>
                <w:color w:val="auto"/>
              </w:rPr>
            </w:pPr>
            <w:r>
              <w:rPr>
                <w:rFonts w:ascii="Arial" w:cs="Arial" w:eastAsia="Arial" w:hAnsi="Arial"/>
                <w:sz w:val="13"/>
                <w:szCs w:val="13"/>
                <w:color w:val="auto"/>
              </w:rPr>
              <w:t>T</w:t>
            </w:r>
          </w:p>
        </w:tc>
        <w:tc>
          <w:tcPr>
            <w:tcW w:w="4720" w:type="dxa"/>
            <w:vAlign w:val="bottom"/>
          </w:tcPr>
          <w:p>
            <w:pPr>
              <w:ind w:left="2440"/>
              <w:spacing w:after="0" w:line="134" w:lineRule="exact"/>
              <w:rPr>
                <w:sz w:val="20"/>
                <w:szCs w:val="20"/>
                <w:color w:val="auto"/>
              </w:rPr>
            </w:pPr>
            <w:r>
              <w:rPr>
                <w:rFonts w:ascii="Arial" w:cs="Arial" w:eastAsia="Arial" w:hAnsi="Arial"/>
                <w:sz w:val="13"/>
                <w:szCs w:val="13"/>
                <w:color w:val="auto"/>
              </w:rPr>
              <w:t>Accelerated filer</w:t>
            </w:r>
          </w:p>
        </w:tc>
        <w:tc>
          <w:tcPr>
            <w:tcW w:w="940" w:type="dxa"/>
            <w:vAlign w:val="bottom"/>
          </w:tcPr>
          <w:p>
            <w:pPr>
              <w:ind w:left="860"/>
              <w:spacing w:after="0" w:line="134" w:lineRule="exact"/>
              <w:rPr>
                <w:sz w:val="20"/>
                <w:szCs w:val="20"/>
                <w:color w:val="auto"/>
              </w:rPr>
            </w:pPr>
            <w:r>
              <w:rPr>
                <w:rFonts w:ascii="Arial" w:cs="Arial" w:eastAsia="Arial" w:hAnsi="Arial"/>
                <w:sz w:val="13"/>
                <w:szCs w:val="13"/>
                <w:color w:val="auto"/>
                <w:w w:val="82"/>
              </w:rPr>
              <w:t>o</w:t>
            </w:r>
          </w:p>
        </w:tc>
      </w:tr>
      <w:tr>
        <w:trPr>
          <w:trHeight w:val="162"/>
        </w:trPr>
        <w:tc>
          <w:tcPr>
            <w:tcW w:w="21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40" w:type="dxa"/>
            <w:vAlign w:val="bottom"/>
          </w:tcPr>
          <w:p>
            <w:pPr>
              <w:ind w:left="740"/>
              <w:spacing w:after="0"/>
              <w:rPr>
                <w:sz w:val="20"/>
                <w:szCs w:val="20"/>
                <w:color w:val="auto"/>
              </w:rPr>
            </w:pPr>
            <w:r>
              <w:rPr>
                <w:rFonts w:ascii="Arial" w:cs="Arial" w:eastAsia="Arial" w:hAnsi="Arial"/>
                <w:sz w:val="13"/>
                <w:szCs w:val="13"/>
                <w:color w:val="auto"/>
              </w:rPr>
              <w:t>o</w:t>
            </w:r>
          </w:p>
        </w:tc>
        <w:tc>
          <w:tcPr>
            <w:tcW w:w="4720" w:type="dxa"/>
            <w:vAlign w:val="bottom"/>
          </w:tcPr>
          <w:p>
            <w:pPr>
              <w:ind w:left="2440"/>
              <w:spacing w:after="0"/>
              <w:rPr>
                <w:sz w:val="20"/>
                <w:szCs w:val="20"/>
                <w:color w:val="auto"/>
              </w:rPr>
            </w:pPr>
            <w:r>
              <w:rPr>
                <w:rFonts w:ascii="Arial" w:cs="Arial" w:eastAsia="Arial" w:hAnsi="Arial"/>
                <w:sz w:val="13"/>
                <w:szCs w:val="13"/>
                <w:color w:val="auto"/>
              </w:rPr>
              <w:t>Smaller reporting company</w:t>
            </w:r>
          </w:p>
        </w:tc>
        <w:tc>
          <w:tcPr>
            <w:tcW w:w="940" w:type="dxa"/>
            <w:vAlign w:val="bottom"/>
          </w:tcPr>
          <w:p>
            <w:pPr>
              <w:ind w:left="860"/>
              <w:spacing w:after="0"/>
              <w:rPr>
                <w:sz w:val="20"/>
                <w:szCs w:val="20"/>
                <w:color w:val="auto"/>
              </w:rPr>
            </w:pPr>
            <w:r>
              <w:rPr>
                <w:rFonts w:ascii="Arial" w:cs="Arial" w:eastAsia="Arial" w:hAnsi="Arial"/>
                <w:sz w:val="13"/>
                <w:szCs w:val="13"/>
                <w:color w:val="auto"/>
                <w:w w:val="82"/>
              </w:rPr>
              <w:t>o</w:t>
            </w:r>
          </w:p>
        </w:tc>
      </w:tr>
      <w:tr>
        <w:trPr>
          <w:trHeight w:val="168"/>
        </w:trPr>
        <w:tc>
          <w:tcPr>
            <w:tcW w:w="21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40" w:type="dxa"/>
            <w:vAlign w:val="bottom"/>
          </w:tcPr>
          <w:p>
            <w:pPr>
              <w:ind w:left="740"/>
              <w:spacing w:after="0"/>
              <w:rPr>
                <w:sz w:val="20"/>
                <w:szCs w:val="20"/>
                <w:color w:val="auto"/>
              </w:rPr>
            </w:pPr>
            <w:r>
              <w:rPr>
                <w:rFonts w:ascii="Arial" w:cs="Arial" w:eastAsia="Arial" w:hAnsi="Arial"/>
                <w:sz w:val="13"/>
                <w:szCs w:val="13"/>
                <w:color w:val="auto"/>
              </w:rPr>
              <w:t>o</w:t>
            </w:r>
          </w:p>
        </w:tc>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26" w:lineRule="exact"/>
        <w:rPr>
          <w:sz w:val="24"/>
          <w:szCs w:val="24"/>
          <w:color w:val="auto"/>
        </w:rPr>
      </w:pPr>
    </w:p>
    <w:p>
      <w:pPr>
        <w:ind w:right="380" w:firstLine="392"/>
        <w:spacing w:after="0" w:line="236"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7" w:lineRule="exact"/>
        <w:rPr>
          <w:sz w:val="24"/>
          <w:szCs w:val="24"/>
          <w:color w:val="auto"/>
        </w:rPr>
      </w:pPr>
    </w:p>
    <w:p>
      <w:pPr>
        <w:ind w:left="380" w:right="4160"/>
        <w:spacing w:after="0" w:line="464" w:lineRule="auto"/>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T Number of shares outstanding of the issuer’s common stock as of October 31, 2022: 226,109,275.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325120</wp:posOffset>
            </wp:positionV>
            <wp:extent cx="717296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511"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40" w:type="dxa"/>
            <w:vAlign w:val="bottom"/>
            <w:gridSpan w:val="8"/>
          </w:tcPr>
          <w:p>
            <w:pPr>
              <w:jc w:val="center"/>
              <w:ind w:right="2680"/>
              <w:spacing w:after="0"/>
              <w:rPr>
                <w:sz w:val="20"/>
                <w:szCs w:val="20"/>
                <w:color w:val="auto"/>
              </w:rPr>
            </w:pPr>
            <w:r>
              <w:rPr>
                <w:rFonts w:ascii="Arial" w:cs="Arial" w:eastAsia="Arial" w:hAnsi="Arial"/>
                <w:sz w:val="16"/>
                <w:szCs w:val="16"/>
                <w:b w:val="1"/>
                <w:bCs w:val="1"/>
                <w:color w:val="auto"/>
              </w:rPr>
              <w:t>PART I. FINANCIAL INFORMATION</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PAGE No.</w:t>
            </w:r>
          </w:p>
        </w:tc>
      </w:tr>
      <w:tr>
        <w:trPr>
          <w:trHeight w:val="317"/>
        </w:trPr>
        <w:tc>
          <w:tcPr>
            <w:tcW w:w="10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6"/>
                <w:szCs w:val="16"/>
                <w:color w:val="0000FF"/>
              </w:rPr>
              <w:t>Item 1. Financial Statements (unaudited):</w:t>
            </w: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6"/>
                <w:szCs w:val="16"/>
                <w:color w:val="0000FF"/>
              </w:rPr>
              <w:t>Condensed Consolidated Balance Sheets as of September 30, 2022 and December 31, 2021</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r>
      <w:tr>
        <w:trPr>
          <w:trHeight w:val="20"/>
        </w:trPr>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6"/>
                <w:szCs w:val="16"/>
                <w:color w:val="0000FF"/>
                <w:w w:val="89"/>
              </w:rPr>
              <w:t>Condensed Consolidated Statements of Operations and Comprehensive (Loss) Income for the Three and Nine Months Ended September 30, 2022 and 2021</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r>
      <w:tr>
        <w:trPr>
          <w:trHeight w:val="20"/>
        </w:trPr>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6"/>
                <w:szCs w:val="16"/>
                <w:color w:val="0000FF"/>
              </w:rPr>
              <w:t>Condensed Consolidated Statements of Stockholders’ Equity for the Three and Nine Months Ended September 30, 2022 and 2021</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r>
      <w:tr>
        <w:trPr>
          <w:trHeight w:val="20"/>
        </w:trPr>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6"/>
                <w:szCs w:val="16"/>
                <w:color w:val="0000FF"/>
              </w:rPr>
              <w:t>Condensed Consolidated Statements of Cash Flows for the Nine Months Ended September 30, 2022 and 2021</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r>
      <w:tr>
        <w:trPr>
          <w:trHeight w:val="20"/>
        </w:trPr>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r>
      <w:tr>
        <w:trPr>
          <w:trHeight w:val="20"/>
        </w:trPr>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5940" w:type="dxa"/>
            <w:vAlign w:val="bottom"/>
            <w:tcBorders>
              <w:left w:val="single" w:sz="8" w:color="0000FF"/>
            </w:tcBorders>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6"/>
                <w:szCs w:val="16"/>
                <w:color w:val="0000FF"/>
              </w:rPr>
              <w:t>Item 4. Controls and Procedures</w:t>
            </w: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24"/>
                <w:szCs w:val="24"/>
                <w:color w:val="auto"/>
              </w:rPr>
            </w:pPr>
          </w:p>
        </w:tc>
      </w:tr>
      <w:tr>
        <w:trPr>
          <w:trHeight w:val="353"/>
        </w:trPr>
        <w:tc>
          <w:tcPr>
            <w:tcW w:w="10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40" w:type="dxa"/>
            <w:vAlign w:val="bottom"/>
            <w:gridSpan w:val="7"/>
          </w:tcPr>
          <w:p>
            <w:pPr>
              <w:jc w:val="center"/>
              <w:ind w:right="3900"/>
              <w:spacing w:after="0"/>
              <w:rPr>
                <w:sz w:val="20"/>
                <w:szCs w:val="20"/>
                <w:color w:val="auto"/>
              </w:rPr>
            </w:pPr>
            <w:r>
              <w:rPr>
                <w:rFonts w:ascii="Arial" w:cs="Arial" w:eastAsia="Arial" w:hAnsi="Arial"/>
                <w:sz w:val="16"/>
                <w:szCs w:val="16"/>
                <w:b w:val="1"/>
                <w:bCs w:val="1"/>
                <w:color w:val="auto"/>
              </w:rPr>
              <w:t>PART II. OTHER INFORMATION</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1"/>
        </w:trPr>
        <w:tc>
          <w:tcPr>
            <w:tcW w:w="10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6"/>
                <w:szCs w:val="16"/>
                <w:color w:val="0000FF"/>
              </w:rPr>
              <w:t>Item 1. Legal Proceedings</w:t>
            </w: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6"/>
                <w:szCs w:val="16"/>
                <w:color w:val="0000FF"/>
              </w:rPr>
              <w:t>Item 1A. Risk Factors</w:t>
            </w: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0000FF"/>
                <w:w w:val="89"/>
              </w:rPr>
              <w:t>Item 3.</w:t>
            </w:r>
          </w:p>
        </w:tc>
        <w:tc>
          <w:tcPr>
            <w:tcW w:w="9840" w:type="dxa"/>
            <w:vAlign w:val="bottom"/>
            <w:gridSpan w:val="14"/>
          </w:tcPr>
          <w:p>
            <w:pPr>
              <w:ind w:left="20"/>
              <w:spacing w:after="0"/>
              <w:rPr>
                <w:sz w:val="20"/>
                <w:szCs w:val="20"/>
                <w:color w:val="auto"/>
              </w:rPr>
            </w:pPr>
            <w:r>
              <w:rPr>
                <w:rFonts w:ascii="Arial" w:cs="Arial" w:eastAsia="Arial" w:hAnsi="Arial"/>
                <w:sz w:val="16"/>
                <w:szCs w:val="16"/>
                <w:color w:val="0000FF"/>
              </w:rPr>
              <w:t>Default Upon Senior Securities</w:t>
            </w: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24"/>
                <w:szCs w:val="24"/>
                <w:color w:val="auto"/>
              </w:rPr>
            </w:pPr>
          </w:p>
        </w:tc>
      </w:tr>
      <w:tr>
        <w:trPr>
          <w:trHeight w:val="317"/>
        </w:trPr>
        <w:tc>
          <w:tcPr>
            <w:tcW w:w="100" w:type="dxa"/>
            <w:vAlign w:val="bottom"/>
          </w:tcPr>
          <w:p>
            <w:pPr>
              <w:spacing w:after="0"/>
              <w:rPr>
                <w:sz w:val="24"/>
                <w:szCs w:val="24"/>
                <w:color w:val="auto"/>
              </w:rPr>
            </w:pPr>
          </w:p>
        </w:tc>
        <w:tc>
          <w:tcPr>
            <w:tcW w:w="46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w w:val="89"/>
              </w:rPr>
              <w:t>Item 4.</w:t>
            </w:r>
          </w:p>
        </w:tc>
        <w:tc>
          <w:tcPr>
            <w:tcW w:w="2020" w:type="dxa"/>
            <w:vAlign w:val="bottom"/>
            <w:tcBorders>
              <w:top w:val="single" w:sz="8" w:color="0000FF"/>
            </w:tcBorders>
            <w:gridSpan w:val="5"/>
          </w:tcPr>
          <w:p>
            <w:pPr>
              <w:ind w:left="20"/>
              <w:spacing w:after="0"/>
              <w:rPr>
                <w:sz w:val="20"/>
                <w:szCs w:val="20"/>
                <w:color w:val="auto"/>
              </w:rPr>
            </w:pPr>
            <w:r>
              <w:rPr>
                <w:rFonts w:ascii="Arial" w:cs="Arial" w:eastAsia="Arial" w:hAnsi="Arial"/>
                <w:sz w:val="16"/>
                <w:szCs w:val="16"/>
                <w:color w:val="0000FF"/>
              </w:rPr>
              <w:t>Mine Safety Disclosures</w:t>
            </w:r>
          </w:p>
        </w:tc>
        <w:tc>
          <w:tcPr>
            <w:tcW w:w="782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24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0000FF"/>
                <w:w w:val="89"/>
              </w:rPr>
              <w:t>Item 5.</w:t>
            </w:r>
          </w:p>
        </w:tc>
        <w:tc>
          <w:tcPr>
            <w:tcW w:w="9840" w:type="dxa"/>
            <w:vAlign w:val="bottom"/>
            <w:gridSpan w:val="14"/>
          </w:tcPr>
          <w:p>
            <w:pPr>
              <w:ind w:left="20"/>
              <w:spacing w:after="0"/>
              <w:rPr>
                <w:sz w:val="20"/>
                <w:szCs w:val="20"/>
                <w:color w:val="auto"/>
              </w:rPr>
            </w:pPr>
            <w:r>
              <w:rPr>
                <w:rFonts w:ascii="Arial" w:cs="Arial" w:eastAsia="Arial" w:hAnsi="Arial"/>
                <w:sz w:val="16"/>
                <w:szCs w:val="16"/>
                <w:color w:val="0000FF"/>
              </w:rPr>
              <w:t>Other Information</w:t>
            </w: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4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0000FF"/>
                <w:w w:val="89"/>
              </w:rPr>
              <w:t>Item 6.</w:t>
            </w:r>
          </w:p>
        </w:tc>
        <w:tc>
          <w:tcPr>
            <w:tcW w:w="9840" w:type="dxa"/>
            <w:vAlign w:val="bottom"/>
            <w:gridSpan w:val="14"/>
          </w:tcPr>
          <w:p>
            <w:pPr>
              <w:ind w:left="20"/>
              <w:spacing w:after="0"/>
              <w:rPr>
                <w:sz w:val="20"/>
                <w:szCs w:val="20"/>
                <w:color w:val="auto"/>
              </w:rPr>
            </w:pPr>
            <w:r>
              <w:rPr>
                <w:rFonts w:ascii="Arial" w:cs="Arial" w:eastAsia="Arial" w:hAnsi="Arial"/>
                <w:sz w:val="16"/>
                <w:szCs w:val="16"/>
                <w:color w:val="0000FF"/>
              </w:rPr>
              <w:t>Exhibits</w:t>
            </w: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24"/>
                <w:szCs w:val="24"/>
                <w:color w:val="auto"/>
              </w:rPr>
            </w:pPr>
          </w:p>
        </w:tc>
      </w:tr>
      <w:tr>
        <w:trPr>
          <w:trHeight w:val="918"/>
        </w:trPr>
        <w:tc>
          <w:tcPr>
            <w:tcW w:w="10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140" w:type="dxa"/>
            <w:vAlign w:val="bottom"/>
            <w:gridSpan w:val="8"/>
          </w:tcPr>
          <w:p>
            <w:pPr>
              <w:jc w:val="right"/>
              <w:ind w:right="6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1"/>
        </w:trPr>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3660" w:type="dxa"/>
            <w:vAlign w:val="bottom"/>
            <w:gridSpan w:val="4"/>
          </w:tcPr>
          <w:p>
            <w:pPr>
              <w:spacing w:after="0"/>
              <w:rPr>
                <w:sz w:val="20"/>
                <w:szCs w:val="20"/>
                <w:color w:val="auto"/>
              </w:rPr>
            </w:pPr>
            <w:r>
              <w:rPr>
                <w:rFonts w:ascii="Arial" w:cs="Arial" w:eastAsia="Arial" w:hAnsi="Arial"/>
                <w:sz w:val="16"/>
                <w:szCs w:val="16"/>
                <w:color w:val="0000FF"/>
              </w:rPr>
              <w:t>Table of Contents</w:t>
            </w:r>
          </w:p>
        </w:tc>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520" w:type="dxa"/>
            <w:vAlign w:val="bottom"/>
          </w:tcPr>
          <w:p>
            <w:pPr>
              <w:spacing w:after="0"/>
              <w:rPr>
                <w:sz w:val="24"/>
                <w:szCs w:val="24"/>
                <w:color w:val="auto"/>
              </w:rPr>
            </w:pPr>
          </w:p>
        </w:tc>
        <w:tc>
          <w:tcPr>
            <w:tcW w:w="3800" w:type="dxa"/>
            <w:vAlign w:val="bottom"/>
            <w:gridSpan w:val="2"/>
          </w:tcPr>
          <w:p>
            <w:pPr>
              <w:jc w:val="center"/>
              <w:ind w:left="43"/>
              <w:spacing w:after="0"/>
              <w:rPr>
                <w:sz w:val="20"/>
                <w:szCs w:val="20"/>
                <w:color w:val="auto"/>
              </w:rPr>
            </w:pPr>
            <w:r>
              <w:rPr>
                <w:rFonts w:ascii="Arial" w:cs="Arial" w:eastAsia="Arial" w:hAnsi="Arial"/>
                <w:sz w:val="16"/>
                <w:szCs w:val="16"/>
                <w:b w:val="1"/>
                <w:bCs w:val="1"/>
                <w:color w:val="auto"/>
              </w:rPr>
              <w:t>PART I. FINANCIAL INFORMATION</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282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Financial Statements</w:t>
            </w: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3800" w:type="dxa"/>
            <w:vAlign w:val="bottom"/>
            <w:gridSpan w:val="2"/>
          </w:tcPr>
          <w:p>
            <w:pPr>
              <w:jc w:val="center"/>
              <w:ind w:left="63"/>
              <w:spacing w:after="0"/>
              <w:rPr>
                <w:sz w:val="20"/>
                <w:szCs w:val="20"/>
                <w:color w:val="auto"/>
              </w:rPr>
            </w:pPr>
            <w:r>
              <w:rPr>
                <w:rFonts w:ascii="Arial" w:cs="Arial" w:eastAsia="Arial" w:hAnsi="Arial"/>
                <w:sz w:val="16"/>
                <w:szCs w:val="16"/>
                <w:b w:val="1"/>
                <w:bCs w:val="1"/>
                <w:color w:val="auto"/>
              </w:rPr>
              <w:t>PACIFIC BIOSCIENCES OF CALIFORNIA, INC.</w:t>
            </w: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0" w:type="dxa"/>
            <w:vAlign w:val="bottom"/>
            <w:gridSpan w:val="2"/>
          </w:tcPr>
          <w:p>
            <w:pPr>
              <w:jc w:val="center"/>
              <w:ind w:left="43"/>
              <w:spacing w:after="0"/>
              <w:rPr>
                <w:sz w:val="20"/>
                <w:szCs w:val="20"/>
                <w:color w:val="auto"/>
              </w:rPr>
            </w:pPr>
            <w:r>
              <w:rPr>
                <w:rFonts w:ascii="Arial" w:cs="Arial" w:eastAsia="Arial" w:hAnsi="Arial"/>
                <w:sz w:val="16"/>
                <w:szCs w:val="16"/>
                <w:b w:val="1"/>
                <w:bCs w:val="1"/>
                <w:color w:val="auto"/>
                <w:w w:val="87"/>
              </w:rPr>
              <w:t>Condensed Consolidated Balance Sheets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0" w:type="dxa"/>
            <w:vAlign w:val="bottom"/>
            <w:gridSpan w:val="2"/>
          </w:tcPr>
          <w:p>
            <w:pPr>
              <w:jc w:val="center"/>
              <w:ind w:left="43"/>
              <w:spacing w:after="0"/>
              <w:rPr>
                <w:sz w:val="20"/>
                <w:szCs w:val="20"/>
                <w:color w:val="auto"/>
              </w:rPr>
            </w:pPr>
            <w:r>
              <w:rPr>
                <w:rFonts w:ascii="Arial" w:cs="Arial" w:eastAsia="Arial" w:hAnsi="Arial"/>
                <w:sz w:val="16"/>
                <w:szCs w:val="16"/>
                <w:b w:val="1"/>
                <w:bCs w:val="1"/>
                <w:color w:val="auto"/>
                <w:w w:val="94"/>
              </w:rPr>
              <w:t>(Unaudited)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00" w:type="dxa"/>
            <w:vAlign w:val="bottom"/>
            <w:gridSpan w:val="3"/>
          </w:tcPr>
          <w:p>
            <w:pPr>
              <w:ind w:left="720"/>
              <w:spacing w:after="0"/>
              <w:rPr>
                <w:sz w:val="20"/>
                <w:szCs w:val="20"/>
                <w:color w:val="auto"/>
              </w:rPr>
            </w:pPr>
            <w:r>
              <w:rPr>
                <w:rFonts w:ascii="Arial" w:cs="Arial" w:eastAsia="Arial" w:hAnsi="Arial"/>
                <w:sz w:val="14"/>
                <w:szCs w:val="14"/>
                <w:b w:val="1"/>
                <w:bCs w:val="1"/>
                <w:color w:val="auto"/>
              </w:rPr>
              <w:t>September 30,</w:t>
            </w:r>
          </w:p>
        </w:tc>
        <w:tc>
          <w:tcPr>
            <w:tcW w:w="2260" w:type="dxa"/>
            <w:vAlign w:val="bottom"/>
            <w:gridSpan w:val="2"/>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366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(in thousands, except per share amounts)</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948"/>
              <w:spacing w:after="0" w:line="157"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908"/>
              <w:spacing w:after="0" w:line="157"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40" w:type="dxa"/>
            <w:vAlign w:val="bottom"/>
            <w:gridSpan w:val="2"/>
          </w:tcPr>
          <w:p>
            <w:pPr>
              <w:spacing w:after="0"/>
              <w:rPr>
                <w:sz w:val="20"/>
                <w:szCs w:val="20"/>
                <w:color w:val="auto"/>
              </w:rPr>
            </w:pPr>
            <w:r>
              <w:rPr>
                <w:rFonts w:ascii="Arial" w:cs="Arial" w:eastAsia="Arial" w:hAnsi="Arial"/>
                <w:sz w:val="14"/>
                <w:szCs w:val="14"/>
                <w:color w:val="auto"/>
                <w:w w:val="90"/>
              </w:rPr>
              <w:t>Current assets</w:t>
            </w:r>
          </w:p>
        </w:tc>
        <w:tc>
          <w:tcPr>
            <w:tcW w:w="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Cash and cash equivalents</w:t>
            </w:r>
          </w:p>
        </w:tc>
        <w:tc>
          <w:tcPr>
            <w:tcW w:w="3800" w:type="dxa"/>
            <w:vAlign w:val="bottom"/>
            <w:gridSpan w:val="2"/>
            <w:shd w:val="clear" w:color="auto" w:fill="CCEEFF"/>
          </w:tcPr>
          <w:p>
            <w:pPr>
              <w:ind w:left="356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304,433</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460,725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ind w:left="60"/>
              <w:spacing w:after="0" w:line="157" w:lineRule="exact"/>
              <w:rPr>
                <w:sz w:val="20"/>
                <w:szCs w:val="20"/>
                <w:color w:val="auto"/>
              </w:rPr>
            </w:pPr>
            <w:r>
              <w:rPr>
                <w:rFonts w:ascii="Arial" w:cs="Arial" w:eastAsia="Arial" w:hAnsi="Arial"/>
                <w:sz w:val="14"/>
                <w:szCs w:val="14"/>
                <w:color w:val="auto"/>
                <w:w w:val="97"/>
              </w:rPr>
              <w:t>Investments</w:t>
            </w:r>
          </w:p>
        </w:tc>
        <w:tc>
          <w:tcPr>
            <w:tcW w:w="3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529,907</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583,675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Accounts receivable, net</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22,756</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24,241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Inventory, net</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43,495</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24,599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Prepaid expenses and other current assets</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13,005</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7,394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bottom w:val="single" w:sz="8" w:color="CCEEFF"/>
            </w:tcBorders>
            <w:gridSpan w:val="3"/>
          </w:tcPr>
          <w:p>
            <w:pPr>
              <w:ind w:left="60"/>
              <w:spacing w:after="0" w:line="157" w:lineRule="exact"/>
              <w:rPr>
                <w:sz w:val="20"/>
                <w:szCs w:val="20"/>
                <w:color w:val="auto"/>
              </w:rPr>
            </w:pPr>
            <w:r>
              <w:rPr>
                <w:rFonts w:ascii="Arial" w:cs="Arial" w:eastAsia="Arial" w:hAnsi="Arial"/>
                <w:sz w:val="14"/>
                <w:szCs w:val="14"/>
                <w:color w:val="auto"/>
              </w:rPr>
              <w:t>Short-term restricted cash</w:t>
            </w:r>
          </w:p>
        </w:tc>
        <w:tc>
          <w:tcPr>
            <w:tcW w:w="28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300</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current assets</w:t>
            </w:r>
          </w:p>
        </w:tc>
        <w:tc>
          <w:tcPr>
            <w:tcW w:w="2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913,896</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1,101,134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spacing w:after="0" w:line="157" w:lineRule="exact"/>
              <w:rPr>
                <w:sz w:val="20"/>
                <w:szCs w:val="20"/>
                <w:color w:val="auto"/>
              </w:rPr>
            </w:pPr>
            <w:r>
              <w:rPr>
                <w:rFonts w:ascii="Arial" w:cs="Arial" w:eastAsia="Arial" w:hAnsi="Arial"/>
                <w:sz w:val="14"/>
                <w:szCs w:val="14"/>
                <w:color w:val="auto"/>
              </w:rPr>
              <w:t>Property and equipment, net</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39,154</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32,504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Operating lease right-of-use assets, net</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41,533</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46,617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spacing w:after="0" w:line="157" w:lineRule="exact"/>
              <w:rPr>
                <w:sz w:val="20"/>
                <w:szCs w:val="20"/>
                <w:color w:val="auto"/>
              </w:rPr>
            </w:pPr>
            <w:r>
              <w:rPr>
                <w:rFonts w:ascii="Arial" w:cs="Arial" w:eastAsia="Arial" w:hAnsi="Arial"/>
                <w:sz w:val="14"/>
                <w:szCs w:val="14"/>
                <w:color w:val="auto"/>
              </w:rPr>
              <w:t>Long-term restricted cash</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2,922</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Intangible assets, net</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410,294</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410,979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line="157" w:lineRule="exact"/>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409,974</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409,974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Other long-term assets</w:t>
            </w:r>
          </w:p>
        </w:tc>
        <w:tc>
          <w:tcPr>
            <w:tcW w:w="28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1,176</w:t>
            </w:r>
          </w:p>
        </w:tc>
        <w:tc>
          <w:tcPr>
            <w:tcW w:w="1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tcBorders>
              <w:bottom w:val="single" w:sz="8" w:color="CCEEFF"/>
            </w:tcBorders>
            <w:gridSpan w:val="3"/>
          </w:tcPr>
          <w:p>
            <w:pPr>
              <w:ind w:left="360"/>
              <w:spacing w:after="0" w:line="149" w:lineRule="exact"/>
              <w:rPr>
                <w:sz w:val="20"/>
                <w:szCs w:val="20"/>
                <w:color w:val="auto"/>
              </w:rPr>
            </w:pPr>
            <w:r>
              <w:rPr>
                <w:rFonts w:ascii="Arial" w:cs="Arial" w:eastAsia="Arial" w:hAnsi="Arial"/>
                <w:sz w:val="14"/>
                <w:szCs w:val="14"/>
                <w:color w:val="auto"/>
              </w:rPr>
              <w:t>Total assets</w:t>
            </w:r>
          </w:p>
        </w:tc>
        <w:tc>
          <w:tcPr>
            <w:tcW w:w="28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720"/>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1,818,949</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ind w:left="720"/>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2,006,970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Liabilities and Stockholders’ Equity</w:t>
            </w:r>
          </w:p>
        </w:tc>
        <w:tc>
          <w:tcPr>
            <w:tcW w:w="2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spacing w:after="0" w:line="157" w:lineRule="exact"/>
              <w:rPr>
                <w:sz w:val="20"/>
                <w:szCs w:val="20"/>
                <w:color w:val="auto"/>
              </w:rPr>
            </w:pPr>
            <w:r>
              <w:rPr>
                <w:rFonts w:ascii="Arial" w:cs="Arial" w:eastAsia="Arial" w:hAnsi="Arial"/>
                <w:sz w:val="14"/>
                <w:szCs w:val="14"/>
                <w:color w:val="auto"/>
              </w:rPr>
              <w:t>Current liabilities</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Accounts payable</w:t>
            </w:r>
          </w:p>
        </w:tc>
        <w:tc>
          <w:tcPr>
            <w:tcW w:w="3800" w:type="dxa"/>
            <w:vAlign w:val="bottom"/>
            <w:gridSpan w:val="2"/>
            <w:shd w:val="clear" w:color="auto" w:fill="CCEEFF"/>
          </w:tcPr>
          <w:p>
            <w:pPr>
              <w:ind w:left="356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12,853</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11,002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Accrued expenses</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24,886</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36,261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Deferred revenue, current</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30,689</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10,977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Operating lease liabilities, current</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8,612</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7,710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Other liabilities, current</w:t>
            </w:r>
          </w:p>
        </w:tc>
        <w:tc>
          <w:tcPr>
            <w:tcW w:w="28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4,609</w:t>
            </w:r>
          </w:p>
        </w:tc>
        <w:tc>
          <w:tcPr>
            <w:tcW w:w="1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5,759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Total current liabilities</w:t>
            </w:r>
          </w:p>
        </w:tc>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81,649</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71,709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Deferred revenue, non-current</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1,762</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25,049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spacing w:after="0" w:line="157" w:lineRule="exact"/>
              <w:rPr>
                <w:sz w:val="20"/>
                <w:szCs w:val="20"/>
                <w:color w:val="auto"/>
              </w:rPr>
            </w:pPr>
            <w:r>
              <w:rPr>
                <w:rFonts w:ascii="Arial" w:cs="Arial" w:eastAsia="Arial" w:hAnsi="Arial"/>
                <w:sz w:val="14"/>
                <w:szCs w:val="14"/>
                <w:color w:val="auto"/>
              </w:rPr>
              <w:t>Contingent consideration liability, non-current</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167,496</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169,717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Operating lease liabilities, non-current</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43,163</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49,970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spacing w:after="0" w:line="157" w:lineRule="exact"/>
              <w:rPr>
                <w:sz w:val="20"/>
                <w:szCs w:val="20"/>
                <w:color w:val="auto"/>
              </w:rPr>
            </w:pPr>
            <w:r>
              <w:rPr>
                <w:rFonts w:ascii="Arial" w:cs="Arial" w:eastAsia="Arial" w:hAnsi="Arial"/>
                <w:sz w:val="14"/>
                <w:szCs w:val="14"/>
                <w:color w:val="auto"/>
              </w:rPr>
              <w:t>Convertible senior notes, net, non-current</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896,529</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896,067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Other liabilities, non-current</w:t>
            </w:r>
          </w:p>
        </w:tc>
        <w:tc>
          <w:tcPr>
            <w:tcW w:w="28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1,759</w:t>
            </w:r>
          </w:p>
        </w:tc>
        <w:tc>
          <w:tcPr>
            <w:tcW w:w="1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3,471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Borders>
              <w:bottom w:val="single" w:sz="8" w:color="CCEEFF"/>
            </w:tcBorders>
            <w:gridSpan w:val="3"/>
          </w:tcPr>
          <w:p>
            <w:pPr>
              <w:ind w:left="360"/>
              <w:spacing w:after="0" w:line="149" w:lineRule="exact"/>
              <w:rPr>
                <w:sz w:val="20"/>
                <w:szCs w:val="20"/>
                <w:color w:val="auto"/>
              </w:rPr>
            </w:pPr>
            <w:r>
              <w:rPr>
                <w:rFonts w:ascii="Arial" w:cs="Arial" w:eastAsia="Arial" w:hAnsi="Arial"/>
                <w:sz w:val="14"/>
                <w:szCs w:val="14"/>
                <w:color w:val="auto"/>
              </w:rPr>
              <w:t>Total liabilities</w:t>
            </w:r>
          </w:p>
        </w:tc>
        <w:tc>
          <w:tcPr>
            <w:tcW w:w="28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1,192,358</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1,215,983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gridSpan w:val="4"/>
          </w:tcPr>
          <w:p>
            <w:pPr>
              <w:spacing w:after="0"/>
              <w:rPr>
                <w:sz w:val="20"/>
                <w:szCs w:val="20"/>
                <w:color w:val="auto"/>
              </w:rPr>
            </w:pPr>
            <w:r>
              <w:rPr>
                <w:rFonts w:ascii="Arial" w:cs="Arial" w:eastAsia="Arial" w:hAnsi="Arial"/>
                <w:sz w:val="14"/>
                <w:szCs w:val="14"/>
                <w:color w:val="auto"/>
              </w:rPr>
              <w:t>Commitments and contingencies</w:t>
            </w:r>
          </w:p>
        </w:tc>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40" w:type="dxa"/>
            <w:vAlign w:val="bottom"/>
            <w:gridSpan w:val="3"/>
          </w:tcPr>
          <w:p>
            <w:pPr>
              <w:spacing w:after="0" w:line="157" w:lineRule="exact"/>
              <w:rPr>
                <w:sz w:val="20"/>
                <w:szCs w:val="20"/>
                <w:color w:val="auto"/>
              </w:rPr>
            </w:pPr>
            <w:r>
              <w:rPr>
                <w:rFonts w:ascii="Arial" w:cs="Arial" w:eastAsia="Arial" w:hAnsi="Arial"/>
                <w:sz w:val="14"/>
                <w:szCs w:val="14"/>
                <w:color w:val="auto"/>
              </w:rPr>
              <w:t>Stockholders’ equity</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Preferred stock, $0.001 par value:</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ind w:left="60"/>
              <w:spacing w:after="0" w:line="157" w:lineRule="exact"/>
              <w:rPr>
                <w:sz w:val="20"/>
                <w:szCs w:val="20"/>
                <w:color w:val="auto"/>
              </w:rPr>
            </w:pPr>
            <w:r>
              <w:rPr>
                <w:rFonts w:ascii="Arial" w:cs="Arial" w:eastAsia="Arial" w:hAnsi="Arial"/>
                <w:sz w:val="14"/>
                <w:szCs w:val="14"/>
                <w:color w:val="auto"/>
                <w:w w:val="96"/>
              </w:rPr>
              <w:t>Authorized 50,000 shares; No shares issued or outstanding</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138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Common stock, $0.001 par value:</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40" w:type="dxa"/>
            <w:vAlign w:val="bottom"/>
            <w:gridSpan w:val="5"/>
          </w:tcPr>
          <w:p>
            <w:pPr>
              <w:ind w:left="60"/>
              <w:spacing w:after="0" w:line="136" w:lineRule="exact"/>
              <w:rPr>
                <w:sz w:val="20"/>
                <w:szCs w:val="20"/>
                <w:color w:val="auto"/>
              </w:rPr>
            </w:pPr>
            <w:r>
              <w:rPr>
                <w:rFonts w:ascii="Arial" w:cs="Arial" w:eastAsia="Arial" w:hAnsi="Arial"/>
                <w:sz w:val="14"/>
                <w:szCs w:val="14"/>
                <w:color w:val="auto"/>
              </w:rPr>
              <w:t>Authorized 1,000,000 shares; issued and outstanding 225,916 and 220,978 shares at September 30, 2022 and</w:t>
            </w: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40" w:type="dxa"/>
            <w:vAlign w:val="bottom"/>
            <w:gridSpan w:val="3"/>
          </w:tcPr>
          <w:p>
            <w:pPr>
              <w:ind w:left="60"/>
              <w:spacing w:after="0"/>
              <w:rPr>
                <w:sz w:val="20"/>
                <w:szCs w:val="20"/>
                <w:color w:val="auto"/>
              </w:rPr>
            </w:pPr>
            <w:r>
              <w:rPr>
                <w:rFonts w:ascii="Arial" w:cs="Arial" w:eastAsia="Arial" w:hAnsi="Arial"/>
                <w:sz w:val="14"/>
                <w:szCs w:val="14"/>
                <w:color w:val="auto"/>
              </w:rPr>
              <w:t>December 31, 2021, respectively</w:t>
            </w:r>
          </w:p>
        </w:tc>
        <w:tc>
          <w:tcPr>
            <w:tcW w:w="2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226</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Additional paid-in capital</w:t>
            </w:r>
          </w:p>
        </w:tc>
        <w:tc>
          <w:tcPr>
            <w:tcW w:w="2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2,080,581</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2,009,945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Accumulated other comprehensive loss</w:t>
            </w: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(6,260)</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Accumulated deficit</w:t>
            </w:r>
          </w:p>
        </w:tc>
        <w:tc>
          <w:tcPr>
            <w:tcW w:w="28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(1,447,956)</w:t>
            </w:r>
          </w:p>
        </w:tc>
        <w:tc>
          <w:tcPr>
            <w:tcW w:w="1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(1,218,092)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Borders>
              <w:bottom w:val="single" w:sz="8" w:color="CCEEFF"/>
            </w:tcBorders>
            <w:gridSpan w:val="3"/>
          </w:tcPr>
          <w:p>
            <w:pPr>
              <w:ind w:left="360"/>
              <w:spacing w:after="0" w:line="149" w:lineRule="exact"/>
              <w:rPr>
                <w:sz w:val="20"/>
                <w:szCs w:val="20"/>
                <w:color w:val="auto"/>
              </w:rPr>
            </w:pPr>
            <w:r>
              <w:rPr>
                <w:rFonts w:ascii="Arial" w:cs="Arial" w:eastAsia="Arial" w:hAnsi="Arial"/>
                <w:sz w:val="14"/>
                <w:szCs w:val="14"/>
                <w:color w:val="auto"/>
              </w:rPr>
              <w:t>Total stockholders’ equity</w:t>
            </w:r>
          </w:p>
        </w:tc>
        <w:tc>
          <w:tcPr>
            <w:tcW w:w="28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626,591</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790,987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Borders>
              <w:bottom w:val="single" w:sz="8" w:color="CCEEFF"/>
            </w:tcBorders>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28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1,818,949</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2,006,970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condensed consolidated financial statements.</w:t>
      </w: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717296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00"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41"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Condensed Consolidated Statements of Operations and Comprehensive (Loss) Income</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5"/>
              </w:rPr>
              <w:t>(in thousands, except</w:t>
            </w:r>
          </w:p>
        </w:tc>
        <w:tc>
          <w:tcPr>
            <w:tcW w:w="1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7"/>
              </w:rPr>
              <w:t>Three Months Ended September 30,</w:t>
            </w: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8"/>
              </w:rPr>
              <w:t>Nine Months Ended September 30,</w:t>
            </w: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400" w:type="dxa"/>
            <w:vAlign w:val="bottom"/>
            <w:vMerge w:val="continue"/>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per share amounts)</w:t>
            </w:r>
          </w:p>
        </w:tc>
        <w:tc>
          <w:tcPr>
            <w:tcW w:w="11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400" w:type="dxa"/>
            <w:vAlign w:val="bottom"/>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7"/>
              </w:rPr>
              <w:t>Product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27,509</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30,502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85,928</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82,338</w:t>
            </w:r>
          </w:p>
        </w:tc>
        <w:tc>
          <w:tcPr>
            <w:tcW w:w="0" w:type="dxa"/>
            <w:vAlign w:val="bottom"/>
          </w:tcPr>
          <w:p>
            <w:pPr>
              <w:spacing w:after="0"/>
              <w:rPr>
                <w:sz w:val="1"/>
                <w:szCs w:val="1"/>
                <w:color w:val="auto"/>
              </w:rPr>
            </w:pPr>
          </w:p>
        </w:tc>
      </w:tr>
      <w:tr>
        <w:trPr>
          <w:trHeight w:val="136"/>
        </w:trPr>
        <w:tc>
          <w:tcPr>
            <w:tcW w:w="1400" w:type="dxa"/>
            <w:vAlign w:val="bottom"/>
          </w:tcPr>
          <w:p>
            <w:pPr>
              <w:ind w:left="380"/>
              <w:spacing w:after="0" w:line="136" w:lineRule="exact"/>
              <w:rPr>
                <w:sz w:val="20"/>
                <w:szCs w:val="20"/>
                <w:color w:val="auto"/>
              </w:rPr>
            </w:pPr>
            <w:r>
              <w:rPr>
                <w:rFonts w:ascii="Arial" w:cs="Arial" w:eastAsia="Arial" w:hAnsi="Arial"/>
                <w:sz w:val="14"/>
                <w:szCs w:val="14"/>
                <w:color w:val="auto"/>
                <w:w w:val="91"/>
              </w:rPr>
              <w:t>Service and other</w:t>
            </w: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revenue</w:t>
            </w:r>
          </w:p>
        </w:tc>
        <w:tc>
          <w:tcPr>
            <w:tcW w:w="1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4,802</w:t>
            </w:r>
          </w:p>
        </w:tc>
        <w:tc>
          <w:tcPr>
            <w:tcW w:w="10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4,385</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15,023</w:t>
            </w:r>
          </w:p>
        </w:tc>
        <w:tc>
          <w:tcPr>
            <w:tcW w:w="10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12,156</w:t>
            </w:r>
          </w:p>
        </w:tc>
        <w:tc>
          <w:tcPr>
            <w:tcW w:w="0" w:type="dxa"/>
            <w:vAlign w:val="bottom"/>
          </w:tcPr>
          <w:p>
            <w:pPr>
              <w:spacing w:after="0"/>
              <w:rPr>
                <w:sz w:val="1"/>
                <w:szCs w:val="1"/>
                <w:color w:val="auto"/>
              </w:rPr>
            </w:pPr>
          </w:p>
        </w:tc>
      </w:tr>
      <w:tr>
        <w:trPr>
          <w:trHeight w:val="116"/>
        </w:trPr>
        <w:tc>
          <w:tcPr>
            <w:tcW w:w="1400" w:type="dxa"/>
            <w:vAlign w:val="bottom"/>
            <w:shd w:val="clear" w:color="auto" w:fill="CCEEFF"/>
          </w:tcPr>
          <w:p>
            <w:pPr>
              <w:ind w:left="660"/>
              <w:spacing w:after="0" w:line="116" w:lineRule="exact"/>
              <w:rPr>
                <w:sz w:val="20"/>
                <w:szCs w:val="20"/>
                <w:color w:val="auto"/>
              </w:rPr>
            </w:pPr>
            <w:r>
              <w:rPr>
                <w:rFonts w:ascii="Arial" w:cs="Arial" w:eastAsia="Arial" w:hAnsi="Arial"/>
                <w:sz w:val="13"/>
                <w:szCs w:val="13"/>
                <w:color w:val="auto"/>
              </w:rPr>
              <w:t>Total</w:t>
            </w:r>
          </w:p>
        </w:tc>
        <w:tc>
          <w:tcPr>
            <w:tcW w:w="1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revenue</w:t>
            </w: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32,311</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34,887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100,951</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94,494</w:t>
            </w:r>
          </w:p>
        </w:tc>
        <w:tc>
          <w:tcPr>
            <w:tcW w:w="0" w:type="dxa"/>
            <w:vAlign w:val="bottom"/>
          </w:tcPr>
          <w:p>
            <w:pPr>
              <w:spacing w:after="0"/>
              <w:rPr>
                <w:sz w:val="1"/>
                <w:szCs w:val="1"/>
                <w:color w:val="auto"/>
              </w:rPr>
            </w:pPr>
          </w:p>
        </w:tc>
      </w:tr>
      <w:tr>
        <w:trPr>
          <w:trHeight w:val="204"/>
        </w:trPr>
        <w:tc>
          <w:tcPr>
            <w:tcW w:w="1400" w:type="dxa"/>
            <w:vAlign w:val="bottom"/>
          </w:tcPr>
          <w:p>
            <w:pPr>
              <w:spacing w:after="0"/>
              <w:rPr>
                <w:sz w:val="20"/>
                <w:szCs w:val="20"/>
                <w:color w:val="auto"/>
              </w:rPr>
            </w:pPr>
            <w:r>
              <w:rPr>
                <w:rFonts w:ascii="Arial" w:cs="Arial" w:eastAsia="Arial" w:hAnsi="Arial"/>
                <w:sz w:val="14"/>
                <w:szCs w:val="14"/>
                <w:color w:val="auto"/>
              </w:rPr>
              <w:t>Cost of revenue:</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Cost of product</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revenue</w:t>
            </w: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15,568</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15,530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45,887</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41,449</w:t>
            </w:r>
          </w:p>
        </w:tc>
        <w:tc>
          <w:tcPr>
            <w:tcW w:w="0" w:type="dxa"/>
            <w:vAlign w:val="bottom"/>
          </w:tcPr>
          <w:p>
            <w:pPr>
              <w:spacing w:after="0"/>
              <w:rPr>
                <w:sz w:val="1"/>
                <w:szCs w:val="1"/>
                <w:color w:val="auto"/>
              </w:rPr>
            </w:pPr>
          </w:p>
        </w:tc>
      </w:tr>
      <w:tr>
        <w:trPr>
          <w:trHeight w:val="136"/>
        </w:trPr>
        <w:tc>
          <w:tcPr>
            <w:tcW w:w="1400" w:type="dxa"/>
            <w:vAlign w:val="bottom"/>
          </w:tcPr>
          <w:p>
            <w:pPr>
              <w:ind w:left="380"/>
              <w:spacing w:after="0" w:line="136" w:lineRule="exact"/>
              <w:rPr>
                <w:sz w:val="20"/>
                <w:szCs w:val="20"/>
                <w:color w:val="auto"/>
              </w:rPr>
            </w:pPr>
            <w:r>
              <w:rPr>
                <w:rFonts w:ascii="Arial" w:cs="Arial" w:eastAsia="Arial" w:hAnsi="Arial"/>
                <w:sz w:val="14"/>
                <w:szCs w:val="14"/>
                <w:color w:val="auto"/>
              </w:rPr>
              <w:t>Cost of service</w:t>
            </w: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380"/>
              <w:spacing w:after="0" w:line="157" w:lineRule="exact"/>
              <w:rPr>
                <w:sz w:val="20"/>
                <w:szCs w:val="20"/>
                <w:color w:val="auto"/>
              </w:rPr>
            </w:pPr>
            <w:r>
              <w:rPr>
                <w:rFonts w:ascii="Arial" w:cs="Arial" w:eastAsia="Arial" w:hAnsi="Arial"/>
                <w:sz w:val="14"/>
                <w:szCs w:val="14"/>
                <w:color w:val="auto"/>
              </w:rPr>
              <w:t>and other</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00" w:type="dxa"/>
            <w:vAlign w:val="bottom"/>
          </w:tcPr>
          <w:p>
            <w:pPr>
              <w:ind w:left="380"/>
              <w:spacing w:after="0"/>
              <w:rPr>
                <w:sz w:val="20"/>
                <w:szCs w:val="20"/>
                <w:color w:val="auto"/>
              </w:rPr>
            </w:pPr>
            <w:r>
              <w:rPr>
                <w:rFonts w:ascii="Arial" w:cs="Arial" w:eastAsia="Arial" w:hAnsi="Arial"/>
                <w:sz w:val="14"/>
                <w:szCs w:val="14"/>
                <w:color w:val="auto"/>
              </w:rPr>
              <w:t>revenue</w:t>
            </w:r>
          </w:p>
        </w:tc>
        <w:tc>
          <w:tcPr>
            <w:tcW w:w="116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3,012</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3,870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10,619</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Amortization of</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intangible assets</w:t>
            </w:r>
          </w:p>
        </w:tc>
        <w:tc>
          <w:tcPr>
            <w:tcW w:w="1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184</w:t>
            </w:r>
          </w:p>
        </w:tc>
        <w:tc>
          <w:tcPr>
            <w:tcW w:w="10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550</w:t>
            </w:r>
          </w:p>
        </w:tc>
        <w:tc>
          <w:tcPr>
            <w:tcW w:w="10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16"/>
        </w:trPr>
        <w:tc>
          <w:tcPr>
            <w:tcW w:w="1400" w:type="dxa"/>
            <w:vAlign w:val="bottom"/>
          </w:tcPr>
          <w:p>
            <w:pPr>
              <w:ind w:left="660"/>
              <w:spacing w:after="0" w:line="116" w:lineRule="exact"/>
              <w:rPr>
                <w:sz w:val="20"/>
                <w:szCs w:val="20"/>
                <w:color w:val="auto"/>
              </w:rPr>
            </w:pPr>
            <w:r>
              <w:rPr>
                <w:rFonts w:ascii="Arial" w:cs="Arial" w:eastAsia="Arial" w:hAnsi="Arial"/>
                <w:sz w:val="13"/>
                <w:szCs w:val="13"/>
                <w:color w:val="auto"/>
              </w:rPr>
              <w:t>Total cost of</w:t>
            </w: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4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revenue</w:t>
            </w:r>
          </w:p>
        </w:tc>
        <w:tc>
          <w:tcPr>
            <w:tcW w:w="1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18,764</w:t>
            </w:r>
          </w:p>
        </w:tc>
        <w:tc>
          <w:tcPr>
            <w:tcW w:w="10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19,523</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57,056</w:t>
            </w:r>
          </w:p>
        </w:tc>
        <w:tc>
          <w:tcPr>
            <w:tcW w:w="10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52,400</w:t>
            </w:r>
          </w:p>
        </w:tc>
        <w:tc>
          <w:tcPr>
            <w:tcW w:w="0" w:type="dxa"/>
            <w:vAlign w:val="bottom"/>
          </w:tcPr>
          <w:p>
            <w:pPr>
              <w:spacing w:after="0"/>
              <w:rPr>
                <w:sz w:val="1"/>
                <w:szCs w:val="1"/>
                <w:color w:val="auto"/>
              </w:rPr>
            </w:pPr>
          </w:p>
        </w:tc>
      </w:tr>
      <w:tr>
        <w:trPr>
          <w:trHeight w:val="116"/>
        </w:trPr>
        <w:tc>
          <w:tcPr>
            <w:tcW w:w="1400" w:type="dxa"/>
            <w:vAlign w:val="bottom"/>
            <w:shd w:val="clear" w:color="auto" w:fill="CCEEFF"/>
          </w:tcPr>
          <w:p>
            <w:pPr>
              <w:ind w:left="1060"/>
              <w:spacing w:after="0" w:line="116" w:lineRule="exact"/>
              <w:rPr>
                <w:sz w:val="20"/>
                <w:szCs w:val="20"/>
                <w:color w:val="auto"/>
              </w:rPr>
            </w:pPr>
            <w:r>
              <w:rPr>
                <w:rFonts w:ascii="Arial" w:cs="Arial" w:eastAsia="Arial" w:hAnsi="Arial"/>
                <w:sz w:val="13"/>
                <w:szCs w:val="13"/>
                <w:color w:val="auto"/>
                <w:w w:val="92"/>
              </w:rPr>
              <w:t>Gross</w:t>
            </w:r>
          </w:p>
        </w:tc>
        <w:tc>
          <w:tcPr>
            <w:tcW w:w="1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profit</w:t>
            </w: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13,547</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15,364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43,895</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42,094</w:t>
            </w:r>
          </w:p>
        </w:tc>
        <w:tc>
          <w:tcPr>
            <w:tcW w:w="0" w:type="dxa"/>
            <w:vAlign w:val="bottom"/>
          </w:tcPr>
          <w:p>
            <w:pPr>
              <w:spacing w:after="0"/>
              <w:rPr>
                <w:sz w:val="1"/>
                <w:szCs w:val="1"/>
                <w:color w:val="auto"/>
              </w:rPr>
            </w:pPr>
          </w:p>
        </w:tc>
      </w:tr>
      <w:tr>
        <w:trPr>
          <w:trHeight w:val="204"/>
        </w:trPr>
        <w:tc>
          <w:tcPr>
            <w:tcW w:w="1400" w:type="dxa"/>
            <w:vAlign w:val="bottom"/>
          </w:tcPr>
          <w:p>
            <w:pPr>
              <w:spacing w:after="0"/>
              <w:rPr>
                <w:sz w:val="20"/>
                <w:szCs w:val="20"/>
                <w:color w:val="auto"/>
              </w:rPr>
            </w:pPr>
            <w:r>
              <w:rPr>
                <w:rFonts w:ascii="Arial" w:cs="Arial" w:eastAsia="Arial" w:hAnsi="Arial"/>
                <w:sz w:val="14"/>
                <w:szCs w:val="14"/>
                <w:color w:val="auto"/>
              </w:rPr>
              <w:t>Operating expense:</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Research and</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development</w:t>
            </w: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47,092</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27,508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150,377</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70,323</w:t>
            </w:r>
          </w:p>
        </w:tc>
        <w:tc>
          <w:tcPr>
            <w:tcW w:w="0" w:type="dxa"/>
            <w:vAlign w:val="bottom"/>
          </w:tcPr>
          <w:p>
            <w:pPr>
              <w:spacing w:after="0"/>
              <w:rPr>
                <w:sz w:val="1"/>
                <w:szCs w:val="1"/>
                <w:color w:val="auto"/>
              </w:rPr>
            </w:pPr>
          </w:p>
        </w:tc>
      </w:tr>
      <w:tr>
        <w:trPr>
          <w:trHeight w:val="136"/>
        </w:trPr>
        <w:tc>
          <w:tcPr>
            <w:tcW w:w="1400" w:type="dxa"/>
            <w:vAlign w:val="bottom"/>
          </w:tcPr>
          <w:p>
            <w:pPr>
              <w:ind w:left="380"/>
              <w:spacing w:after="0" w:line="136" w:lineRule="exact"/>
              <w:rPr>
                <w:sz w:val="20"/>
                <w:szCs w:val="20"/>
                <w:color w:val="auto"/>
              </w:rPr>
            </w:pPr>
            <w:r>
              <w:rPr>
                <w:rFonts w:ascii="Arial" w:cs="Arial" w:eastAsia="Arial" w:hAnsi="Arial"/>
                <w:sz w:val="14"/>
                <w:szCs w:val="14"/>
                <w:color w:val="auto"/>
              </w:rPr>
              <w:t>Sales, general</w:t>
            </w: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380"/>
              <w:spacing w:after="0" w:line="157" w:lineRule="exact"/>
              <w:rPr>
                <w:sz w:val="20"/>
                <w:szCs w:val="20"/>
                <w:color w:val="auto"/>
              </w:rPr>
            </w:pPr>
            <w:r>
              <w:rPr>
                <w:rFonts w:ascii="Arial" w:cs="Arial" w:eastAsia="Arial" w:hAnsi="Arial"/>
                <w:sz w:val="14"/>
                <w:szCs w:val="14"/>
                <w:color w:val="auto"/>
              </w:rPr>
              <w:t>and</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00" w:type="dxa"/>
            <w:vAlign w:val="bottom"/>
          </w:tcPr>
          <w:p>
            <w:pPr>
              <w:ind w:left="380"/>
              <w:spacing w:after="0"/>
              <w:rPr>
                <w:sz w:val="20"/>
                <w:szCs w:val="20"/>
                <w:color w:val="auto"/>
              </w:rPr>
            </w:pPr>
            <w:r>
              <w:rPr>
                <w:rFonts w:ascii="Arial" w:cs="Arial" w:eastAsia="Arial" w:hAnsi="Arial"/>
                <w:sz w:val="14"/>
                <w:szCs w:val="14"/>
                <w:color w:val="auto"/>
              </w:rPr>
              <w:t>administrative</w:t>
            </w:r>
          </w:p>
        </w:tc>
        <w:tc>
          <w:tcPr>
            <w:tcW w:w="116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36,795</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31,606</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115,851</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86,804</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Merger-related</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expenses</w:t>
            </w:r>
          </w:p>
        </w:tc>
        <w:tc>
          <w:tcPr>
            <w:tcW w:w="1160" w:type="dxa"/>
            <w:vAlign w:val="bottom"/>
            <w:shd w:val="clear" w:color="auto" w:fill="CCEEFF"/>
          </w:tcPr>
          <w:p>
            <w:pPr>
              <w:spacing w:after="0"/>
              <w:rPr>
                <w:sz w:val="15"/>
                <w:szCs w:val="15"/>
                <w:color w:val="auto"/>
              </w:rPr>
            </w:pPr>
          </w:p>
        </w:tc>
        <w:tc>
          <w:tcPr>
            <w:tcW w:w="2500" w:type="dxa"/>
            <w:vAlign w:val="bottom"/>
            <w:gridSpan w:val="3"/>
            <w:shd w:val="clear" w:color="auto" w:fill="CCEEFF"/>
          </w:tcPr>
          <w:p>
            <w:pPr>
              <w:jc w:val="right"/>
              <w:ind w:right="20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30,726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560" w:type="dxa"/>
            <w:vAlign w:val="bottom"/>
            <w:gridSpan w:val="3"/>
            <w:shd w:val="clear" w:color="auto" w:fill="CCEEFF"/>
          </w:tcPr>
          <w:p>
            <w:pPr>
              <w:jc w:val="right"/>
              <w:ind w:right="20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30,726</w:t>
            </w:r>
          </w:p>
        </w:tc>
        <w:tc>
          <w:tcPr>
            <w:tcW w:w="0" w:type="dxa"/>
            <w:vAlign w:val="bottom"/>
          </w:tcPr>
          <w:p>
            <w:pPr>
              <w:spacing w:after="0"/>
              <w:rPr>
                <w:sz w:val="1"/>
                <w:szCs w:val="1"/>
                <w:color w:val="auto"/>
              </w:rPr>
            </w:pPr>
          </w:p>
        </w:tc>
      </w:tr>
      <w:tr>
        <w:trPr>
          <w:trHeight w:val="136"/>
        </w:trPr>
        <w:tc>
          <w:tcPr>
            <w:tcW w:w="1400" w:type="dxa"/>
            <w:vAlign w:val="bottom"/>
          </w:tcPr>
          <w:p>
            <w:pPr>
              <w:ind w:left="380"/>
              <w:spacing w:after="0" w:line="136" w:lineRule="exact"/>
              <w:rPr>
                <w:sz w:val="20"/>
                <w:szCs w:val="20"/>
                <w:color w:val="auto"/>
              </w:rPr>
            </w:pPr>
            <w:r>
              <w:rPr>
                <w:rFonts w:ascii="Arial" w:cs="Arial" w:eastAsia="Arial" w:hAnsi="Arial"/>
                <w:sz w:val="14"/>
                <w:szCs w:val="14"/>
                <w:color w:val="auto"/>
              </w:rPr>
              <w:t>Change in fair</w:t>
            </w: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380"/>
              <w:spacing w:after="0" w:line="157" w:lineRule="exact"/>
              <w:rPr>
                <w:sz w:val="20"/>
                <w:szCs w:val="20"/>
                <w:color w:val="auto"/>
              </w:rPr>
            </w:pPr>
            <w:r>
              <w:rPr>
                <w:rFonts w:ascii="Arial" w:cs="Arial" w:eastAsia="Arial" w:hAnsi="Arial"/>
                <w:sz w:val="14"/>
                <w:szCs w:val="14"/>
                <w:color w:val="auto"/>
              </w:rPr>
              <w:t>value of</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380"/>
              <w:spacing w:after="0" w:line="157" w:lineRule="exact"/>
              <w:rPr>
                <w:sz w:val="20"/>
                <w:szCs w:val="20"/>
                <w:color w:val="auto"/>
              </w:rPr>
            </w:pPr>
            <w:r>
              <w:rPr>
                <w:rFonts w:ascii="Arial" w:cs="Arial" w:eastAsia="Arial" w:hAnsi="Arial"/>
                <w:sz w:val="14"/>
                <w:szCs w:val="14"/>
                <w:color w:val="auto"/>
              </w:rPr>
              <w:t>contingent</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00" w:type="dxa"/>
            <w:vAlign w:val="bottom"/>
          </w:tcPr>
          <w:p>
            <w:pPr>
              <w:ind w:left="380"/>
              <w:spacing w:after="0"/>
              <w:rPr>
                <w:sz w:val="20"/>
                <w:szCs w:val="20"/>
                <w:color w:val="auto"/>
              </w:rPr>
            </w:pPr>
            <w:r>
              <w:rPr>
                <w:rFonts w:ascii="Arial" w:cs="Arial" w:eastAsia="Arial" w:hAnsi="Arial"/>
                <w:sz w:val="14"/>
                <w:szCs w:val="14"/>
                <w:color w:val="auto"/>
              </w:rPr>
              <w:t>consideration</w:t>
            </w:r>
          </w:p>
        </w:tc>
        <w:tc>
          <w:tcPr>
            <w:tcW w:w="116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4,280</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(2,221)</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400" w:type="dxa"/>
            <w:vAlign w:val="bottom"/>
            <w:tcBorders>
              <w:top w:val="single" w:sz="8" w:color="CCEEFF"/>
            </w:tcBorders>
            <w:shd w:val="clear" w:color="auto" w:fill="CCEEFF"/>
          </w:tcPr>
          <w:p>
            <w:pPr>
              <w:ind w:left="660"/>
              <w:spacing w:after="0" w:line="116" w:lineRule="exact"/>
              <w:rPr>
                <w:sz w:val="20"/>
                <w:szCs w:val="20"/>
                <w:color w:val="auto"/>
              </w:rPr>
            </w:pPr>
            <w:r>
              <w:rPr>
                <w:rFonts w:ascii="Arial" w:cs="Arial" w:eastAsia="Arial" w:hAnsi="Arial"/>
                <w:sz w:val="13"/>
                <w:szCs w:val="13"/>
                <w:color w:val="auto"/>
              </w:rPr>
              <w:t>Total</w:t>
            </w:r>
          </w:p>
        </w:tc>
        <w:tc>
          <w:tcPr>
            <w:tcW w:w="1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ind w:left="660"/>
              <w:spacing w:after="0" w:line="157" w:lineRule="exact"/>
              <w:rPr>
                <w:sz w:val="20"/>
                <w:szCs w:val="20"/>
                <w:color w:val="auto"/>
              </w:rPr>
            </w:pPr>
            <w:r>
              <w:rPr>
                <w:rFonts w:ascii="Arial" w:cs="Arial" w:eastAsia="Arial" w:hAnsi="Arial"/>
                <w:sz w:val="14"/>
                <w:szCs w:val="14"/>
                <w:color w:val="auto"/>
              </w:rPr>
              <w:t>operating</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expense</w:t>
            </w: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88,167</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89,840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264,007</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187,853</w:t>
            </w:r>
          </w:p>
        </w:tc>
        <w:tc>
          <w:tcPr>
            <w:tcW w:w="0" w:type="dxa"/>
            <w:vAlign w:val="bottom"/>
          </w:tcPr>
          <w:p>
            <w:pPr>
              <w:spacing w:after="0"/>
              <w:rPr>
                <w:sz w:val="1"/>
                <w:szCs w:val="1"/>
                <w:color w:val="auto"/>
              </w:rPr>
            </w:pPr>
          </w:p>
        </w:tc>
      </w:tr>
      <w:tr>
        <w:trPr>
          <w:trHeight w:val="313"/>
        </w:trPr>
        <w:tc>
          <w:tcPr>
            <w:tcW w:w="1400" w:type="dxa"/>
            <w:vAlign w:val="bottom"/>
          </w:tcPr>
          <w:p>
            <w:pPr>
              <w:spacing w:after="0"/>
              <w:rPr>
                <w:sz w:val="20"/>
                <w:szCs w:val="20"/>
                <w:color w:val="auto"/>
              </w:rPr>
            </w:pPr>
            <w:r>
              <w:rPr>
                <w:rFonts w:ascii="Arial" w:cs="Arial" w:eastAsia="Arial" w:hAnsi="Arial"/>
                <w:sz w:val="14"/>
                <w:szCs w:val="14"/>
                <w:color w:val="auto"/>
              </w:rPr>
              <w:t>Operating loss</w:t>
            </w:r>
          </w:p>
        </w:tc>
        <w:tc>
          <w:tcPr>
            <w:tcW w:w="1160" w:type="dxa"/>
            <w:vAlign w:val="bottom"/>
          </w:tcPr>
          <w:p>
            <w:pPr>
              <w:spacing w:after="0"/>
              <w:rPr>
                <w:sz w:val="24"/>
                <w:szCs w:val="2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w w:val="91"/>
              </w:rPr>
              <w:t>(74,620)</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5"/>
              </w:rPr>
              <w:t>(74,476)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w w:val="90"/>
              </w:rPr>
              <w:t>(220,112)</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93"/>
              </w:rPr>
              <w:t>(145,759)</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Loss from</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Continuation</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Advances</w:t>
            </w:r>
          </w:p>
        </w:tc>
        <w:tc>
          <w:tcPr>
            <w:tcW w:w="1160" w:type="dxa"/>
            <w:vAlign w:val="bottom"/>
            <w:shd w:val="clear" w:color="auto" w:fill="CCEEFF"/>
          </w:tcPr>
          <w:p>
            <w:pPr>
              <w:spacing w:after="0"/>
              <w:rPr>
                <w:sz w:val="15"/>
                <w:szCs w:val="15"/>
                <w:color w:val="auto"/>
              </w:rPr>
            </w:pPr>
          </w:p>
        </w:tc>
        <w:tc>
          <w:tcPr>
            <w:tcW w:w="2500" w:type="dxa"/>
            <w:vAlign w:val="bottom"/>
            <w:gridSpan w:val="3"/>
            <w:shd w:val="clear" w:color="auto" w:fill="CCEEFF"/>
          </w:tcPr>
          <w:p>
            <w:pPr>
              <w:jc w:val="right"/>
              <w:ind w:right="20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5"/>
                <w:szCs w:val="15"/>
                <w:color w:val="auto"/>
              </w:rPr>
            </w:pPr>
          </w:p>
        </w:tc>
        <w:tc>
          <w:tcPr>
            <w:tcW w:w="2560" w:type="dxa"/>
            <w:vAlign w:val="bottom"/>
            <w:gridSpan w:val="3"/>
            <w:shd w:val="clear" w:color="auto" w:fill="CCEEFF"/>
          </w:tcPr>
          <w:p>
            <w:pPr>
              <w:jc w:val="right"/>
              <w:ind w:right="20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(52,000)</w:t>
            </w:r>
          </w:p>
        </w:tc>
        <w:tc>
          <w:tcPr>
            <w:tcW w:w="0" w:type="dxa"/>
            <w:vAlign w:val="bottom"/>
          </w:tcPr>
          <w:p>
            <w:pPr>
              <w:spacing w:after="0"/>
              <w:rPr>
                <w:sz w:val="1"/>
                <w:szCs w:val="1"/>
                <w:color w:val="auto"/>
              </w:rPr>
            </w:pPr>
          </w:p>
        </w:tc>
      </w:tr>
      <w:tr>
        <w:trPr>
          <w:trHeight w:val="204"/>
        </w:trPr>
        <w:tc>
          <w:tcPr>
            <w:tcW w:w="1400" w:type="dxa"/>
            <w:vAlign w:val="bottom"/>
          </w:tcPr>
          <w:p>
            <w:pPr>
              <w:ind w:left="380"/>
              <w:spacing w:after="0"/>
              <w:rPr>
                <w:sz w:val="20"/>
                <w:szCs w:val="20"/>
                <w:color w:val="auto"/>
              </w:rPr>
            </w:pPr>
            <w:r>
              <w:rPr>
                <w:rFonts w:ascii="Arial" w:cs="Arial" w:eastAsia="Arial" w:hAnsi="Arial"/>
                <w:sz w:val="14"/>
                <w:szCs w:val="14"/>
                <w:color w:val="auto"/>
                <w:w w:val="96"/>
              </w:rPr>
              <w:t>Interest expense</w:t>
            </w:r>
          </w:p>
        </w:tc>
        <w:tc>
          <w:tcPr>
            <w:tcW w:w="116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(3,664)</w:t>
            </w: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(3,673)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(11,042)</w:t>
            </w: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Other income</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 net</w:t>
            </w:r>
          </w:p>
        </w:tc>
        <w:tc>
          <w:tcPr>
            <w:tcW w:w="1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1,313</w:t>
            </w:r>
          </w:p>
        </w:tc>
        <w:tc>
          <w:tcPr>
            <w:tcW w:w="10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1,290</w:t>
            </w:r>
          </w:p>
        </w:tc>
        <w:tc>
          <w:tcPr>
            <w:tcW w:w="10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28"/>
        </w:trPr>
        <w:tc>
          <w:tcPr>
            <w:tcW w:w="1400" w:type="dxa"/>
            <w:vAlign w:val="bottom"/>
          </w:tcPr>
          <w:p>
            <w:pPr>
              <w:spacing w:after="0" w:line="128" w:lineRule="exact"/>
              <w:rPr>
                <w:sz w:val="20"/>
                <w:szCs w:val="20"/>
                <w:color w:val="auto"/>
              </w:rPr>
            </w:pPr>
            <w:r>
              <w:rPr>
                <w:rFonts w:ascii="Arial" w:cs="Arial" w:eastAsia="Arial" w:hAnsi="Arial"/>
                <w:sz w:val="14"/>
                <w:szCs w:val="14"/>
                <w:color w:val="auto"/>
              </w:rPr>
              <w:t>Loss before benefit</w:t>
            </w: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tcPr>
          <w:p>
            <w:pPr>
              <w:spacing w:after="0"/>
              <w:rPr>
                <w:sz w:val="20"/>
                <w:szCs w:val="20"/>
                <w:color w:val="auto"/>
              </w:rPr>
            </w:pPr>
            <w:r>
              <w:rPr>
                <w:rFonts w:ascii="Arial" w:cs="Arial" w:eastAsia="Arial" w:hAnsi="Arial"/>
                <w:sz w:val="14"/>
                <w:szCs w:val="14"/>
                <w:color w:val="auto"/>
              </w:rPr>
              <w:t>from income taxes</w:t>
            </w:r>
          </w:p>
        </w:tc>
        <w:tc>
          <w:tcPr>
            <w:tcW w:w="116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w w:val="91"/>
              </w:rPr>
              <w:t>(76,971)</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5"/>
              </w:rPr>
              <w:t>(78,282)</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w w:val="90"/>
              </w:rPr>
              <w:t>(229,864)</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93"/>
              </w:rPr>
              <w:t>(206,718)</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Benefit from income</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taxes</w:t>
            </w:r>
          </w:p>
        </w:tc>
        <w:tc>
          <w:tcPr>
            <w:tcW w:w="1160" w:type="dxa"/>
            <w:vAlign w:val="bottom"/>
            <w:shd w:val="clear" w:color="auto" w:fill="CCEEFF"/>
          </w:tcPr>
          <w:p>
            <w:pPr>
              <w:spacing w:after="0"/>
              <w:rPr>
                <w:sz w:val="15"/>
                <w:szCs w:val="15"/>
                <w:color w:val="auto"/>
              </w:rPr>
            </w:pPr>
          </w:p>
        </w:tc>
        <w:tc>
          <w:tcPr>
            <w:tcW w:w="2500" w:type="dxa"/>
            <w:vAlign w:val="bottom"/>
            <w:gridSpan w:val="3"/>
            <w:shd w:val="clear" w:color="auto" w:fill="CCEEFF"/>
          </w:tcPr>
          <w:p>
            <w:pPr>
              <w:jc w:val="right"/>
              <w:ind w:right="20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5"/>
              </w:rPr>
              <w:t>(94,824)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560" w:type="dxa"/>
            <w:vAlign w:val="bottom"/>
            <w:gridSpan w:val="3"/>
            <w:shd w:val="clear" w:color="auto" w:fill="CCEEFF"/>
          </w:tcPr>
          <w:p>
            <w:pPr>
              <w:jc w:val="right"/>
              <w:ind w:right="20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(94,824)</w:t>
            </w:r>
          </w:p>
        </w:tc>
        <w:tc>
          <w:tcPr>
            <w:tcW w:w="0" w:type="dxa"/>
            <w:vAlign w:val="bottom"/>
          </w:tcPr>
          <w:p>
            <w:pPr>
              <w:spacing w:after="0"/>
              <w:rPr>
                <w:sz w:val="1"/>
                <w:szCs w:val="1"/>
                <w:color w:val="auto"/>
              </w:rPr>
            </w:pPr>
          </w:p>
        </w:tc>
      </w:tr>
      <w:tr>
        <w:trPr>
          <w:trHeight w:val="305"/>
        </w:trPr>
        <w:tc>
          <w:tcPr>
            <w:tcW w:w="1400" w:type="dxa"/>
            <w:vAlign w:val="bottom"/>
          </w:tcPr>
          <w:p>
            <w:pPr>
              <w:spacing w:after="0"/>
              <w:rPr>
                <w:sz w:val="20"/>
                <w:szCs w:val="20"/>
                <w:color w:val="auto"/>
              </w:rPr>
            </w:pPr>
            <w:r>
              <w:rPr>
                <w:rFonts w:ascii="Arial" w:cs="Arial" w:eastAsia="Arial" w:hAnsi="Arial"/>
                <w:sz w:val="14"/>
                <w:szCs w:val="14"/>
                <w:color w:val="auto"/>
              </w:rPr>
              <w:t>Net (loss) income</w:t>
            </w:r>
          </w:p>
        </w:tc>
        <w:tc>
          <w:tcPr>
            <w:tcW w:w="1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91"/>
              </w:rPr>
              <w:t>(76,971)</w:t>
            </w:r>
          </w:p>
        </w:tc>
        <w:tc>
          <w:tcPr>
            <w:tcW w:w="10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16,542</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90"/>
              </w:rPr>
              <w:t>(229,864)</w:t>
            </w:r>
          </w:p>
        </w:tc>
        <w:tc>
          <w:tcPr>
            <w:tcW w:w="10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93"/>
              </w:rPr>
              <w:t>(111,894)</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Other comprehensive</w:t>
            </w: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(loss) income:</w:t>
            </w: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400" w:type="dxa"/>
            <w:vAlign w:val="bottom"/>
          </w:tcPr>
          <w:p>
            <w:pPr>
              <w:ind w:left="380"/>
              <w:spacing w:after="0" w:line="136" w:lineRule="exact"/>
              <w:rPr>
                <w:sz w:val="20"/>
                <w:szCs w:val="20"/>
                <w:color w:val="auto"/>
              </w:rPr>
            </w:pPr>
            <w:r>
              <w:rPr>
                <w:rFonts w:ascii="Arial" w:cs="Arial" w:eastAsia="Arial" w:hAnsi="Arial"/>
                <w:sz w:val="14"/>
                <w:szCs w:val="14"/>
                <w:color w:val="auto"/>
                <w:w w:val="95"/>
              </w:rPr>
              <w:t>Unrealized (loss)</w:t>
            </w: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380"/>
              <w:spacing w:after="0" w:line="157" w:lineRule="exact"/>
              <w:rPr>
                <w:sz w:val="20"/>
                <w:szCs w:val="20"/>
                <w:color w:val="auto"/>
              </w:rPr>
            </w:pPr>
            <w:r>
              <w:rPr>
                <w:rFonts w:ascii="Arial" w:cs="Arial" w:eastAsia="Arial" w:hAnsi="Arial"/>
                <w:sz w:val="14"/>
                <w:szCs w:val="14"/>
                <w:color w:val="auto"/>
              </w:rPr>
              <w:t>gain on</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investments</w:t>
            </w:r>
          </w:p>
        </w:tc>
        <w:tc>
          <w:tcPr>
            <w:tcW w:w="1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(803)</w:t>
            </w:r>
          </w:p>
        </w:tc>
        <w:tc>
          <w:tcPr>
            <w:tcW w:w="10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(5,173)</w:t>
            </w:r>
          </w:p>
        </w:tc>
        <w:tc>
          <w:tcPr>
            <w:tcW w:w="10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0"/>
        </w:trPr>
        <w:tc>
          <w:tcPr>
            <w:tcW w:w="14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Comprehensive (loss)</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91"/>
              </w:rPr>
              <w:t>(77,774)</w:t>
            </w:r>
          </w:p>
        </w:tc>
        <w:tc>
          <w:tcPr>
            <w:tcW w:w="10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16,575</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90"/>
              </w:rPr>
              <w:t>(235,037)</w:t>
            </w:r>
          </w:p>
        </w:tc>
        <w:tc>
          <w:tcPr>
            <w:tcW w:w="10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93"/>
              </w:rPr>
              <w:t>(111,952)</w:t>
            </w:r>
          </w:p>
        </w:tc>
        <w:tc>
          <w:tcPr>
            <w:tcW w:w="0" w:type="dxa"/>
            <w:vAlign w:val="bottom"/>
          </w:tcPr>
          <w:p>
            <w:pPr>
              <w:spacing w:after="0"/>
              <w:rPr>
                <w:sz w:val="1"/>
                <w:szCs w:val="1"/>
                <w:color w:val="auto"/>
              </w:rPr>
            </w:pPr>
          </w:p>
        </w:tc>
      </w:tr>
      <w:tr>
        <w:trPr>
          <w:trHeight w:val="165"/>
        </w:trPr>
        <w:tc>
          <w:tcPr>
            <w:tcW w:w="1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w:t>
            </w: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ind w:left="80"/>
              <w:spacing w:after="0" w:line="128" w:lineRule="exact"/>
              <w:rPr>
                <w:sz w:val="20"/>
                <w:szCs w:val="20"/>
                <w:color w:val="auto"/>
              </w:rPr>
            </w:pPr>
            <w:r>
              <w:rPr>
                <w:rFonts w:ascii="Arial" w:cs="Arial" w:eastAsia="Arial" w:hAnsi="Arial"/>
                <w:sz w:val="14"/>
                <w:szCs w:val="14"/>
                <w:color w:val="auto"/>
                <w:w w:val="97"/>
              </w:rPr>
              <w:t>Net (loss) income per</w:t>
            </w: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00" w:type="dxa"/>
            <w:vAlign w:val="bottom"/>
          </w:tcPr>
          <w:p>
            <w:pPr>
              <w:ind w:left="80"/>
              <w:spacing w:after="0"/>
              <w:rPr>
                <w:sz w:val="20"/>
                <w:szCs w:val="20"/>
                <w:color w:val="auto"/>
              </w:rPr>
            </w:pPr>
            <w:r>
              <w:rPr>
                <w:rFonts w:ascii="Arial" w:cs="Arial" w:eastAsia="Arial" w:hAnsi="Arial"/>
                <w:sz w:val="14"/>
                <w:szCs w:val="14"/>
                <w:color w:val="auto"/>
              </w:rPr>
              <w:t>share:</w:t>
            </w: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(0.34)</w:t>
            </w:r>
          </w:p>
        </w:tc>
        <w:tc>
          <w:tcPr>
            <w:tcW w:w="10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(1.03)</w:t>
            </w:r>
          </w:p>
        </w:tc>
        <w:tc>
          <w:tcPr>
            <w:tcW w:w="10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1400" w:type="dxa"/>
            <w:vAlign w:val="bottom"/>
            <w:vMerge w:val="restart"/>
          </w:tcPr>
          <w:p>
            <w:pPr>
              <w:ind w:left="380"/>
              <w:spacing w:after="0"/>
              <w:rPr>
                <w:sz w:val="20"/>
                <w:szCs w:val="20"/>
                <w:color w:val="auto"/>
              </w:rPr>
            </w:pPr>
            <w:r>
              <w:rPr>
                <w:rFonts w:ascii="Arial" w:cs="Arial" w:eastAsia="Arial" w:hAnsi="Arial"/>
                <w:sz w:val="14"/>
                <w:szCs w:val="14"/>
                <w:color w:val="auto"/>
              </w:rPr>
              <w:t>Diluted</w:t>
            </w: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4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8"/>
              <w:spacing w:after="0" w:line="145" w:lineRule="exact"/>
              <w:rPr>
                <w:sz w:val="20"/>
                <w:szCs w:val="20"/>
                <w:color w:val="auto"/>
              </w:rPr>
            </w:pPr>
            <w:r>
              <w:rPr>
                <w:rFonts w:ascii="Arial" w:cs="Arial" w:eastAsia="Arial" w:hAnsi="Arial"/>
                <w:sz w:val="14"/>
                <w:szCs w:val="14"/>
                <w:color w:val="auto"/>
              </w:rPr>
              <w:t>(0.34)</w:t>
            </w:r>
          </w:p>
        </w:tc>
        <w:tc>
          <w:tcPr>
            <w:tcW w:w="10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88"/>
              <w:spacing w:after="0" w:line="145" w:lineRule="exact"/>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68"/>
              <w:spacing w:after="0" w:line="145" w:lineRule="exact"/>
              <w:rPr>
                <w:sz w:val="20"/>
                <w:szCs w:val="20"/>
                <w:color w:val="auto"/>
              </w:rPr>
            </w:pPr>
            <w:r>
              <w:rPr>
                <w:rFonts w:ascii="Arial" w:cs="Arial" w:eastAsia="Arial" w:hAnsi="Arial"/>
                <w:sz w:val="14"/>
                <w:szCs w:val="14"/>
                <w:color w:val="auto"/>
              </w:rPr>
              <w:t>(1.03)</w:t>
            </w:r>
          </w:p>
        </w:tc>
        <w:tc>
          <w:tcPr>
            <w:tcW w:w="10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48"/>
              <w:spacing w:after="0" w:line="145"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00" w:type="dxa"/>
            <w:vAlign w:val="bottom"/>
          </w:tcPr>
          <w:p>
            <w:pPr>
              <w:ind w:left="80"/>
              <w:spacing w:after="0" w:line="136" w:lineRule="exact"/>
              <w:rPr>
                <w:sz w:val="20"/>
                <w:szCs w:val="20"/>
                <w:color w:val="auto"/>
              </w:rPr>
            </w:pPr>
            <w:r>
              <w:rPr>
                <w:rFonts w:ascii="Arial" w:cs="Arial" w:eastAsia="Arial" w:hAnsi="Arial"/>
                <w:sz w:val="14"/>
                <w:szCs w:val="14"/>
                <w:color w:val="auto"/>
              </w:rPr>
              <w:t>Weighted average</w:t>
            </w: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80"/>
              <w:spacing w:after="0" w:line="157" w:lineRule="exact"/>
              <w:rPr>
                <w:sz w:val="20"/>
                <w:szCs w:val="20"/>
                <w:color w:val="auto"/>
              </w:rPr>
            </w:pPr>
            <w:r>
              <w:rPr>
                <w:rFonts w:ascii="Arial" w:cs="Arial" w:eastAsia="Arial" w:hAnsi="Arial"/>
                <w:sz w:val="14"/>
                <w:szCs w:val="14"/>
                <w:color w:val="auto"/>
              </w:rPr>
              <w:t>shares outstanding</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80"/>
              <w:spacing w:after="0" w:line="157" w:lineRule="exact"/>
              <w:rPr>
                <w:sz w:val="20"/>
                <w:szCs w:val="20"/>
                <w:color w:val="auto"/>
              </w:rPr>
            </w:pPr>
            <w:r>
              <w:rPr>
                <w:rFonts w:ascii="Arial" w:cs="Arial" w:eastAsia="Arial" w:hAnsi="Arial"/>
                <w:sz w:val="14"/>
                <w:szCs w:val="14"/>
                <w:color w:val="auto"/>
                <w:w w:val="93"/>
              </w:rPr>
              <w:t>used in calculating net</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80"/>
              <w:spacing w:after="0" w:line="157" w:lineRule="exact"/>
              <w:rPr>
                <w:sz w:val="20"/>
                <w:szCs w:val="20"/>
                <w:color w:val="auto"/>
              </w:rPr>
            </w:pPr>
            <w:r>
              <w:rPr>
                <w:rFonts w:ascii="Arial" w:cs="Arial" w:eastAsia="Arial" w:hAnsi="Arial"/>
                <w:sz w:val="14"/>
                <w:szCs w:val="14"/>
                <w:color w:val="auto"/>
              </w:rPr>
              <w:t>(loss) income per</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00" w:type="dxa"/>
            <w:vAlign w:val="bottom"/>
          </w:tcPr>
          <w:p>
            <w:pPr>
              <w:ind w:left="80"/>
              <w:spacing w:after="0"/>
              <w:rPr>
                <w:sz w:val="20"/>
                <w:szCs w:val="20"/>
                <w:color w:val="auto"/>
              </w:rPr>
            </w:pPr>
            <w:r>
              <w:rPr>
                <w:rFonts w:ascii="Arial" w:cs="Arial" w:eastAsia="Arial" w:hAnsi="Arial"/>
                <w:sz w:val="14"/>
                <w:szCs w:val="14"/>
                <w:color w:val="auto"/>
              </w:rPr>
              <w:t>share:</w:t>
            </w: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1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1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94"/>
              </w:rPr>
              <w:t>225,123</w:t>
            </w:r>
          </w:p>
        </w:tc>
        <w:tc>
          <w:tcPr>
            <w:tcW w:w="10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90"/>
              </w:rPr>
              <w:t>202,194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223,981</w:t>
            </w:r>
          </w:p>
        </w:tc>
        <w:tc>
          <w:tcPr>
            <w:tcW w:w="10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198,545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400" w:type="dxa"/>
            <w:vAlign w:val="bottom"/>
          </w:tcPr>
          <w:p>
            <w:pPr>
              <w:ind w:left="380"/>
              <w:spacing w:after="0"/>
              <w:rPr>
                <w:sz w:val="20"/>
                <w:szCs w:val="20"/>
                <w:color w:val="auto"/>
              </w:rPr>
            </w:pPr>
            <w:r>
              <w:rPr>
                <w:rFonts w:ascii="Arial" w:cs="Arial" w:eastAsia="Arial" w:hAnsi="Arial"/>
                <w:sz w:val="14"/>
                <w:szCs w:val="14"/>
                <w:color w:val="auto"/>
              </w:rPr>
              <w:t>Diluted</w:t>
            </w:r>
          </w:p>
        </w:tc>
        <w:tc>
          <w:tcPr>
            <w:tcW w:w="1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4"/>
              </w:rPr>
              <w:t>225,123</w:t>
            </w:r>
          </w:p>
        </w:tc>
        <w:tc>
          <w:tcPr>
            <w:tcW w:w="10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0"/>
              </w:rPr>
              <w:t>215,127</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223,981</w:t>
            </w:r>
          </w:p>
        </w:tc>
        <w:tc>
          <w:tcPr>
            <w:tcW w:w="10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198,545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See accompanying notes to the condensed consolidated financial statements.</w:t>
      </w:r>
    </w:p>
    <w:p>
      <w:pPr>
        <w:sectPr>
          <w:pgSz w:w="11900" w:h="16838" w:orient="portrait"/>
          <w:cols w:equalWidth="0" w:num="1">
            <w:col w:w="11340"/>
          </w:cols>
          <w:pgMar w:left="320" w:top="116" w:right="239" w:bottom="1440" w:gutter="0" w:footer="0" w:header="0"/>
        </w:sect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191135</wp:posOffset>
            </wp:positionV>
            <wp:extent cx="717296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29"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88"/>
              <w:spacing w:after="0" w:line="15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5"/>
                <w:szCs w:val="15"/>
                <w:color w:val="auto"/>
              </w:rPr>
            </w:pPr>
          </w:p>
        </w:tc>
        <w:tc>
          <w:tcPr>
            <w:tcW w:w="10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184"/>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06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8"/>
        </w:trPr>
        <w:tc>
          <w:tcPr>
            <w:tcW w:w="4020" w:type="dxa"/>
            <w:vAlign w:val="bottom"/>
            <w:gridSpan w:val="4"/>
          </w:tcPr>
          <w:p>
            <w:pPr>
              <w:spacing w:after="0" w:line="125" w:lineRule="exact"/>
              <w:rPr>
                <w:sz w:val="20"/>
                <w:szCs w:val="20"/>
                <w:color w:val="auto"/>
              </w:rPr>
            </w:pPr>
            <w:r>
              <w:rPr>
                <w:rFonts w:ascii="Arial" w:cs="Arial" w:eastAsia="Arial" w:hAnsi="Arial"/>
                <w:sz w:val="14"/>
                <w:szCs w:val="14"/>
                <w:b w:val="1"/>
                <w:bCs w:val="1"/>
                <w:i w:val="1"/>
                <w:iCs w:val="1"/>
                <w:color w:val="auto"/>
              </w:rPr>
              <w:t>For the three months ended September 30, 2022</w:t>
            </w: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Borders>
              <w:top w:val="single" w:sz="8" w:color="auto"/>
            </w:tcBorders>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 at June 30, 2022</w:t>
            </w:r>
          </w:p>
        </w:tc>
        <w:tc>
          <w:tcPr>
            <w:tcW w:w="1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224,756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2,058,103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(5,457)</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(1,370,985)</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681,886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060" w:type="dxa"/>
            <w:vAlign w:val="bottom"/>
            <w:gridSpan w:val="2"/>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(76,971)</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(76,971)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(803)</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Issuance of common stock in conjunction with equity plans</w:t>
            </w: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1,160</w:t>
            </w:r>
          </w:p>
        </w:tc>
        <w:tc>
          <w:tcPr>
            <w:tcW w:w="140" w:type="dxa"/>
            <w:vAlign w:val="bottom"/>
          </w:tcPr>
          <w:p>
            <w:pPr>
              <w:spacing w:after="0"/>
              <w:rPr>
                <w:sz w:val="13"/>
                <w:szCs w:val="13"/>
                <w:color w:val="auto"/>
              </w:rPr>
            </w:pPr>
          </w:p>
        </w:tc>
        <w:tc>
          <w:tcPr>
            <w:tcW w:w="760" w:type="dxa"/>
            <w:vAlign w:val="bottom"/>
          </w:tcPr>
          <w:p>
            <w:pPr>
              <w:jc w:val="center"/>
              <w:ind w:left="528"/>
              <w:spacing w:after="0" w:line="157"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3,542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3,543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Stock-based compensation expense</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18,936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18,936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b w:val="1"/>
                <w:bCs w:val="1"/>
                <w:color w:val="auto"/>
              </w:rPr>
              <w:t>Balance at September 30, 2022</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225,916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2,080,581</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(6,260)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(1,447,956)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626,591</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4"/>
                <w:szCs w:val="14"/>
                <w:b w:val="1"/>
                <w:bCs w:val="1"/>
                <w:i w:val="1"/>
                <w:iCs w:val="1"/>
                <w:color w:val="auto"/>
                <w:w w:val="88"/>
              </w:rPr>
              <w:t>For the three months ended September 30, 2021</w:t>
            </w: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 at June 30, 2021</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198,917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1,423,357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(1,165,305)</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258,245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060" w:type="dxa"/>
            <w:vAlign w:val="bottom"/>
            <w:gridSpan w:val="2"/>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16,542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16,542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Other comprehensive income</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Issuance of common stock in conjunction with equity plans</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1,503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left="528"/>
              <w:spacing w:after="0" w:line="157"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4,809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4,811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w w:val="99"/>
              </w:rPr>
              <w:t>Issuance of common stock in Private Placement, net of issuance</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costs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294,834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Issuance of common stock in acquisition of Omniome</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8,912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left="528"/>
              <w:spacing w:after="0" w:line="15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237,875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237,884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Stock-based compensation expense</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28,447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28,447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b w:val="1"/>
                <w:bCs w:val="1"/>
                <w:color w:val="auto"/>
              </w:rPr>
              <w:t>Balance at September 30, 2021</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220,547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1,989,322</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(1,148,763)</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840,807</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00" w:type="dxa"/>
            <w:vAlign w:val="bottom"/>
            <w:tcBorders>
              <w:bottom w:val="single" w:sz="8" w:color="auto"/>
            </w:tcBorders>
          </w:tcPr>
          <w:p>
            <w:pPr>
              <w:spacing w:after="0" w:line="133" w:lineRule="exact"/>
              <w:rPr>
                <w:sz w:val="20"/>
                <w:szCs w:val="20"/>
                <w:color w:val="auto"/>
              </w:rPr>
            </w:pPr>
            <w:r>
              <w:rPr>
                <w:rFonts w:ascii="Arial" w:cs="Arial" w:eastAsia="Arial" w:hAnsi="Arial"/>
                <w:sz w:val="14"/>
                <w:szCs w:val="14"/>
                <w:b w:val="1"/>
                <w:bCs w:val="1"/>
                <w:i w:val="1"/>
                <w:iCs w:val="1"/>
                <w:color w:val="auto"/>
                <w:w w:val="88"/>
              </w:rPr>
              <w:t>For the nine months ended September 30, 2022</w:t>
            </w:r>
          </w:p>
        </w:tc>
        <w:tc>
          <w:tcPr>
            <w:tcW w:w="120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 at December 31, 2021</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220,978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2,009,945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(1,087)</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(1,218,092)</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790,987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060" w:type="dxa"/>
            <w:vAlign w:val="bottom"/>
            <w:gridSpan w:val="2"/>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(229,864)</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(229,864)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(5,173)</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(5,173)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Issuance of common stock in conjunction with equity plans</w:t>
            </w: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4,938</w:t>
            </w:r>
          </w:p>
        </w:tc>
        <w:tc>
          <w:tcPr>
            <w:tcW w:w="140" w:type="dxa"/>
            <w:vAlign w:val="bottom"/>
          </w:tcPr>
          <w:p>
            <w:pPr>
              <w:spacing w:after="0"/>
              <w:rPr>
                <w:sz w:val="13"/>
                <w:szCs w:val="13"/>
                <w:color w:val="auto"/>
              </w:rPr>
            </w:pPr>
          </w:p>
        </w:tc>
        <w:tc>
          <w:tcPr>
            <w:tcW w:w="760" w:type="dxa"/>
            <w:vAlign w:val="bottom"/>
          </w:tcPr>
          <w:p>
            <w:pPr>
              <w:jc w:val="center"/>
              <w:ind w:left="528"/>
              <w:spacing w:after="0" w:line="157"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9,978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9,983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Stock-based compensation expense</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60,658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60,658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b w:val="1"/>
                <w:bCs w:val="1"/>
                <w:color w:val="auto"/>
              </w:rPr>
              <w:t>Balance at September 30, 2022</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225,916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2,080,581</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(6,260)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(1,447,956)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626,591</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00" w:type="dxa"/>
            <w:vAlign w:val="bottom"/>
            <w:tcBorders>
              <w:bottom w:val="single" w:sz="8" w:color="auto"/>
            </w:tcBorders>
          </w:tcPr>
          <w:p>
            <w:pPr>
              <w:spacing w:after="0" w:line="133" w:lineRule="exact"/>
              <w:rPr>
                <w:sz w:val="20"/>
                <w:szCs w:val="20"/>
                <w:color w:val="auto"/>
              </w:rPr>
            </w:pPr>
            <w:r>
              <w:rPr>
                <w:rFonts w:ascii="Arial" w:cs="Arial" w:eastAsia="Arial" w:hAnsi="Arial"/>
                <w:sz w:val="14"/>
                <w:szCs w:val="14"/>
                <w:b w:val="1"/>
                <w:bCs w:val="1"/>
                <w:i w:val="1"/>
                <w:iCs w:val="1"/>
                <w:color w:val="auto"/>
                <w:w w:val="88"/>
              </w:rPr>
              <w:t>For the nine months ended September 30, 2021</w:t>
            </w:r>
          </w:p>
        </w:tc>
        <w:tc>
          <w:tcPr>
            <w:tcW w:w="120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 at December 31, 2020</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192,294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1,372,083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(1,036,869)</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335,491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060" w:type="dxa"/>
            <w:vAlign w:val="bottom"/>
            <w:gridSpan w:val="2"/>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(111,894)</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(111,894)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8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Issuance of common stock in conjunction with equity plans</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8,126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left="528"/>
              <w:spacing w:after="0" w:line="15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30,113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30,122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w w:val="99"/>
              </w:rPr>
              <w:t>Issuance of common stock in Private Placement, net of issuance</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costs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294,834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tcPr>
          <w:p>
            <w:pPr>
              <w:spacing w:after="0" w:line="157" w:lineRule="exact"/>
              <w:rPr>
                <w:sz w:val="20"/>
                <w:szCs w:val="20"/>
                <w:color w:val="auto"/>
              </w:rPr>
            </w:pPr>
            <w:r>
              <w:rPr>
                <w:rFonts w:ascii="Arial" w:cs="Arial" w:eastAsia="Arial" w:hAnsi="Arial"/>
                <w:sz w:val="14"/>
                <w:szCs w:val="14"/>
                <w:color w:val="auto"/>
              </w:rPr>
              <w:t>Issuance of common stock in acquisition of Omniome</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8,912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left="528"/>
              <w:spacing w:after="0" w:line="15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237,875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237,884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Stock-based compensation expense</w:t>
            </w: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left="448"/>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54,417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54,417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 September 30, 2021</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220,547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221</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1,989,322</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(1,148,763)</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840,807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4"/>
        </w:trPr>
        <w:tc>
          <w:tcPr>
            <w:tcW w:w="74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508"/>
              <w:spacing w:after="0" w:line="124" w:lineRule="exact"/>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jc w:val="right"/>
              <w:ind w:right="528"/>
              <w:spacing w:after="0" w:line="124"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980" w:type="dxa"/>
            <w:vAlign w:val="bottom"/>
            <w:gridSpan w:val="2"/>
            <w:shd w:val="clear" w:color="auto" w:fill="CCEEFF"/>
          </w:tcPr>
          <w:p>
            <w:pPr>
              <w:jc w:val="right"/>
              <w:ind w:right="860"/>
              <w:spacing w:after="0"/>
              <w:rPr>
                <w:sz w:val="20"/>
                <w:szCs w:val="20"/>
                <w:color w:val="auto"/>
              </w:rPr>
            </w:pPr>
            <w:r>
              <w:rPr>
                <w:rFonts w:ascii="Arial" w:cs="Arial" w:eastAsia="Arial" w:hAnsi="Arial"/>
                <w:sz w:val="14"/>
                <w:szCs w:val="14"/>
                <w:color w:val="auto"/>
              </w:rPr>
              <w:t>(229,864)</w:t>
            </w: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line="157"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Loss from Continuation Advances</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52,000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360"/>
              <w:spacing w:after="0" w:line="157" w:lineRule="exact"/>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6,937</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4,943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685</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360"/>
              <w:spacing w:after="0" w:line="157" w:lineRule="exact"/>
              <w:rPr>
                <w:sz w:val="20"/>
                <w:szCs w:val="20"/>
                <w:color w:val="auto"/>
              </w:rPr>
            </w:pPr>
            <w:r>
              <w:rPr>
                <w:rFonts w:ascii="Arial" w:cs="Arial" w:eastAsia="Arial" w:hAnsi="Arial"/>
                <w:sz w:val="14"/>
                <w:szCs w:val="14"/>
                <w:color w:val="auto"/>
              </w:rPr>
              <w:t>Amortization of right-of-use assets</w:t>
            </w:r>
          </w:p>
        </w:tc>
        <w:tc>
          <w:tcPr>
            <w:tcW w:w="34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5,152</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Amortization of debt discount and financing costs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480</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360"/>
              <w:spacing w:after="0" w:line="157" w:lineRule="exact"/>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60,658</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54,417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Amortization of premium and accretion of discount on marketable securities, net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1,069</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360"/>
              <w:spacing w:after="0" w:line="157"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(94,824)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Change in the estimated fair value of contingent consideration</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(2,221)</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360"/>
              <w:spacing w:after="0" w:line="157" w:lineRule="exact"/>
              <w:rPr>
                <w:sz w:val="20"/>
                <w:szCs w:val="20"/>
                <w:color w:val="auto"/>
              </w:rPr>
            </w:pPr>
            <w:r>
              <w:rPr>
                <w:rFonts w:ascii="Arial" w:cs="Arial" w:eastAsia="Arial" w:hAnsi="Arial"/>
                <w:sz w:val="14"/>
                <w:szCs w:val="14"/>
                <w:color w:val="auto"/>
              </w:rPr>
              <w:t>Loss on disposition of equipment</w:t>
            </w:r>
          </w:p>
        </w:tc>
        <w:tc>
          <w:tcPr>
            <w:tcW w:w="34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82</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Changes in assets and liabilities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560"/>
              <w:spacing w:after="0" w:line="157" w:lineRule="exact"/>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1,485</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(6,871)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560"/>
              <w:spacing w:after="0" w:line="157" w:lineRule="exact"/>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(20,700)</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(5,453)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560"/>
              <w:spacing w:after="0" w:line="157" w:lineRule="exact"/>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(5,685)</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560"/>
              <w:spacing w:after="0" w:line="157" w:lineRule="exact"/>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1,511</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560"/>
              <w:spacing w:after="0" w:line="157" w:lineRule="exact"/>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(11,054)</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10,267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560"/>
              <w:spacing w:after="0" w:line="157" w:lineRule="exact"/>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(3,575)</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17,930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560"/>
              <w:spacing w:after="0" w:line="157" w:lineRule="exact"/>
              <w:rPr>
                <w:sz w:val="20"/>
                <w:szCs w:val="20"/>
                <w:color w:val="auto"/>
              </w:rPr>
            </w:pPr>
            <w:r>
              <w:rPr>
                <w:rFonts w:ascii="Arial" w:cs="Arial" w:eastAsia="Arial" w:hAnsi="Arial"/>
                <w:sz w:val="14"/>
                <w:szCs w:val="14"/>
                <w:color w:val="auto"/>
              </w:rPr>
              <w:t>Operating lease liabilities</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(5,905)</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560"/>
              <w:spacing w:after="0" w:line="157" w:lineRule="exact"/>
              <w:rPr>
                <w:sz w:val="20"/>
                <w:szCs w:val="20"/>
                <w:color w:val="auto"/>
              </w:rPr>
            </w:pPr>
            <w:r>
              <w:rPr>
                <w:rFonts w:ascii="Arial" w:cs="Arial" w:eastAsia="Arial" w:hAnsi="Arial"/>
                <w:sz w:val="14"/>
                <w:szCs w:val="14"/>
                <w:color w:val="auto"/>
              </w:rPr>
              <w:t>Other liabilities</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(1,700)</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60" w:type="dxa"/>
            <w:vAlign w:val="bottom"/>
            <w:tcBorders>
              <w:bottom w:val="single" w:sz="8" w:color="CCEEFF"/>
            </w:tcBorders>
          </w:tcPr>
          <w:p>
            <w:pPr>
              <w:ind w:left="840"/>
              <w:spacing w:after="0" w:line="149" w:lineRule="exact"/>
              <w:rPr>
                <w:sz w:val="20"/>
                <w:szCs w:val="20"/>
                <w:color w:val="auto"/>
              </w:rPr>
            </w:pPr>
            <w:r>
              <w:rPr>
                <w:rFonts w:ascii="Arial" w:cs="Arial" w:eastAsia="Arial" w:hAnsi="Arial"/>
                <w:sz w:val="14"/>
                <w:szCs w:val="14"/>
                <w:color w:val="auto"/>
              </w:rPr>
              <w:t>Net cash used in operating activities</w:t>
            </w: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(202,645)</w:t>
            </w:r>
          </w:p>
        </w:tc>
        <w:tc>
          <w:tcPr>
            <w:tcW w:w="8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(79,472)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60"/>
              <w:spacing w:after="0" w:line="157" w:lineRule="exact"/>
              <w:rPr>
                <w:sz w:val="20"/>
                <w:szCs w:val="20"/>
                <w:color w:val="auto"/>
              </w:rPr>
            </w:pPr>
            <w:r>
              <w:rPr>
                <w:rFonts w:ascii="Arial" w:cs="Arial" w:eastAsia="Arial" w:hAnsi="Arial"/>
                <w:sz w:val="14"/>
                <w:szCs w:val="14"/>
                <w:color w:val="auto"/>
              </w:rPr>
              <w:t>Purchase of property and equipment</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(11,846)</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(3,089)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Cash paid for purchase of Circulomics, net of cash acquired</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(28,560)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60"/>
              <w:spacing w:after="0" w:line="157" w:lineRule="exact"/>
              <w:rPr>
                <w:sz w:val="20"/>
                <w:szCs w:val="20"/>
                <w:color w:val="auto"/>
              </w:rPr>
            </w:pPr>
            <w:r>
              <w:rPr>
                <w:rFonts w:ascii="Arial" w:cs="Arial" w:eastAsia="Arial" w:hAnsi="Arial"/>
                <w:sz w:val="14"/>
                <w:szCs w:val="14"/>
                <w:color w:val="auto"/>
              </w:rPr>
              <w:t>Cash paid for purchase of Omniome, net of cash acquired</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(291,233)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Purchase of investments</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(307,899)</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(857,421)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60"/>
              <w:spacing w:after="0" w:line="157" w:lineRule="exact"/>
              <w:rPr>
                <w:sz w:val="20"/>
                <w:szCs w:val="20"/>
                <w:color w:val="auto"/>
              </w:rPr>
            </w:pPr>
            <w:r>
              <w:rPr>
                <w:rFonts w:ascii="Arial" w:cs="Arial" w:eastAsia="Arial" w:hAnsi="Arial"/>
                <w:sz w:val="14"/>
                <w:szCs w:val="14"/>
                <w:color w:val="auto"/>
              </w:rPr>
              <w:t>Sales of investments</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212,734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Maturities of investments</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355,425</w:t>
            </w:r>
          </w:p>
        </w:tc>
        <w:tc>
          <w:tcPr>
            <w:tcW w:w="8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223,285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60" w:type="dxa"/>
            <w:vAlign w:val="bottom"/>
            <w:tcBorders>
              <w:bottom w:val="single" w:sz="8" w:color="CCEEFF"/>
            </w:tcBorders>
          </w:tcPr>
          <w:p>
            <w:pPr>
              <w:ind w:left="84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35,680</w:t>
            </w:r>
          </w:p>
        </w:tc>
        <w:tc>
          <w:tcPr>
            <w:tcW w:w="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(744,284)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60"/>
              <w:spacing w:after="0" w:line="157" w:lineRule="exact"/>
              <w:rPr>
                <w:sz w:val="20"/>
                <w:szCs w:val="20"/>
                <w:color w:val="auto"/>
              </w:rPr>
            </w:pPr>
            <w:r>
              <w:rPr>
                <w:rFonts w:ascii="Arial" w:cs="Arial" w:eastAsia="Arial" w:hAnsi="Arial"/>
                <w:sz w:val="14"/>
                <w:szCs w:val="14"/>
                <w:color w:val="auto"/>
              </w:rPr>
              <w:t>Continuation Advances</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(52,000)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Proceeds from issuance of Convertible Senior Notes, net of issuance costs</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895,536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60"/>
              <w:spacing w:after="0" w:line="157" w:lineRule="exact"/>
              <w:rPr>
                <w:sz w:val="20"/>
                <w:szCs w:val="20"/>
                <w:color w:val="auto"/>
              </w:rPr>
            </w:pPr>
            <w:r>
              <w:rPr>
                <w:rFonts w:ascii="Arial" w:cs="Arial" w:eastAsia="Arial" w:hAnsi="Arial"/>
                <w:sz w:val="14"/>
                <w:szCs w:val="14"/>
                <w:color w:val="auto"/>
              </w:rPr>
              <w:t>Proceeds from issuance of common stock under equity offerings, net of issuance costs</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294,846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Proceeds from issuance of common stock from equity plans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9,983</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60"/>
              <w:spacing w:after="0" w:line="157" w:lineRule="exact"/>
              <w:rPr>
                <w:sz w:val="20"/>
                <w:szCs w:val="20"/>
                <w:color w:val="auto"/>
              </w:rPr>
            </w:pPr>
            <w:r>
              <w:rPr>
                <w:rFonts w:ascii="Arial" w:cs="Arial" w:eastAsia="Arial" w:hAnsi="Arial"/>
                <w:sz w:val="14"/>
                <w:szCs w:val="14"/>
                <w:color w:val="auto"/>
              </w:rPr>
              <w:t>Notes payable principal payoff</w:t>
            </w:r>
          </w:p>
        </w:tc>
        <w:tc>
          <w:tcPr>
            <w:tcW w:w="340" w:type="dxa"/>
            <w:vAlign w:val="bottom"/>
          </w:tcPr>
          <w:p>
            <w:pPr>
              <w:spacing w:after="0"/>
              <w:rPr>
                <w:sz w:val="13"/>
                <w:szCs w:val="13"/>
                <w:color w:val="auto"/>
              </w:rPr>
            </w:pPr>
          </w:p>
        </w:tc>
        <w:tc>
          <w:tcPr>
            <w:tcW w:w="198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(1,180)</w:t>
            </w:r>
          </w:p>
        </w:tc>
        <w:tc>
          <w:tcPr>
            <w:tcW w:w="3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86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60" w:type="dxa"/>
            <w:vAlign w:val="bottom"/>
            <w:tcBorders>
              <w:bottom w:val="single" w:sz="8" w:color="CCEEFF"/>
            </w:tcBorders>
          </w:tcPr>
          <w:p>
            <w:pPr>
              <w:ind w:left="8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8,803</w:t>
            </w:r>
          </w:p>
        </w:tc>
        <w:tc>
          <w:tcPr>
            <w:tcW w:w="8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1,168,257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(158,162)</w:t>
            </w: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Borders>
              <w:bottom w:val="single" w:sz="8" w:color="CCEEFF"/>
            </w:tcBorders>
          </w:tcPr>
          <w:p>
            <w:pPr>
              <w:ind w:left="60"/>
              <w:spacing w:after="0" w:line="157" w:lineRule="exact"/>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465,817</w:t>
            </w:r>
          </w:p>
        </w:tc>
        <w:tc>
          <w:tcPr>
            <w:tcW w:w="8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85,947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60" w:type="dxa"/>
            <w:vAlign w:val="bottom"/>
            <w:tcBorders>
              <w:bottom w:val="single" w:sz="8" w:color="CCEEFF"/>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307,655</w:t>
            </w:r>
          </w:p>
        </w:tc>
        <w:tc>
          <w:tcPr>
            <w:tcW w:w="8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430,448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6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4"/>
                <w:szCs w:val="14"/>
                <w:color w:val="auto"/>
              </w:rPr>
              <w:t>304,433</w:t>
            </w: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4"/>
                <w:szCs w:val="14"/>
                <w:color w:val="auto"/>
              </w:rPr>
              <w:t>425,388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Restricted cash at end of period</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3,222</w:t>
            </w:r>
          </w:p>
        </w:tc>
        <w:tc>
          <w:tcPr>
            <w:tcW w:w="8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5,060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60" w:type="dxa"/>
            <w:vAlign w:val="bottom"/>
            <w:tcBorders>
              <w:bottom w:val="single" w:sz="8" w:color="CCEEFF"/>
            </w:tcBorders>
          </w:tcPr>
          <w:p>
            <w:pPr>
              <w:ind w:left="6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307,655</w:t>
            </w:r>
          </w:p>
        </w:tc>
        <w:tc>
          <w:tcPr>
            <w:tcW w:w="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430,448</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7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460" w:type="dxa"/>
            <w:vAlign w:val="bottom"/>
          </w:tcPr>
          <w:p>
            <w:pPr>
              <w:spacing w:after="0" w:line="157"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Issuance of common stock in acquisition of Omniome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980" w:type="dxa"/>
            <w:vAlign w:val="bottom"/>
            <w:gridSpan w:val="2"/>
            <w:shd w:val="clear" w:color="auto" w:fill="CCEEFF"/>
          </w:tcPr>
          <w:p>
            <w:pPr>
              <w:jc w:val="right"/>
              <w:ind w:right="8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172"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69"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ORGANIZATION AND SIGNIFICANT ACCOUNTING POLICIES</w:t>
      </w:r>
    </w:p>
    <w:p>
      <w:pPr>
        <w:spacing w:after="0" w:line="85"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We are a life science technology company that designs, develops, and manufactures advanced sequencing solutions to help scientists and clinical researchers resolve genetically complex problems. Our products and technology under development stem from two highly differentiated core technologies focused on accuracy, quality and</w:t>
      </w:r>
    </w:p>
    <w:p>
      <w:pPr>
        <w:spacing w:after="0" w:line="1" w:lineRule="exact"/>
        <w:rPr>
          <w:sz w:val="20"/>
          <w:szCs w:val="20"/>
          <w:color w:val="auto"/>
        </w:rPr>
      </w:pPr>
    </w:p>
    <w:p>
      <w:pPr>
        <w:jc w:val="both"/>
        <w:ind w:right="20"/>
        <w:spacing w:after="0" w:line="249" w:lineRule="auto"/>
        <w:rPr>
          <w:sz w:val="20"/>
          <w:szCs w:val="20"/>
          <w:color w:val="auto"/>
        </w:rPr>
      </w:pPr>
      <w:r>
        <w:rPr>
          <w:rFonts w:ascii="Arial" w:cs="Arial" w:eastAsia="Arial" w:hAnsi="Arial"/>
          <w:sz w:val="14"/>
          <w:szCs w:val="14"/>
          <w:color w:val="auto"/>
        </w:rPr>
        <w:t>completeness which include our existing HiFi long-read sequencing technology and our emerging short-read Sequencing by Binding (SBB</w:t>
      </w:r>
      <w:r>
        <w:rPr>
          <w:rFonts w:ascii="Arial" w:cs="Arial" w:eastAsia="Arial" w:hAnsi="Arial"/>
          <w:sz w:val="22"/>
          <w:szCs w:val="22"/>
          <w:color w:val="333333"/>
          <w:vertAlign w:val="superscript"/>
        </w:rPr>
        <w:t>®</w:t>
      </w:r>
      <w:r>
        <w:rPr>
          <w:rFonts w:ascii="Arial" w:cs="Arial" w:eastAsia="Arial" w:hAnsi="Arial"/>
          <w:sz w:val="14"/>
          <w:szCs w:val="14"/>
          <w:color w:val="auto"/>
        </w:rPr>
        <w:t>) technology. Our products address solutions across a broad set of applications including human germline sequencing, plant and animal sciences, infectious disease and microbiology, oncology, and other emerging applications. Our focus is on providing our customers with advanced sequencing technologies with higher throughput and improved workflows that we believe will enable dramatic advancements in routine healthcare.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report to “PacBio,” “we,” “us,” the “Company,” and “our” refer to Pacific Biosciences of California, Inc. and its consolidated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Consolidation</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2021 audited consolidated financial statements and include all adjustments, consisting of only normal recurring adjustments, necessary to fairly state our financial position, results of operations, comprehensive (loss) income, and cash flows for the period, but are not necessarily indicative of the results to be expected for the entire year or any future periods. All intercompany transactions and balances have been eliminated.</w:t>
      </w:r>
    </w:p>
    <w:p>
      <w:pPr>
        <w:spacing w:after="0" w:line="5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financial statements should be read in conjunction with the audited consolidated financial statements and notes included in our Annual Report on Form 10-K for the year ended December 31, 2021.</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85"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potential impact of the current macroeconomic conditions and ongoing COVID-19 pandemic on our business is highly uncertain, we considered information available related to assumptions and estimates used to determine the results reported and asset valuations as of September 30, 2022. Actual results could differ materially from these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Investments</w:t>
      </w:r>
    </w:p>
    <w:p>
      <w:pPr>
        <w:spacing w:after="0" w:line="8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68"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color w:val="auto"/>
        </w:rPr>
        <w:t>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comprehensive (loss) income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w:t>
      </w:r>
    </w:p>
    <w:p>
      <w:pPr>
        <w:spacing w:after="0" w:line="6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and Other Risks</w:t>
      </w:r>
    </w:p>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the three and nine months ended September 30, 2022, one customer accounted for approximately 13% and 11% of total revenue during the period. For the three and nine months ended September 30, 2021, one customer accounted for approximately 17% and 15% of total revenue during the period. No other customers exceeded 10% during those periods.</w:t>
      </w:r>
    </w:p>
    <w:p>
      <w:pPr>
        <w:spacing w:after="0" w:line="73"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As of September 30, 2022, 54% of our accounts receivable were from domestic customers, compared to 53% as of December 31, 2021. As of September 30, 2022, one customer represented 10% of our accounts receivable, while no customer represented 10% or greater of our net accounts receivable as of December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There are no accounting standards updates (“ASUs”) that have been recently adopted.</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There have been no changes to our significant accounting policies as disclosed in the Annual Report on Form 10-K for the fiscal year ended December 31, 2021; however, as a result of certain changes to the standard contractual terms and conditions with customers implemented during the quarter ended March 31, 2022, we concluded that a change in the application of our accounting policy, in accordance with ASC 606, was appropriate.</w:t>
      </w:r>
    </w:p>
    <w:p>
      <w:pPr>
        <w:spacing w:after="0" w:line="73"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Specifically, we modified the standard contractual terms with customers during the first quarter of 2022, to reflect transfer of title and risk of loss and right to invoice upon delivery. We also updated the terms of the warranty provided with the instrument to remove the service component. As a result, the warranty is no longer a separate performance obligation and, accordingly, we accrue for the cost of the assurance warranty when revenue of the instrument is recognized. In addition, because of technical enhancements associated with our more recent instrument releases, including the Sequel IIe systems, installation services are now distinct from the instrument itself. Therefore, instrument revenue is now recognized upon transfer of control of the asset to the customer, which is generally upon delivery for sales made to our non-distributor customers.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ACQUISITIONS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Omniome, Inc.</w:t>
      </w:r>
    </w:p>
    <w:p>
      <w:pPr>
        <w:spacing w:after="0" w:line="8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On September 20, 2021, we completed our acquisition of Omniome, Inc. (“Omniome”), a San Diego-based company, to obtain their proprietary short-read DNA sequencing platform capable of delivering high accuracy (the “Omniome acquisition”).</w:t>
      </w:r>
    </w:p>
    <w:p>
      <w:pPr>
        <w:spacing w:after="0" w:line="6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connection with the Omniome acquisition, all outstanding equity securities of Omniome were cancelled in exchange for approximately $315.7 million in cash, 8,911,580 shares of our common stock with a fair value of $249.4 million and contingent consideration with a fair value of $168.6 million. The fair value of the 8,911,580 common shares issued was determined based on the closing market price of PacBio’s common shares on the acquisition date.</w:t>
      </w:r>
    </w:p>
    <w:p>
      <w:pPr>
        <w:spacing w:after="0" w:line="59"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addition, approximately $18.9 million, comprised of $7.4 million of cash, 226,811 shares of our common stock with a fair value of $6.3 million, and $5.2 million related to contingent consideration, was accounted for as a one-time post acquisition stock-based compensation expense. This stock-based compensation expense was due to accelerated vesting of Omniome stock awards in connection with the acquisition.</w:t>
      </w:r>
    </w:p>
    <w:p>
      <w:pPr>
        <w:spacing w:after="0" w:line="5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connection with the acquisition, contingent consideration of $200 million (composed of $100 million in cash and $100 million in shares of our common stock) is due upon the achievement of a milestone, defined as the first commercial shipment to a customer of a nucleotide sequencing platform, comprising both an instrument and related consumables, that utilizes SBB technology. The number of shares of stock to be issued will be determined using the volume-weighted average of the trading prices of our common stock for the twenty trading days ending with and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including the trading day that is two days immediately prior to the achievement of the milestone. Of the $100 million in shares of our common stock to be issued as part of the milestone, $4.1 million was attributable to stock options issued by PacBio in replacement of Omniome’s unvested options as part of the transaction. Upon achievement of the milestone, shares will be issued not in excess of an amount equal to 19.9% of our outstanding shares of common stock on the date of closing (prior to the issuance of any shares issued in connection with the transaction or the related private placement), less 11,500,000 shares.</w:t>
      </w:r>
    </w:p>
    <w:p>
      <w:pPr>
        <w:spacing w:after="0" w:line="6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scenario-based method which considers a range of possible outcomes and their assigned probabilities of occurrence. The potential outcomes are discounted to present value at a discount rate equal to the sum of the term-matched risk-free-interest rate plus PacBio’s credit spread.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total consideration transferred for the acquisition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40" w:type="dxa"/>
            <w:vAlign w:val="bottom"/>
            <w:shd w:val="clear" w:color="auto" w:fill="CCEEFF"/>
          </w:tcPr>
          <w:p>
            <w:pPr>
              <w:spacing w:after="0"/>
              <w:rPr>
                <w:sz w:val="20"/>
                <w:szCs w:val="20"/>
                <w:color w:val="auto"/>
              </w:rPr>
            </w:pPr>
            <w:r>
              <w:rPr>
                <w:rFonts w:ascii="Arial" w:cs="Arial" w:eastAsia="Arial" w:hAnsi="Arial"/>
                <w:sz w:val="14"/>
                <w:szCs w:val="14"/>
                <w:color w:val="auto"/>
              </w:rPr>
              <w:t>Total cash paid</w:t>
            </w:r>
          </w:p>
        </w:tc>
        <w:tc>
          <w:tcPr>
            <w:tcW w:w="5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315,703</w:t>
            </w:r>
          </w:p>
        </w:tc>
      </w:tr>
      <w:tr>
        <w:trPr>
          <w:trHeight w:val="204"/>
        </w:trPr>
        <w:tc>
          <w:tcPr>
            <w:tcW w:w="9640" w:type="dxa"/>
            <w:vAlign w:val="bottom"/>
          </w:tcPr>
          <w:p>
            <w:pPr>
              <w:spacing w:after="0"/>
              <w:rPr>
                <w:sz w:val="20"/>
                <w:szCs w:val="20"/>
                <w:color w:val="auto"/>
              </w:rPr>
            </w:pPr>
            <w:r>
              <w:rPr>
                <w:rFonts w:ascii="Arial" w:cs="Arial" w:eastAsia="Arial" w:hAnsi="Arial"/>
                <w:sz w:val="14"/>
                <w:szCs w:val="14"/>
                <w:color w:val="auto"/>
              </w:rPr>
              <w:t>Fair value of share consideration</w:t>
            </w:r>
          </w:p>
        </w:tc>
        <w:tc>
          <w:tcPr>
            <w:tcW w:w="540" w:type="dxa"/>
            <w:vAlign w:val="bottom"/>
          </w:tcPr>
          <w:p>
            <w:pPr>
              <w:spacing w:after="0"/>
              <w:rPr>
                <w:sz w:val="17"/>
                <w:szCs w:val="17"/>
                <w:color w:val="auto"/>
              </w:rPr>
            </w:pPr>
          </w:p>
        </w:tc>
        <w:tc>
          <w:tcPr>
            <w:tcW w:w="1080" w:type="dxa"/>
            <w:vAlign w:val="bottom"/>
          </w:tcPr>
          <w:p>
            <w:pPr>
              <w:ind w:left="340"/>
              <w:spacing w:after="0"/>
              <w:rPr>
                <w:sz w:val="20"/>
                <w:szCs w:val="20"/>
                <w:color w:val="auto"/>
              </w:rPr>
            </w:pPr>
            <w:r>
              <w:rPr>
                <w:rFonts w:ascii="Arial" w:cs="Arial" w:eastAsia="Arial" w:hAnsi="Arial"/>
                <w:sz w:val="14"/>
                <w:szCs w:val="14"/>
                <w:color w:val="auto"/>
              </w:rPr>
              <w:t>249,435</w:t>
            </w:r>
          </w:p>
        </w:tc>
      </w:tr>
      <w:tr>
        <w:trPr>
          <w:trHeight w:val="204"/>
        </w:trPr>
        <w:tc>
          <w:tcPr>
            <w:tcW w:w="9640" w:type="dxa"/>
            <w:vAlign w:val="bottom"/>
            <w:shd w:val="clear" w:color="auto" w:fill="CCEEFF"/>
          </w:tcPr>
          <w:p>
            <w:pPr>
              <w:spacing w:after="0"/>
              <w:rPr>
                <w:sz w:val="20"/>
                <w:szCs w:val="20"/>
                <w:color w:val="auto"/>
              </w:rPr>
            </w:pPr>
            <w:r>
              <w:rPr>
                <w:rFonts w:ascii="Arial" w:cs="Arial" w:eastAsia="Arial" w:hAnsi="Arial"/>
                <w:sz w:val="14"/>
                <w:szCs w:val="14"/>
                <w:color w:val="auto"/>
              </w:rPr>
              <w:t>Fair value of contingent consideration</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168,574</w:t>
            </w:r>
          </w:p>
        </w:tc>
      </w:tr>
      <w:tr>
        <w:trPr>
          <w:trHeight w:val="204"/>
        </w:trPr>
        <w:tc>
          <w:tcPr>
            <w:tcW w:w="9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Stock-based compensation expense excluded from consideration transferred</w:t>
            </w: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(18,923)</w:t>
            </w:r>
          </w:p>
        </w:tc>
      </w:tr>
      <w:tr>
        <w:trPr>
          <w:trHeight w:val="172"/>
        </w:trPr>
        <w:tc>
          <w:tcPr>
            <w:tcW w:w="9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consideration transferred</w:t>
            </w:r>
          </w:p>
        </w:tc>
        <w:tc>
          <w:tcPr>
            <w:tcW w:w="5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714,789</w:t>
            </w:r>
          </w:p>
        </w:tc>
      </w:tr>
      <w:tr>
        <w:trPr>
          <w:trHeight w:val="20"/>
        </w:trPr>
        <w:tc>
          <w:tcPr>
            <w:tcW w:w="9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As of December 31, 2021, the major classes of assets and liabilities to which we have allocated the total fair value of the consideration transferred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15,338</w:t>
            </w:r>
          </w:p>
        </w:tc>
      </w:tr>
      <w:tr>
        <w:trPr>
          <w:trHeight w:val="204"/>
        </w:trPr>
        <w:tc>
          <w:tcPr>
            <w:tcW w:w="9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540" w:type="dxa"/>
            <w:vAlign w:val="bottom"/>
          </w:tcPr>
          <w:p>
            <w:pPr>
              <w:spacing w:after="0"/>
              <w:rPr>
                <w:sz w:val="17"/>
                <w:szCs w:val="17"/>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6,123</w:t>
            </w:r>
          </w:p>
        </w:tc>
      </w:tr>
      <w:tr>
        <w:trPr>
          <w:trHeight w:val="204"/>
        </w:trPr>
        <w:tc>
          <w:tcPr>
            <w:tcW w:w="96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 net</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18,095</w:t>
            </w:r>
          </w:p>
        </w:tc>
      </w:tr>
      <w:tr>
        <w:trPr>
          <w:trHeight w:val="204"/>
        </w:trPr>
        <w:tc>
          <w:tcPr>
            <w:tcW w:w="9660" w:type="dxa"/>
            <w:vAlign w:val="bottom"/>
          </w:tcPr>
          <w:p>
            <w:pPr>
              <w:spacing w:after="0"/>
              <w:rPr>
                <w:sz w:val="20"/>
                <w:szCs w:val="20"/>
                <w:color w:val="auto"/>
              </w:rPr>
            </w:pPr>
            <w:r>
              <w:rPr>
                <w:rFonts w:ascii="Arial" w:cs="Arial" w:eastAsia="Arial" w:hAnsi="Arial"/>
                <w:sz w:val="14"/>
                <w:szCs w:val="14"/>
                <w:color w:val="auto"/>
              </w:rPr>
              <w:t>In-process research and development ("IPR&amp;D")</w:t>
            </w:r>
          </w:p>
        </w:tc>
        <w:tc>
          <w:tcPr>
            <w:tcW w:w="540" w:type="dxa"/>
            <w:vAlign w:val="bottom"/>
          </w:tcPr>
          <w:p>
            <w:pPr>
              <w:spacing w:after="0"/>
              <w:rPr>
                <w:sz w:val="17"/>
                <w:szCs w:val="17"/>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400,000</w:t>
            </w:r>
          </w:p>
        </w:tc>
      </w:tr>
      <w:tr>
        <w:trPr>
          <w:trHeight w:val="204"/>
        </w:trPr>
        <w:tc>
          <w:tcPr>
            <w:tcW w:w="96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390,665</w:t>
            </w:r>
          </w:p>
        </w:tc>
      </w:tr>
      <w:tr>
        <w:trPr>
          <w:trHeight w:val="204"/>
        </w:trPr>
        <w:tc>
          <w:tcPr>
            <w:tcW w:w="9660" w:type="dxa"/>
            <w:vAlign w:val="bottom"/>
          </w:tcPr>
          <w:p>
            <w:pPr>
              <w:spacing w:after="0"/>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7"/>
                <w:szCs w:val="17"/>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3,203</w:t>
            </w:r>
          </w:p>
        </w:tc>
      </w:tr>
      <w:tr>
        <w:trPr>
          <w:trHeight w:val="204"/>
        </w:trPr>
        <w:tc>
          <w:tcPr>
            <w:tcW w:w="966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 liability</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(91,814)</w:t>
            </w:r>
          </w:p>
        </w:tc>
      </w:tr>
      <w:tr>
        <w:trPr>
          <w:trHeight w:val="204"/>
        </w:trPr>
        <w:tc>
          <w:tcPr>
            <w:tcW w:w="9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Liabilities assumed</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(26,821)</w:t>
            </w:r>
          </w:p>
        </w:tc>
      </w:tr>
      <w:tr>
        <w:trPr>
          <w:trHeight w:val="172"/>
        </w:trPr>
        <w:tc>
          <w:tcPr>
            <w:tcW w:w="9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consideration transferred</w:t>
            </w:r>
          </w:p>
        </w:tc>
        <w:tc>
          <w:tcPr>
            <w:tcW w:w="5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714,789</w:t>
            </w:r>
          </w:p>
        </w:tc>
      </w:tr>
      <w:tr>
        <w:trPr>
          <w:trHeight w:val="20"/>
        </w:trPr>
        <w:tc>
          <w:tcPr>
            <w:tcW w:w="9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 xml:space="preserve">During the year ended December 31, 2021, we recorded a measurement period adjustment of $1.6 million to decrease goodwill and a corresponding $0.4 million to decrease the deferred tax liability on the Consolidated Balance Sheet, and a $1.2 million decrease to our benefit from income taxes on the Consolidated Statements of Operations and Comprehensive (Loss) Income. The measurement period adjustment was due to new information that became available to us upon the completion of the IRC Section 382 Tax Study, where we identified additional net operating losses that are available to us from acquired assets. Refer to </w:t>
      </w:r>
      <w:r>
        <w:rPr>
          <w:rFonts w:ascii="Arial" w:cs="Arial" w:eastAsia="Arial" w:hAnsi="Arial"/>
          <w:sz w:val="15"/>
          <w:szCs w:val="15"/>
          <w:i w:val="1"/>
          <w:iCs w:val="1"/>
          <w:color w:val="auto"/>
        </w:rPr>
        <w:t>Note 9 – Income Taxes</w:t>
      </w:r>
      <w:r>
        <w:rPr>
          <w:rFonts w:ascii="Arial" w:cs="Arial" w:eastAsia="Arial" w:hAnsi="Arial"/>
          <w:sz w:val="15"/>
          <w:szCs w:val="15"/>
          <w:color w:val="auto"/>
        </w:rPr>
        <w:t>, in Part II, Item 8 of the Annual Report on Form 10-K for the year ended December 31, 2021 for more information.</w:t>
      </w:r>
    </w:p>
    <w:p>
      <w:pPr>
        <w:spacing w:after="0" w:line="5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goodwill recognized was primarily attributable to the assembled workforce and synergies that are expected to occur from the integration of Omniome and is not deductible for income tax purposes.</w:t>
      </w:r>
    </w:p>
    <w:p>
      <w:pPr>
        <w:spacing w:after="0" w:line="43"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We incurred costs related to the Omniome acquisition of approximately $11.6 million during the three and nine months ended September 30, 2021, which are included in merger-related costs on the Consolidated Statement of Operations and Comprehensive (Loss) Income. No significant merger-related costs were incurred during the three and nine months ended September 30, 2022.</w:t>
      </w:r>
    </w:p>
    <w:p>
      <w:pPr>
        <w:spacing w:after="0" w:line="59" w:lineRule="exact"/>
        <w:rPr>
          <w:sz w:val="20"/>
          <w:szCs w:val="20"/>
          <w:color w:val="auto"/>
        </w:rPr>
      </w:pPr>
    </w:p>
    <w:p>
      <w:pPr>
        <w:jc w:val="both"/>
        <w:ind w:right="480"/>
        <w:spacing w:after="0" w:line="235" w:lineRule="auto"/>
        <w:rPr>
          <w:sz w:val="20"/>
          <w:szCs w:val="20"/>
          <w:color w:val="auto"/>
        </w:rPr>
      </w:pPr>
      <w:r>
        <w:rPr>
          <w:rFonts w:ascii="Arial" w:cs="Arial" w:eastAsia="Arial" w:hAnsi="Arial"/>
          <w:sz w:val="16"/>
          <w:szCs w:val="16"/>
          <w:color w:val="auto"/>
        </w:rPr>
        <w:t>The following unaudited pro forma financial information presents combined results of operations for each of the periods presented as if Omniome had been acquired as of the beginning of 2020, giving effect on a pro forma basis to the purchase accounting adjustments such as $11.6 million of PacBio acquisition-related costs, $18.9 million of stock-based compensation expense related to acceleration of certain Omniome stock options not attributable to pre-combination service, and a $92.2 million one-time income tax benefit from the reduction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ind w:right="480"/>
        <w:spacing w:after="0" w:line="262" w:lineRule="auto"/>
        <w:rPr>
          <w:sz w:val="20"/>
          <w:szCs w:val="20"/>
          <w:color w:val="auto"/>
        </w:rPr>
      </w:pPr>
      <w:r>
        <w:rPr>
          <w:rFonts w:ascii="Arial" w:cs="Arial" w:eastAsia="Arial" w:hAnsi="Arial"/>
          <w:sz w:val="16"/>
          <w:szCs w:val="16"/>
          <w:color w:val="auto"/>
        </w:rPr>
        <w:t>of our deferred tax asset valuation allowance resulting from the Omniome acquisition, as well as a pro forma adjustment to reflect $16.7 million of Omniome’s acquisition-related costs.</w:t>
      </w:r>
    </w:p>
    <w:p>
      <w:pPr>
        <w:spacing w:after="0" w:line="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unaudited pro forma information presented below is for informational purposes only and is not necessarily indicative of the consolidated results of the combined business had the acquisition actually occurred at the beginning of 2020 or the results of future operations of the combined business.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unaudited pro forma financial information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Pr>
          <w:p>
            <w:pPr>
              <w:spacing w:after="0"/>
              <w:rPr>
                <w:sz w:val="14"/>
                <w:szCs w:val="14"/>
                <w:color w:val="auto"/>
              </w:rPr>
            </w:pPr>
          </w:p>
        </w:tc>
        <w:tc>
          <w:tcPr>
            <w:tcW w:w="2680" w:type="dxa"/>
            <w:vAlign w:val="bottom"/>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81"/>
        </w:trPr>
        <w:tc>
          <w:tcPr>
            <w:tcW w:w="4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September 30, 2021</w:t>
            </w:r>
          </w:p>
        </w:tc>
        <w:tc>
          <w:tcPr>
            <w:tcW w:w="800" w:type="dxa"/>
            <w:vAlign w:val="bottom"/>
          </w:tcPr>
          <w:p>
            <w:pPr>
              <w:spacing w:after="0"/>
              <w:rPr>
                <w:sz w:val="15"/>
                <w:szCs w:val="15"/>
                <w:color w:val="auto"/>
              </w:rPr>
            </w:pPr>
          </w:p>
        </w:tc>
        <w:tc>
          <w:tcPr>
            <w:tcW w:w="2680" w:type="dxa"/>
            <w:vAlign w:val="bottom"/>
          </w:tcPr>
          <w:p>
            <w:pPr>
              <w:ind w:left="340"/>
              <w:spacing w:after="0"/>
              <w:rPr>
                <w:sz w:val="20"/>
                <w:szCs w:val="20"/>
                <w:color w:val="auto"/>
              </w:rPr>
            </w:pPr>
            <w:r>
              <w:rPr>
                <w:rFonts w:ascii="Arial" w:cs="Arial" w:eastAsia="Arial" w:hAnsi="Arial"/>
                <w:sz w:val="14"/>
                <w:szCs w:val="14"/>
                <w:b w:val="1"/>
                <w:bCs w:val="1"/>
                <w:color w:val="auto"/>
              </w:rPr>
              <w:t>September 30, 2021</w:t>
            </w:r>
          </w:p>
        </w:tc>
      </w:tr>
      <w:tr>
        <w:trPr>
          <w:trHeight w:val="148"/>
        </w:trPr>
        <w:tc>
          <w:tcPr>
            <w:tcW w:w="47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 forma total revenue</w:t>
            </w:r>
          </w:p>
        </w:tc>
        <w:tc>
          <w:tcPr>
            <w:tcW w:w="520" w:type="dxa"/>
            <w:vAlign w:val="bottom"/>
            <w:tcBorders>
              <w:top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300" w:type="dxa"/>
            <w:vAlign w:val="bottom"/>
            <w:tcBorders>
              <w:top w:val="single" w:sz="8" w:color="auto"/>
            </w:tcBorders>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rPr>
              <w:t>34,887</w:t>
            </w:r>
          </w:p>
        </w:tc>
        <w:tc>
          <w:tcPr>
            <w:tcW w:w="2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680" w:type="dxa"/>
            <w:vAlign w:val="bottom"/>
            <w:tcBorders>
              <w:top w:val="single" w:sz="8" w:color="auto"/>
            </w:tcBorders>
            <w:shd w:val="clear" w:color="auto" w:fill="CCEEFF"/>
          </w:tcPr>
          <w:p>
            <w:pPr>
              <w:jc w:val="right"/>
              <w:ind w:right="668"/>
              <w:spacing w:after="0" w:line="149" w:lineRule="exact"/>
              <w:rPr>
                <w:sz w:val="20"/>
                <w:szCs w:val="20"/>
                <w:color w:val="auto"/>
              </w:rPr>
            </w:pPr>
            <w:r>
              <w:rPr>
                <w:rFonts w:ascii="Arial" w:cs="Arial" w:eastAsia="Arial" w:hAnsi="Arial"/>
                <w:sz w:val="14"/>
                <w:szCs w:val="14"/>
                <w:color w:val="auto"/>
              </w:rPr>
              <w:t>94,494</w:t>
            </w:r>
          </w:p>
        </w:tc>
      </w:tr>
      <w:tr>
        <w:trPr>
          <w:trHeight w:val="183"/>
        </w:trPr>
        <w:tc>
          <w:tcPr>
            <w:tcW w:w="4700" w:type="dxa"/>
            <w:vAlign w:val="bottom"/>
          </w:tcPr>
          <w:p>
            <w:pPr>
              <w:spacing w:after="0"/>
              <w:rPr>
                <w:sz w:val="20"/>
                <w:szCs w:val="20"/>
                <w:color w:val="auto"/>
              </w:rPr>
            </w:pPr>
            <w:r>
              <w:rPr>
                <w:rFonts w:ascii="Arial" w:cs="Arial" w:eastAsia="Arial" w:hAnsi="Arial"/>
                <w:sz w:val="14"/>
                <w:szCs w:val="14"/>
                <w:color w:val="auto"/>
              </w:rPr>
              <w:t>Pro forma net loss</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300" w:type="dxa"/>
            <w:vAlign w:val="bottom"/>
          </w:tcPr>
          <w:p>
            <w:pPr>
              <w:jc w:val="right"/>
              <w:ind w:right="608"/>
              <w:spacing w:after="0"/>
              <w:rPr>
                <w:sz w:val="20"/>
                <w:szCs w:val="20"/>
                <w:color w:val="auto"/>
              </w:rPr>
            </w:pPr>
            <w:r>
              <w:rPr>
                <w:rFonts w:ascii="Arial" w:cs="Arial" w:eastAsia="Arial" w:hAnsi="Arial"/>
                <w:sz w:val="14"/>
                <w:szCs w:val="14"/>
                <w:color w:val="auto"/>
              </w:rPr>
              <w:t>(54,802)</w:t>
            </w:r>
          </w:p>
        </w:tc>
        <w:tc>
          <w:tcPr>
            <w:tcW w:w="26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680" w:type="dxa"/>
            <w:vAlign w:val="bottom"/>
          </w:tcPr>
          <w:p>
            <w:pPr>
              <w:jc w:val="right"/>
              <w:ind w:right="628"/>
              <w:spacing w:after="0"/>
              <w:rPr>
                <w:sz w:val="20"/>
                <w:szCs w:val="20"/>
                <w:color w:val="auto"/>
              </w:rPr>
            </w:pPr>
            <w:r>
              <w:rPr>
                <w:rFonts w:ascii="Arial" w:cs="Arial" w:eastAsia="Arial" w:hAnsi="Arial"/>
                <w:sz w:val="14"/>
                <w:szCs w:val="14"/>
                <w:color w:val="auto"/>
              </w:rPr>
              <w:t>(213,715)</w:t>
            </w:r>
          </w:p>
        </w:tc>
      </w:tr>
    </w:tbl>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consolidated financial statements include the results of operations for Omniome beginning September 20, 2021. Revenues of $0 and a net loss of $1.6 million from the acquired Omniome business have been included in our Condensed Consolidated Statement of Operations for the three and nine months ended September 30, 2021.</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Circulomics, Inc.</w:t>
      </w:r>
    </w:p>
    <w:p>
      <w:pPr>
        <w:spacing w:after="0" w:line="9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On July 20, 2021, we acquired Circulomics Inc. (“Circulomics”), a Maryland-based biotechnology company focused on delivering highly differentiated sample preparation products that enable genomic workflows (the “Circulomics acquisition”).</w:t>
      </w:r>
    </w:p>
    <w:p>
      <w:pPr>
        <w:spacing w:after="0" w:line="68"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paid $29.5 million in cash in exchange for all outstanding shares of common stock of Circulomics. We allocated the consideration transferred to the identifiable assets acquired and liabilities assumed based on their respective fair values at the date of the completion of the Circulomics acquisition. The major classes of assets and liabilities to which we have allocated the total fair value of the consideration transferred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987</w:t>
            </w:r>
          </w:p>
        </w:tc>
      </w:tr>
      <w:tr>
        <w:trPr>
          <w:trHeight w:val="204"/>
        </w:trPr>
        <w:tc>
          <w:tcPr>
            <w:tcW w:w="100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7"/>
                <w:szCs w:val="17"/>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214</w:t>
            </w:r>
          </w:p>
        </w:tc>
      </w:t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11,360</w:t>
            </w:r>
          </w:p>
        </w:tc>
      </w:tr>
      <w:tr>
        <w:trPr>
          <w:trHeight w:val="204"/>
        </w:trPr>
        <w:tc>
          <w:tcPr>
            <w:tcW w:w="1006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7"/>
                <w:szCs w:val="17"/>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19,309</w:t>
            </w:r>
          </w:p>
        </w:tc>
      </w:t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467</w:t>
            </w:r>
          </w:p>
        </w:tc>
      </w:tr>
      <w:tr>
        <w:trPr>
          <w:trHeight w:val="204"/>
        </w:trPr>
        <w:tc>
          <w:tcPr>
            <w:tcW w:w="10060" w:type="dxa"/>
            <w:vAlign w:val="bottom"/>
          </w:tcPr>
          <w:p>
            <w:pPr>
              <w:spacing w:after="0"/>
              <w:rPr>
                <w:sz w:val="20"/>
                <w:szCs w:val="20"/>
                <w:color w:val="auto"/>
              </w:rPr>
            </w:pPr>
            <w:r>
              <w:rPr>
                <w:rFonts w:ascii="Arial" w:cs="Arial" w:eastAsia="Arial" w:hAnsi="Arial"/>
                <w:sz w:val="14"/>
                <w:szCs w:val="14"/>
                <w:color w:val="auto"/>
              </w:rPr>
              <w:t>Deferred income tax liability</w:t>
            </w:r>
          </w:p>
        </w:tc>
        <w:tc>
          <w:tcPr>
            <w:tcW w:w="320" w:type="dxa"/>
            <w:vAlign w:val="bottom"/>
          </w:tcPr>
          <w:p>
            <w:pPr>
              <w:spacing w:after="0"/>
              <w:rPr>
                <w:sz w:val="17"/>
                <w:szCs w:val="17"/>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(2,672)</w:t>
            </w:r>
          </w:p>
        </w:tc>
      </w:t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4"/>
                <w:szCs w:val="14"/>
                <w:color w:val="auto"/>
              </w:rPr>
              <w:t>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(118)</w:t>
            </w:r>
          </w:p>
        </w:tc>
      </w:tr>
      <w:tr>
        <w:trPr>
          <w:trHeight w:val="172"/>
        </w:trPr>
        <w:tc>
          <w:tcPr>
            <w:tcW w:w="10060" w:type="dxa"/>
            <w:vAlign w:val="bottom"/>
          </w:tcPr>
          <w:p>
            <w:pPr>
              <w:ind w:left="80"/>
              <w:spacing w:after="0"/>
              <w:rPr>
                <w:sz w:val="20"/>
                <w:szCs w:val="20"/>
                <w:color w:val="auto"/>
              </w:rPr>
            </w:pPr>
            <w:r>
              <w:rPr>
                <w:rFonts w:ascii="Arial" w:cs="Arial" w:eastAsia="Arial" w:hAnsi="Arial"/>
                <w:sz w:val="14"/>
                <w:szCs w:val="14"/>
                <w:color w:val="auto"/>
              </w:rPr>
              <w:t>Total consideration transferred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29,547</w:t>
            </w:r>
          </w:p>
        </w:tc>
      </w:tr>
      <w:tr>
        <w:trPr>
          <w:trHeight w:val="20"/>
        </w:trPr>
        <w:tc>
          <w:tcPr>
            <w:tcW w:w="10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The excess of the value of consideration paid over the aggregate fair value of those net assets has been recorded as goodwill. We recognized goodwill of $19.3 million, which is primarily attributable to the synergies expected from capabilities in extraction and sample preparation and is not deductible for income tax purposes. We recorded $11.4 million for the fair value of acquired intangible assets, which consist of developed technology and customer relationships.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INVITAE COLLABORATION</w:t>
      </w:r>
    </w:p>
    <w:p>
      <w:pPr>
        <w:spacing w:after="0" w:line="97"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On June 24, 2022, we entered into an Amended and Restated Development and Commercialization Agreement (the “Amended and Restated Agreement”) with Invitae Corporation (“Invitae”). The Amended and Restated Agreement amended and restated the existing Development and Commercialization Agreement, effective as of January 12, 2021, as amended by Amendment No. 1 to Development and Commercialization Agreement, entered into on June 3, 2021, by and between us and Invitae (together, the “Original Agreement”). Unless otherwise agreed in writing or terminated in accordance with the Amended and Restated Agreement, the term of the Amended and Restated Agreement shall continue until June 30, 2028 (“Term”).</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Original Agreement, Invitae provided certain funding to us to develop products relating to production-scale high-throughput sequencing (“Program Products”).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If Program Products were to become commercially available, Invitae had the right to purchase the Program Products at preferred pricing.</w:t>
      </w:r>
    </w:p>
    <w:p>
      <w:pPr>
        <w:spacing w:after="0" w:line="67"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Under the Amended and Restated Agreement, we will continue to receive feedback, input and insight from Invitae in connection with the intended development of our new sequencing systems; however, such feedback will not be contractually required, and Invitae has no contractual right to participate in decisions regarding the development program for such new sequencing systems. Our development plans for such new sequencing systems will be at our</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discretion and pursuant to our own internal processes and programs. Invitae will not be contractually obligated to reimburse us for development costs under the Amended and Restated Agreement. There can be no assurances that the in-development sequencing systems will continue to be developed, be successfully developed or become available for commercial sale.</w:t>
      </w:r>
    </w:p>
    <w:p>
      <w:pPr>
        <w:spacing w:after="0" w:line="7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consideration of the non-refundable payments received from Invitae pursuant to the Original Agreement of $23.5 million, we will provide Invitae with credits in connection with Invitae’s anticipated purchase of certain currently available and in-development sequencing systems (instruments and consumables). The credits will expire on June 30, 2025 (“Credit Expiration Date”). Subject to certain conditions, Invitae will also be entitled to most favored pricing for the Company’s Sequel IIe systems and certain in-development systems through the Term.</w:t>
      </w:r>
    </w:p>
    <w:p>
      <w:pPr>
        <w:spacing w:after="0" w:line="6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and Invitae may terminate the Amended and Restated Agreement if the other party remains in material breach of the Amended and Restated Agreement following a cure period to remedy the material breach.</w:t>
      </w:r>
    </w:p>
    <w:p>
      <w:pPr>
        <w:spacing w:after="0" w:line="4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Amended and Restated Agreement is deemed a contract modification and accounted for on a prospective basis in accordance with ASC Topic 606. We will recognize proportionate amounts of the transaction price, including payments made by Invitae to us pursuant to the Original Agreement, in revenue as the remaining performance obligations are satisfied, which is when Invitae places purchase orders for certain currently available and in-development sequencing platforms and the associated goods are delivered. Any remaining unused credits will be recognized when they expire.</w:t>
      </w:r>
    </w:p>
    <w:p>
      <w:pPr>
        <w:spacing w:after="0" w:line="6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During the three and nine months ended September 30, 2022, Invitae purchased certain currently available instruments, for which $0 and $3.7 million, respectively, of revenue was recognized as Product Revenue on the Condensed Consolidated Statements of Operations and Comprehensive Loss under the terms of the Amended and Restated Agreement.</w:t>
      </w:r>
    </w:p>
    <w:p>
      <w:pPr>
        <w:spacing w:after="0" w:line="7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of December 31, 2021, we have recognized payments received from Invitae of $23.5 million in deferred revenue, non-current, on the Consolidated Balance Sheet. As of September 30, 2022, $21.4 million of deferred revenue, current, is recorded on the Condensed Consolidated Balance Sheet relating to all future performance obligations under the Amended and Restated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TERMINATION OF MERGER WITH ILLUMINA</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On November 1, 2018, we entered into an Agreement and Plan of Merger (as amended, the “Illumina Merger Agreement”) with Illumina, Inc. (“Illumina”) and FC Ops Corp., a wholly owned subsidiary of Illumina (“Illumina Merger Sub”). On January 2, 2020, we, Illumina and Illumina Merger Sub, entered into an agreement to terminate the Merger Agreement (the “Termination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Continuation Advances from Illumina</w:t>
      </w:r>
    </w:p>
    <w:p>
      <w:pPr>
        <w:spacing w:after="0" w:line="93"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As part of the Termination Agreement, Illumina paid us cash payments (“Continuation Advances”) totaling $52.0 million. 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42" w:lineRule="exact"/>
        <w:rPr>
          <w:sz w:val="20"/>
          <w:szCs w:val="20"/>
          <w:color w:val="auto"/>
        </w:rPr>
      </w:pPr>
    </w:p>
    <w:p>
      <w:pPr>
        <w:jc w:val="both"/>
        <w:ind w:right="20"/>
        <w:spacing w:after="0" w:line="230" w:lineRule="auto"/>
        <w:rPr>
          <w:sz w:val="20"/>
          <w:szCs w:val="20"/>
          <w:color w:val="auto"/>
        </w:rPr>
      </w:pPr>
      <w:r>
        <w:rPr>
          <w:rFonts w:ascii="Arial" w:cs="Arial" w:eastAsia="Arial" w:hAnsi="Arial"/>
          <w:sz w:val="16"/>
          <w:szCs w:val="16"/>
          <w:color w:val="auto"/>
        </w:rPr>
        <w:t>Resulting from the issuance and sale of $900 million of 1.50% Convertible Senior Notes due February 15, 2028, $52.0 million of Continuation Advances were paid without interest to Illumina in February 2021, and a corresponding non-operating expense was recorded in the Consolidated Statements of Operations and Comprehensive (Loss) Income during the quarter ended March 31,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71729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FINANCIAL INSTRUMENTS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Fair value is the exchange price that would be received to sell an asset or paid to transfer a liability in an orderly transaction between market participants at the measurement date.</w:t>
      </w:r>
    </w:p>
    <w:p>
      <w:pPr>
        <w:spacing w:after="0" w:line="4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 quoted prices in active markets for identical assets or liabilities;</w:t>
      </w:r>
    </w:p>
    <w:p>
      <w:pPr>
        <w:spacing w:after="0" w:line="56" w:lineRule="exact"/>
        <w:rPr>
          <w:sz w:val="20"/>
          <w:szCs w:val="20"/>
          <w:color w:val="auto"/>
        </w:rPr>
      </w:pPr>
    </w:p>
    <w:p>
      <w:pPr>
        <w:ind w:left="580"/>
        <w:spacing w:after="0" w:line="241" w:lineRule="auto"/>
        <w:rPr>
          <w:sz w:val="20"/>
          <w:szCs w:val="20"/>
          <w:color w:val="auto"/>
        </w:rPr>
      </w:pPr>
      <w:r>
        <w:rPr>
          <w:rFonts w:ascii="Arial" w:cs="Arial" w:eastAsia="Arial" w:hAnsi="Arial"/>
          <w:sz w:val="16"/>
          <w:szCs w:val="16"/>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59" w:lineRule="exact"/>
        <w:rPr>
          <w:sz w:val="20"/>
          <w:szCs w:val="20"/>
          <w:color w:val="auto"/>
        </w:rPr>
      </w:pPr>
    </w:p>
    <w:p>
      <w:pPr>
        <w:jc w:val="both"/>
        <w:spacing w:after="0" w:line="331"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carrying amount of our accounts receivable, prepaid expenses, other current assets, accounts payable, accrued expenses and other liabilities, current, approximate fair value due to their short maturities.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Measured at Fair Value on a Recurring Basis</w:t>
      </w:r>
    </w:p>
    <w:p>
      <w:pPr>
        <w:spacing w:after="0" w:line="9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following table sets forth the fair value of our financial assets and liabilities that were measured on a recurring basis as of September 30, 2022 and December 31, 2021 respectively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7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7"/>
              </w:rPr>
              <w:t>63,154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304,433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327,315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460,725</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57,408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187,632</w:t>
            </w:r>
          </w:p>
        </w:tc>
        <w:tc>
          <w:tcPr>
            <w:tcW w:w="0" w:type="dxa"/>
            <w:vAlign w:val="bottom"/>
          </w:tcPr>
          <w:p>
            <w:pPr>
              <w:spacing w:after="0"/>
              <w:rPr>
                <w:sz w:val="1"/>
                <w:szCs w:val="1"/>
                <w:color w:val="auto"/>
              </w:rPr>
            </w:pPr>
          </w:p>
        </w:tc>
      </w:tr>
      <w:tr>
        <w:trPr>
          <w:trHeight w:val="204"/>
        </w:trPr>
        <w:tc>
          <w:tcPr>
            <w:tcW w:w="2720" w:type="dxa"/>
            <w:vAlign w:val="bottom"/>
          </w:tcPr>
          <w:p>
            <w:pPr>
              <w:ind w:left="80"/>
              <w:spacing w:after="0"/>
              <w:rPr>
                <w:sz w:val="20"/>
                <w:szCs w:val="20"/>
                <w:color w:val="auto"/>
              </w:rPr>
            </w:pPr>
            <w:r>
              <w:rPr>
                <w:rFonts w:ascii="Arial" w:cs="Arial" w:eastAsia="Arial" w:hAnsi="Arial"/>
                <w:sz w:val="14"/>
                <w:szCs w:val="14"/>
                <w:color w:val="auto"/>
              </w:rPr>
              <w:t>Corporate debt securities</w:t>
            </w:r>
          </w:p>
        </w:tc>
        <w:tc>
          <w:tcPr>
            <w:tcW w:w="1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49,478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49,478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U.S. government &amp; agency securities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423,021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423,021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387,075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387,075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20" w:type="dxa"/>
            <w:vAlign w:val="bottom"/>
          </w:tcPr>
          <w:p>
            <w:pPr>
              <w:ind w:left="200"/>
              <w:spacing w:after="0"/>
              <w:rPr>
                <w:sz w:val="20"/>
                <w:szCs w:val="20"/>
                <w:color w:val="auto"/>
              </w:rPr>
            </w:pPr>
            <w:r>
              <w:rPr>
                <w:rFonts w:ascii="Arial" w:cs="Arial" w:eastAsia="Arial" w:hAnsi="Arial"/>
                <w:sz w:val="14"/>
                <w:szCs w:val="14"/>
                <w:color w:val="auto"/>
              </w:rPr>
              <w:t>Total investments</w:t>
            </w:r>
          </w:p>
        </w:tc>
        <w:tc>
          <w:tcPr>
            <w:tcW w:w="180" w:type="dxa"/>
            <w:vAlign w:val="bottom"/>
          </w:tcPr>
          <w:p>
            <w:pPr>
              <w:spacing w:after="0"/>
              <w:rPr>
                <w:sz w:val="16"/>
                <w:szCs w:val="16"/>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529,907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529,907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583,675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583,675</w:t>
            </w: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20" w:type="dxa"/>
            <w:vAlign w:val="bottom"/>
          </w:tcPr>
          <w:p>
            <w:pPr>
              <w:spacing w:after="0"/>
              <w:rPr>
                <w:sz w:val="20"/>
                <w:szCs w:val="20"/>
                <w:color w:val="auto"/>
              </w:rPr>
            </w:pPr>
            <w:r>
              <w:rPr>
                <w:rFonts w:ascii="Arial" w:cs="Arial" w:eastAsia="Arial" w:hAnsi="Arial"/>
                <w:sz w:val="14"/>
                <w:szCs w:val="14"/>
                <w:color w:val="auto"/>
              </w:rPr>
              <w:t>Short-term restricted cash</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Long-term restricted cash</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48"/>
        </w:trPr>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Total assets measured at fair value</w:t>
            </w: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66,376</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771,186</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ind w:left="60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837,562</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332,407</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717,085</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1,049,492</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Contingent consideration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167,496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169,717</w:t>
            </w:r>
          </w:p>
        </w:tc>
        <w:tc>
          <w:tcPr>
            <w:tcW w:w="0" w:type="dxa"/>
            <w:vAlign w:val="bottom"/>
          </w:tcPr>
          <w:p>
            <w:pPr>
              <w:spacing w:after="0"/>
              <w:rPr>
                <w:sz w:val="1"/>
                <w:szCs w:val="1"/>
                <w:color w:val="auto"/>
              </w:rPr>
            </w:pPr>
          </w:p>
        </w:tc>
      </w:tr>
      <w:tr>
        <w:trPr>
          <w:trHeight w:val="148"/>
        </w:trPr>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Total liabilities measured at fair value</w:t>
            </w: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ind w:left="6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ind w:left="6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ind w:left="240"/>
              <w:spacing w:after="0" w:line="149" w:lineRule="exact"/>
              <w:rPr>
                <w:sz w:val="20"/>
                <w:szCs w:val="20"/>
                <w:color w:val="auto"/>
              </w:rPr>
            </w:pPr>
            <w:r>
              <w:rPr>
                <w:rFonts w:ascii="Arial" w:cs="Arial" w:eastAsia="Arial" w:hAnsi="Arial"/>
                <w:sz w:val="14"/>
                <w:szCs w:val="14"/>
                <w:color w:val="auto"/>
                <w:w w:val="98"/>
              </w:rPr>
              <w:t>167,496</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167,496</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ind w:left="60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ind w:left="6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169,717</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169,717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classify contingent consideration, which was incurred in connection with the acquisition of Omniome, within Level 3 as factors used to develop the estimate of fair value include unobservable inputs that are not supported by market activity and are significant to the fair value.</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estimate the fair value of the contingent consideration liability by discounting the probability-weighted outcomes to present value using an estimate of our borrowing rate and the risk-free rate. The potential outcomes of milestone achievement dates are within the period from December 31, 2022 to June 30, 2025. A decrease in the probability of an earlier scenario within this range would result in a decrease in the fair value of the liability. The discount rates used are the sum of the U.S. risk-free rate and the estimated subordinated credit spread for B- and B credit rating, which range from 10.5% to 10.9%. An increase in the discount rates used can also result in the decrease in the fair value of liability, which was the primary factor for the $2.2 million decrease in liability at September 30, 2022. Changes in our estimated subordinated credit spread can result in changes in the fair value of the contingent consideration liability, where a lower credit spread may result in an increased liability valuation.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estimated fair value of the contingent consideration liability for the nine months ended September 30, 2022 were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5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Level 3</w:t>
            </w:r>
          </w:p>
        </w:tc>
      </w:tr>
      <w:tr>
        <w:trPr>
          <w:trHeight w:val="184"/>
        </w:trPr>
        <w:tc>
          <w:tcPr>
            <w:tcW w:w="850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 as of December 31, 2021</w:t>
            </w:r>
          </w:p>
        </w:tc>
        <w:tc>
          <w:tcPr>
            <w:tcW w:w="6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169,717</w:t>
            </w:r>
          </w:p>
        </w:tc>
      </w:tr>
      <w:tr>
        <w:trPr>
          <w:trHeight w:val="204"/>
        </w:trPr>
        <w:tc>
          <w:tcPr>
            <w:tcW w:w="8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Change in estimated fair value</w:t>
            </w:r>
          </w:p>
        </w:tc>
        <w:tc>
          <w:tcPr>
            <w:tcW w:w="6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(2,221)</w:t>
            </w:r>
          </w:p>
        </w:tc>
      </w:tr>
      <w:tr>
        <w:trPr>
          <w:trHeight w:val="172"/>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 as of September 30, 2022</w:t>
            </w:r>
          </w:p>
        </w:tc>
        <w:tc>
          <w:tcPr>
            <w:tcW w:w="6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167,496</w:t>
            </w:r>
          </w:p>
        </w:tc>
      </w:tr>
      <w:tr>
        <w:trPr>
          <w:trHeight w:val="20"/>
        </w:trPr>
        <w:tc>
          <w:tcPr>
            <w:tcW w:w="8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Changes to the fair value are recorded as Change in fair value of contingent consideration in the Condensed Consolidated Statement of Operations and Comprehensive (Loss) Income.</w:t>
      </w:r>
    </w:p>
    <w:p>
      <w:pPr>
        <w:spacing w:after="0" w:line="6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For the nine months ended September 30, 2022, there were no transfers between Level 1, Level 2, or Level 3 assets or liabilities reported at fair value on a recurring basis, and our valuation techniques did not change compared to the prior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cash equivalents and investments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As of September 30, 2022</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unrealized</w:t>
            </w:r>
          </w:p>
        </w:tc>
        <w:tc>
          <w:tcPr>
            <w:tcW w:w="340" w:type="dxa"/>
            <w:vAlign w:val="bottom"/>
          </w:tcPr>
          <w:p>
            <w:pPr>
              <w:spacing w:after="0"/>
              <w:rPr>
                <w:sz w:val="16"/>
                <w:szCs w:val="16"/>
                <w:color w:val="auto"/>
              </w:rPr>
            </w:pPr>
          </w:p>
        </w:tc>
        <w:tc>
          <w:tcPr>
            <w:tcW w:w="1060" w:type="dxa"/>
            <w:vAlign w:val="bottom"/>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9"/>
                <w:szCs w:val="19"/>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9"/>
                <w:szCs w:val="19"/>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7"/>
              </w:rPr>
              <w:t>losses</w:t>
            </w:r>
          </w:p>
        </w:tc>
        <w:tc>
          <w:tcPr>
            <w:tcW w:w="340" w:type="dxa"/>
            <w:vAlign w:val="bottom"/>
          </w:tcPr>
          <w:p>
            <w:pPr>
              <w:spacing w:after="0"/>
              <w:rPr>
                <w:sz w:val="19"/>
                <w:szCs w:val="19"/>
                <w:color w:val="auto"/>
              </w:rPr>
            </w:pPr>
          </w:p>
        </w:tc>
        <w:tc>
          <w:tcPr>
            <w:tcW w:w="1060" w:type="dxa"/>
            <w:vAlign w:val="bottom"/>
          </w:tcPr>
          <w:p>
            <w:pPr>
              <w:jc w:val="center"/>
              <w:ind w:right="3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304,480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304,433</w:t>
            </w:r>
          </w:p>
        </w:tc>
        <w:tc>
          <w:tcPr>
            <w:tcW w:w="0" w:type="dxa"/>
            <w:vAlign w:val="bottom"/>
          </w:tcPr>
          <w:p>
            <w:pPr>
              <w:spacing w:after="0"/>
              <w:rPr>
                <w:sz w:val="1"/>
                <w:szCs w:val="1"/>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57,713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57,408</w:t>
            </w:r>
          </w:p>
        </w:tc>
        <w:tc>
          <w:tcPr>
            <w:tcW w:w="0" w:type="dxa"/>
            <w:vAlign w:val="bottom"/>
          </w:tcPr>
          <w:p>
            <w:pPr>
              <w:spacing w:after="0"/>
              <w:rPr>
                <w:sz w:val="1"/>
                <w:szCs w:val="1"/>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4"/>
                <w:szCs w:val="14"/>
                <w:color w:val="auto"/>
              </w:rPr>
              <w:t>Corporate debt securities</w:t>
            </w:r>
          </w:p>
        </w:tc>
        <w:tc>
          <w:tcPr>
            <w:tcW w:w="280" w:type="dxa"/>
            <w:vAlign w:val="bottom"/>
          </w:tcPr>
          <w:p>
            <w:pPr>
              <w:spacing w:after="0"/>
              <w:rPr>
                <w:sz w:val="17"/>
                <w:szCs w:val="17"/>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50,098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left="42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(622)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49,478</w:t>
            </w: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428,309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(5,288)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423,021</w:t>
            </w:r>
          </w:p>
        </w:tc>
        <w:tc>
          <w:tcPr>
            <w:tcW w:w="0" w:type="dxa"/>
            <w:vAlign w:val="bottom"/>
          </w:tcPr>
          <w:p>
            <w:pPr>
              <w:spacing w:after="0"/>
              <w:rPr>
                <w:sz w:val="1"/>
                <w:szCs w:val="1"/>
                <w:color w:val="auto"/>
              </w:rPr>
            </w:pPr>
          </w:p>
        </w:tc>
      </w:tr>
      <w:tr>
        <w:trPr>
          <w:trHeight w:val="184"/>
        </w:trPr>
        <w:tc>
          <w:tcPr>
            <w:tcW w:w="52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investments</w:t>
            </w: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536,120</w:t>
            </w:r>
          </w:p>
        </w:tc>
        <w:tc>
          <w:tcPr>
            <w:tcW w:w="1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left="42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(6,215)</w:t>
            </w:r>
          </w:p>
        </w:tc>
        <w:tc>
          <w:tcPr>
            <w:tcW w:w="1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529,907</w:t>
            </w:r>
          </w:p>
        </w:tc>
        <w:tc>
          <w:tcPr>
            <w:tcW w:w="0" w:type="dxa"/>
            <w:vAlign w:val="bottom"/>
          </w:tcPr>
          <w:p>
            <w:pPr>
              <w:spacing w:after="0"/>
              <w:rPr>
                <w:sz w:val="1"/>
                <w:szCs w:val="1"/>
                <w:color w:val="auto"/>
              </w:rPr>
            </w:pPr>
          </w:p>
        </w:tc>
      </w:tr>
      <w:tr>
        <w:trPr>
          <w:trHeight w:val="172"/>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cash, cash equivalents and investments</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840,600</w:t>
            </w: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(6,262)</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834,340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Short-term restricted cash</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300</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4"/>
                <w:szCs w:val="14"/>
                <w:color w:val="auto"/>
              </w:rPr>
              <w:t>Long-term restricted cash</w:t>
            </w: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88"/>
              <w:spacing w:after="0" w:line="145" w:lineRule="exact"/>
              <w:rPr>
                <w:sz w:val="20"/>
                <w:szCs w:val="20"/>
                <w:color w:val="auto"/>
              </w:rPr>
            </w:pPr>
            <w:r>
              <w:rPr>
                <w:rFonts w:ascii="Arial" w:cs="Arial" w:eastAsia="Arial" w:hAnsi="Arial"/>
                <w:sz w:val="14"/>
                <w:szCs w:val="14"/>
                <w:color w:val="auto"/>
              </w:rPr>
              <w:t>2,922</w:t>
            </w: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center"/>
              <w:ind w:left="408"/>
              <w:spacing w:after="0" w:line="14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8"/>
              <w:spacing w:after="0" w:line="14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48"/>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88"/>
              <w:spacing w:after="0" w:line="14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08"/>
              <w:spacing w:after="0" w:line="145" w:lineRule="exact"/>
              <w:rPr>
                <w:sz w:val="20"/>
                <w:szCs w:val="20"/>
                <w:color w:val="auto"/>
              </w:rPr>
            </w:pPr>
            <w:r>
              <w:rPr>
                <w:rFonts w:ascii="Arial" w:cs="Arial" w:eastAsia="Arial" w:hAnsi="Arial"/>
                <w:sz w:val="14"/>
                <w:szCs w:val="14"/>
                <w:color w:val="auto"/>
              </w:rPr>
              <w:t>2,922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unrealized</w:t>
            </w:r>
          </w:p>
        </w:tc>
        <w:tc>
          <w:tcPr>
            <w:tcW w:w="340" w:type="dxa"/>
            <w:vAlign w:val="bottom"/>
          </w:tcPr>
          <w:p>
            <w:pPr>
              <w:spacing w:after="0"/>
              <w:rPr>
                <w:sz w:val="16"/>
                <w:szCs w:val="16"/>
                <w:color w:val="auto"/>
              </w:rPr>
            </w:pPr>
          </w:p>
        </w:tc>
        <w:tc>
          <w:tcPr>
            <w:tcW w:w="1060" w:type="dxa"/>
            <w:vAlign w:val="bottom"/>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9"/>
                <w:szCs w:val="19"/>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9"/>
                <w:szCs w:val="19"/>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7"/>
              </w:rPr>
              <w:t>losses</w:t>
            </w:r>
          </w:p>
        </w:tc>
        <w:tc>
          <w:tcPr>
            <w:tcW w:w="340" w:type="dxa"/>
            <w:vAlign w:val="bottom"/>
          </w:tcPr>
          <w:p>
            <w:pPr>
              <w:spacing w:after="0"/>
              <w:rPr>
                <w:sz w:val="19"/>
                <w:szCs w:val="19"/>
                <w:color w:val="auto"/>
              </w:rPr>
            </w:pPr>
          </w:p>
        </w:tc>
        <w:tc>
          <w:tcPr>
            <w:tcW w:w="1060" w:type="dxa"/>
            <w:vAlign w:val="bottom"/>
          </w:tcPr>
          <w:p>
            <w:pPr>
              <w:jc w:val="center"/>
              <w:ind w:right="3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460,731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460,725</w:t>
            </w:r>
          </w:p>
        </w:tc>
        <w:tc>
          <w:tcPr>
            <w:tcW w:w="0" w:type="dxa"/>
            <w:vAlign w:val="bottom"/>
          </w:tcPr>
          <w:p>
            <w:pPr>
              <w:spacing w:after="0"/>
              <w:rPr>
                <w:sz w:val="1"/>
                <w:szCs w:val="1"/>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187,705</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187,632</w:t>
            </w:r>
          </w:p>
        </w:tc>
        <w:tc>
          <w:tcPr>
            <w:tcW w:w="0" w:type="dxa"/>
            <w:vAlign w:val="bottom"/>
          </w:tcPr>
          <w:p>
            <w:pPr>
              <w:spacing w:after="0"/>
              <w:rPr>
                <w:sz w:val="1"/>
                <w:szCs w:val="1"/>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4"/>
                <w:szCs w:val="14"/>
                <w:color w:val="auto"/>
              </w:rPr>
              <w:t>Corporate debt securities</w:t>
            </w:r>
          </w:p>
        </w:tc>
        <w:tc>
          <w:tcPr>
            <w:tcW w:w="280" w:type="dxa"/>
            <w:vAlign w:val="bottom"/>
          </w:tcPr>
          <w:p>
            <w:pPr>
              <w:spacing w:after="0"/>
              <w:rPr>
                <w:sz w:val="17"/>
                <w:szCs w:val="17"/>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8,964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left="428"/>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388,088</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(1,014)</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387,075</w:t>
            </w:r>
          </w:p>
        </w:tc>
        <w:tc>
          <w:tcPr>
            <w:tcW w:w="0" w:type="dxa"/>
            <w:vAlign w:val="bottom"/>
          </w:tcPr>
          <w:p>
            <w:pPr>
              <w:spacing w:after="0"/>
              <w:rPr>
                <w:sz w:val="1"/>
                <w:szCs w:val="1"/>
                <w:color w:val="auto"/>
              </w:rPr>
            </w:pPr>
          </w:p>
        </w:tc>
      </w:tr>
      <w:tr>
        <w:trPr>
          <w:trHeight w:val="184"/>
        </w:trPr>
        <w:tc>
          <w:tcPr>
            <w:tcW w:w="52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investments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584,757</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(1,092)</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583,675</w:t>
            </w:r>
          </w:p>
        </w:tc>
        <w:tc>
          <w:tcPr>
            <w:tcW w:w="0" w:type="dxa"/>
            <w:vAlign w:val="bottom"/>
          </w:tcPr>
          <w:p>
            <w:pPr>
              <w:spacing w:after="0"/>
              <w:rPr>
                <w:sz w:val="1"/>
                <w:szCs w:val="1"/>
                <w:color w:val="auto"/>
              </w:rPr>
            </w:pPr>
          </w:p>
        </w:tc>
      </w:tr>
      <w:tr>
        <w:trPr>
          <w:trHeight w:val="172"/>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cash, cash equivalents and investments</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1,045,488</w:t>
            </w: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(1,097)</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1,044,400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Short-term restricted cash</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500</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4"/>
                <w:szCs w:val="14"/>
                <w:color w:val="auto"/>
              </w:rPr>
              <w:t>Long-term restricted cash</w:t>
            </w: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88"/>
              <w:spacing w:after="0" w:line="145" w:lineRule="exact"/>
              <w:rPr>
                <w:sz w:val="20"/>
                <w:szCs w:val="20"/>
                <w:color w:val="auto"/>
              </w:rPr>
            </w:pPr>
            <w:r>
              <w:rPr>
                <w:rFonts w:ascii="Arial" w:cs="Arial" w:eastAsia="Arial" w:hAnsi="Arial"/>
                <w:sz w:val="14"/>
                <w:szCs w:val="14"/>
                <w:color w:val="auto"/>
              </w:rPr>
              <w:t>4,592</w:t>
            </w: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center"/>
              <w:ind w:left="408"/>
              <w:spacing w:after="0" w:line="14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8"/>
              <w:spacing w:after="0" w:line="14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48"/>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88"/>
              <w:spacing w:after="0" w:line="14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08"/>
              <w:spacing w:after="0" w:line="145" w:lineRule="exact"/>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following table summarizes the contractual maturities of our cash equivalents and available-for-sale investments, excluding money market funds, as of September 30, 2022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Fair Value</w:t>
            </w:r>
          </w:p>
        </w:tc>
      </w:tr>
      <w:tr>
        <w:trPr>
          <w:trHeight w:val="148"/>
        </w:trPr>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in one year or less</w:t>
            </w:r>
          </w:p>
        </w:tc>
        <w:tc>
          <w:tcPr>
            <w:tcW w:w="3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670,316</w:t>
            </w:r>
          </w:p>
        </w:tc>
      </w:tr>
      <w:tr>
        <w:trPr>
          <w:trHeight w:val="156"/>
        </w:trPr>
        <w:tc>
          <w:tcPr>
            <w:tcW w:w="9380" w:type="dxa"/>
            <w:vAlign w:val="bottom"/>
            <w:tcBorders>
              <w:bottom w:val="single" w:sz="8" w:color="CCEEFF"/>
            </w:tcBorders>
          </w:tcPr>
          <w:p>
            <w:pPr>
              <w:spacing w:after="0" w:line="157" w:lineRule="exact"/>
              <w:rPr>
                <w:sz w:val="20"/>
                <w:szCs w:val="20"/>
                <w:color w:val="auto"/>
              </w:rPr>
            </w:pPr>
            <w:r>
              <w:rPr>
                <w:rFonts w:ascii="Arial" w:cs="Arial" w:eastAsia="Arial" w:hAnsi="Arial"/>
                <w:sz w:val="14"/>
                <w:szCs w:val="14"/>
                <w:color w:val="auto"/>
              </w:rPr>
              <w:t>Due after one year through five years</w:t>
            </w: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100,870</w:t>
            </w:r>
          </w:p>
        </w:tc>
      </w:tr>
      <w:tr>
        <w:trPr>
          <w:trHeight w:val="148"/>
        </w:trPr>
        <w:tc>
          <w:tcPr>
            <w:tcW w:w="9380" w:type="dxa"/>
            <w:vAlign w:val="bottom"/>
            <w:tcBorders>
              <w:bottom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36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771,186</w:t>
            </w:r>
          </w:p>
        </w:tc>
      </w:tr>
      <w:tr>
        <w:trPr>
          <w:trHeight w:val="20"/>
        </w:trPr>
        <w:tc>
          <w:tcPr>
            <w:tcW w:w="9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Actual maturities may differ from contractual maturities because issuers may have the right to call or prepay obligations without call or prepayment penalties.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BALANCE SHEET COMPONENTS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Restricted Cash</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2022 and December 31, 2021, the short-term restricted cash balance was $0.3 million and $0.5 million, respectively, which was comprised of security deposits for the credit cards of employees.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net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and December 31, 2021, our inventory, net, consisted of the following components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6"/>
                <w:szCs w:val="16"/>
                <w:color w:val="auto"/>
              </w:rPr>
            </w:pPr>
          </w:p>
        </w:tc>
        <w:tc>
          <w:tcPr>
            <w:tcW w:w="1740" w:type="dxa"/>
            <w:vAlign w:val="bottom"/>
          </w:tcPr>
          <w:p>
            <w:pPr>
              <w:jc w:val="right"/>
              <w:ind w:right="588"/>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6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2021</w:t>
            </w:r>
          </w:p>
        </w:tc>
      </w:tr>
      <w:tr>
        <w:trPr>
          <w:trHeight w:val="19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Purchased materials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19,973</w:t>
            </w: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7,993</w:t>
            </w:r>
          </w:p>
        </w:tc>
      </w:tr>
      <w:tr>
        <w:trPr>
          <w:trHeight w:val="204"/>
        </w:trPr>
        <w:tc>
          <w:tcPr>
            <w:tcW w:w="6460" w:type="dxa"/>
            <w:vAlign w:val="bottom"/>
          </w:tcPr>
          <w:p>
            <w:pPr>
              <w:spacing w:after="0"/>
              <w:rPr>
                <w:sz w:val="20"/>
                <w:szCs w:val="20"/>
                <w:color w:val="auto"/>
              </w:rPr>
            </w:pPr>
            <w:r>
              <w:rPr>
                <w:rFonts w:ascii="Arial" w:cs="Arial" w:eastAsia="Arial" w:hAnsi="Arial"/>
                <w:sz w:val="14"/>
                <w:szCs w:val="14"/>
                <w:color w:val="auto"/>
              </w:rPr>
              <w:t>Work in process</w:t>
            </w:r>
          </w:p>
        </w:tc>
        <w:tc>
          <w:tcPr>
            <w:tcW w:w="360" w:type="dxa"/>
            <w:vAlign w:val="bottom"/>
          </w:tcPr>
          <w:p>
            <w:pPr>
              <w:spacing w:after="0"/>
              <w:rPr>
                <w:sz w:val="17"/>
                <w:szCs w:val="17"/>
                <w:color w:val="auto"/>
              </w:rPr>
            </w:pPr>
          </w:p>
        </w:tc>
        <w:tc>
          <w:tcPr>
            <w:tcW w:w="1800" w:type="dxa"/>
            <w:vAlign w:val="bottom"/>
          </w:tcPr>
          <w:p>
            <w:pPr>
              <w:jc w:val="right"/>
              <w:ind w:right="428"/>
              <w:spacing w:after="0"/>
              <w:rPr>
                <w:sz w:val="20"/>
                <w:szCs w:val="20"/>
                <w:color w:val="auto"/>
              </w:rPr>
            </w:pPr>
            <w:r>
              <w:rPr>
                <w:rFonts w:ascii="Arial" w:cs="Arial" w:eastAsia="Arial" w:hAnsi="Arial"/>
                <w:sz w:val="14"/>
                <w:szCs w:val="14"/>
                <w:color w:val="auto"/>
              </w:rPr>
              <w:t>13,458</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jc w:val="right"/>
              <w:ind w:right="428"/>
              <w:spacing w:after="0"/>
              <w:rPr>
                <w:sz w:val="20"/>
                <w:szCs w:val="20"/>
                <w:color w:val="auto"/>
              </w:rPr>
            </w:pPr>
            <w:r>
              <w:rPr>
                <w:rFonts w:ascii="Arial" w:cs="Arial" w:eastAsia="Arial" w:hAnsi="Arial"/>
                <w:sz w:val="14"/>
                <w:szCs w:val="14"/>
                <w:color w:val="auto"/>
              </w:rPr>
              <w:t>8,611</w:t>
            </w:r>
          </w:p>
        </w:tc>
      </w:tr>
      <w:tr>
        <w:trPr>
          <w:trHeight w:val="204"/>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Finished goods</w:t>
            </w:r>
          </w:p>
        </w:tc>
        <w:tc>
          <w:tcPr>
            <w:tcW w:w="36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10,064</w:t>
            </w:r>
          </w:p>
        </w:tc>
        <w:tc>
          <w:tcPr>
            <w:tcW w:w="4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7,995</w:t>
            </w:r>
          </w:p>
        </w:tc>
      </w:tr>
      <w:tr>
        <w:trPr>
          <w:trHeight w:val="184"/>
        </w:trPr>
        <w:tc>
          <w:tcPr>
            <w:tcW w:w="6460" w:type="dxa"/>
            <w:vAlign w:val="bottom"/>
          </w:tcPr>
          <w:p>
            <w:pPr>
              <w:ind w:left="480"/>
              <w:spacing w:after="0"/>
              <w:rPr>
                <w:sz w:val="20"/>
                <w:szCs w:val="20"/>
                <w:color w:val="auto"/>
              </w:rPr>
            </w:pPr>
            <w:r>
              <w:rPr>
                <w:rFonts w:ascii="Arial" w:cs="Arial" w:eastAsia="Arial" w:hAnsi="Arial"/>
                <w:sz w:val="14"/>
                <w:szCs w:val="14"/>
                <w:color w:val="auto"/>
              </w:rPr>
              <w:t>Inventory</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43,495</w:t>
            </w:r>
          </w:p>
        </w:tc>
        <w:tc>
          <w:tcPr>
            <w:tcW w:w="480" w:type="dxa"/>
            <w:vAlign w:val="bottom"/>
          </w:tcPr>
          <w:p>
            <w:pPr>
              <w:spacing w:after="0"/>
              <w:rPr>
                <w:sz w:val="16"/>
                <w:szCs w:val="16"/>
                <w:color w:val="auto"/>
              </w:rPr>
            </w:pP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24,599</w:t>
            </w: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Restricted Cash</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beginning on May 1, 2019, the amount of the letter of credit was reduced by $0.5 million each year thereafter on May 1. As such, $2.5 million and $3.0 million was recorded in long-term restricted cash related to the O’Brien Lease in the Condensed Consolidated Balance Sheets as of September 30, 2022 and December 31, 2021, respectively. In connection with the acquisition of Omniome in September 2021, we acquired $1.6 million of long-term restricted cash related to a letter of credit established for a facility lease. Long-term restricted cash related to this facility was $0 and $1.6 million in the Condensed Consolidated Balance Sheets as of September 30, 2022 and December 31, 2021, respectively. At September 30, 2022, we had an additional $0.4 million in long-term restricted cash primarily related to a letter of credit established for a facility lease.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 and Goodwill</w:t>
      </w:r>
    </w:p>
    <w:p>
      <w:pPr>
        <w:spacing w:after="0" w:line="81"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Intangible assets include acquired in-process research and development (IPR&amp;D) of $400 million as a result of the Omniome acquisition in September 2021.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 Upon completion of the development, we will begin to amortize the asset over the life of the product, or record an impairment charge if the asset is determined to be impaired.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IPR&amp;D, definite-lived intangible assets from business acquisitions included the following (in thousands, except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As of September 30, 2022</w:t>
            </w:r>
          </w:p>
        </w:tc>
        <w:tc>
          <w:tcPr>
            <w:tcW w:w="9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center"/>
              <w:ind w:left="8"/>
              <w:spacing w:after="0"/>
              <w:rPr>
                <w:sz w:val="20"/>
                <w:szCs w:val="20"/>
                <w:color w:val="auto"/>
              </w:rPr>
            </w:pPr>
            <w:r>
              <w:rPr>
                <w:rFonts w:ascii="Arial" w:cs="Arial" w:eastAsia="Arial" w:hAnsi="Arial"/>
                <w:sz w:val="14"/>
                <w:szCs w:val="14"/>
                <w:b w:val="1"/>
                <w:bCs w:val="1"/>
                <w:color w:val="auto"/>
                <w:w w:val="92"/>
              </w:rPr>
              <w:t>As of December 31, 2021</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128"/>
              <w:spacing w:after="0" w:line="124" w:lineRule="exact"/>
              <w:rPr>
                <w:sz w:val="20"/>
                <w:szCs w:val="20"/>
                <w:color w:val="auto"/>
              </w:rPr>
            </w:pPr>
            <w:r>
              <w:rPr>
                <w:rFonts w:ascii="Arial" w:cs="Arial" w:eastAsia="Arial" w:hAnsi="Arial"/>
                <w:sz w:val="14"/>
                <w:szCs w:val="14"/>
                <w:b w:val="1"/>
                <w:bCs w:val="1"/>
                <w:color w:val="auto"/>
                <w:w w:val="97"/>
              </w:rPr>
              <w:t>Net</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148"/>
              <w:spacing w:after="0" w:line="124"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420" w:type="dxa"/>
            <w:vAlign w:val="bottom"/>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3"/>
                <w:szCs w:val="13"/>
                <w:color w:val="auto"/>
              </w:rPr>
            </w:pPr>
          </w:p>
        </w:tc>
        <w:tc>
          <w:tcPr>
            <w:tcW w:w="7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400" w:type="dxa"/>
            <w:vAlign w:val="bottom"/>
            <w:gridSpan w:val="2"/>
          </w:tcPr>
          <w:p>
            <w:pPr>
              <w:jc w:val="center"/>
              <w:ind w:right="700"/>
              <w:spacing w:after="0" w:line="157"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7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920" w:type="dxa"/>
            <w:vAlign w:val="bottom"/>
          </w:tcPr>
          <w:p>
            <w:pPr>
              <w:jc w:val="center"/>
              <w:ind w:right="148"/>
              <w:spacing w:after="0" w:line="15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1"/>
        </w:trPr>
        <w:tc>
          <w:tcPr>
            <w:tcW w:w="2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Developed technology</w:t>
            </w:r>
          </w:p>
        </w:tc>
        <w:tc>
          <w:tcPr>
            <w:tcW w:w="9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15</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w:t>
            </w:r>
          </w:p>
        </w:tc>
        <w:tc>
          <w:tcPr>
            <w:tcW w:w="6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(856)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10,144</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68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(306)</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10,694</w:t>
            </w:r>
          </w:p>
        </w:tc>
        <w:tc>
          <w:tcPr>
            <w:tcW w:w="0" w:type="dxa"/>
            <w:vAlign w:val="bottom"/>
          </w:tcPr>
          <w:p>
            <w:pPr>
              <w:spacing w:after="0"/>
              <w:rPr>
                <w:sz w:val="1"/>
                <w:szCs w:val="1"/>
                <w:color w:val="auto"/>
              </w:rPr>
            </w:pPr>
          </w:p>
        </w:tc>
      </w:tr>
      <w:tr>
        <w:trPr>
          <w:trHeight w:val="204"/>
        </w:trPr>
        <w:tc>
          <w:tcPr>
            <w:tcW w:w="2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Customer relationships</w:t>
            </w:r>
          </w:p>
        </w:tc>
        <w:tc>
          <w:tcPr>
            <w:tcW w:w="940" w:type="dxa"/>
            <w:vAlign w:val="bottom"/>
            <w:tcBorders>
              <w:bottom w:val="single" w:sz="8" w:color="CCEEFF"/>
            </w:tcBorders>
          </w:tcPr>
          <w:p>
            <w:pPr>
              <w:jc w:val="right"/>
              <w:ind w:right="368"/>
              <w:spacing w:after="0"/>
              <w:rPr>
                <w:sz w:val="20"/>
                <w:szCs w:val="20"/>
                <w:color w:val="auto"/>
              </w:rPr>
            </w:pPr>
            <w:r>
              <w:rPr>
                <w:rFonts w:ascii="Arial" w:cs="Arial" w:eastAsia="Arial" w:hAnsi="Arial"/>
                <w:sz w:val="14"/>
                <w:szCs w:val="14"/>
                <w:color w:val="auto"/>
              </w:rPr>
              <w:t>2</w:t>
            </w:r>
          </w:p>
        </w:tc>
        <w:tc>
          <w:tcPr>
            <w:tcW w:w="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150</w:t>
            </w: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360</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(75)</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72"/>
        </w:trPr>
        <w:tc>
          <w:tcPr>
            <w:tcW w:w="20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11,360</w:t>
            </w:r>
          </w:p>
        </w:tc>
        <w:tc>
          <w:tcPr>
            <w:tcW w:w="6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(1,066)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10,294</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11,360</w:t>
            </w:r>
          </w:p>
        </w:tc>
        <w:tc>
          <w:tcPr>
            <w:tcW w:w="68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(381)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10,979</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future amortization expense of acquisition-related intangible assets with definite lives is estimated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Remainder of 2022</w:t>
            </w:r>
          </w:p>
        </w:tc>
        <w:tc>
          <w:tcPr>
            <w:tcW w:w="70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56"/>
        </w:trPr>
        <w:tc>
          <w:tcPr>
            <w:tcW w:w="3340" w:type="dxa"/>
            <w:vAlign w:val="bottom"/>
          </w:tcPr>
          <w:p>
            <w:pPr>
              <w:spacing w:after="0" w:line="157" w:lineRule="exact"/>
              <w:rPr>
                <w:sz w:val="20"/>
                <w:szCs w:val="20"/>
                <w:color w:val="auto"/>
              </w:rPr>
            </w:pPr>
            <w:r>
              <w:rPr>
                <w:rFonts w:ascii="Arial" w:cs="Arial" w:eastAsia="Arial" w:hAnsi="Arial"/>
                <w:sz w:val="14"/>
                <w:szCs w:val="14"/>
                <w:color w:val="auto"/>
              </w:rPr>
              <w:t>2023</w:t>
            </w:r>
          </w:p>
        </w:tc>
        <w:tc>
          <w:tcPr>
            <w:tcW w:w="6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2024</w:t>
            </w:r>
          </w:p>
        </w:tc>
        <w:tc>
          <w:tcPr>
            <w:tcW w:w="6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56"/>
        </w:trPr>
        <w:tc>
          <w:tcPr>
            <w:tcW w:w="3340" w:type="dxa"/>
            <w:vAlign w:val="bottom"/>
          </w:tcPr>
          <w:p>
            <w:pPr>
              <w:spacing w:after="0" w:line="157" w:lineRule="exact"/>
              <w:rPr>
                <w:sz w:val="20"/>
                <w:szCs w:val="20"/>
                <w:color w:val="auto"/>
              </w:rPr>
            </w:pPr>
            <w:r>
              <w:rPr>
                <w:rFonts w:ascii="Arial" w:cs="Arial" w:eastAsia="Arial" w:hAnsi="Arial"/>
                <w:sz w:val="14"/>
                <w:szCs w:val="14"/>
                <w:color w:val="auto"/>
              </w:rPr>
              <w:t>2025</w:t>
            </w:r>
          </w:p>
        </w:tc>
        <w:tc>
          <w:tcPr>
            <w:tcW w:w="6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2026</w:t>
            </w:r>
          </w:p>
        </w:tc>
        <w:tc>
          <w:tcPr>
            <w:tcW w:w="6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CCEEFF"/>
            </w:tcBorders>
          </w:tcPr>
          <w:p>
            <w:pPr>
              <w:spacing w:after="0" w:line="157" w:lineRule="exact"/>
              <w:rPr>
                <w:sz w:val="20"/>
                <w:szCs w:val="20"/>
                <w:color w:val="auto"/>
              </w:rPr>
            </w:pPr>
            <w:r>
              <w:rPr>
                <w:rFonts w:ascii="Arial" w:cs="Arial" w:eastAsia="Arial" w:hAnsi="Arial"/>
                <w:sz w:val="14"/>
                <w:szCs w:val="14"/>
                <w:color w:val="auto"/>
              </w:rPr>
              <w:t>2027 and thereafter</w:t>
            </w:r>
          </w:p>
        </w:tc>
        <w:tc>
          <w:tcPr>
            <w:tcW w:w="67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48"/>
        </w:trPr>
        <w:tc>
          <w:tcPr>
            <w:tcW w:w="3340" w:type="dxa"/>
            <w:vAlign w:val="bottom"/>
            <w:tcBorders>
              <w:bottom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67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10,294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720" w:type="dxa"/>
            <w:vAlign w:val="bottom"/>
            <w:vMerge w:val="restart"/>
          </w:tcPr>
          <w:p>
            <w:pPr>
              <w:jc w:val="right"/>
              <w:ind w:right="4284"/>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tcPr>
          <w:p>
            <w:pPr>
              <w:spacing w:after="0"/>
              <w:rPr>
                <w:sz w:val="13"/>
                <w:szCs w:val="13"/>
                <w:color w:val="auto"/>
              </w:rPr>
            </w:pPr>
          </w:p>
        </w:tc>
        <w:tc>
          <w:tcPr>
            <w:tcW w:w="67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334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review definite-lived intangible assets for impairment when indication of potential impairment exists, such as a significant reduction in cash flows associated with the assets.</w:t>
      </w:r>
    </w:p>
    <w:p>
      <w:pPr>
        <w:spacing w:after="0" w:line="4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Goodwill is reviewed for impairment at least annually during the second quarter, or more frequently if an event occurs indicating the potential for impairment. We performed our annual assessment for goodwill impairment in the second quarter of 2022, noting no impairment.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81"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 xml:space="preserve">As of September 30, 2022, we had a total of $32.5 million of deferred revenue, $30.7 million of which was recorded as deferred revenue, current, and primarily relates to future performance obligations under the Amended and Restated Agreement with Invitae as described in </w:t>
      </w:r>
      <w:r>
        <w:rPr>
          <w:rFonts w:ascii="Arial" w:cs="Arial" w:eastAsia="Arial" w:hAnsi="Arial"/>
          <w:sz w:val="15"/>
          <w:szCs w:val="15"/>
          <w:i w:val="1"/>
          <w:iCs w:val="1"/>
          <w:u w:val="single" w:color="auto"/>
          <w:color w:val="0000FF"/>
        </w:rPr>
        <w:t>Note 3. Invitae Collaboration</w:t>
      </w:r>
      <w:r>
        <w:rPr>
          <w:rFonts w:ascii="Arial" w:cs="Arial" w:eastAsia="Arial" w:hAnsi="Arial"/>
          <w:sz w:val="15"/>
          <w:szCs w:val="15"/>
          <w:color w:val="auto"/>
        </w:rPr>
        <w:t xml:space="preserve"> in Part I, Item 1 of this Quarterly Report on Form 10-Q. The deferred revenue, non-current balance of $1.8 million primarily relates to deferred service contract revenues and is scheduled to be recognized in the next 5 years. Revenue recorded in the nine months ended September 30, 2022 includes $11.5 million of previously deferred revenue that was included in deferred revenue as of December 31, 2021. Contract assets as of September 30, 2022 and December 31, 2021 were not material.</w:t>
      </w:r>
    </w:p>
    <w:p>
      <w:pPr>
        <w:spacing w:after="0" w:line="53" w:lineRule="exact"/>
        <w:rPr>
          <w:sz w:val="20"/>
          <w:szCs w:val="20"/>
          <w:color w:val="auto"/>
        </w:rPr>
      </w:pPr>
    </w:p>
    <w:p>
      <w:pPr>
        <w:jc w:val="both"/>
        <w:ind w:right="20"/>
        <w:spacing w:after="0" w:line="334" w:lineRule="auto"/>
        <w:rPr>
          <w:sz w:val="20"/>
          <w:szCs w:val="20"/>
          <w:color w:val="auto"/>
        </w:rPr>
      </w:pPr>
      <w:r>
        <w:rPr>
          <w:rFonts w:ascii="Arial" w:cs="Arial" w:eastAsia="Arial" w:hAnsi="Arial"/>
          <w:sz w:val="14"/>
          <w:szCs w:val="14"/>
          <w:color w:val="auto"/>
        </w:rPr>
        <w:t>As of September 30, 2022, we had a total of $0.6 million of deferred commissions included in prepaid expenses and other current assets which is recognized as sales, general and administrative expense as the related revenue is recognized. Costs to obtain a contract are expensed as incurred if the amortization period would have been a year or less.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Warranties</w:t>
      </w:r>
    </w:p>
    <w:p>
      <w:pPr>
        <w:spacing w:after="0" w:line="8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Warranty expense is recorded as a component of cost of product revenue. There were no material changes in estimates for the periods presented below.</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reserve for product warranties were as follows for the periods indicated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148"/>
        </w:trPr>
        <w:tc>
          <w:tcPr>
            <w:tcW w:w="38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b w:val="1"/>
                <w:bCs w:val="1"/>
                <w:color w:val="auto"/>
              </w:rPr>
              <w:t>2021</w:t>
            </w:r>
          </w:p>
        </w:tc>
      </w:tr>
      <w:tr>
        <w:trPr>
          <w:trHeight w:val="148"/>
        </w:trPr>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period</w:t>
            </w:r>
          </w:p>
        </w:tc>
        <w:tc>
          <w:tcPr>
            <w:tcW w:w="100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w w:val="91"/>
              </w:rPr>
              <w:t>1,609</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ind w:right="228"/>
              <w:spacing w:after="0" w:line="149" w:lineRule="exact"/>
              <w:rPr>
                <w:sz w:val="20"/>
                <w:szCs w:val="20"/>
                <w:color w:val="auto"/>
              </w:rPr>
            </w:pPr>
            <w:r>
              <w:rPr>
                <w:rFonts w:ascii="Arial" w:cs="Arial" w:eastAsia="Arial" w:hAnsi="Arial"/>
                <w:sz w:val="14"/>
                <w:szCs w:val="14"/>
                <w:color w:val="auto"/>
                <w:w w:val="94"/>
              </w:rPr>
              <w:t>271</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594</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161</w:t>
            </w:r>
          </w:p>
        </w:tc>
      </w:tr>
      <w:tr>
        <w:trPr>
          <w:trHeight w:val="156"/>
        </w:trPr>
        <w:tc>
          <w:tcPr>
            <w:tcW w:w="3860" w:type="dxa"/>
            <w:vAlign w:val="bottom"/>
          </w:tcPr>
          <w:p>
            <w:pPr>
              <w:spacing w:after="0" w:line="157" w:lineRule="exact"/>
              <w:rPr>
                <w:sz w:val="20"/>
                <w:szCs w:val="20"/>
                <w:color w:val="auto"/>
              </w:rPr>
            </w:pPr>
            <w:r>
              <w:rPr>
                <w:rFonts w:ascii="Arial" w:cs="Arial" w:eastAsia="Arial" w:hAnsi="Arial"/>
                <w:sz w:val="14"/>
                <w:szCs w:val="14"/>
                <w:color w:val="auto"/>
              </w:rPr>
              <w:t>Additions charged to cost of product revenue</w:t>
            </w:r>
          </w:p>
        </w:tc>
        <w:tc>
          <w:tcPr>
            <w:tcW w:w="1000" w:type="dxa"/>
            <w:vAlign w:val="bottom"/>
          </w:tcPr>
          <w:p>
            <w:pPr>
              <w:spacing w:after="0"/>
              <w:rPr>
                <w:sz w:val="13"/>
                <w:szCs w:val="13"/>
                <w:color w:val="auto"/>
              </w:rPr>
            </w:pPr>
          </w:p>
        </w:tc>
        <w:tc>
          <w:tcPr>
            <w:tcW w:w="72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779</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jc w:val="center"/>
              <w:ind w:right="228"/>
              <w:spacing w:after="0" w:line="157" w:lineRule="exact"/>
              <w:rPr>
                <w:sz w:val="20"/>
                <w:szCs w:val="20"/>
                <w:color w:val="auto"/>
              </w:rPr>
            </w:pPr>
            <w:r>
              <w:rPr>
                <w:rFonts w:ascii="Arial" w:cs="Arial" w:eastAsia="Arial" w:hAnsi="Arial"/>
                <w:sz w:val="14"/>
                <w:szCs w:val="14"/>
                <w:color w:val="auto"/>
                <w:w w:val="94"/>
              </w:rPr>
              <w:t>945</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2,644</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right"/>
              <w:ind w:right="328"/>
              <w:spacing w:after="0" w:line="157" w:lineRule="exact"/>
              <w:rPr>
                <w:sz w:val="20"/>
                <w:szCs w:val="20"/>
                <w:color w:val="auto"/>
              </w:rPr>
            </w:pPr>
            <w:r>
              <w:rPr>
                <w:rFonts w:ascii="Arial" w:cs="Arial" w:eastAsia="Arial" w:hAnsi="Arial"/>
                <w:sz w:val="14"/>
                <w:szCs w:val="14"/>
                <w:color w:val="auto"/>
              </w:rPr>
              <w:t>1,560</w:t>
            </w:r>
          </w:p>
        </w:tc>
      </w:tr>
      <w:tr>
        <w:trPr>
          <w:trHeight w:val="156"/>
        </w:trPr>
        <w:tc>
          <w:tcPr>
            <w:tcW w:w="38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Repairs and replacements</w:t>
            </w:r>
          </w:p>
        </w:tc>
        <w:tc>
          <w:tcPr>
            <w:tcW w:w="10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(622)</w:t>
            </w:r>
          </w:p>
        </w:tc>
        <w:tc>
          <w:tcPr>
            <w:tcW w:w="2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center"/>
              <w:ind w:right="248"/>
              <w:spacing w:after="0" w:line="157" w:lineRule="exact"/>
              <w:rPr>
                <w:sz w:val="20"/>
                <w:szCs w:val="20"/>
                <w:color w:val="auto"/>
              </w:rPr>
            </w:pPr>
            <w:r>
              <w:rPr>
                <w:rFonts w:ascii="Arial" w:cs="Arial" w:eastAsia="Arial" w:hAnsi="Arial"/>
                <w:sz w:val="14"/>
                <w:szCs w:val="14"/>
                <w:color w:val="auto"/>
                <w:w w:val="97"/>
              </w:rPr>
              <w:t>(683)</w:t>
            </w:r>
          </w:p>
        </w:tc>
        <w:tc>
          <w:tcPr>
            <w:tcW w:w="2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(1,472)</w:t>
            </w:r>
          </w:p>
        </w:tc>
        <w:tc>
          <w:tcPr>
            <w:tcW w:w="1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(1,188)</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Balance at end of period</w:t>
            </w:r>
          </w:p>
        </w:tc>
        <w:tc>
          <w:tcPr>
            <w:tcW w:w="1000" w:type="dxa"/>
            <w:vAlign w:val="bottom"/>
            <w:tcBorders>
              <w:bottom w:val="single" w:sz="8" w:color="auto"/>
            </w:tcBorders>
          </w:tcPr>
          <w:p>
            <w:pPr>
              <w:jc w:val="right"/>
              <w:ind w:right="708"/>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w w:val="91"/>
              </w:rPr>
              <w:t>1,766</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748"/>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right="228"/>
              <w:spacing w:after="0" w:line="149" w:lineRule="exact"/>
              <w:rPr>
                <w:sz w:val="20"/>
                <w:szCs w:val="20"/>
                <w:color w:val="auto"/>
              </w:rPr>
            </w:pPr>
            <w:r>
              <w:rPr>
                <w:rFonts w:ascii="Arial" w:cs="Arial" w:eastAsia="Arial" w:hAnsi="Arial"/>
                <w:sz w:val="14"/>
                <w:szCs w:val="14"/>
                <w:color w:val="auto"/>
                <w:w w:val="94"/>
              </w:rPr>
              <w:t>533</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1,766</w:t>
            </w:r>
          </w:p>
        </w:tc>
        <w:tc>
          <w:tcPr>
            <w:tcW w:w="180" w:type="dxa"/>
            <w:vAlign w:val="bottom"/>
          </w:tcPr>
          <w:p>
            <w:pPr>
              <w:spacing w:after="0"/>
              <w:rPr>
                <w:sz w:val="12"/>
                <w:szCs w:val="12"/>
                <w:color w:val="auto"/>
              </w:rPr>
            </w:pPr>
          </w:p>
        </w:tc>
        <w:tc>
          <w:tcPr>
            <w:tcW w:w="46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533</w:t>
            </w:r>
          </w:p>
        </w:tc>
      </w:tr>
      <w:tr>
        <w:trPr>
          <w:trHeight w:val="20"/>
        </w:trPr>
        <w:tc>
          <w:tcPr>
            <w:tcW w:w="3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loans</w:t>
      </w:r>
    </w:p>
    <w:p>
      <w:pPr>
        <w:spacing w:after="0" w:line="93" w:lineRule="exact"/>
        <w:rPr>
          <w:sz w:val="20"/>
          <w:szCs w:val="20"/>
          <w:color w:val="auto"/>
        </w:rPr>
      </w:pPr>
    </w:p>
    <w:p>
      <w:pPr>
        <w:jc w:val="both"/>
        <w:ind w:right="20"/>
        <w:spacing w:after="0" w:line="269" w:lineRule="auto"/>
        <w:rPr>
          <w:sz w:val="20"/>
          <w:szCs w:val="20"/>
          <w:color w:val="auto"/>
        </w:rPr>
      </w:pPr>
      <w:r>
        <w:rPr>
          <w:rFonts w:ascii="Arial" w:cs="Arial" w:eastAsia="Arial" w:hAnsi="Arial"/>
          <w:sz w:val="14"/>
          <w:szCs w:val="14"/>
          <w:color w:val="auto"/>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 not less than all, of the borrowed amounts at any time</w:t>
      </w:r>
    </w:p>
    <w:p>
      <w:pPr>
        <w:spacing w:after="0" w:line="2" w:lineRule="exact"/>
        <w:rPr>
          <w:sz w:val="20"/>
          <w:szCs w:val="20"/>
          <w:color w:val="auto"/>
        </w:rPr>
      </w:pPr>
    </w:p>
    <w:p>
      <w:pPr>
        <w:jc w:val="both"/>
        <w:ind w:right="20"/>
        <w:spacing w:after="0" w:line="202" w:lineRule="auto"/>
        <w:rPr>
          <w:sz w:val="20"/>
          <w:szCs w:val="20"/>
          <w:color w:val="auto"/>
        </w:rPr>
      </w:pPr>
      <w:r>
        <w:rPr>
          <w:rFonts w:ascii="Arial" w:cs="Arial" w:eastAsia="Arial" w:hAnsi="Arial"/>
          <w:sz w:val="16"/>
          <w:szCs w:val="16"/>
          <w:color w:val="auto"/>
        </w:rPr>
        <w:t>after the 24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and before the 43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month after the commencement date, is 4% of the outstanding loan balance. Payments are made in equal monthly installments including principal and interest.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future principal payments on the term loans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80" w:type="dxa"/>
            <w:vAlign w:val="bottom"/>
            <w:shd w:val="clear" w:color="auto" w:fill="CCEEFF"/>
          </w:tcPr>
          <w:p>
            <w:pPr>
              <w:spacing w:after="0"/>
              <w:rPr>
                <w:sz w:val="20"/>
                <w:szCs w:val="20"/>
                <w:color w:val="auto"/>
              </w:rPr>
            </w:pPr>
            <w:r>
              <w:rPr>
                <w:rFonts w:ascii="Arial" w:cs="Arial" w:eastAsia="Arial" w:hAnsi="Arial"/>
                <w:sz w:val="14"/>
                <w:szCs w:val="14"/>
                <w:color w:val="auto"/>
              </w:rPr>
              <w:t>Remainder of 2022</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428</w:t>
            </w:r>
          </w:p>
        </w:tc>
      </w:tr>
      <w:tr>
        <w:trPr>
          <w:trHeight w:val="156"/>
        </w:trPr>
        <w:tc>
          <w:tcPr>
            <w:tcW w:w="9380" w:type="dxa"/>
            <w:vAlign w:val="bottom"/>
          </w:tcPr>
          <w:p>
            <w:pPr>
              <w:spacing w:after="0" w:line="157" w:lineRule="exact"/>
              <w:rPr>
                <w:sz w:val="20"/>
                <w:szCs w:val="20"/>
                <w:color w:val="auto"/>
              </w:rPr>
            </w:pPr>
            <w:r>
              <w:rPr>
                <w:rFonts w:ascii="Arial" w:cs="Arial" w:eastAsia="Arial" w:hAnsi="Arial"/>
                <w:sz w:val="14"/>
                <w:szCs w:val="14"/>
                <w:color w:val="auto"/>
              </w:rPr>
              <w:t>2023</w:t>
            </w:r>
          </w:p>
        </w:tc>
        <w:tc>
          <w:tcPr>
            <w:tcW w:w="580" w:type="dxa"/>
            <w:vAlign w:val="bottom"/>
          </w:tcPr>
          <w:p>
            <w:pPr>
              <w:spacing w:after="0"/>
              <w:rPr>
                <w:sz w:val="13"/>
                <w:szCs w:val="13"/>
                <w:color w:val="auto"/>
              </w:rPr>
            </w:pPr>
          </w:p>
        </w:tc>
        <w:tc>
          <w:tcPr>
            <w:tcW w:w="130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1,842</w:t>
            </w:r>
          </w:p>
        </w:tc>
      </w:tr>
      <w:tr>
        <w:trPr>
          <w:trHeight w:val="156"/>
        </w:trPr>
        <w:tc>
          <w:tcPr>
            <w:tcW w:w="93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2024</w:t>
            </w:r>
          </w:p>
        </w:tc>
        <w:tc>
          <w:tcPr>
            <w:tcW w:w="5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28"/>
              <w:spacing w:after="0" w:line="157" w:lineRule="exact"/>
              <w:rPr>
                <w:sz w:val="20"/>
                <w:szCs w:val="20"/>
                <w:color w:val="auto"/>
              </w:rPr>
            </w:pPr>
            <w:r>
              <w:rPr>
                <w:rFonts w:ascii="Arial" w:cs="Arial" w:eastAsia="Arial" w:hAnsi="Arial"/>
                <w:sz w:val="14"/>
                <w:szCs w:val="14"/>
                <w:color w:val="auto"/>
              </w:rPr>
              <w:t>490</w:t>
            </w:r>
          </w:p>
        </w:tc>
      </w:tr>
      <w:tr>
        <w:trPr>
          <w:trHeight w:val="148"/>
        </w:trPr>
        <w:tc>
          <w:tcPr>
            <w:tcW w:w="9380" w:type="dxa"/>
            <w:vAlign w:val="bottom"/>
          </w:tcPr>
          <w:p>
            <w:pPr>
              <w:ind w:left="280"/>
              <w:spacing w:after="0" w:line="149" w:lineRule="exact"/>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2,760</w:t>
            </w:r>
          </w:p>
        </w:tc>
      </w:tr>
      <w:tr>
        <w:trPr>
          <w:trHeight w:val="20"/>
        </w:trPr>
        <w:tc>
          <w:tcPr>
            <w:tcW w:w="9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CONVERTIBLE SENIOR NOTES</w:t>
      </w:r>
    </w:p>
    <w:p>
      <w:pPr>
        <w:spacing w:after="0" w:line="9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On February 9, 2021, we entered into an investment agreement (the “Investment Agreement”) with SB Northstar LP (the “Purchaser”), a subsidiary of SoftBank Group Corp., relating to the issuance and sale to the Purchaser of $900 million in aggregate principal amount of our 1.50% Convertible Senior Notes (the “Notes”). The Notes were issued on February 16, 2021.</w:t>
      </w:r>
    </w:p>
    <w:p>
      <w:pPr>
        <w:spacing w:after="0" w:line="5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Notes are governed by an indenture (the “Indenture”) between the Company and U.S. Bank National Association, as trustee. The Notes bear interest at a rate of 1.50% per annum. Interest on the Notes is payable semi-annually in arrears on February 15 and August 15 and commenced on August 15, 2021. The Notes will mature on February 15, 2028, subject to earlier conversion, redemption or repurchase.</w:t>
      </w:r>
    </w:p>
    <w:p>
      <w:pPr>
        <w:spacing w:after="0" w:line="5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48"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On or after February 20, 2026, the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spacing w:after="0" w:line="6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With certain exceptions, upon a change of control of the Company or the failure of our common stock to be listed on certain stock exchanges (a “Fundamental Change”), the holders of the Notes may require that we repurchase all or part of the principal amount of the Notes at a purchase price of par plus unpaid interest up to, but excluding, the maturity date.</w:t>
      </w:r>
    </w:p>
    <w:p>
      <w:pPr>
        <w:spacing w:after="0" w:line="5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43"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our failure to comply with its obligations is not cured or waived prior to such 361st day), the Notes shall be subject to acceleration as provided for in the Indenture.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accounted for as an embedded derivative because it is considered to be indexed to our common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w:t>
      </w:r>
    </w:p>
    <w:p>
      <w:pPr>
        <w:spacing w:after="0" w:line="5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The requirement to repurchase the Notes including unpaid interest to the maturity date in the event of a Fundamental Change is considered a put option for certain periods requiring bifurcation under ASC 815 –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However, given the low probability of a Fundamental Change occurring during the applicable periods, the value of the embedded derivative is immaterial.</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43"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color w:val="auto"/>
        </w:rPr>
        <w:t>We incurred issuance costs related to the Notes of approximately $4.5 million, which were recorded as debt issuance cost and are presented as a reduction to the Notes on our Consolidated Balance Sheets and are amortized to interest expense using the effective interest method over the term of the Notes, resulting in an effective interest rate of 1.6%.</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As of September 30, 2022 and December 31, 2021, the net carrying amount of the liability for the Notes is recorded as convertible senior notes, net, in the Condensed Consolidated Balance Sheets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6"/>
                <w:szCs w:val="16"/>
                <w:color w:val="auto"/>
              </w:rPr>
            </w:pPr>
          </w:p>
        </w:tc>
        <w:tc>
          <w:tcPr>
            <w:tcW w:w="1880" w:type="dxa"/>
            <w:vAlign w:val="bottom"/>
          </w:tcPr>
          <w:p>
            <w:pPr>
              <w:jc w:val="right"/>
              <w:ind w:right="748"/>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59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2021</w:t>
            </w:r>
          </w:p>
        </w:tc>
      </w:tr>
      <w:tr>
        <w:trPr>
          <w:trHeight w:val="19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Principal amount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900,000</w:t>
            </w: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900,000</w:t>
            </w:r>
          </w:p>
        </w:tc>
      </w:tr>
      <w:tr>
        <w:trPr>
          <w:trHeight w:val="204"/>
        </w:trPr>
        <w:tc>
          <w:tcPr>
            <w:tcW w:w="5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Unamortized debt issuance costs</w:t>
            </w:r>
          </w:p>
        </w:tc>
        <w:tc>
          <w:tcPr>
            <w:tcW w:w="5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(3,471)</w:t>
            </w:r>
          </w:p>
        </w:tc>
        <w:tc>
          <w:tcPr>
            <w:tcW w:w="3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(3,933)</w:t>
            </w:r>
          </w:p>
        </w:tc>
      </w:tr>
      <w:tr>
        <w:trPr>
          <w:trHeight w:val="172"/>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carrying amount</w:t>
            </w: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896,529</w:t>
            </w:r>
          </w:p>
        </w:tc>
        <w:tc>
          <w:tcPr>
            <w:tcW w:w="3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896,067</w:t>
            </w:r>
          </w:p>
        </w:tc>
      </w:tr>
      <w:tr>
        <w:trPr>
          <w:trHeight w:val="20"/>
        </w:trPr>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2022, interest expense for the Notes was as follows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 September 30,</w:t>
            </w:r>
          </w:p>
        </w:tc>
      </w:tr>
      <w:tr>
        <w:trPr>
          <w:trHeight w:val="189"/>
        </w:trPr>
        <w:tc>
          <w:tcPr>
            <w:tcW w:w="3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87"/>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Contractual interest expense</w:t>
            </w:r>
          </w:p>
        </w:tc>
        <w:tc>
          <w:tcPr>
            <w:tcW w:w="10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1"/>
              </w:rPr>
              <w:t>3,375</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1"/>
              </w:rPr>
              <w:t>3,375</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10,125</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8,438</w:t>
            </w:r>
          </w:p>
        </w:tc>
      </w:tr>
      <w:tr>
        <w:trPr>
          <w:trHeight w:val="204"/>
        </w:trPr>
        <w:tc>
          <w:tcPr>
            <w:tcW w:w="38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Amortization of debt issuance costs</w:t>
            </w:r>
          </w:p>
        </w:tc>
        <w:tc>
          <w:tcPr>
            <w:tcW w:w="10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154</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152</w:t>
            </w:r>
          </w:p>
        </w:tc>
        <w:tc>
          <w:tcPr>
            <w:tcW w:w="1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462</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379</w:t>
            </w:r>
          </w:p>
        </w:tc>
      </w:tr>
      <w:tr>
        <w:trPr>
          <w:trHeight w:val="172"/>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10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91"/>
              </w:rPr>
              <w:t>3,529</w:t>
            </w:r>
          </w:p>
        </w:tc>
        <w:tc>
          <w:tcPr>
            <w:tcW w:w="1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91"/>
              </w:rPr>
              <w:t>3,527</w:t>
            </w: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10,587</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8,817</w:t>
            </w:r>
          </w:p>
        </w:tc>
      </w:tr>
      <w:tr>
        <w:trPr>
          <w:trHeight w:val="20"/>
        </w:trPr>
        <w:tc>
          <w:tcPr>
            <w:tcW w:w="3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As of September 30, 2022, the estimated fair value (Level 2) of the Notes was $554.4 million. The fair value of the Notes is estimated using a pricing model that is primarily affected by the trading price of our common stock and market interest rates.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COMMITMENTS AND CONTINGENCIES</w:t>
      </w:r>
    </w:p>
    <w:p>
      <w:pPr>
        <w:spacing w:after="0" w:line="97"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 xml:space="preserve">The Company has entered into various operating lease agreements, primarily relating to our corporate offices. See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subsection titled “Leases”, in Part II, Item 8 of the Annual Report on Form 10-K for the year ended December 31, 2021 for information regarding the Company’s maturity of lease liabilities under its lease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8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District Court Proceedings</w:t>
      </w:r>
    </w:p>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are instituted on all grounds presented. On January 18, 2022, the Board issued decisions on the two IPRs. In one IPR, all challenged claims were found unpatentable including PGI’s core device claims. In the second IPR, the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board did not find the disputed claims unpatentable. We are appealing the decision in the second IPR to the U.S. Court of Appeals for the Federal Circuit.</w:t>
      </w:r>
    </w:p>
    <w:p>
      <w:pPr>
        <w:spacing w:after="0" w:line="93"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However, in a subsequent order dated September 15, 2022, the judge stayed the PGI District Court matter pending a final decision in the Federal Circuit appeal of the IPRs.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Proceedings in China</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Proceedings</w:t>
      </w:r>
    </w:p>
    <w:p>
      <w:pPr>
        <w:spacing w:after="0" w:line="8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7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w:t>
      </w:r>
    </w:p>
    <w:p>
      <w:pPr>
        <w:spacing w:after="0" w:line="93"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September 30, 2022 and December 31, 2021.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6"/>
          <w:szCs w:val="16"/>
          <w:b w:val="1"/>
          <w:bCs w:val="1"/>
          <w:color w:val="auto"/>
        </w:rPr>
        <w:t>OTE 9. STOCKHOLDERS’ EQUITY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Plans</w:t>
      </w:r>
    </w:p>
    <w:p>
      <w:pPr>
        <w:spacing w:after="0" w:line="81" w:lineRule="exact"/>
        <w:rPr>
          <w:sz w:val="20"/>
          <w:szCs w:val="20"/>
          <w:color w:val="auto"/>
        </w:rPr>
      </w:pPr>
    </w:p>
    <w:p>
      <w:pPr>
        <w:jc w:val="both"/>
        <w:ind w:right="20"/>
        <w:spacing w:after="0" w:line="295" w:lineRule="auto"/>
        <w:rPr>
          <w:sz w:val="20"/>
          <w:szCs w:val="20"/>
          <w:color w:val="auto"/>
        </w:rPr>
      </w:pPr>
      <w:r>
        <w:rPr>
          <w:rFonts w:ascii="Arial" w:cs="Arial" w:eastAsia="Arial" w:hAnsi="Arial"/>
          <w:sz w:val="15"/>
          <w:szCs w:val="15"/>
          <w:color w:val="auto"/>
        </w:rPr>
        <w:t>The 2020 Equity Incentive Plan (the “2020 Plan”), the 2020 Inducement Equity Incentive Plan (the “Inducement Plan”) and the 2021 adopted Omniome Equity Incentive Plan of Pacific Biosciences of California, Inc. (the “Omniome Plan”) allow for the issuance of stock options, restricted units and awards and performance-based awards.</w:t>
      </w:r>
    </w:p>
    <w:p>
      <w:pPr>
        <w:spacing w:after="0" w:line="2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On August 4, 2020, stockholders approved the 2020 Plan and reserved 11,000,000 shares of our common stock for issuance pursuant to equity awards granted under the 2020 Plan.</w:t>
      </w:r>
    </w:p>
    <w:p>
      <w:pPr>
        <w:spacing w:after="0" w:line="6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On December 2, 2020, the Board of Directors (the “Board”) adopted the Inducement Plan and reserved 2,500,000 shares of our common stock for issuance pursuant to equity awards granted under the Inducement Plan. On April 18, 2021 and November 22, 2021, the Board amended the Inducement Plan to reserve an additional 750,000 and 360,000 shares, respectively.</w:t>
      </w:r>
    </w:p>
    <w:p>
      <w:pPr>
        <w:spacing w:after="0" w:line="5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On September 20, 2021, in connection with the acquisition of Omniome, we adopted the Omniome Equity Incentive Plan of Pacific Biosciences of California, Inc. (the “Omniome Plan”). Under the Omniome Merger Agreement, each unvested option to purchase Omniome common stock, granted under the Omniome Plan held by employees continuing with us, were assumed by PacBio and converted into an option to purchase shares of our common stock. The terms and conditions of the converted options are substantially the same (including vesting and exercisability), except that (A) the assumed options cover shares of PacBio’s common stock; (B) the number of shares of our common stock subject to the assumed option is equal to the product of (i) the number of shares of Omniome common stock subject to the corresponding unvested option, multiplied by (ii) the exchange ratio (as defined below), with any resulting fractional share rounded down to the nearest whole share; and (C) the exercise price per share of the assumed options is equal to the quotient of (i) the exercise price per share of the corresponding unvested option to purchase shares of Omniome common stock, divided by (ii) the exchange ratio (as defined below), with any resulting fractional cent rounded up to the nearest whole cent. The exchange ratio was equal to 0.259204639. We reserved 2,494,128 shares of our common stock for issuance pursuant to equity awards under the Omniome Plan.</w:t>
      </w:r>
    </w:p>
    <w:p>
      <w:pPr>
        <w:spacing w:after="0" w:line="5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May 25, 2022, stockholders approved an amendment to the 2020 Plan and we reserved an additional 18,000,000 shares of our common stock for issuance pursuant to equity awards granted under the 2020 Plan.</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2022, we had 18.7 million shares remaining and available for future issuance under the 2020 Plan, Inducement Plan, and the Omniome Plan.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 for time-based awards for the nine months ended September 30, 2022 (shares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20" w:type="dxa"/>
            <w:vAlign w:val="bottom"/>
          </w:tcPr>
          <w:p>
            <w:pPr>
              <w:jc w:val="center"/>
              <w:ind w:right="468"/>
              <w:spacing w:after="0"/>
              <w:rPr>
                <w:sz w:val="20"/>
                <w:szCs w:val="20"/>
                <w:color w:val="auto"/>
              </w:rPr>
            </w:pPr>
            <w:r>
              <w:rPr>
                <w:rFonts w:ascii="Arial" w:cs="Arial" w:eastAsia="Arial" w:hAnsi="Arial"/>
                <w:sz w:val="14"/>
                <w:szCs w:val="14"/>
                <w:b w:val="1"/>
                <w:bCs w:val="1"/>
                <w:color w:val="auto"/>
                <w:w w:val="91"/>
              </w:rPr>
              <w:t>Weighted</w:t>
            </w:r>
          </w:p>
        </w:tc>
      </w:tr>
      <w:tr>
        <w:trPr>
          <w:trHeight w:val="187"/>
        </w:trPr>
        <w:tc>
          <w:tcPr>
            <w:tcW w:w="476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Pr>
          <w:p>
            <w:pPr>
              <w:jc w:val="center"/>
              <w:ind w:right="448"/>
              <w:spacing w:after="0"/>
              <w:rPr>
                <w:sz w:val="20"/>
                <w:szCs w:val="20"/>
                <w:color w:val="auto"/>
              </w:rPr>
            </w:pPr>
            <w:r>
              <w:rPr>
                <w:rFonts w:ascii="Arial" w:cs="Arial" w:eastAsia="Arial" w:hAnsi="Arial"/>
                <w:sz w:val="14"/>
                <w:szCs w:val="14"/>
                <w:b w:val="1"/>
                <w:bCs w:val="1"/>
                <w:color w:val="auto"/>
                <w:w w:val="90"/>
              </w:rPr>
              <w:t>average</w:t>
            </w:r>
          </w:p>
        </w:tc>
      </w:tr>
      <w:tr>
        <w:trPr>
          <w:trHeight w:val="223"/>
        </w:trPr>
        <w:tc>
          <w:tcPr>
            <w:tcW w:w="47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7"/>
              </w:rPr>
              <w:t>exercise price</w:t>
            </w:r>
          </w:p>
        </w:tc>
      </w:tr>
      <w:tr>
        <w:trPr>
          <w:trHeight w:val="184"/>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2021</w:t>
            </w:r>
          </w:p>
        </w:tc>
        <w:tc>
          <w:tcPr>
            <w:tcW w:w="15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12,159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center"/>
              <w:ind w:right="540"/>
              <w:spacing w:after="0"/>
              <w:rPr>
                <w:sz w:val="20"/>
                <w:szCs w:val="20"/>
                <w:color w:val="auto"/>
              </w:rPr>
            </w:pPr>
            <w:r>
              <w:rPr>
                <w:rFonts w:ascii="Arial" w:cs="Arial" w:eastAsia="Arial" w:hAnsi="Arial"/>
                <w:sz w:val="14"/>
                <w:szCs w:val="14"/>
                <w:color w:val="auto"/>
                <w:w w:val="92"/>
              </w:rPr>
              <w:t>1.16 – 46.37</w:t>
            </w:r>
          </w:p>
        </w:tc>
        <w:tc>
          <w:tcPr>
            <w:tcW w:w="5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11.38</w:t>
            </w:r>
          </w:p>
        </w:tc>
      </w:tr>
      <w:tr>
        <w:trPr>
          <w:trHeight w:val="204"/>
        </w:trPr>
        <w:tc>
          <w:tcPr>
            <w:tcW w:w="4760" w:type="dxa"/>
            <w:vAlign w:val="bottom"/>
          </w:tcPr>
          <w:p>
            <w:pPr>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ind w:right="188"/>
              <w:spacing w:after="0"/>
              <w:rPr>
                <w:sz w:val="20"/>
                <w:szCs w:val="20"/>
                <w:color w:val="auto"/>
              </w:rPr>
            </w:pPr>
            <w:r>
              <w:rPr>
                <w:rFonts w:ascii="Arial" w:cs="Arial" w:eastAsia="Arial" w:hAnsi="Arial"/>
                <w:sz w:val="14"/>
                <w:szCs w:val="14"/>
                <w:color w:val="auto"/>
              </w:rPr>
              <w:t>5,211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4.61 – 16.58</w:t>
            </w:r>
          </w:p>
        </w:tc>
        <w:tc>
          <w:tcPr>
            <w:tcW w:w="520" w:type="dxa"/>
            <w:vAlign w:val="bottom"/>
          </w:tcPr>
          <w:p>
            <w:pPr>
              <w:spacing w:after="0"/>
              <w:rPr>
                <w:sz w:val="17"/>
                <w:szCs w:val="17"/>
                <w:color w:val="auto"/>
              </w:rPr>
            </w:pPr>
          </w:p>
        </w:tc>
        <w:tc>
          <w:tcPr>
            <w:tcW w:w="1920" w:type="dxa"/>
            <w:vAlign w:val="bottom"/>
          </w:tcPr>
          <w:p>
            <w:pPr>
              <w:jc w:val="right"/>
              <w:ind w:right="548"/>
              <w:spacing w:after="0"/>
              <w:rPr>
                <w:sz w:val="20"/>
                <w:szCs w:val="20"/>
                <w:color w:val="auto"/>
              </w:rPr>
            </w:pPr>
            <w:r>
              <w:rPr>
                <w:rFonts w:ascii="Arial" w:cs="Arial" w:eastAsia="Arial" w:hAnsi="Arial"/>
                <w:sz w:val="14"/>
                <w:szCs w:val="14"/>
                <w:color w:val="auto"/>
              </w:rPr>
              <w:t>10.34</w:t>
            </w:r>
          </w:p>
        </w:tc>
      </w:tr>
      <w:tr>
        <w:trPr>
          <w:trHeight w:val="204"/>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520"/>
              <w:spacing w:after="0"/>
              <w:rPr>
                <w:sz w:val="20"/>
                <w:szCs w:val="20"/>
                <w:color w:val="auto"/>
              </w:rPr>
            </w:pPr>
            <w:r>
              <w:rPr>
                <w:rFonts w:ascii="Arial" w:cs="Arial" w:eastAsia="Arial" w:hAnsi="Arial"/>
                <w:sz w:val="14"/>
                <w:szCs w:val="14"/>
                <w:color w:val="auto"/>
                <w:w w:val="94"/>
              </w:rPr>
              <w:t>1.16 – 8.90</w:t>
            </w:r>
          </w:p>
        </w:tc>
        <w:tc>
          <w:tcPr>
            <w:tcW w:w="5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3.33</w:t>
            </w:r>
          </w:p>
        </w:tc>
      </w:tr>
      <w:tr>
        <w:trPr>
          <w:trHeight w:val="204"/>
        </w:trPr>
        <w:tc>
          <w:tcPr>
            <w:tcW w:w="4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Canceled</w:t>
            </w: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(1,485)</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gridSpan w:val="2"/>
          </w:tcPr>
          <w:p>
            <w:pPr>
              <w:jc w:val="center"/>
              <w:ind w:right="540"/>
              <w:spacing w:after="0"/>
              <w:rPr>
                <w:sz w:val="20"/>
                <w:szCs w:val="20"/>
                <w:color w:val="auto"/>
              </w:rPr>
            </w:pPr>
            <w:r>
              <w:rPr>
                <w:rFonts w:ascii="Arial" w:cs="Arial" w:eastAsia="Arial" w:hAnsi="Arial"/>
                <w:sz w:val="14"/>
                <w:szCs w:val="14"/>
                <w:color w:val="auto"/>
                <w:w w:val="92"/>
              </w:rPr>
              <w:t>2.47 – 46.37</w:t>
            </w:r>
          </w:p>
        </w:tc>
        <w:tc>
          <w:tcPr>
            <w:tcW w:w="52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jc w:val="right"/>
              <w:ind w:right="508"/>
              <w:spacing w:after="0"/>
              <w:rPr>
                <w:sz w:val="20"/>
                <w:szCs w:val="20"/>
                <w:color w:val="auto"/>
              </w:rPr>
            </w:pPr>
            <w:r>
              <w:rPr>
                <w:rFonts w:ascii="Arial" w:cs="Arial" w:eastAsia="Arial" w:hAnsi="Arial"/>
                <w:sz w:val="14"/>
                <w:szCs w:val="14"/>
                <w:color w:val="auto"/>
              </w:rPr>
              <w:t>20.96</w:t>
            </w:r>
          </w:p>
        </w:tc>
      </w:tr>
      <w:tr>
        <w:trPr>
          <w:trHeight w:val="172"/>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September 30, 2022</w:t>
            </w:r>
          </w:p>
        </w:tc>
        <w:tc>
          <w:tcPr>
            <w:tcW w:w="15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15,235</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gridSpan w:val="2"/>
            <w:shd w:val="clear" w:color="auto" w:fill="CCEEFF"/>
          </w:tcPr>
          <w:p>
            <w:pPr>
              <w:jc w:val="center"/>
              <w:ind w:right="540"/>
              <w:spacing w:after="0"/>
              <w:rPr>
                <w:sz w:val="20"/>
                <w:szCs w:val="20"/>
                <w:color w:val="auto"/>
              </w:rPr>
            </w:pPr>
            <w:r>
              <w:rPr>
                <w:rFonts w:ascii="Arial" w:cs="Arial" w:eastAsia="Arial" w:hAnsi="Arial"/>
                <w:sz w:val="14"/>
                <w:szCs w:val="14"/>
                <w:color w:val="auto"/>
                <w:w w:val="92"/>
              </w:rPr>
              <w:t>1.16 – 46.37</w:t>
            </w:r>
          </w:p>
        </w:tc>
        <w:tc>
          <w:tcPr>
            <w:tcW w:w="5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rPr>
              <w:t>10.43</w:t>
            </w: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 for performance-based awards for the nine months ended September 30, 2022 (shares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jc w:val="center"/>
              <w:ind w:right="428"/>
              <w:spacing w:after="0"/>
              <w:rPr>
                <w:sz w:val="20"/>
                <w:szCs w:val="20"/>
                <w:color w:val="auto"/>
              </w:rPr>
            </w:pPr>
            <w:r>
              <w:rPr>
                <w:rFonts w:ascii="Arial" w:cs="Arial" w:eastAsia="Arial" w:hAnsi="Arial"/>
                <w:sz w:val="14"/>
                <w:szCs w:val="14"/>
                <w:b w:val="1"/>
                <w:bCs w:val="1"/>
                <w:color w:val="auto"/>
                <w:w w:val="95"/>
              </w:rPr>
              <w:t>Weighted</w:t>
            </w:r>
          </w:p>
        </w:tc>
      </w:tr>
      <w:tr>
        <w:trPr>
          <w:trHeight w:val="187"/>
        </w:trPr>
        <w:tc>
          <w:tcPr>
            <w:tcW w:w="4800" w:type="dxa"/>
            <w:vAlign w:val="bottom"/>
          </w:tcPr>
          <w:p>
            <w:pPr>
              <w:spacing w:after="0"/>
              <w:rPr>
                <w:sz w:val="16"/>
                <w:szCs w:val="16"/>
                <w:color w:val="auto"/>
              </w:rPr>
            </w:pPr>
          </w:p>
        </w:tc>
        <w:tc>
          <w:tcPr>
            <w:tcW w:w="1540" w:type="dxa"/>
            <w:vAlign w:val="bottom"/>
          </w:tcPr>
          <w:p>
            <w:pPr>
              <w:jc w:val="right"/>
              <w:ind w:right="448"/>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tcPr>
          <w:p>
            <w:pPr>
              <w:jc w:val="center"/>
              <w:ind w:right="428"/>
              <w:spacing w:after="0"/>
              <w:rPr>
                <w:sz w:val="20"/>
                <w:szCs w:val="20"/>
                <w:color w:val="auto"/>
              </w:rPr>
            </w:pPr>
            <w:r>
              <w:rPr>
                <w:rFonts w:ascii="Arial" w:cs="Arial" w:eastAsia="Arial" w:hAnsi="Arial"/>
                <w:sz w:val="14"/>
                <w:szCs w:val="14"/>
                <w:b w:val="1"/>
                <w:bCs w:val="1"/>
                <w:color w:val="auto"/>
                <w:w w:val="90"/>
              </w:rPr>
              <w:t>average</w:t>
            </w:r>
          </w:p>
        </w:tc>
      </w:tr>
      <w:tr>
        <w:trPr>
          <w:trHeight w:val="199"/>
        </w:trPr>
        <w:tc>
          <w:tcPr>
            <w:tcW w:w="48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9"/>
              </w:rPr>
              <w:t>exercise price</w:t>
            </w:r>
          </w:p>
        </w:tc>
      </w:tr>
      <w:tr>
        <w:trPr>
          <w:trHeight w:val="184"/>
        </w:trPr>
        <w:tc>
          <w:tcPr>
            <w:tcW w:w="4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2021</w:t>
            </w:r>
          </w:p>
        </w:tc>
        <w:tc>
          <w:tcPr>
            <w:tcW w:w="15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304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80" w:type="dxa"/>
            <w:vAlign w:val="bottom"/>
            <w:gridSpan w:val="2"/>
            <w:shd w:val="clear" w:color="auto" w:fill="CCEEFF"/>
          </w:tcPr>
          <w:p>
            <w:pPr>
              <w:jc w:val="center"/>
              <w:ind w:right="520"/>
              <w:spacing w:after="0"/>
              <w:rPr>
                <w:sz w:val="20"/>
                <w:szCs w:val="20"/>
                <w:color w:val="auto"/>
              </w:rPr>
            </w:pPr>
            <w:r>
              <w:rPr>
                <w:rFonts w:ascii="Arial" w:cs="Arial" w:eastAsia="Arial" w:hAnsi="Arial"/>
                <w:sz w:val="14"/>
                <w:szCs w:val="14"/>
                <w:color w:val="auto"/>
                <w:w w:val="96"/>
              </w:rPr>
              <w:t>4.71 – 4.90</w:t>
            </w:r>
          </w:p>
        </w:tc>
        <w:tc>
          <w:tcPr>
            <w:tcW w:w="5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4.71</w:t>
            </w:r>
          </w:p>
        </w:tc>
      </w:tr>
      <w:tr>
        <w:trPr>
          <w:trHeight w:val="204"/>
        </w:trPr>
        <w:tc>
          <w:tcPr>
            <w:tcW w:w="4800" w:type="dxa"/>
            <w:vAlign w:val="bottom"/>
          </w:tcPr>
          <w:p>
            <w:pPr>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17"/>
                <w:szCs w:val="17"/>
                <w:color w:val="auto"/>
              </w:rPr>
            </w:pPr>
          </w:p>
        </w:tc>
        <w:tc>
          <w:tcPr>
            <w:tcW w:w="186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ind w:right="500"/>
              <w:spacing w:after="0"/>
              <w:rPr>
                <w:sz w:val="20"/>
                <w:szCs w:val="20"/>
                <w:color w:val="auto"/>
              </w:rPr>
            </w:pPr>
            <w:r>
              <w:rPr>
                <w:rFonts w:ascii="Arial" w:cs="Arial" w:eastAsia="Arial" w:hAnsi="Arial"/>
                <w:sz w:val="14"/>
                <w:szCs w:val="14"/>
                <w:color w:val="auto"/>
                <w:w w:val="99"/>
              </w:rPr>
              <w:t>—</w:t>
            </w:r>
          </w:p>
        </w:tc>
        <w:tc>
          <w:tcPr>
            <w:tcW w:w="50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r>
      <w:tr>
        <w:trPr>
          <w:trHeight w:val="204"/>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Canceled</w:t>
            </w:r>
          </w:p>
        </w:tc>
        <w:tc>
          <w:tcPr>
            <w:tcW w:w="1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gridSpan w:val="2"/>
          </w:tcPr>
          <w:p>
            <w:pPr>
              <w:jc w:val="center"/>
              <w:ind w:right="520"/>
              <w:spacing w:after="0"/>
              <w:rPr>
                <w:sz w:val="20"/>
                <w:szCs w:val="20"/>
                <w:color w:val="auto"/>
              </w:rPr>
            </w:pPr>
            <w:r>
              <w:rPr>
                <w:rFonts w:ascii="Arial" w:cs="Arial" w:eastAsia="Arial" w:hAnsi="Arial"/>
                <w:sz w:val="14"/>
                <w:szCs w:val="14"/>
                <w:color w:val="auto"/>
                <w:w w:val="96"/>
              </w:rPr>
              <w:t>4.71 – 4.90</w:t>
            </w:r>
          </w:p>
        </w:tc>
        <w:tc>
          <w:tcPr>
            <w:tcW w:w="50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jc w:val="right"/>
              <w:ind w:right="548"/>
              <w:spacing w:after="0"/>
              <w:rPr>
                <w:sz w:val="20"/>
                <w:szCs w:val="20"/>
                <w:color w:val="auto"/>
              </w:rPr>
            </w:pPr>
            <w:r>
              <w:rPr>
                <w:rFonts w:ascii="Arial" w:cs="Arial" w:eastAsia="Arial" w:hAnsi="Arial"/>
                <w:sz w:val="14"/>
                <w:szCs w:val="14"/>
                <w:color w:val="auto"/>
              </w:rPr>
              <w:t>4.75</w:t>
            </w:r>
          </w:p>
        </w:tc>
      </w:tr>
      <w:tr>
        <w:trPr>
          <w:trHeight w:val="172"/>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September 30, 2022</w:t>
            </w:r>
          </w:p>
        </w:tc>
        <w:tc>
          <w:tcPr>
            <w:tcW w:w="15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302</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CCEEFF"/>
            </w:tcBorders>
            <w:gridSpan w:val="2"/>
            <w:shd w:val="clear" w:color="auto" w:fill="CCEEFF"/>
          </w:tcPr>
          <w:p>
            <w:pPr>
              <w:jc w:val="center"/>
              <w:ind w:right="520"/>
              <w:spacing w:after="0"/>
              <w:rPr>
                <w:sz w:val="20"/>
                <w:szCs w:val="20"/>
                <w:color w:val="auto"/>
              </w:rPr>
            </w:pPr>
            <w:r>
              <w:rPr>
                <w:rFonts w:ascii="Arial" w:cs="Arial" w:eastAsia="Arial" w:hAnsi="Arial"/>
                <w:sz w:val="14"/>
                <w:szCs w:val="14"/>
                <w:color w:val="auto"/>
                <w:w w:val="96"/>
              </w:rPr>
              <w:t>4.71 – 4.90</w:t>
            </w:r>
          </w:p>
        </w:tc>
        <w:tc>
          <w:tcPr>
            <w:tcW w:w="5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color w:val="auto"/>
              </w:rPr>
              <w:t>4.71</w:t>
            </w: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2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For the three and nine months ended September 30, 2022, we recognized stock-based compensation expense of $6.4 million and $20.9 million, respectively, related to time-based and performance-based options.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(“RSUs”)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time-based RSU activity for the nine months ended September 30, 2022 (shares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Weighted average</w:t>
            </w:r>
          </w:p>
        </w:tc>
      </w:tr>
      <w:tr>
        <w:trPr>
          <w:trHeight w:val="187"/>
        </w:trPr>
        <w:tc>
          <w:tcPr>
            <w:tcW w:w="7340" w:type="dxa"/>
            <w:vAlign w:val="bottom"/>
          </w:tcPr>
          <w:p>
            <w:pPr>
              <w:spacing w:after="0"/>
              <w:rPr>
                <w:sz w:val="16"/>
                <w:szCs w:val="16"/>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jc w:val="center"/>
              <w:ind w:right="328"/>
              <w:spacing w:after="0"/>
              <w:rPr>
                <w:sz w:val="20"/>
                <w:szCs w:val="20"/>
                <w:color w:val="auto"/>
              </w:rPr>
            </w:pPr>
            <w:r>
              <w:rPr>
                <w:rFonts w:ascii="Arial" w:cs="Arial" w:eastAsia="Arial" w:hAnsi="Arial"/>
                <w:sz w:val="14"/>
                <w:szCs w:val="14"/>
                <w:b w:val="1"/>
                <w:bCs w:val="1"/>
                <w:color w:val="auto"/>
                <w:w w:val="94"/>
              </w:rPr>
              <w:t>grant date</w:t>
            </w:r>
          </w:p>
        </w:tc>
      </w:tr>
      <w:tr>
        <w:trPr>
          <w:trHeight w:val="199"/>
        </w:trPr>
        <w:tc>
          <w:tcPr>
            <w:tcW w:w="73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of shares</w:t>
            </w:r>
          </w:p>
        </w:tc>
        <w:tc>
          <w:tcPr>
            <w:tcW w:w="5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7"/>
              </w:rPr>
              <w:t>fair value</w:t>
            </w:r>
          </w:p>
        </w:tc>
      </w:tr>
      <w:tr>
        <w:trPr>
          <w:trHeight w:val="184"/>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2021</w:t>
            </w:r>
          </w:p>
        </w:tc>
        <w:tc>
          <w:tcPr>
            <w:tcW w:w="1000" w:type="dxa"/>
            <w:vAlign w:val="bottom"/>
            <w:shd w:val="clear" w:color="auto" w:fill="CCEEFF"/>
          </w:tcPr>
          <w:p>
            <w:pPr>
              <w:jc w:val="center"/>
              <w:ind w:left="348"/>
              <w:spacing w:after="0"/>
              <w:rPr>
                <w:sz w:val="20"/>
                <w:szCs w:val="20"/>
                <w:color w:val="auto"/>
              </w:rPr>
            </w:pPr>
            <w:r>
              <w:rPr>
                <w:rFonts w:ascii="Arial" w:cs="Arial" w:eastAsia="Arial" w:hAnsi="Arial"/>
                <w:sz w:val="14"/>
                <w:szCs w:val="14"/>
                <w:color w:val="auto"/>
                <w:w w:val="96"/>
              </w:rPr>
              <w:t>7,392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19.78</w:t>
            </w:r>
          </w:p>
        </w:tc>
      </w:tr>
      <w:tr>
        <w:trPr>
          <w:trHeight w:val="204"/>
        </w:trPr>
        <w:tc>
          <w:tcPr>
            <w:tcW w:w="7340" w:type="dxa"/>
            <w:vAlign w:val="bottom"/>
          </w:tcPr>
          <w:p>
            <w:pPr>
              <w:spacing w:after="0"/>
              <w:rPr>
                <w:sz w:val="20"/>
                <w:szCs w:val="20"/>
                <w:color w:val="auto"/>
              </w:rPr>
            </w:pPr>
            <w:r>
              <w:rPr>
                <w:rFonts w:ascii="Arial" w:cs="Arial" w:eastAsia="Arial" w:hAnsi="Arial"/>
                <w:sz w:val="14"/>
                <w:szCs w:val="14"/>
                <w:color w:val="auto"/>
              </w:rPr>
              <w:t>Granted</w:t>
            </w:r>
          </w:p>
        </w:tc>
        <w:tc>
          <w:tcPr>
            <w:tcW w:w="1000" w:type="dxa"/>
            <w:vAlign w:val="bottom"/>
          </w:tcPr>
          <w:p>
            <w:pPr>
              <w:jc w:val="center"/>
              <w:ind w:left="348"/>
              <w:spacing w:after="0"/>
              <w:rPr>
                <w:sz w:val="20"/>
                <w:szCs w:val="20"/>
                <w:color w:val="auto"/>
              </w:rPr>
            </w:pPr>
            <w:r>
              <w:rPr>
                <w:rFonts w:ascii="Arial" w:cs="Arial" w:eastAsia="Arial" w:hAnsi="Arial"/>
                <w:sz w:val="14"/>
                <w:szCs w:val="14"/>
                <w:color w:val="auto"/>
                <w:w w:val="96"/>
              </w:rPr>
              <w:t>5,054</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jc w:val="right"/>
              <w:ind w:right="548"/>
              <w:spacing w:after="0"/>
              <w:rPr>
                <w:sz w:val="20"/>
                <w:szCs w:val="20"/>
                <w:color w:val="auto"/>
              </w:rPr>
            </w:pPr>
            <w:r>
              <w:rPr>
                <w:rFonts w:ascii="Arial" w:cs="Arial" w:eastAsia="Arial" w:hAnsi="Arial"/>
                <w:sz w:val="14"/>
                <w:szCs w:val="14"/>
                <w:color w:val="auto"/>
              </w:rPr>
              <w:t>10.24</w:t>
            </w:r>
          </w:p>
        </w:tc>
      </w:tr>
      <w:tr>
        <w:trPr>
          <w:trHeight w:val="204"/>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00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4"/>
              </w:rPr>
              <w:t>(2,395)</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14.58</w:t>
            </w:r>
          </w:p>
        </w:tc>
      </w:tr>
      <w:tr>
        <w:trPr>
          <w:trHeight w:val="204"/>
        </w:trPr>
        <w:tc>
          <w:tcPr>
            <w:tcW w:w="73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Forfeited</w:t>
            </w:r>
          </w:p>
        </w:tc>
        <w:tc>
          <w:tcPr>
            <w:tcW w:w="10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4"/>
              </w:rPr>
              <w:t>(1,381)</w:t>
            </w:r>
          </w:p>
        </w:tc>
        <w:tc>
          <w:tcPr>
            <w:tcW w:w="5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jc w:val="right"/>
              <w:ind w:right="548"/>
              <w:spacing w:after="0"/>
              <w:rPr>
                <w:sz w:val="20"/>
                <w:szCs w:val="20"/>
                <w:color w:val="auto"/>
              </w:rPr>
            </w:pPr>
            <w:r>
              <w:rPr>
                <w:rFonts w:ascii="Arial" w:cs="Arial" w:eastAsia="Arial" w:hAnsi="Arial"/>
                <w:sz w:val="14"/>
                <w:szCs w:val="14"/>
                <w:color w:val="auto"/>
              </w:rPr>
              <w:t>19.86</w:t>
            </w:r>
          </w:p>
        </w:tc>
      </w:tr>
      <w:tr>
        <w:trPr>
          <w:trHeight w:val="17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September 30, 2022</w:t>
            </w:r>
          </w:p>
        </w:tc>
        <w:tc>
          <w:tcPr>
            <w:tcW w:w="1000" w:type="dxa"/>
            <w:vAlign w:val="bottom"/>
            <w:tcBorders>
              <w:bottom w:val="single" w:sz="8" w:color="auto"/>
            </w:tcBorders>
            <w:shd w:val="clear" w:color="auto" w:fill="CCEEFF"/>
          </w:tcPr>
          <w:p>
            <w:pPr>
              <w:jc w:val="center"/>
              <w:ind w:left="348"/>
              <w:spacing w:after="0"/>
              <w:rPr>
                <w:sz w:val="20"/>
                <w:szCs w:val="20"/>
                <w:color w:val="auto"/>
              </w:rPr>
            </w:pPr>
            <w:r>
              <w:rPr>
                <w:rFonts w:ascii="Arial" w:cs="Arial" w:eastAsia="Arial" w:hAnsi="Arial"/>
                <w:sz w:val="14"/>
                <w:szCs w:val="14"/>
                <w:color w:val="auto"/>
                <w:w w:val="96"/>
              </w:rPr>
              <w:t>8,670</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color w:val="auto"/>
              </w:rPr>
              <w:t>15.64</w:t>
            </w:r>
          </w:p>
        </w:tc>
      </w:tr>
      <w:tr>
        <w:trPr>
          <w:trHeight w:val="20"/>
        </w:trPr>
        <w:tc>
          <w:tcPr>
            <w:tcW w:w="7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three and nine months ended September 30, 2022, we recognized stock-based compensation expense of $10.3 million and $31.9 million, respectively, related to restricted stock units.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 (“ESPP”)</w:t>
      </w:r>
    </w:p>
    <w:p>
      <w:pPr>
        <w:spacing w:after="0" w:line="81" w:lineRule="exact"/>
        <w:rPr>
          <w:sz w:val="20"/>
          <w:szCs w:val="20"/>
          <w:color w:val="auto"/>
        </w:rPr>
      </w:pPr>
    </w:p>
    <w:p>
      <w:pPr>
        <w:jc w:val="both"/>
        <w:ind w:right="20"/>
        <w:spacing w:after="0" w:line="331" w:lineRule="auto"/>
        <w:rPr>
          <w:sz w:val="20"/>
          <w:szCs w:val="20"/>
          <w:color w:val="auto"/>
        </w:rPr>
      </w:pPr>
      <w:r>
        <w:rPr>
          <w:rFonts w:ascii="Arial" w:cs="Arial" w:eastAsia="Arial" w:hAnsi="Arial"/>
          <w:sz w:val="14"/>
          <w:szCs w:val="14"/>
          <w:color w:val="auto"/>
        </w:rPr>
        <w:t>Shares issued under our ESPP were 1,878,168 and 1,913,968 during the nine months ended September 30, 2022 and 2021, respectively. In February 2022, an additional 4.0 million shares were reserved under the ESPP. As of September 30, 2022, 9,932,505 shares of our common stock remain available for issuance under our ESPP.</w:t>
      </w:r>
    </w:p>
    <w:p>
      <w:pPr>
        <w:spacing w:after="0" w:line="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For the three and nine months ended September 30, 2022, we recognized stock-based compensation expense of $2.3 million and $7.9 million, respectively, related to our ESPP.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expense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332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89"/>
        </w:trPr>
        <w:tc>
          <w:tcPr>
            <w:tcW w:w="42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7"/>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 of revenue</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1,837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3,680</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4,734</w:t>
            </w:r>
          </w:p>
        </w:tc>
      </w:tr>
      <w:tr>
        <w:trPr>
          <w:trHeight w:val="204"/>
        </w:trPr>
        <w:tc>
          <w:tcPr>
            <w:tcW w:w="422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17"/>
                <w:szCs w:val="17"/>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7,519</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5,162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24,232</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12,519</w:t>
            </w:r>
          </w:p>
        </w:tc>
      </w:tr>
      <w:tr>
        <w:trPr>
          <w:trHeight w:val="204"/>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Sales, general and administrative</w:t>
            </w: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10,483</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9,897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32,746</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25,613</w:t>
            </w:r>
          </w:p>
        </w:tc>
      </w:tr>
      <w:tr>
        <w:trPr>
          <w:trHeight w:val="204"/>
        </w:trPr>
        <w:tc>
          <w:tcPr>
            <w:tcW w:w="4220" w:type="dxa"/>
            <w:vAlign w:val="bottom"/>
          </w:tcPr>
          <w:p>
            <w:pPr>
              <w:ind w:left="240"/>
              <w:spacing w:after="0"/>
              <w:rPr>
                <w:sz w:val="20"/>
                <w:szCs w:val="20"/>
                <w:color w:val="auto"/>
              </w:rPr>
            </w:pPr>
            <w:r>
              <w:rPr>
                <w:rFonts w:ascii="Arial" w:cs="Arial" w:eastAsia="Arial" w:hAnsi="Arial"/>
                <w:sz w:val="14"/>
                <w:szCs w:val="14"/>
                <w:color w:val="auto"/>
              </w:rPr>
              <w:t>Merger-related expenses - stock-settled</w:t>
            </w:r>
          </w:p>
        </w:tc>
        <w:tc>
          <w:tcPr>
            <w:tcW w:w="400" w:type="dxa"/>
            <w:vAlign w:val="bottom"/>
          </w:tcPr>
          <w:p>
            <w:pPr>
              <w:spacing w:after="0"/>
              <w:rPr>
                <w:sz w:val="17"/>
                <w:szCs w:val="17"/>
                <w:color w:val="auto"/>
              </w:rPr>
            </w:pPr>
          </w:p>
        </w:tc>
        <w:tc>
          <w:tcPr>
            <w:tcW w:w="14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6,349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6,349</w:t>
            </w:r>
          </w:p>
        </w:tc>
      </w:tr>
      <w:tr>
        <w:trPr>
          <w:trHeight w:val="204"/>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Merger-related expenses - milestone</w:t>
            </w:r>
          </w:p>
        </w:tc>
        <w:tc>
          <w:tcPr>
            <w:tcW w:w="4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5,202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5,202</w:t>
            </w:r>
          </w:p>
        </w:tc>
      </w:tr>
      <w:tr>
        <w:trPr>
          <w:trHeight w:val="184"/>
        </w:trPr>
        <w:tc>
          <w:tcPr>
            <w:tcW w:w="422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18,936</w:t>
            </w:r>
          </w:p>
        </w:tc>
        <w:tc>
          <w:tcPr>
            <w:tcW w:w="2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28,447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60,658</w:t>
            </w:r>
          </w:p>
        </w:tc>
        <w:tc>
          <w:tcPr>
            <w:tcW w:w="3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54,417</w:t>
            </w:r>
          </w:p>
        </w:tc>
      </w:tr>
      <w:tr>
        <w:trPr>
          <w:trHeight w:val="204"/>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Merger-related expenses - cash-settled</w:t>
            </w:r>
          </w:p>
        </w:tc>
        <w:tc>
          <w:tcPr>
            <w:tcW w:w="4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7,373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7,373</w:t>
            </w: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Total stock-based compensation expense</w:t>
            </w:r>
          </w:p>
        </w:tc>
        <w:tc>
          <w:tcPr>
            <w:tcW w:w="4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18,936</w:t>
            </w:r>
          </w:p>
        </w:tc>
        <w:tc>
          <w:tcPr>
            <w:tcW w:w="2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35,820</w:t>
            </w: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60,658</w:t>
            </w:r>
          </w:p>
        </w:tc>
        <w:tc>
          <w:tcPr>
            <w:tcW w:w="3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61,790</w:t>
            </w:r>
          </w:p>
        </w:tc>
      </w:tr>
    </w:tbl>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-108585</wp:posOffset>
            </wp:positionV>
            <wp:extent cx="44596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9605" cy="762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175895</wp:posOffset>
            </wp:positionV>
            <wp:extent cx="717296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Determining Fair Value</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granted is the closing price of our shares on the date of grant and is generally recognized as compensation expense on a straight-line basis over the respective vesting period. For shares purchased under our ESPP, we estimate the grant-date fair value, and the resulting stock-based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28" w:lineRule="exact"/>
        <w:rPr>
          <w:sz w:val="20"/>
          <w:szCs w:val="20"/>
          <w:color w:val="auto"/>
        </w:rPr>
      </w:pPr>
    </w:p>
    <w:p>
      <w:pPr>
        <w:ind w:left="580" w:right="20"/>
        <w:spacing w:after="0" w:line="279" w:lineRule="auto"/>
        <w:rPr>
          <w:sz w:val="20"/>
          <w:szCs w:val="20"/>
          <w:color w:val="auto"/>
        </w:rPr>
      </w:pPr>
      <w:r>
        <w:rPr>
          <w:rFonts w:ascii="Arial" w:cs="Arial" w:eastAsia="Arial" w:hAnsi="Arial"/>
          <w:sz w:val="15"/>
          <w:szCs w:val="15"/>
          <w:color w:val="auto"/>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spacing w:after="0" w:line="7"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Expected Volatility - The expected volatility used in the Black-Scholes valuation method is derived from the implied volatility related to our share price over the expected term.</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Expected Dividend - We have never paid dividends on our shares and, accordingly, the dividend yield percentage is zero for all periods.</w:t>
      </w:r>
    </w:p>
    <w:p>
      <w:pPr>
        <w:spacing w:after="0" w:line="6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2022 and 2021, the fair value of employee stock options was estimated using the following assumptions: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460" w:type="dxa"/>
            <w:vAlign w:val="bottom"/>
            <w:gridSpan w:val="7"/>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7"/>
                <w:szCs w:val="17"/>
                <w:color w:val="auto"/>
              </w:rPr>
            </w:pPr>
          </w:p>
        </w:tc>
      </w:tr>
      <w:tr>
        <w:trPr>
          <w:trHeight w:val="189"/>
        </w:trPr>
        <w:tc>
          <w:tcPr>
            <w:tcW w:w="45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r>
      <w:tr>
        <w:trPr>
          <w:trHeight w:val="187"/>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Expected term in years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2"/>
              </w:rPr>
              <w:t>4.6</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4.6</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center"/>
              <w:ind w:right="68"/>
              <w:spacing w:after="0"/>
              <w:rPr>
                <w:sz w:val="20"/>
                <w:szCs w:val="20"/>
                <w:color w:val="auto"/>
              </w:rPr>
            </w:pPr>
            <w:r>
              <w:rPr>
                <w:rFonts w:ascii="Arial" w:cs="Arial" w:eastAsia="Arial" w:hAnsi="Arial"/>
                <w:sz w:val="14"/>
                <w:szCs w:val="14"/>
                <w:color w:val="auto"/>
                <w:w w:val="92"/>
              </w:rPr>
              <w:t>4.6</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center"/>
              <w:ind w:right="28"/>
              <w:spacing w:after="0"/>
              <w:rPr>
                <w:sz w:val="20"/>
                <w:szCs w:val="20"/>
                <w:color w:val="auto"/>
              </w:rPr>
            </w:pPr>
            <w:r>
              <w:rPr>
                <w:rFonts w:ascii="Arial" w:cs="Arial" w:eastAsia="Arial" w:hAnsi="Arial"/>
                <w:sz w:val="14"/>
                <w:szCs w:val="14"/>
                <w:color w:val="auto"/>
              </w:rPr>
              <w:t>2.1 — 4.6</w:t>
            </w:r>
          </w:p>
        </w:tc>
      </w:tr>
      <w:tr>
        <w:trPr>
          <w:trHeight w:val="204"/>
        </w:trPr>
        <w:tc>
          <w:tcPr>
            <w:tcW w:w="4520" w:type="dxa"/>
            <w:vAlign w:val="bottom"/>
          </w:tcPr>
          <w:p>
            <w:pPr>
              <w:spacing w:after="0"/>
              <w:rPr>
                <w:sz w:val="20"/>
                <w:szCs w:val="20"/>
                <w:color w:val="auto"/>
              </w:rPr>
            </w:pPr>
            <w:r>
              <w:rPr>
                <w:rFonts w:ascii="Arial" w:cs="Arial" w:eastAsia="Arial" w:hAnsi="Arial"/>
                <w:sz w:val="14"/>
                <w:szCs w:val="14"/>
                <w:color w:val="auto"/>
              </w:rPr>
              <w:t>Expected volatility</w:t>
            </w:r>
          </w:p>
        </w:tc>
        <w:tc>
          <w:tcPr>
            <w:tcW w:w="300" w:type="dxa"/>
            <w:vAlign w:val="bottom"/>
          </w:tcPr>
          <w:p>
            <w:pPr>
              <w:spacing w:after="0"/>
              <w:rPr>
                <w:sz w:val="17"/>
                <w:szCs w:val="17"/>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2"/>
              </w:rPr>
              <w:t>75%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w:t>
            </w:r>
          </w:p>
        </w:tc>
        <w:tc>
          <w:tcPr>
            <w:tcW w:w="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ind w:left="20"/>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tcPr>
          <w:p>
            <w:pPr>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w:t>
            </w:r>
          </w:p>
        </w:tc>
        <w:tc>
          <w:tcPr>
            <w:tcW w:w="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Pr>
          <w:p>
            <w:pPr>
              <w:ind w:left="20"/>
              <w:spacing w:after="0"/>
              <w:rPr>
                <w:sz w:val="20"/>
                <w:szCs w:val="20"/>
                <w:color w:val="auto"/>
              </w:rPr>
            </w:pPr>
            <w:r>
              <w:rPr>
                <w:rFonts w:ascii="Arial" w:cs="Arial" w:eastAsia="Arial" w:hAnsi="Arial"/>
                <w:sz w:val="14"/>
                <w:szCs w:val="14"/>
                <w:color w:val="auto"/>
              </w:rPr>
              <w:t>80%</w:t>
            </w: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0"/>
              </w:rPr>
              <w:t>3.66%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0.71%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3.66%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0.74%</w:t>
            </w:r>
          </w:p>
        </w:tc>
      </w:tr>
      <w:tr>
        <w:trPr>
          <w:trHeight w:val="204"/>
        </w:trPr>
        <w:tc>
          <w:tcPr>
            <w:tcW w:w="4520" w:type="dxa"/>
            <w:vAlign w:val="bottom"/>
          </w:tcPr>
          <w:p>
            <w:pPr>
              <w:spacing w:after="0"/>
              <w:rPr>
                <w:sz w:val="20"/>
                <w:szCs w:val="20"/>
                <w:color w:val="auto"/>
              </w:rPr>
            </w:pPr>
            <w:r>
              <w:rPr>
                <w:rFonts w:ascii="Arial" w:cs="Arial" w:eastAsia="Arial" w:hAnsi="Arial"/>
                <w:sz w:val="14"/>
                <w:szCs w:val="14"/>
                <w:color w:val="auto"/>
              </w:rPr>
              <w:t>Dividend yield</w:t>
            </w:r>
          </w:p>
        </w:tc>
        <w:tc>
          <w:tcPr>
            <w:tcW w:w="30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7"/>
                <w:szCs w:val="17"/>
                <w:color w:val="auto"/>
              </w:rPr>
            </w:pP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grant date fair value per share</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87"/>
              </w:rPr>
              <w:t>4.94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center"/>
              <w:ind w:right="28"/>
              <w:spacing w:after="0"/>
              <w:rPr>
                <w:sz w:val="20"/>
                <w:szCs w:val="20"/>
                <w:color w:val="auto"/>
              </w:rPr>
            </w:pPr>
            <w:r>
              <w:rPr>
                <w:rFonts w:ascii="Arial" w:cs="Arial" w:eastAsia="Arial" w:hAnsi="Arial"/>
                <w:sz w:val="14"/>
                <w:szCs w:val="14"/>
                <w:color w:val="auto"/>
                <w:w w:val="95"/>
              </w:rPr>
              <w:t>5.97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center"/>
              <w:ind w:right="48"/>
              <w:spacing w:after="0"/>
              <w:rPr>
                <w:sz w:val="20"/>
                <w:szCs w:val="20"/>
                <w:color w:val="auto"/>
              </w:rPr>
            </w:pPr>
            <w:r>
              <w:rPr>
                <w:rFonts w:ascii="Arial" w:cs="Arial" w:eastAsia="Arial" w:hAnsi="Arial"/>
                <w:sz w:val="14"/>
                <w:szCs w:val="14"/>
                <w:color w:val="auto"/>
                <w:w w:val="87"/>
              </w:rPr>
              <w:t>5.93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CEEFF"/>
          </w:tcPr>
          <w:p>
            <w:pPr>
              <w:jc w:val="center"/>
              <w:ind w:right="28"/>
              <w:spacing w:after="0"/>
              <w:rPr>
                <w:sz w:val="20"/>
                <w:szCs w:val="20"/>
                <w:color w:val="auto"/>
              </w:rPr>
            </w:pPr>
            <w:r>
              <w:rPr>
                <w:rFonts w:ascii="Arial" w:cs="Arial" w:eastAsia="Arial" w:hAnsi="Arial"/>
                <w:sz w:val="14"/>
                <w:szCs w:val="14"/>
                <w:color w:val="auto"/>
                <w:w w:val="96"/>
              </w:rPr>
              <w:t>15.63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For the three and nine months ended September 30, 2022 and 2021, the fair value of shares to be issued under the ESPP was estimated using the following assumptions: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3000" w:type="dxa"/>
            <w:vAlign w:val="bottom"/>
            <w:gridSpan w:val="7"/>
          </w:tcPr>
          <w:p>
            <w:pPr>
              <w:jc w:val="right"/>
              <w:ind w:right="508"/>
              <w:spacing w:after="0"/>
              <w:rPr>
                <w:sz w:val="20"/>
                <w:szCs w:val="20"/>
                <w:color w:val="auto"/>
              </w:rPr>
            </w:pPr>
            <w:r>
              <w:rPr>
                <w:rFonts w:ascii="Arial" w:cs="Arial" w:eastAsia="Arial" w:hAnsi="Arial"/>
                <w:sz w:val="14"/>
                <w:szCs w:val="14"/>
                <w:b w:val="1"/>
                <w:bCs w:val="1"/>
                <w:color w:val="auto"/>
              </w:rPr>
              <w:t>Nine Months Ended September 30,</w:t>
            </w:r>
          </w:p>
        </w:tc>
      </w:tr>
      <w:tr>
        <w:trPr>
          <w:trHeight w:val="189"/>
        </w:trPr>
        <w:tc>
          <w:tcPr>
            <w:tcW w:w="45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in years</w:t>
            </w: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0.5 — 2.0</w:t>
            </w:r>
          </w:p>
        </w:tc>
        <w:tc>
          <w:tcPr>
            <w:tcW w:w="2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2"/>
              </w:rPr>
              <w:t>0.5 — 2.0</w:t>
            </w: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w:t>
            </w:r>
          </w:p>
        </w:tc>
      </w:tr>
      <w:tr>
        <w:trPr>
          <w:trHeight w:val="204"/>
        </w:trPr>
        <w:tc>
          <w:tcPr>
            <w:tcW w:w="4540" w:type="dxa"/>
            <w:vAlign w:val="bottom"/>
          </w:tcPr>
          <w:p>
            <w:pPr>
              <w:spacing w:after="0"/>
              <w:rPr>
                <w:sz w:val="20"/>
                <w:szCs w:val="20"/>
                <w:color w:val="auto"/>
              </w:rPr>
            </w:pPr>
            <w:r>
              <w:rPr>
                <w:rFonts w:ascii="Arial" w:cs="Arial" w:eastAsia="Arial" w:hAnsi="Arial"/>
                <w:sz w:val="14"/>
                <w:szCs w:val="14"/>
                <w:color w:val="auto"/>
              </w:rPr>
              <w:t>Expected volatility</w:t>
            </w:r>
          </w:p>
        </w:tc>
        <w:tc>
          <w:tcPr>
            <w:tcW w:w="260" w:type="dxa"/>
            <w:vAlign w:val="bottom"/>
          </w:tcPr>
          <w:p>
            <w:pPr>
              <w:spacing w:after="0"/>
              <w:rPr>
                <w:sz w:val="17"/>
                <w:szCs w:val="17"/>
                <w:color w:val="auto"/>
              </w:rPr>
            </w:pPr>
          </w:p>
        </w:tc>
        <w:tc>
          <w:tcPr>
            <w:tcW w:w="1300" w:type="dxa"/>
            <w:vAlign w:val="bottom"/>
          </w:tcPr>
          <w:p>
            <w:pPr>
              <w:jc w:val="center"/>
              <w:ind w:right="8"/>
              <w:spacing w:after="0"/>
              <w:rPr>
                <w:sz w:val="20"/>
                <w:szCs w:val="20"/>
                <w:color w:val="auto"/>
              </w:rPr>
            </w:pPr>
            <w:r>
              <w:rPr>
                <w:rFonts w:ascii="Arial" w:cs="Arial" w:eastAsia="Arial" w:hAnsi="Arial"/>
                <w:sz w:val="14"/>
                <w:szCs w:val="14"/>
                <w:color w:val="auto"/>
                <w:w w:val="92"/>
              </w:rPr>
              <w:t>97%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67%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w:t>
            </w:r>
          </w:p>
        </w:tc>
        <w:tc>
          <w:tcPr>
            <w:tcW w:w="800" w:type="dxa"/>
            <w:vAlign w:val="bottom"/>
          </w:tcPr>
          <w:p>
            <w:pPr>
              <w:ind w:left="20"/>
              <w:spacing w:after="0"/>
              <w:rPr>
                <w:sz w:val="20"/>
                <w:szCs w:val="20"/>
                <w:color w:val="auto"/>
              </w:rPr>
            </w:pPr>
            <w:r>
              <w:rPr>
                <w:rFonts w:ascii="Arial" w:cs="Arial" w:eastAsia="Arial" w:hAnsi="Arial"/>
                <w:sz w:val="14"/>
                <w:szCs w:val="14"/>
                <w:color w:val="auto"/>
              </w:rPr>
              <w:t>— 68%</w:t>
            </w:r>
          </w:p>
        </w:tc>
      </w:tr>
      <w:tr>
        <w:trPr>
          <w:trHeight w:val="204"/>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4"/>
              </w:rPr>
              <w:t>3.34% — 3.51%</w:t>
            </w: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4"/>
              </w:rPr>
              <w:t>0.06% — 0.20%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rPr>
              <w:t>3.51%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0.20%</w:t>
            </w:r>
          </w:p>
        </w:tc>
      </w:tr>
      <w:tr>
        <w:trPr>
          <w:trHeight w:val="204"/>
        </w:trPr>
        <w:tc>
          <w:tcPr>
            <w:tcW w:w="4540" w:type="dxa"/>
            <w:vAlign w:val="bottom"/>
          </w:tcPr>
          <w:p>
            <w:pPr>
              <w:spacing w:after="0"/>
              <w:rPr>
                <w:sz w:val="20"/>
                <w:szCs w:val="20"/>
                <w:color w:val="auto"/>
              </w:rPr>
            </w:pPr>
            <w:r>
              <w:rPr>
                <w:rFonts w:ascii="Arial" w:cs="Arial" w:eastAsia="Arial" w:hAnsi="Arial"/>
                <w:sz w:val="14"/>
                <w:szCs w:val="14"/>
                <w:color w:val="auto"/>
              </w:rPr>
              <w:t>Dividend yield</w:t>
            </w:r>
          </w:p>
        </w:tc>
        <w:tc>
          <w:tcPr>
            <w:tcW w:w="260" w:type="dxa"/>
            <w:vAlign w:val="bottom"/>
          </w:tcPr>
          <w:p>
            <w:pPr>
              <w:spacing w:after="0"/>
              <w:rPr>
                <w:sz w:val="17"/>
                <w:szCs w:val="17"/>
                <w:color w:val="auto"/>
              </w:rPr>
            </w:pPr>
          </w:p>
        </w:tc>
        <w:tc>
          <w:tcPr>
            <w:tcW w:w="14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t>
            </w:r>
          </w:p>
        </w:tc>
      </w:tr>
      <w:tr>
        <w:trPr>
          <w:trHeight w:val="204"/>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grant date fair value per share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5"/>
              </w:rPr>
              <w:t>3.40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16.73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center"/>
              <w:ind w:right="8"/>
              <w:spacing w:after="0"/>
              <w:rPr>
                <w:sz w:val="20"/>
                <w:szCs w:val="20"/>
                <w:color w:val="auto"/>
              </w:rPr>
            </w:pPr>
            <w:r>
              <w:rPr>
                <w:rFonts w:ascii="Arial" w:cs="Arial" w:eastAsia="Arial" w:hAnsi="Arial"/>
                <w:sz w:val="14"/>
                <w:szCs w:val="14"/>
                <w:color w:val="auto"/>
                <w:w w:val="87"/>
              </w:rPr>
              <w:t>4.28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25.07</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NET LOSS PER SHARE</w:t>
      </w:r>
    </w:p>
    <w:p>
      <w:pPr>
        <w:spacing w:after="0" w:line="97"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stock options, restricted stock units and common stock issuable pursuant to our employee stock purchase plan, or ESPP, using the treasury stock method.</w:t>
      </w:r>
    </w:p>
    <w:p>
      <w:pPr>
        <w:spacing w:after="0" w:line="6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following table presents the calculation of the basic and diluted net (loss) income per share amounts presented in the Condensed Consolidated Statements of Operations and Comprehensive Loss (in thousands, except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Numerator:</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48"/>
        </w:trPr>
        <w:tc>
          <w:tcPr>
            <w:tcW w:w="53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CEEFF"/>
            </w:tcBorders>
            <w:shd w:val="clear" w:color="auto" w:fill="CCEEFF"/>
          </w:tcPr>
          <w:p>
            <w:pPr>
              <w:ind w:left="180"/>
              <w:spacing w:after="0" w:line="157" w:lineRule="exact"/>
              <w:rPr>
                <w:sz w:val="20"/>
                <w:szCs w:val="20"/>
                <w:color w:val="auto"/>
              </w:rPr>
            </w:pPr>
            <w:r>
              <w:rPr>
                <w:rFonts w:ascii="Arial" w:cs="Arial" w:eastAsia="Arial" w:hAnsi="Arial"/>
                <w:sz w:val="14"/>
                <w:szCs w:val="14"/>
                <w:color w:val="auto"/>
              </w:rPr>
              <w:t>Net (loss) income</w:t>
            </w:r>
          </w:p>
        </w:tc>
        <w:tc>
          <w:tcPr>
            <w:tcW w:w="340" w:type="dxa"/>
            <w:vAlign w:val="bottom"/>
            <w:tcBorders>
              <w:bottom w:val="single" w:sz="8" w:color="auto"/>
            </w:tcBorders>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(76,971)</w:t>
            </w:r>
          </w:p>
        </w:tc>
        <w:tc>
          <w:tcPr>
            <w:tcW w:w="2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16,542</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(229,864)</w:t>
            </w: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08"/>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(111,894)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Denominator:</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57" w:lineRule="exact"/>
              <w:rPr>
                <w:sz w:val="20"/>
                <w:szCs w:val="20"/>
                <w:color w:val="auto"/>
              </w:rPr>
            </w:pPr>
            <w:r>
              <w:rPr>
                <w:rFonts w:ascii="Arial" w:cs="Arial" w:eastAsia="Arial" w:hAnsi="Arial"/>
                <w:sz w:val="14"/>
                <w:szCs w:val="14"/>
                <w:color w:val="auto"/>
              </w:rPr>
              <w:t>Basic</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Weighted average shares used in computing basic net (loss) income</w:t>
            </w: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225,123</w:t>
            </w:r>
          </w:p>
        </w:tc>
        <w:tc>
          <w:tcPr>
            <w:tcW w:w="2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202,194</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223,981</w:t>
            </w:r>
          </w:p>
        </w:tc>
        <w:tc>
          <w:tcPr>
            <w:tcW w:w="2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198,545</w:t>
            </w:r>
          </w:p>
        </w:tc>
        <w:tc>
          <w:tcPr>
            <w:tcW w:w="0" w:type="dxa"/>
            <w:vAlign w:val="bottom"/>
          </w:tcPr>
          <w:p>
            <w:pPr>
              <w:spacing w:after="0"/>
              <w:rPr>
                <w:sz w:val="1"/>
                <w:szCs w:val="1"/>
                <w:color w:val="auto"/>
              </w:rPr>
            </w:pPr>
          </w:p>
        </w:tc>
      </w:tr>
      <w:tr>
        <w:trPr>
          <w:trHeight w:val="188"/>
        </w:trPr>
        <w:tc>
          <w:tcPr>
            <w:tcW w:w="5340" w:type="dxa"/>
            <w:vAlign w:val="bottom"/>
            <w:gridSpan w:val="2"/>
          </w:tcPr>
          <w:p>
            <w:pPr>
              <w:spacing w:after="0" w:line="149" w:lineRule="exact"/>
              <w:rPr>
                <w:sz w:val="20"/>
                <w:szCs w:val="20"/>
                <w:color w:val="auto"/>
              </w:rPr>
            </w:pPr>
            <w:r>
              <w:rPr>
                <w:rFonts w:ascii="Arial" w:cs="Arial" w:eastAsia="Arial" w:hAnsi="Arial"/>
                <w:sz w:val="14"/>
                <w:szCs w:val="14"/>
                <w:color w:val="auto"/>
              </w:rPr>
              <w:t>Basic net (loss) income per share</w:t>
            </w:r>
          </w:p>
        </w:tc>
        <w:tc>
          <w:tcPr>
            <w:tcW w:w="34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(0.34)</w:t>
            </w:r>
          </w:p>
        </w:tc>
        <w:tc>
          <w:tcPr>
            <w:tcW w:w="200" w:type="dxa"/>
            <w:vAlign w:val="bottom"/>
          </w:tcPr>
          <w:p>
            <w:pPr>
              <w:spacing w:after="0"/>
              <w:rPr>
                <w:sz w:val="16"/>
                <w:szCs w:val="16"/>
                <w:color w:val="auto"/>
              </w:rPr>
            </w:pPr>
          </w:p>
        </w:tc>
        <w:tc>
          <w:tcPr>
            <w:tcW w:w="44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0.08</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(1.03)</w:t>
            </w:r>
          </w:p>
        </w:tc>
        <w:tc>
          <w:tcPr>
            <w:tcW w:w="200" w:type="dxa"/>
            <w:vAlign w:val="bottom"/>
          </w:tcPr>
          <w:p>
            <w:pPr>
              <w:spacing w:after="0"/>
              <w:rPr>
                <w:sz w:val="16"/>
                <w:szCs w:val="16"/>
                <w:color w:val="auto"/>
              </w:rPr>
            </w:pPr>
          </w:p>
        </w:tc>
        <w:tc>
          <w:tcPr>
            <w:tcW w:w="5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5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20" w:type="dxa"/>
            <w:vAlign w:val="bottom"/>
          </w:tcPr>
          <w:p>
            <w:pPr>
              <w:spacing w:after="0" w:line="157" w:lineRule="exact"/>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Weighted average shares used in computing basic net (loss) income per share</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225,123</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202,194</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223,981</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198,545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tcPr>
          <w:p>
            <w:pPr>
              <w:ind w:left="180"/>
              <w:spacing w:after="0"/>
              <w:rPr>
                <w:sz w:val="20"/>
                <w:szCs w:val="20"/>
                <w:color w:val="auto"/>
              </w:rPr>
            </w:pPr>
            <w:r>
              <w:rPr>
                <w:rFonts w:ascii="Arial" w:cs="Arial" w:eastAsia="Arial" w:hAnsi="Arial"/>
                <w:sz w:val="14"/>
                <w:szCs w:val="14"/>
                <w:color w:val="auto"/>
              </w:rPr>
              <w:t>Add: weighted average stock options</w:t>
            </w:r>
          </w:p>
        </w:tc>
        <w:tc>
          <w:tcPr>
            <w:tcW w:w="34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7,754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 weighted average restricted stock units</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180"/>
              <w:spacing w:after="0" w:line="157" w:lineRule="exact"/>
              <w:rPr>
                <w:sz w:val="20"/>
                <w:szCs w:val="20"/>
                <w:color w:val="auto"/>
              </w:rPr>
            </w:pPr>
            <w:r>
              <w:rPr>
                <w:rFonts w:ascii="Arial" w:cs="Arial" w:eastAsia="Arial" w:hAnsi="Arial"/>
                <w:sz w:val="14"/>
                <w:szCs w:val="14"/>
                <w:color w:val="auto"/>
              </w:rPr>
              <w:t>Add: weighted average common stock issuable pursuant to our ESPP</w:t>
            </w:r>
          </w:p>
        </w:tc>
        <w:tc>
          <w:tcPr>
            <w:tcW w:w="340" w:type="dxa"/>
            <w:vAlign w:val="bottom"/>
          </w:tcPr>
          <w:p>
            <w:pPr>
              <w:spacing w:after="0"/>
              <w:rPr>
                <w:sz w:val="13"/>
                <w:szCs w:val="13"/>
                <w:color w:val="auto"/>
              </w:rPr>
            </w:pPr>
          </w:p>
        </w:tc>
        <w:tc>
          <w:tcPr>
            <w:tcW w:w="122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1,581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Weighted average shares used in computing diluted net loss per share</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225,123</w:t>
            </w: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215,127</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223,981</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198,545</w:t>
            </w:r>
          </w:p>
        </w:tc>
        <w:tc>
          <w:tcPr>
            <w:tcW w:w="0" w:type="dxa"/>
            <w:vAlign w:val="bottom"/>
          </w:tcPr>
          <w:p>
            <w:pPr>
              <w:spacing w:after="0"/>
              <w:rPr>
                <w:sz w:val="1"/>
                <w:szCs w:val="1"/>
                <w:color w:val="auto"/>
              </w:rPr>
            </w:pPr>
          </w:p>
        </w:tc>
      </w:tr>
      <w:tr>
        <w:trPr>
          <w:trHeight w:val="172"/>
        </w:trPr>
        <w:tc>
          <w:tcPr>
            <w:tcW w:w="5340" w:type="dxa"/>
            <w:vAlign w:val="bottom"/>
            <w:gridSpan w:val="2"/>
          </w:tcPr>
          <w:p>
            <w:pPr>
              <w:spacing w:after="0"/>
              <w:rPr>
                <w:sz w:val="20"/>
                <w:szCs w:val="20"/>
                <w:color w:val="auto"/>
              </w:rPr>
            </w:pPr>
            <w:r>
              <w:rPr>
                <w:rFonts w:ascii="Arial" w:cs="Arial" w:eastAsia="Arial" w:hAnsi="Arial"/>
                <w:sz w:val="14"/>
                <w:szCs w:val="14"/>
                <w:color w:val="auto"/>
              </w:rPr>
              <w:t>Diluted net (loss) income per share</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(0.34)</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following outstanding shares issuable upon conversion of the convertible senior notes, common stock options, restricted stock units (“RSUs”), with time-based vesting and performance-based vesting and ESPP shares expected to be purchased, were excluded from the computation of diluted net (loss) income per share for the three and nine months ended September 30, 2022 and 2021 as the effect would be anti-dilutive or to reduce the net loss per share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20" w:type="dxa"/>
            <w:vAlign w:val="bottom"/>
            <w:gridSpan w:val="3"/>
          </w:tcPr>
          <w:p>
            <w:pPr>
              <w:jc w:val="center"/>
              <w:ind w:left="788"/>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81"/>
        </w:trPr>
        <w:tc>
          <w:tcPr>
            <w:tcW w:w="4800" w:type="dxa"/>
            <w:vAlign w:val="bottom"/>
          </w:tcPr>
          <w:p>
            <w:pPr>
              <w:spacing w:after="0"/>
              <w:rPr>
                <w:sz w:val="15"/>
                <w:szCs w:val="15"/>
                <w:color w:val="auto"/>
              </w:rPr>
            </w:pPr>
          </w:p>
        </w:tc>
        <w:tc>
          <w:tcPr>
            <w:tcW w:w="222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5"/>
                <w:szCs w:val="15"/>
                <w:color w:val="auto"/>
              </w:rPr>
            </w:pPr>
          </w:p>
        </w:tc>
      </w:tr>
      <w:tr>
        <w:trPr>
          <w:trHeight w:val="148"/>
        </w:trPr>
        <w:tc>
          <w:tcPr>
            <w:tcW w:w="48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w w:val="96"/>
              </w:rPr>
              <w:t>2021</w:t>
            </w:r>
          </w:p>
        </w:tc>
        <w:tc>
          <w:tcPr>
            <w:tcW w:w="3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b w:val="1"/>
                <w:bCs w:val="1"/>
                <w:color w:val="auto"/>
                <w:w w:val="96"/>
              </w:rPr>
              <w:t>2021</w:t>
            </w:r>
          </w:p>
        </w:tc>
      </w:tr>
      <w:tr>
        <w:trPr>
          <w:trHeight w:val="148"/>
        </w:trPr>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issuable upon conversion of convertible senior notes</w:t>
            </w:r>
          </w:p>
        </w:tc>
        <w:tc>
          <w:tcPr>
            <w:tcW w:w="14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20,690</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20,690</w:t>
            </w:r>
          </w:p>
        </w:tc>
        <w:tc>
          <w:tcPr>
            <w:tcW w:w="3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20,690</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20,690</w:t>
            </w:r>
          </w:p>
        </w:tc>
      </w:tr>
      <w:tr>
        <w:trPr>
          <w:trHeight w:val="204"/>
        </w:trPr>
        <w:tc>
          <w:tcPr>
            <w:tcW w:w="4800" w:type="dxa"/>
            <w:vAlign w:val="bottom"/>
          </w:tcPr>
          <w:p>
            <w:pPr>
              <w:spacing w:after="0"/>
              <w:rPr>
                <w:sz w:val="20"/>
                <w:szCs w:val="20"/>
                <w:color w:val="auto"/>
              </w:rPr>
            </w:pPr>
            <w:r>
              <w:rPr>
                <w:rFonts w:ascii="Arial" w:cs="Arial" w:eastAsia="Arial" w:hAnsi="Arial"/>
                <w:sz w:val="14"/>
                <w:szCs w:val="14"/>
                <w:color w:val="auto"/>
              </w:rPr>
              <w:t>Options to purchase common stock</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15,537</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2,326</w:t>
            </w:r>
          </w:p>
        </w:tc>
        <w:tc>
          <w:tcPr>
            <w:tcW w:w="300" w:type="dxa"/>
            <w:vAlign w:val="bottom"/>
          </w:tcPr>
          <w:p>
            <w:pPr>
              <w:spacing w:after="0"/>
              <w:rPr>
                <w:sz w:val="17"/>
                <w:szCs w:val="17"/>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15,537</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12,703</w:t>
            </w: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4"/>
                <w:szCs w:val="14"/>
                <w:color w:val="auto"/>
              </w:rPr>
              <w:t>RSUs</w:t>
            </w:r>
          </w:p>
        </w:tc>
        <w:tc>
          <w:tcPr>
            <w:tcW w:w="1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8,670</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2,006</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8,670</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6,835</w:t>
            </w:r>
          </w:p>
        </w:tc>
      </w:tr>
      <w:tr>
        <w:trPr>
          <w:trHeight w:val="210"/>
        </w:trPr>
        <w:tc>
          <w:tcPr>
            <w:tcW w:w="4800" w:type="dxa"/>
            <w:vAlign w:val="bottom"/>
          </w:tcPr>
          <w:p>
            <w:pPr>
              <w:spacing w:after="0"/>
              <w:rPr>
                <w:sz w:val="20"/>
                <w:szCs w:val="20"/>
                <w:color w:val="auto"/>
              </w:rPr>
            </w:pPr>
            <w:r>
              <w:rPr>
                <w:rFonts w:ascii="Arial" w:cs="Arial" w:eastAsia="Arial" w:hAnsi="Arial"/>
                <w:sz w:val="14"/>
                <w:szCs w:val="14"/>
                <w:color w:val="auto"/>
              </w:rPr>
              <w:t>ESPP shares</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3,880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126</w:t>
            </w:r>
          </w:p>
        </w:tc>
        <w:tc>
          <w:tcPr>
            <w:tcW w:w="300" w:type="dxa"/>
            <w:vAlign w:val="bottom"/>
          </w:tcPr>
          <w:p>
            <w:pPr>
              <w:spacing w:after="0"/>
              <w:rPr>
                <w:sz w:val="18"/>
                <w:szCs w:val="18"/>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3,880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1,564</w:t>
            </w:r>
          </w:p>
        </w:tc>
      </w:tr>
    </w:tbl>
    <w:p>
      <w:pPr>
        <w:spacing w:after="0" w:line="13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i w:val="1"/>
          <w:iCs w:val="1"/>
          <w:u w:val="single" w:color="auto"/>
          <w:color w:val="0000FF"/>
        </w:rPr>
        <w:t>Note 2. Business Acquisitions</w:t>
      </w:r>
      <w:r>
        <w:rPr>
          <w:rFonts w:ascii="Arial" w:cs="Arial" w:eastAsia="Arial" w:hAnsi="Arial"/>
          <w:sz w:val="16"/>
          <w:szCs w:val="16"/>
          <w:color w:val="auto"/>
        </w:rPr>
        <w:t xml:space="preserve"> in Part I, Item 1 of this Quarterly Report on Form 10-Q, the contingently issuable shares would be due upon the achievement of a milestone. See </w:t>
      </w:r>
      <w:r>
        <w:rPr>
          <w:rFonts w:ascii="Arial" w:cs="Arial" w:eastAsia="Arial" w:hAnsi="Arial"/>
          <w:sz w:val="16"/>
          <w:szCs w:val="16"/>
          <w:i w:val="1"/>
          <w:iCs w:val="1"/>
          <w:u w:val="single" w:color="auto"/>
          <w:color w:val="0000FF"/>
        </w:rPr>
        <w:t>Note 9. Stockholders’ Equity</w:t>
      </w:r>
      <w:r>
        <w:rPr>
          <w:rFonts w:ascii="Arial" w:cs="Arial" w:eastAsia="Arial" w:hAnsi="Arial"/>
          <w:sz w:val="16"/>
          <w:szCs w:val="16"/>
          <w:color w:val="auto"/>
        </w:rPr>
        <w:t xml:space="preserve"> in Part I, Item 1 of this Quarterly Report on Form 10-Q for detailed information on RSUs with time-based vesting and RSUs with performance-based vesting</w:t>
      </w:r>
      <w:r>
        <w:rPr>
          <w:rFonts w:ascii="Arial" w:cs="Arial" w:eastAsia="Arial" w:hAnsi="Arial"/>
          <w:sz w:val="19"/>
          <w:szCs w:val="19"/>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REVENUE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revenue by geographic location for the three and nine months ended September 30, 2022 and 2021 is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29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 September 30,</w:t>
            </w:r>
          </w:p>
        </w:tc>
      </w:tr>
      <w:tr>
        <w:trPr>
          <w:trHeight w:val="189"/>
        </w:trPr>
        <w:tc>
          <w:tcPr>
            <w:tcW w:w="41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Americas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16,743</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19,368</w:t>
            </w: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57,547</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45,872</w:t>
            </w:r>
          </w:p>
        </w:tc>
      </w:tr>
      <w:tr>
        <w:trPr>
          <w:trHeight w:val="204"/>
        </w:trPr>
        <w:tc>
          <w:tcPr>
            <w:tcW w:w="4140" w:type="dxa"/>
            <w:vAlign w:val="bottom"/>
          </w:tcPr>
          <w:p>
            <w:pPr>
              <w:spacing w:after="0"/>
              <w:rPr>
                <w:sz w:val="20"/>
                <w:szCs w:val="20"/>
                <w:color w:val="auto"/>
              </w:rPr>
            </w:pPr>
            <w:r>
              <w:rPr>
                <w:rFonts w:ascii="Arial" w:cs="Arial" w:eastAsia="Arial" w:hAnsi="Arial"/>
                <w:sz w:val="14"/>
                <w:szCs w:val="14"/>
                <w:color w:val="auto"/>
              </w:rPr>
              <w:t>Europe, Middle East and Africa</w:t>
            </w:r>
          </w:p>
        </w:tc>
        <w:tc>
          <w:tcPr>
            <w:tcW w:w="340" w:type="dxa"/>
            <w:vAlign w:val="bottom"/>
          </w:tcPr>
          <w:p>
            <w:pPr>
              <w:spacing w:after="0"/>
              <w:rPr>
                <w:sz w:val="17"/>
                <w:szCs w:val="17"/>
                <w:color w:val="auto"/>
              </w:rPr>
            </w:pP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5,997</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6,347</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17,432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21,166</w:t>
            </w:r>
          </w:p>
        </w:tc>
      </w:tr>
      <w:tr>
        <w:trPr>
          <w:trHeight w:val="204"/>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Asia-Pacific</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9,571</w:t>
            </w:r>
          </w:p>
        </w:tc>
        <w:tc>
          <w:tcPr>
            <w:tcW w:w="1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9,172</w:t>
            </w:r>
          </w:p>
        </w:tc>
        <w:tc>
          <w:tcPr>
            <w:tcW w:w="3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25,972</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27,456</w:t>
            </w:r>
          </w:p>
        </w:tc>
      </w:tr>
      <w:tr>
        <w:trPr>
          <w:trHeight w:val="172"/>
        </w:trPr>
        <w:tc>
          <w:tcPr>
            <w:tcW w:w="4140" w:type="dxa"/>
            <w:vAlign w:val="bottom"/>
          </w:tcPr>
          <w:p>
            <w:pPr>
              <w:ind w:left="20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32,311</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34,887</w:t>
            </w:r>
          </w:p>
        </w:tc>
        <w:tc>
          <w:tcPr>
            <w:tcW w:w="380" w:type="dxa"/>
            <w:vAlign w:val="bottom"/>
          </w:tcPr>
          <w:p>
            <w:pPr>
              <w:spacing w:after="0"/>
              <w:rPr>
                <w:sz w:val="14"/>
                <w:szCs w:val="1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100,951</w:t>
            </w:r>
          </w:p>
        </w:tc>
        <w:tc>
          <w:tcPr>
            <w:tcW w:w="18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94,494</w:t>
            </w:r>
          </w:p>
        </w:tc>
      </w:tr>
      <w:tr>
        <w:trPr>
          <w:trHeight w:val="20"/>
        </w:trPr>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revenue by category for the three and nine months ended September 30, 2022 and 2021 is as follows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29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89"/>
        </w:trPr>
        <w:tc>
          <w:tcPr>
            <w:tcW w:w="406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7"/>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Instrument revenue</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11,442</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15,926</w:t>
            </w: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42,611</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45,147</w:t>
            </w:r>
          </w:p>
        </w:tc>
      </w:tr>
      <w:tr>
        <w:trPr>
          <w:trHeight w:val="204"/>
        </w:trPr>
        <w:tc>
          <w:tcPr>
            <w:tcW w:w="4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Consumable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16,067</w:t>
            </w:r>
          </w:p>
        </w:tc>
        <w:tc>
          <w:tcPr>
            <w:tcW w:w="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14,576</w:t>
            </w:r>
          </w:p>
        </w:tc>
        <w:tc>
          <w:tcPr>
            <w:tcW w:w="4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43,317</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37,191</w:t>
            </w:r>
          </w:p>
        </w:tc>
      </w:tr>
      <w:tr>
        <w:trPr>
          <w:trHeight w:val="184"/>
        </w:trPr>
        <w:tc>
          <w:tcPr>
            <w:tcW w:w="4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Product revenue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27,509</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30,502</w:t>
            </w: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85,928</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82,338</w:t>
            </w:r>
          </w:p>
        </w:tc>
      </w:tr>
      <w:tr>
        <w:trPr>
          <w:trHeight w:val="204"/>
        </w:trPr>
        <w:tc>
          <w:tcPr>
            <w:tcW w:w="4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Service and other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4,802</w:t>
            </w:r>
          </w:p>
        </w:tc>
        <w:tc>
          <w:tcPr>
            <w:tcW w:w="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4,385</w:t>
            </w:r>
          </w:p>
        </w:tc>
        <w:tc>
          <w:tcPr>
            <w:tcW w:w="4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15,023</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12,156</w:t>
            </w:r>
          </w:p>
        </w:tc>
      </w:tr>
      <w:tr>
        <w:trPr>
          <w:trHeight w:val="172"/>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revenue</w:t>
            </w: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32,311</w:t>
            </w:r>
          </w:p>
        </w:tc>
        <w:tc>
          <w:tcPr>
            <w:tcW w:w="1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34,887</w:t>
            </w:r>
          </w:p>
        </w:tc>
        <w:tc>
          <w:tcPr>
            <w:tcW w:w="4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100,951</w:t>
            </w: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94,494</w:t>
            </w:r>
          </w:p>
        </w:tc>
      </w:tr>
      <w:tr>
        <w:trPr>
          <w:trHeight w:val="20"/>
        </w:trPr>
        <w:tc>
          <w:tcPr>
            <w:tcW w:w="4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85" w:lineRule="exact"/>
        <w:rPr>
          <w:sz w:val="20"/>
          <w:szCs w:val="20"/>
          <w:color w:val="auto"/>
        </w:rPr>
      </w:pPr>
    </w:p>
    <w:p>
      <w:pPr>
        <w:jc w:val="both"/>
        <w:spacing w:after="0" w:line="22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consolidated financial statements and the related notes included in our Annual Report on Form 10-K for the fiscal year ended December 31, 2021 filed with the U.S. Securities and Exchange Commission, or the SEC, on February 28, 2022, or our Annual Report on Form 10-K. This discussion contains forward-looking statements based upon current plans, expectations and beliefs that involve risks and uncertainties including the effect of the ongoing COVID-19 pandemic and our response thereto.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Our Management’s Discussion and Analysis (MD&amp;A) is organized into the following sections:</w:t>
      </w:r>
    </w:p>
    <w:p>
      <w:pPr>
        <w:spacing w:after="0" w:line="81" w:lineRule="exact"/>
        <w:rPr>
          <w:sz w:val="20"/>
          <w:szCs w:val="20"/>
          <w:color w:val="auto"/>
        </w:rPr>
      </w:pPr>
    </w:p>
    <w:p>
      <w:pPr>
        <w:ind w:left="580" w:hanging="295"/>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Overview and Outlook</w:t>
      </w:r>
    </w:p>
    <w:p>
      <w:pPr>
        <w:spacing w:after="0" w:line="56" w:lineRule="exact"/>
        <w:rPr>
          <w:rFonts w:ascii="Arial" w:cs="Arial" w:eastAsia="Arial" w:hAnsi="Arial"/>
          <w:sz w:val="16"/>
          <w:szCs w:val="16"/>
          <w:color w:val="auto"/>
        </w:rPr>
      </w:pPr>
    </w:p>
    <w:p>
      <w:pPr>
        <w:ind w:left="580" w:hanging="295"/>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Results of Operations</w:t>
      </w:r>
    </w:p>
    <w:p>
      <w:pPr>
        <w:spacing w:after="0" w:line="68" w:lineRule="exact"/>
        <w:rPr>
          <w:rFonts w:ascii="Arial" w:cs="Arial" w:eastAsia="Arial" w:hAnsi="Arial"/>
          <w:sz w:val="16"/>
          <w:szCs w:val="16"/>
          <w:color w:val="auto"/>
        </w:rPr>
      </w:pPr>
    </w:p>
    <w:p>
      <w:pPr>
        <w:ind w:left="580" w:hanging="295"/>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Liquidity and Capital Resources</w:t>
      </w:r>
    </w:p>
    <w:p>
      <w:pPr>
        <w:spacing w:after="0" w:line="56" w:lineRule="exact"/>
        <w:rPr>
          <w:rFonts w:ascii="Arial" w:cs="Arial" w:eastAsia="Arial" w:hAnsi="Arial"/>
          <w:sz w:val="16"/>
          <w:szCs w:val="16"/>
          <w:color w:val="auto"/>
        </w:rPr>
      </w:pPr>
    </w:p>
    <w:p>
      <w:pPr>
        <w:ind w:left="580" w:hanging="295"/>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Critical Accounting Policies and Estimates</w:t>
      </w:r>
    </w:p>
    <w:p>
      <w:pPr>
        <w:spacing w:after="0" w:line="68" w:lineRule="exact"/>
        <w:rPr>
          <w:rFonts w:ascii="Arial" w:cs="Arial" w:eastAsia="Arial" w:hAnsi="Arial"/>
          <w:sz w:val="16"/>
          <w:szCs w:val="16"/>
          <w:color w:val="auto"/>
        </w:rPr>
      </w:pPr>
    </w:p>
    <w:p>
      <w:pPr>
        <w:ind w:left="580" w:hanging="295"/>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Recent Accounting Pronouncements</w:t>
      </w:r>
    </w:p>
    <w:p>
      <w:pPr>
        <w:spacing w:after="0" w:line="56" w:lineRule="exact"/>
        <w:rPr>
          <w:rFonts w:ascii="Arial" w:cs="Arial" w:eastAsia="Arial" w:hAnsi="Arial"/>
          <w:sz w:val="16"/>
          <w:szCs w:val="16"/>
          <w:color w:val="auto"/>
        </w:rPr>
      </w:pPr>
    </w:p>
    <w:p>
      <w:pPr>
        <w:ind w:left="580" w:hanging="295"/>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Off Balance Sheet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and Outlook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About PacBio</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a premier life science technology company that is designing, developing, and manufacturing advanced sequencing solutions to help scientists and clinical researchers resolve genetically complex problems.</w:t>
      </w:r>
    </w:p>
    <w:p>
      <w:pPr>
        <w:spacing w:after="0" w:line="43"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Our products and technology under development stem from two highly differentiated core technologies focused on accuracy, quality and completeness which include our existing HiFi long-read sequencing and our emerging SBB short-read sequencing technologies. Our products address solutions across a broad set of research applications including human germline sequencing, plant and animal sciences, infectious disease and microbiology, oncology, and other emerging applications.</w:t>
      </w:r>
    </w:p>
    <w:p>
      <w:pPr>
        <w:spacing w:after="0" w:line="4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focus is on providing our customers with advanced sequencing technologies with higher throughput and improved workflows that we believe will enable dramatic advancements in routine healthcare.</w:t>
      </w:r>
    </w:p>
    <w:p>
      <w:pPr>
        <w:spacing w:after="0" w:line="4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As of September 30, 2022, our commercial team was comprised of over 192 employees, including 54 quota-carrying representatives, many with advanced degrees in biology and significant experience in the genomics industry.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Objectives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Our 2022 strategic objectives include:</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Execution - leveraging commercial investment to drive continued HiFi, Sequel II/IIe, and new product adoption;</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Progress our product pipeline - continuing the development of our future higher throughput HiFi sequencing platform and differentiated short-read technology; and</w:t>
      </w:r>
    </w:p>
    <w:p>
      <w:pPr>
        <w:spacing w:after="0" w:line="80"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Delight our customers - deepening our customer relationships and expanding customer collaborations across existing and rapidly expanding new applications for our technology.</w:t>
      </w:r>
    </w:p>
    <w:p>
      <w:pPr>
        <w:spacing w:after="0" w:line="68"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will continue to leverage our commercial organization and make significant improvements in efficiency and usability of our products to seek to reach a broader customer base. We believe the commercial investments we have already made and expect to continue to make during the remainder of 2022 will further help drive growth in our business.</w:t>
      </w:r>
    </w:p>
    <w:p>
      <w:pPr>
        <w:spacing w:after="0" w:line="73"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To increase the adoption of HiFi sequencing, we have various development programs in progress to expand our product portfolio as well as increase the throughput and improve the usability of our existing sequencing technologies. We continue to focus on programs to accelerate new platform launches in the near to mid-term as well as</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14"/>
          <w:szCs w:val="14"/>
          <w:color w:val="auto"/>
        </w:rPr>
        <w:t>increase applications for our technologies. In October 2022, we announced Revio</w:t>
      </w:r>
      <w:r>
        <w:rPr>
          <w:rFonts w:ascii="Arial" w:cs="Arial" w:eastAsia="Arial" w:hAnsi="Arial"/>
          <w:sz w:val="22"/>
          <w:szCs w:val="22"/>
          <w:color w:val="auto"/>
          <w:vertAlign w:val="superscript"/>
        </w:rPr>
        <w:t>TM</w:t>
      </w:r>
      <w:r>
        <w:rPr>
          <w:rFonts w:ascii="Arial" w:cs="Arial" w:eastAsia="Arial" w:hAnsi="Arial"/>
          <w:sz w:val="14"/>
          <w:szCs w:val="14"/>
          <w:color w:val="auto"/>
        </w:rPr>
        <w:t>, our new HiFi long-read sequencing system. We will begin taking orders in the fourth quarter of 2022 with shipments expected to commence in the first quarter of 2023. To address the oncology research markets with a highly differentiated alternative to our</w:t>
      </w:r>
    </w:p>
    <w:p>
      <w:pPr>
        <w:jc w:val="both"/>
        <w:ind w:right="20"/>
        <w:spacing w:after="0" w:line="203" w:lineRule="auto"/>
        <w:rPr>
          <w:sz w:val="20"/>
          <w:szCs w:val="20"/>
          <w:color w:val="auto"/>
        </w:rPr>
      </w:pPr>
      <w:r>
        <w:rPr>
          <w:rFonts w:ascii="Arial" w:cs="Arial" w:eastAsia="Arial" w:hAnsi="Arial"/>
          <w:sz w:val="16"/>
          <w:szCs w:val="16"/>
          <w:color w:val="auto"/>
        </w:rPr>
        <w:t>long-read technology and existing third party short-read sequencing products already on the market, we are also progressing development of Onso</w:t>
      </w:r>
      <w:r>
        <w:rPr>
          <w:rFonts w:ascii="Arial" w:cs="Arial" w:eastAsia="Arial" w:hAnsi="Arial"/>
          <w:sz w:val="26"/>
          <w:szCs w:val="26"/>
          <w:color w:val="auto"/>
          <w:vertAlign w:val="superscript"/>
        </w:rPr>
        <w:t>TM</w:t>
      </w:r>
      <w:r>
        <w:rPr>
          <w:rFonts w:ascii="Arial" w:cs="Arial" w:eastAsia="Arial" w:hAnsi="Arial"/>
          <w:sz w:val="16"/>
          <w:szCs w:val="16"/>
          <w:color w:val="auto"/>
        </w:rPr>
        <w:t>, our SBB short-read platform, with shipments expected to commence in the first half of 2023.</w:t>
      </w:r>
    </w:p>
    <w:p>
      <w:pPr>
        <w:spacing w:after="0" w:line="60"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continue to believe that with the capabilities of our HiFi chemistry and SMRT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Overview</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Broader macroeconomic dynamics including rising inflation, global supply chain constraints, volatile capital markets, competition and lockdown restrictions associated with COVID -19 have adversely impacted our customers and lengthened customer sales cycles. Additionally, lock downs in China have led to lower than previously anticipated revenue in the Asia-Pacific region as customers have difficulty accessing labs and lower sample volumes from which to sequence. We expect some headwinds from a strengthening U.S. dollar which impacts our revenue denominated in EUR and GBP but also impacts purchasing power of our customers in Asia as a stronger U.S. dollar makes buying our products more expensive.</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Ongoing global supply chain constraints and rising inflation are also increasing our costs; therefore, we expect these costs to impact gross margins and cash flow. Due to the rising costs from global supply chain constraints and rising inflation, we are moderating our hiring with the aim of reducing our operating expenses growth in 2022. We will continue to prioritize investments to develop and commercialize our new products, prioritizing opportunities that will generate a return over the near to mid-term.</w:t>
      </w:r>
    </w:p>
    <w:p>
      <w:pPr>
        <w:spacing w:after="0" w:line="54"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The degree of further adverse impacts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3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COVID-19 pandemic and efforts to control its spread have significantly curtailed the movement of people, goods, and services worldwide, including in the regions in which we sell our products and services and conduct our business operations. We have been negatively impacted by the COVID-19 pandemic and expect to continue to be impacted by COVID-19 for the foreseeable future. Due to the uncertain scope and duration of the pandemic, we cannot reasonably estimate the future impact to our operations and financial results.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spread of COVID-19 has caused us to modify our business practices, including limiting some of our commercial operations and limiting certain employees from working in the office. Starting in April 2022, we invited employees located near our reopened offices to return to the office.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See the Risk Factors section for further discussion of the possible impact of the COVID-19 pandemic on our business.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Key highlights of the nine months ended September 30, 2022 consolidated financial results include the following:</w:t>
      </w:r>
    </w:p>
    <w:p>
      <w:pPr>
        <w:spacing w:after="0" w:line="93" w:lineRule="exact"/>
        <w:rPr>
          <w:sz w:val="20"/>
          <w:szCs w:val="20"/>
          <w:color w:val="auto"/>
        </w:rPr>
      </w:pPr>
    </w:p>
    <w:p>
      <w:pPr>
        <w:ind w:left="580" w:right="20"/>
        <w:spacing w:after="0" w:line="259" w:lineRule="auto"/>
        <w:rPr>
          <w:sz w:val="20"/>
          <w:szCs w:val="20"/>
          <w:color w:val="auto"/>
        </w:rPr>
      </w:pPr>
      <w:r>
        <w:rPr>
          <w:rFonts w:ascii="Arial" w:cs="Arial" w:eastAsia="Arial" w:hAnsi="Arial"/>
          <w:sz w:val="14"/>
          <w:szCs w:val="14"/>
          <w:color w:val="auto"/>
        </w:rPr>
        <w:t>Revenue increased $6.5 million, or 7%, to $101.0 million for the nine months ended September 30, 2022, as compared to $94.5 million for the nine months ended September 30, 2021, driven primarily by an increase in consumable and service revenue from the growth of our installed base of Sequel II/IIe instruments. Future revenue growth is, in part, dependent on the sales of sequencing instruments, which are a leading indicator of consumables sales. While we expect to continue to sell Sequel II/IIe instruments during the remainder of 2022 and beyond, we anticipate the launch of our new long-read instrument, Revio</w:t>
      </w:r>
      <w:r>
        <w:rPr>
          <w:rFonts w:ascii="Arial" w:cs="Arial" w:eastAsia="Arial" w:hAnsi="Arial"/>
          <w:sz w:val="22"/>
          <w:szCs w:val="22"/>
          <w:color w:val="auto"/>
          <w:vertAlign w:val="superscript"/>
        </w:rPr>
        <w:t>TM</w:t>
      </w:r>
      <w:r>
        <w:rPr>
          <w:rFonts w:ascii="Arial" w:cs="Arial" w:eastAsia="Arial" w:hAnsi="Arial"/>
          <w:sz w:val="14"/>
          <w:szCs w:val="14"/>
          <w:color w:val="auto"/>
        </w:rPr>
        <w:t>, will impact sales of our Sequel IIe platform. Further, we may continue to experience an impact from lengthening sales cycles due to global macroeconomic factors.</w:t>
      </w:r>
    </w:p>
    <w:p>
      <w:pPr>
        <w:spacing w:after="0" w:line="54" w:lineRule="exact"/>
        <w:rPr>
          <w:sz w:val="20"/>
          <w:szCs w:val="20"/>
          <w:color w:val="auto"/>
        </w:rPr>
      </w:pPr>
    </w:p>
    <w:p>
      <w:pPr>
        <w:ind w:left="580"/>
        <w:spacing w:after="0" w:line="232" w:lineRule="auto"/>
        <w:rPr>
          <w:sz w:val="20"/>
          <w:szCs w:val="20"/>
          <w:color w:val="auto"/>
        </w:rPr>
      </w:pPr>
      <w:r>
        <w:rPr>
          <w:rFonts w:ascii="Arial" w:cs="Arial" w:eastAsia="Arial" w:hAnsi="Arial"/>
          <w:sz w:val="16"/>
          <w:szCs w:val="16"/>
          <w:color w:val="auto"/>
        </w:rPr>
        <w:t>Gross profit as a percentage of revenue (gross margin) was 43.5% for the nine months ended September 30, 2022, compared to 44.5% for the nine months ended September 30, 2021. Gross margin declined due primarily to a decrease in instrument volume and average selling price as well as higher overall product costs. Our gross margin in future periods will depend on several factors, including new product transitions, strategic product pricing; product mix; sales of higher-margin consumables; supply chain constraints and inflation increasing costs of raw materials; manufacturing capacity and production volumes impacting the cost of inventory; freight costs; and excess or obsolete inventories.</w:t>
      </w:r>
    </w:p>
    <w:p>
      <w:pPr>
        <w:spacing w:after="0" w:line="72" w:lineRule="exact"/>
        <w:rPr>
          <w:sz w:val="20"/>
          <w:szCs w:val="20"/>
          <w:color w:val="auto"/>
        </w:rPr>
      </w:pPr>
    </w:p>
    <w:p>
      <w:pPr>
        <w:ind w:left="580"/>
        <w:spacing w:after="0" w:line="230" w:lineRule="auto"/>
        <w:rPr>
          <w:sz w:val="20"/>
          <w:szCs w:val="20"/>
          <w:color w:val="auto"/>
        </w:rPr>
      </w:pPr>
      <w:r>
        <w:rPr>
          <w:rFonts w:ascii="Arial" w:cs="Arial" w:eastAsia="Arial" w:hAnsi="Arial"/>
          <w:sz w:val="16"/>
          <w:szCs w:val="16"/>
          <w:color w:val="auto"/>
        </w:rPr>
        <w:t xml:space="preserve">Loss from operations increased $74.4 million or 51%, to a loss of $220.1 million for the nine months ended September 30, 2022, as compared to a loss of $145.8 million for the nine months ended September 30, 2021, driven primarily by an increase of $76.2 million in operating expenses, including a $80.1 million increase in research and development expenses, primarily due to the Omniome acquisition and the establishment of an advanced research organization, and a $29.0 million increase in sales, general, and administrative expenses, partially offset by a $30.7 million decrease in non-recurring merger-related costs incurred in 2021 and a $2.2 million gain related to the change in the fair value of contingent consideration. See </w:t>
      </w:r>
      <w:r>
        <w:rPr>
          <w:rFonts w:ascii="Arial" w:cs="Arial" w:eastAsia="Arial" w:hAnsi="Arial"/>
          <w:sz w:val="16"/>
          <w:szCs w:val="16"/>
          <w:i w:val="1"/>
          <w:iCs w:val="1"/>
          <w:u w:val="single" w:color="auto"/>
          <w:color w:val="0000FF"/>
        </w:rPr>
        <w:t>Note 2. Business Acquisitions</w:t>
      </w:r>
      <w:r>
        <w:rPr>
          <w:rFonts w:ascii="Arial" w:cs="Arial" w:eastAsia="Arial" w:hAnsi="Arial"/>
          <w:sz w:val="16"/>
          <w:szCs w:val="16"/>
          <w:color w:val="auto"/>
        </w:rPr>
        <w:t xml:space="preserve"> in Part I, Item 1 of this Quarterly Report on Form 10-Q for further details.</w:t>
      </w:r>
    </w:p>
    <w:p>
      <w:pPr>
        <w:spacing w:after="0" w:line="72"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Cash, cash equivalents, and short-term investments were $834.3 million at September 30, 2022, which represents a 20.1% decrease compared to the balance at December 31, 2021.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September 30,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5"/>
              </w:rPr>
              <w:t>Three Months Ended September 30,</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w w:val="93"/>
              </w:rPr>
              <w:t>Change</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8"/>
        </w:trPr>
        <w:tc>
          <w:tcPr>
            <w:tcW w:w="552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3"/>
          </w:tcPr>
          <w:p>
            <w:pPr>
              <w:jc w:val="right"/>
              <w:ind w:right="488"/>
              <w:spacing w:after="0" w:line="149" w:lineRule="exact"/>
              <w:rPr>
                <w:sz w:val="20"/>
                <w:szCs w:val="20"/>
                <w:color w:val="auto"/>
              </w:rPr>
            </w:pPr>
            <w:r>
              <w:rPr>
                <w:rFonts w:ascii="Arial" w:cs="Arial" w:eastAsia="Arial" w:hAnsi="Arial"/>
                <w:sz w:val="14"/>
                <w:szCs w:val="14"/>
                <w:b w:val="1"/>
                <w:bCs w:val="1"/>
                <w:color w:val="auto"/>
                <w:w w:val="91"/>
              </w:rPr>
              <w:t>(in thousands, except percentages)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Product revenue</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27,509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30,502</w:t>
            </w:r>
          </w:p>
        </w:tc>
        <w:tc>
          <w:tcPr>
            <w:tcW w:w="64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68"/>
              <w:spacing w:after="0" w:line="157" w:lineRule="exact"/>
              <w:rPr>
                <w:sz w:val="20"/>
                <w:szCs w:val="20"/>
                <w:color w:val="auto"/>
              </w:rPr>
            </w:pPr>
            <w:r>
              <w:rPr>
                <w:rFonts w:ascii="Arial" w:cs="Arial" w:eastAsia="Arial" w:hAnsi="Arial"/>
                <w:sz w:val="14"/>
                <w:szCs w:val="14"/>
                <w:color w:val="auto"/>
              </w:rPr>
              <w:t>(2,993)</w:t>
            </w:r>
          </w:p>
        </w:tc>
        <w:tc>
          <w:tcPr>
            <w:tcW w:w="12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CEEFF"/>
            </w:tcBorders>
          </w:tcPr>
          <w:p>
            <w:pPr>
              <w:ind w:left="380"/>
              <w:spacing w:after="0" w:line="157" w:lineRule="exact"/>
              <w:rPr>
                <w:sz w:val="20"/>
                <w:szCs w:val="20"/>
                <w:color w:val="auto"/>
              </w:rPr>
            </w:pPr>
            <w:r>
              <w:rPr>
                <w:rFonts w:ascii="Arial" w:cs="Arial" w:eastAsia="Arial" w:hAnsi="Arial"/>
                <w:sz w:val="14"/>
                <w:szCs w:val="14"/>
                <w:color w:val="auto"/>
              </w:rPr>
              <w:t>Service and other revenue</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4,802</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4,385</w:t>
            </w:r>
          </w:p>
        </w:tc>
        <w:tc>
          <w:tcPr>
            <w:tcW w:w="6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jc w:val="right"/>
              <w:ind w:right="268"/>
              <w:spacing w:after="0" w:line="157" w:lineRule="exact"/>
              <w:rPr>
                <w:sz w:val="20"/>
                <w:szCs w:val="20"/>
                <w:color w:val="auto"/>
              </w:rPr>
            </w:pPr>
            <w:r>
              <w:rPr>
                <w:rFonts w:ascii="Arial" w:cs="Arial" w:eastAsia="Arial" w:hAnsi="Arial"/>
                <w:sz w:val="14"/>
                <w:szCs w:val="14"/>
                <w:color w:val="auto"/>
              </w:rPr>
              <w:t>417</w:t>
            </w:r>
          </w:p>
        </w:tc>
        <w:tc>
          <w:tcPr>
            <w:tcW w:w="1260" w:type="dxa"/>
            <w:vAlign w:val="bottom"/>
            <w:tcBorders>
              <w:bottom w:val="single" w:sz="8" w:color="CCEEFF"/>
            </w:tcBorders>
          </w:tcPr>
          <w:p>
            <w:pPr>
              <w:jc w:val="right"/>
              <w:ind w:right="168"/>
              <w:spacing w:after="0" w:line="15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32,311</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34,887</w:t>
            </w: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(2,576)</w:t>
            </w:r>
          </w:p>
        </w:tc>
        <w:tc>
          <w:tcPr>
            <w:tcW w:w="12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Arial" w:cs="Arial" w:eastAsia="Arial" w:hAnsi="Arial"/>
                <w:sz w:val="14"/>
                <w:szCs w:val="14"/>
                <w:color w:val="auto"/>
              </w:rPr>
              <w:t>Cost of revenue: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Cost of product revenue</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15,568</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15,530</w:t>
            </w: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68"/>
              <w:spacing w:after="0" w:line="157" w:lineRule="exact"/>
              <w:rPr>
                <w:sz w:val="20"/>
                <w:szCs w:val="20"/>
                <w:color w:val="auto"/>
              </w:rPr>
            </w:pPr>
            <w:r>
              <w:rPr>
                <w:rFonts w:ascii="Arial" w:cs="Arial" w:eastAsia="Arial" w:hAnsi="Arial"/>
                <w:sz w:val="14"/>
                <w:szCs w:val="14"/>
                <w:color w:val="auto"/>
              </w:rPr>
              <w:t>38</w:t>
            </w:r>
          </w:p>
        </w:tc>
        <w:tc>
          <w:tcPr>
            <w:tcW w:w="12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5520" w:type="dxa"/>
            <w:vAlign w:val="bottom"/>
          </w:tcPr>
          <w:p>
            <w:pPr>
              <w:ind w:left="380"/>
              <w:spacing w:after="0" w:line="157" w:lineRule="exact"/>
              <w:rPr>
                <w:sz w:val="20"/>
                <w:szCs w:val="20"/>
                <w:color w:val="auto"/>
              </w:rPr>
            </w:pPr>
            <w:r>
              <w:rPr>
                <w:rFonts w:ascii="Arial" w:cs="Arial" w:eastAsia="Arial" w:hAnsi="Arial"/>
                <w:sz w:val="14"/>
                <w:szCs w:val="14"/>
                <w:color w:val="auto"/>
              </w:rPr>
              <w:t>Cost of service and other revenue</w:t>
            </w:r>
          </w:p>
        </w:tc>
        <w:tc>
          <w:tcPr>
            <w:tcW w:w="240" w:type="dxa"/>
            <w:vAlign w:val="bottom"/>
          </w:tcPr>
          <w:p>
            <w:pPr>
              <w:spacing w:after="0"/>
              <w:rPr>
                <w:sz w:val="13"/>
                <w:szCs w:val="13"/>
                <w:color w:val="auto"/>
              </w:rPr>
            </w:pPr>
          </w:p>
        </w:tc>
        <w:tc>
          <w:tcPr>
            <w:tcW w:w="11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3,012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3,870</w:t>
            </w:r>
          </w:p>
        </w:tc>
        <w:tc>
          <w:tcPr>
            <w:tcW w:w="640" w:type="dxa"/>
            <w:vAlign w:val="bottom"/>
          </w:tcPr>
          <w:p>
            <w:pPr>
              <w:spacing w:after="0"/>
              <w:rPr>
                <w:sz w:val="13"/>
                <w:szCs w:val="13"/>
                <w:color w:val="auto"/>
              </w:rPr>
            </w:pPr>
          </w:p>
        </w:tc>
        <w:tc>
          <w:tcPr>
            <w:tcW w:w="98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(858)</w:t>
            </w:r>
          </w:p>
        </w:tc>
        <w:tc>
          <w:tcPr>
            <w:tcW w:w="126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Amortization of intangible assets</w:t>
            </w: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184</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123</w:t>
            </w: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68"/>
              <w:spacing w:after="0" w:line="157" w:lineRule="exact"/>
              <w:rPr>
                <w:sz w:val="20"/>
                <w:szCs w:val="20"/>
                <w:color w:val="auto"/>
              </w:rPr>
            </w:pPr>
            <w:r>
              <w:rPr>
                <w:rFonts w:ascii="Arial" w:cs="Arial" w:eastAsia="Arial" w:hAnsi="Arial"/>
                <w:sz w:val="14"/>
                <w:szCs w:val="14"/>
                <w:color w:val="auto"/>
              </w:rPr>
              <w:t>61</w:t>
            </w:r>
          </w:p>
        </w:tc>
        <w:tc>
          <w:tcPr>
            <w:tcW w:w="12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5520" w:type="dxa"/>
            <w:vAlign w:val="bottom"/>
            <w:tcBorders>
              <w:bottom w:val="single" w:sz="8" w:color="CCEEFF"/>
            </w:tcBorders>
          </w:tcPr>
          <w:p>
            <w:pPr>
              <w:ind w:left="660"/>
              <w:spacing w:after="0" w:line="149" w:lineRule="exact"/>
              <w:rPr>
                <w:sz w:val="20"/>
                <w:szCs w:val="20"/>
                <w:color w:val="auto"/>
              </w:rPr>
            </w:pPr>
            <w:r>
              <w:rPr>
                <w:rFonts w:ascii="Arial" w:cs="Arial" w:eastAsia="Arial" w:hAnsi="Arial"/>
                <w:sz w:val="14"/>
                <w:szCs w:val="14"/>
                <w:color w:val="auto"/>
              </w:rPr>
              <w:t>Total cost of revenue</w:t>
            </w: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18,764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19,523</w:t>
            </w:r>
          </w:p>
        </w:tc>
        <w:tc>
          <w:tcPr>
            <w:tcW w:w="6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ind w:right="268"/>
              <w:spacing w:after="0" w:line="149" w:lineRule="exact"/>
              <w:rPr>
                <w:sz w:val="20"/>
                <w:szCs w:val="20"/>
                <w:color w:val="auto"/>
              </w:rPr>
            </w:pPr>
            <w:r>
              <w:rPr>
                <w:rFonts w:ascii="Arial" w:cs="Arial" w:eastAsia="Arial" w:hAnsi="Arial"/>
                <w:sz w:val="14"/>
                <w:szCs w:val="14"/>
                <w:color w:val="auto"/>
              </w:rPr>
              <w:t>(759)</w:t>
            </w:r>
          </w:p>
        </w:tc>
        <w:tc>
          <w:tcPr>
            <w:tcW w:w="126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13,547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15,364</w:t>
            </w: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(1,817)</w:t>
            </w:r>
          </w:p>
        </w:tc>
        <w:tc>
          <w:tcPr>
            <w:tcW w:w="12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Arial" w:cs="Arial" w:eastAsia="Arial" w:hAnsi="Arial"/>
                <w:sz w:val="14"/>
                <w:szCs w:val="14"/>
                <w:color w:val="auto"/>
              </w:rPr>
              <w:t>Operating expense: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47,092</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27,508</w:t>
            </w: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68"/>
              <w:spacing w:after="0" w:line="157" w:lineRule="exact"/>
              <w:rPr>
                <w:sz w:val="20"/>
                <w:szCs w:val="20"/>
                <w:color w:val="auto"/>
              </w:rPr>
            </w:pPr>
            <w:r>
              <w:rPr>
                <w:rFonts w:ascii="Arial" w:cs="Arial" w:eastAsia="Arial" w:hAnsi="Arial"/>
                <w:sz w:val="14"/>
                <w:szCs w:val="14"/>
                <w:color w:val="auto"/>
              </w:rPr>
              <w:t>19,584</w:t>
            </w:r>
          </w:p>
        </w:tc>
        <w:tc>
          <w:tcPr>
            <w:tcW w:w="12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56"/>
        </w:trPr>
        <w:tc>
          <w:tcPr>
            <w:tcW w:w="5520" w:type="dxa"/>
            <w:vAlign w:val="bottom"/>
          </w:tcPr>
          <w:p>
            <w:pPr>
              <w:ind w:left="380"/>
              <w:spacing w:after="0" w:line="157" w:lineRule="exact"/>
              <w:rPr>
                <w:sz w:val="20"/>
                <w:szCs w:val="20"/>
                <w:color w:val="auto"/>
              </w:rPr>
            </w:pPr>
            <w:r>
              <w:rPr>
                <w:rFonts w:ascii="Arial" w:cs="Arial" w:eastAsia="Arial" w:hAnsi="Arial"/>
                <w:sz w:val="14"/>
                <w:szCs w:val="14"/>
                <w:color w:val="auto"/>
              </w:rPr>
              <w:t>Sales, general and administrative</w:t>
            </w:r>
          </w:p>
        </w:tc>
        <w:tc>
          <w:tcPr>
            <w:tcW w:w="240" w:type="dxa"/>
            <w:vAlign w:val="bottom"/>
          </w:tcPr>
          <w:p>
            <w:pPr>
              <w:spacing w:after="0"/>
              <w:rPr>
                <w:sz w:val="13"/>
                <w:szCs w:val="13"/>
                <w:color w:val="auto"/>
              </w:rPr>
            </w:pPr>
          </w:p>
        </w:tc>
        <w:tc>
          <w:tcPr>
            <w:tcW w:w="11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36,795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31,606</w:t>
            </w:r>
          </w:p>
        </w:tc>
        <w:tc>
          <w:tcPr>
            <w:tcW w:w="640" w:type="dxa"/>
            <w:vAlign w:val="bottom"/>
          </w:tcPr>
          <w:p>
            <w:pPr>
              <w:spacing w:after="0"/>
              <w:rPr>
                <w:sz w:val="13"/>
                <w:szCs w:val="13"/>
                <w:color w:val="auto"/>
              </w:rPr>
            </w:pPr>
          </w:p>
        </w:tc>
        <w:tc>
          <w:tcPr>
            <w:tcW w:w="98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5,189</w:t>
            </w:r>
          </w:p>
        </w:tc>
        <w:tc>
          <w:tcPr>
            <w:tcW w:w="126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Merger-related expenses</w:t>
            </w:r>
          </w:p>
        </w:tc>
        <w:tc>
          <w:tcPr>
            <w:tcW w:w="2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30,726</w:t>
            </w: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68"/>
              <w:spacing w:after="0" w:line="157" w:lineRule="exact"/>
              <w:rPr>
                <w:sz w:val="20"/>
                <w:szCs w:val="20"/>
                <w:color w:val="auto"/>
              </w:rPr>
            </w:pPr>
            <w:r>
              <w:rPr>
                <w:rFonts w:ascii="Arial" w:cs="Arial" w:eastAsia="Arial" w:hAnsi="Arial"/>
                <w:sz w:val="14"/>
                <w:szCs w:val="14"/>
                <w:color w:val="auto"/>
              </w:rPr>
              <w:t>(30,726)</w:t>
            </w:r>
          </w:p>
        </w:tc>
        <w:tc>
          <w:tcPr>
            <w:tcW w:w="12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CEEFF"/>
            </w:tcBorders>
          </w:tcPr>
          <w:p>
            <w:pPr>
              <w:ind w:left="380"/>
              <w:spacing w:after="0" w:line="157" w:lineRule="exact"/>
              <w:rPr>
                <w:sz w:val="20"/>
                <w:szCs w:val="20"/>
                <w:color w:val="auto"/>
              </w:rPr>
            </w:pPr>
            <w:r>
              <w:rPr>
                <w:rFonts w:ascii="Arial" w:cs="Arial" w:eastAsia="Arial" w:hAnsi="Arial"/>
                <w:sz w:val="14"/>
                <w:szCs w:val="14"/>
                <w:color w:val="auto"/>
              </w:rPr>
              <w:t>Change in fair value of contingent consideration</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4,280</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jc w:val="right"/>
              <w:ind w:right="268"/>
              <w:spacing w:after="0" w:line="157" w:lineRule="exact"/>
              <w:rPr>
                <w:sz w:val="20"/>
                <w:szCs w:val="20"/>
                <w:color w:val="auto"/>
              </w:rPr>
            </w:pPr>
            <w:r>
              <w:rPr>
                <w:rFonts w:ascii="Arial" w:cs="Arial" w:eastAsia="Arial" w:hAnsi="Arial"/>
                <w:sz w:val="14"/>
                <w:szCs w:val="14"/>
                <w:color w:val="auto"/>
              </w:rPr>
              <w:t>4,280</w:t>
            </w:r>
          </w:p>
        </w:tc>
        <w:tc>
          <w:tcPr>
            <w:tcW w:w="1260" w:type="dxa"/>
            <w:vAlign w:val="bottom"/>
            <w:tcBorders>
              <w:bottom w:val="single" w:sz="8" w:color="CCEEFF"/>
            </w:tcBorders>
          </w:tcPr>
          <w:p>
            <w:pPr>
              <w:jc w:val="right"/>
              <w:ind w:right="168"/>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operating expense</w:t>
            </w:r>
          </w:p>
        </w:tc>
        <w:tc>
          <w:tcPr>
            <w:tcW w:w="2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88,167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89,840</w:t>
            </w: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(1,673)</w:t>
            </w:r>
          </w:p>
        </w:tc>
        <w:tc>
          <w:tcPr>
            <w:tcW w:w="12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Arial" w:cs="Arial" w:eastAsia="Arial" w:hAnsi="Arial"/>
                <w:sz w:val="14"/>
                <w:szCs w:val="14"/>
                <w:color w:val="auto"/>
              </w:rPr>
              <w:t>Operating loss</w:t>
            </w:r>
          </w:p>
        </w:tc>
        <w:tc>
          <w:tcPr>
            <w:tcW w:w="24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(74,620)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(74,476)</w:t>
            </w:r>
          </w:p>
        </w:tc>
        <w:tc>
          <w:tcPr>
            <w:tcW w:w="640" w:type="dxa"/>
            <w:vAlign w:val="bottom"/>
          </w:tcPr>
          <w:p>
            <w:pPr>
              <w:spacing w:after="0"/>
              <w:rPr>
                <w:sz w:val="12"/>
                <w:szCs w:val="12"/>
                <w:color w:val="auto"/>
              </w:rPr>
            </w:pPr>
          </w:p>
        </w:tc>
        <w:tc>
          <w:tcPr>
            <w:tcW w:w="9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(144)</w:t>
            </w: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(3,664)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(3,673)</w:t>
            </w: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68"/>
              <w:spacing w:after="0" w:line="157" w:lineRule="exact"/>
              <w:rPr>
                <w:sz w:val="20"/>
                <w:szCs w:val="20"/>
                <w:color w:val="auto"/>
              </w:rPr>
            </w:pPr>
            <w:r>
              <w:rPr>
                <w:rFonts w:ascii="Arial" w:cs="Arial" w:eastAsia="Arial" w:hAnsi="Arial"/>
                <w:sz w:val="14"/>
                <w:szCs w:val="14"/>
                <w:color w:val="auto"/>
              </w:rPr>
              <w:t>9</w:t>
            </w:r>
          </w:p>
        </w:tc>
        <w:tc>
          <w:tcPr>
            <w:tcW w:w="12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CEEFF"/>
            </w:tcBorders>
          </w:tcPr>
          <w:p>
            <w:pPr>
              <w:ind w:left="380"/>
              <w:spacing w:after="0" w:line="157" w:lineRule="exact"/>
              <w:rPr>
                <w:sz w:val="20"/>
                <w:szCs w:val="20"/>
                <w:color w:val="auto"/>
              </w:rPr>
            </w:pPr>
            <w:r>
              <w:rPr>
                <w:rFonts w:ascii="Arial" w:cs="Arial" w:eastAsia="Arial" w:hAnsi="Arial"/>
                <w:sz w:val="14"/>
                <w:szCs w:val="14"/>
                <w:color w:val="auto"/>
              </w:rPr>
              <w:t>Other income (loss), net</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1,313</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(133)</w:t>
            </w:r>
          </w:p>
        </w:tc>
        <w:tc>
          <w:tcPr>
            <w:tcW w:w="6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jc w:val="right"/>
              <w:ind w:right="268"/>
              <w:spacing w:after="0" w:line="157" w:lineRule="exact"/>
              <w:rPr>
                <w:sz w:val="20"/>
                <w:szCs w:val="20"/>
                <w:color w:val="auto"/>
              </w:rPr>
            </w:pPr>
            <w:r>
              <w:rPr>
                <w:rFonts w:ascii="Arial" w:cs="Arial" w:eastAsia="Arial" w:hAnsi="Arial"/>
                <w:sz w:val="14"/>
                <w:szCs w:val="14"/>
                <w:color w:val="auto"/>
              </w:rPr>
              <w:t>1,446</w:t>
            </w:r>
          </w:p>
        </w:tc>
        <w:tc>
          <w:tcPr>
            <w:tcW w:w="1260" w:type="dxa"/>
            <w:vAlign w:val="bottom"/>
            <w:tcBorders>
              <w:bottom w:val="single" w:sz="8" w:color="CCEEFF"/>
            </w:tcBorders>
          </w:tcPr>
          <w:p>
            <w:pPr>
              <w:jc w:val="right"/>
              <w:ind w:right="168"/>
              <w:spacing w:after="0" w:line="157" w:lineRule="exact"/>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benefit from income taxes</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(76,971)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(78,282)</w:t>
            </w: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1,311</w:t>
            </w:r>
          </w:p>
        </w:tc>
        <w:tc>
          <w:tcPr>
            <w:tcW w:w="12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5520" w:type="dxa"/>
            <w:vAlign w:val="bottom"/>
          </w:tcPr>
          <w:p>
            <w:pPr>
              <w:spacing w:after="0" w:line="157" w:lineRule="exact"/>
              <w:rPr>
                <w:sz w:val="20"/>
                <w:szCs w:val="20"/>
                <w:color w:val="auto"/>
              </w:rPr>
            </w:pPr>
            <w:r>
              <w:rPr>
                <w:rFonts w:ascii="Arial" w:cs="Arial" w:eastAsia="Arial" w:hAnsi="Arial"/>
                <w:sz w:val="14"/>
                <w:szCs w:val="14"/>
                <w:color w:val="auto"/>
              </w:rPr>
              <w:t>Benefit from income taxes</w:t>
            </w:r>
          </w:p>
        </w:tc>
        <w:tc>
          <w:tcPr>
            <w:tcW w:w="240" w:type="dxa"/>
            <w:vAlign w:val="bottom"/>
          </w:tcPr>
          <w:p>
            <w:pPr>
              <w:spacing w:after="0"/>
              <w:rPr>
                <w:sz w:val="13"/>
                <w:szCs w:val="13"/>
                <w:color w:val="auto"/>
              </w:rPr>
            </w:pPr>
          </w:p>
        </w:tc>
        <w:tc>
          <w:tcPr>
            <w:tcW w:w="12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(94,824)</w:t>
            </w:r>
          </w:p>
        </w:tc>
        <w:tc>
          <w:tcPr>
            <w:tcW w:w="640" w:type="dxa"/>
            <w:vAlign w:val="bottom"/>
          </w:tcPr>
          <w:p>
            <w:pPr>
              <w:spacing w:after="0"/>
              <w:rPr>
                <w:sz w:val="13"/>
                <w:szCs w:val="13"/>
                <w:color w:val="auto"/>
              </w:rPr>
            </w:pPr>
          </w:p>
        </w:tc>
        <w:tc>
          <w:tcPr>
            <w:tcW w:w="98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94,824</w:t>
            </w:r>
          </w:p>
        </w:tc>
        <w:tc>
          <w:tcPr>
            <w:tcW w:w="126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552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24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(76,971)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16,542</w:t>
            </w:r>
          </w:p>
        </w:tc>
        <w:tc>
          <w:tcPr>
            <w:tcW w:w="640" w:type="dxa"/>
            <w:vAlign w:val="bottom"/>
            <w:tcBorders>
              <w:top w:val="single" w:sz="8" w:color="CCEEFF"/>
              <w:bottom w:val="single" w:sz="8" w:color="CCEEF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CCEEFF"/>
              <w:bottom w:val="single" w:sz="8" w:color="CCEEFF"/>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(93,513)</w:t>
            </w:r>
          </w:p>
        </w:tc>
        <w:tc>
          <w:tcPr>
            <w:tcW w:w="1260" w:type="dxa"/>
            <w:vAlign w:val="bottom"/>
            <w:tcBorders>
              <w:top w:val="single" w:sz="8" w:color="CCEEFF"/>
              <w:bottom w:val="single" w:sz="8" w:color="CCEEFF"/>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8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Revenue decreased $2.6 million, or 7%, to $32.3 million for the three months ended September 30, 2022, as compared to $34.9 million for the three months ended September 30, 2021.</w:t>
      </w:r>
    </w:p>
    <w:p>
      <w:pPr>
        <w:spacing w:after="0" w:line="43"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Instrument revenue decreased $4.5 million, or 28%, to $11.4 million for the three months ended September 30, 2022, as compared to $15.9 million for the three months ended September 30, 2021, primarily due to fewer instruments sold and a lower average selling price of instruments. We believe some of this decrease was driven by customer delays</w:t>
      </w:r>
    </w:p>
    <w:p>
      <w:pPr>
        <w:jc w:val="both"/>
        <w:ind w:right="20"/>
        <w:spacing w:after="0"/>
        <w:rPr>
          <w:sz w:val="20"/>
          <w:szCs w:val="20"/>
          <w:color w:val="auto"/>
        </w:rPr>
      </w:pPr>
      <w:r>
        <w:rPr>
          <w:rFonts w:ascii="Arial" w:cs="Arial" w:eastAsia="Arial" w:hAnsi="Arial"/>
          <w:sz w:val="14"/>
          <w:szCs w:val="14"/>
          <w:color w:val="auto"/>
        </w:rPr>
        <w:t>in instrument purchases as customers anticipated the launch of our new long-read platform, the Revio</w:t>
      </w:r>
      <w:r>
        <w:rPr>
          <w:rFonts w:ascii="Arial" w:cs="Arial" w:eastAsia="Arial" w:hAnsi="Arial"/>
          <w:sz w:val="22"/>
          <w:szCs w:val="22"/>
          <w:color w:val="auto"/>
          <w:vertAlign w:val="superscript"/>
        </w:rPr>
        <w:t>TM</w:t>
      </w:r>
      <w:r>
        <w:rPr>
          <w:rFonts w:ascii="Arial" w:cs="Arial" w:eastAsia="Arial" w:hAnsi="Arial"/>
          <w:sz w:val="14"/>
          <w:szCs w:val="14"/>
          <w:color w:val="auto"/>
        </w:rPr>
        <w:t>. At September 30, 2022, our installed base was 494 Sequel II and Sequel IIe systems compared to the 326 systems at September 30, 2021. We expect the installed base of Sequel II/IIe instruments to continue to grow, reflecting our increased commercial presence and customer demand; however, we anticipate that sales volumes of Sequel II/IIe may decline as compared to recent quarters as a result of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announcement of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its anticipated availability for shipment in the first quarter of 2023.</w:t>
      </w:r>
    </w:p>
    <w:p>
      <w:pPr>
        <w:spacing w:after="0" w:line="14"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Consumables revenue increased $1.5 million, or 10%, to $16.1 million for the three months ended September 30, 2022, as compared to $14.6 million for the three months ended September 30, 2021. The increase in consumable sales was primarily due to higher Sequel II/IIe consumables sales attributable to the growth in the instrument installed base despite annualized pull-through declining for the three months ended September 30, 2022 as compared to the same period in the prior year.</w:t>
      </w:r>
    </w:p>
    <w:p>
      <w:pPr>
        <w:spacing w:after="0" w:line="4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Service and other revenue increased $0.4 million, or 10%, to $4.8 million for the three months ended September 30, 2022, as compared to $4.4 million for the three months ended September 30, 2021, primarily due to service contracts sold on the growing installed base.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9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Cost of product revenue increased slightly for the three months ended September 30, 2022, compared to the three months ended September 30, 2021. Cost of services and other revenue decreased primarily due to lower service personnel costs.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Gross profit decreased $1.8 million, or 12%, to $13.5 million for the three months ended September 30, 2022, compared to $15.4 million for the three months ended September 30, 2021. Gross margin was 41.9% for the three months ended September 30, 2022, compared to gross margin of 44.0% for the three months ended September 30, 2021. The decrease in gross margin was primarily driven by lower sales volume and average selling price as well as higher overall product costs, which was partially offset by consumables volumes and lower service revenue costs.</w:t>
      </w:r>
    </w:p>
    <w:p>
      <w:pPr>
        <w:spacing w:after="0" w:line="7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expect our gross margin will trend slightly lower during the remainder of the year due in part to new product transitions, the impacts of inflation, and increased supply chain costs.</w:t>
      </w:r>
    </w:p>
    <w:p>
      <w:pPr>
        <w:spacing w:after="0" w:line="6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global shortage of semiconductors and rising inflation continues to be a challenge in our supply chain and resulted in cost increases that have and may continue to adversely impact margins. During these periods of shortages or delays, the price of components may increase, or the components may not be available at all. We may not be able to secure enough components at reasonable prices or of acceptable quality to build new products in a timely manner in the quantities or configurations needed. Accordingly, our revenue and gross margins could suffer until other sources can be developed.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w:t>
      </w:r>
    </w:p>
    <w:p>
      <w:pPr>
        <w:spacing w:after="0" w:line="9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Research and development expense increased by $19.6 million, or 71%, to $47.1 million for the three months ended September 30, 2022, compared to the $27.5 million for three months ended September 30, 2021. The increase was primarily driven by an increase of $9.0 million in product development costs and an increase of $6.8 million in personnel expenses due to an increase in headcount, including the acquired workforce from the Omniome acquisition. In addition, facilities and information technology related expenses increased by $3.2 million during the three months ended September 30, 2022 compared to the three months ended September 30, 2021, primarily due to expenses related to our operational expansion. Research and development expense included stock-based compensation expense of $7.5 million and $5.2 million during the three months ended September 30, 2022 and 2021, respectively.</w:t>
      </w:r>
    </w:p>
    <w:p>
      <w:pPr>
        <w:spacing w:after="0" w:line="7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will continue to focus a significant portion of our resources on developing new products and solutions, including improving the efficiency and usability of existing products, developing new solutions, software, workflows, and applications leveraging our core technologies.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General and Administrative Expense</w:t>
      </w:r>
    </w:p>
    <w:p>
      <w:pPr>
        <w:spacing w:after="0" w:line="81"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Sales, general and administrative expense increased by $5.2 million, or 16%, to $36.8 million for the three months ended September 30, 2022, compared to $31.6 million for the three months ended September 30, 2021. The increase was primarily driven by an increase of $1.5 million in travel expenses, an increase of $1.5 million in personnel expenses, and an increase of $0.7 million in facilities and information technology related expenses. Sales, general, and administrative expense included stock-based compensation expense of $10.5 million and $9.9 million during the three months ended September 30, 2022 and 2021, respectively. We anticipate sales, general, and administrative expense to continue to increase primarily as a result of the new product commercialization efforts.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Contingent Consideration</w:t>
      </w:r>
    </w:p>
    <w:p>
      <w:pPr>
        <w:spacing w:after="0" w:line="8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Change in fair value of contingent consideration of $4.3 million during the three months ended September 30, 2022, represents the remeasurement impact of the contingent consideration liability of $200 million (composed of $100 million in cash and $100 million in shares of our common stock) that is due upon the achievement of a milestone, defined as the first commercial shipment to a customer of both an instrument and related consumables, utilizing SBB technology. The increase in contingent consideration liability was primarily due to changes in the probability of achieving the milestone, as well as the passage of time.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8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Interest expense for the three months ended September 30, 2022, was $3.7 million compared to $3.7 million for the three months ended September 30, 2021 and was primarily comprised of interest on the Convertible Senior Notes.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from Income Taxes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A deferred income tax benefit of $94.8 million for the three months ended September 30, 2021, is related to the release of the valuation allowance for deferred tax assets due to the recognition of deferred tax liabilities in connection with the Omniome and Circulomics acquisitions. We maintain a full valuation allowance on the net deferred tax assets of our U.S. entities as we have concluded that it is more likely than not that we will not realize our</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deferred tax assets. Accordingly, this benefit from income taxes is reflected on our Condensed Consolidated Statements of Operations and Comprehensive Income (Loss) for the three months ended September 30, 2021.</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Nine months ended September 30,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60" w:type="dxa"/>
            <w:vAlign w:val="bottom"/>
            <w:gridSpan w:val="4"/>
          </w:tcPr>
          <w:p>
            <w:pPr>
              <w:jc w:val="right"/>
              <w:ind w:right="888"/>
              <w:spacing w:after="0" w:line="149" w:lineRule="exact"/>
              <w:rPr>
                <w:sz w:val="20"/>
                <w:szCs w:val="20"/>
                <w:color w:val="auto"/>
              </w:rPr>
            </w:pPr>
            <w:r>
              <w:rPr>
                <w:rFonts w:ascii="Arial" w:cs="Arial" w:eastAsia="Arial" w:hAnsi="Arial"/>
                <w:sz w:val="14"/>
                <w:szCs w:val="14"/>
                <w:b w:val="1"/>
                <w:bCs w:val="1"/>
                <w:color w:val="auto"/>
                <w:w w:val="97"/>
              </w:rPr>
              <w:t>(in thousands, except percentages)</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Product revenue</w:t>
            </w:r>
          </w:p>
        </w:tc>
        <w:tc>
          <w:tcPr>
            <w:tcW w:w="44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85,928</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82,338</w:t>
            </w:r>
          </w:p>
        </w:tc>
        <w:tc>
          <w:tcPr>
            <w:tcW w:w="60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3,590</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CCEEFF"/>
            </w:tcBorders>
          </w:tcPr>
          <w:p>
            <w:pPr>
              <w:ind w:left="380"/>
              <w:spacing w:after="0" w:line="157" w:lineRule="exact"/>
              <w:rPr>
                <w:sz w:val="20"/>
                <w:szCs w:val="20"/>
                <w:color w:val="auto"/>
              </w:rPr>
            </w:pPr>
            <w:r>
              <w:rPr>
                <w:rFonts w:ascii="Arial" w:cs="Arial" w:eastAsia="Arial" w:hAnsi="Arial"/>
                <w:sz w:val="14"/>
                <w:szCs w:val="14"/>
                <w:color w:val="auto"/>
              </w:rPr>
              <w:t>Service and other revenue</w:t>
            </w: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15,023</w:t>
            </w:r>
          </w:p>
        </w:tc>
        <w:tc>
          <w:tcPr>
            <w:tcW w:w="1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12,156</w:t>
            </w:r>
          </w:p>
        </w:tc>
        <w:tc>
          <w:tcPr>
            <w:tcW w:w="6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jc w:val="right"/>
              <w:ind w:right="208"/>
              <w:spacing w:after="0" w:line="157" w:lineRule="exact"/>
              <w:rPr>
                <w:sz w:val="20"/>
                <w:szCs w:val="20"/>
                <w:color w:val="auto"/>
              </w:rPr>
            </w:pPr>
            <w:r>
              <w:rPr>
                <w:rFonts w:ascii="Arial" w:cs="Arial" w:eastAsia="Arial" w:hAnsi="Arial"/>
                <w:sz w:val="14"/>
                <w:szCs w:val="14"/>
                <w:color w:val="auto"/>
              </w:rPr>
              <w:t>2,867</w:t>
            </w:r>
          </w:p>
        </w:tc>
        <w:tc>
          <w:tcPr>
            <w:tcW w:w="1080" w:type="dxa"/>
            <w:vAlign w:val="bottom"/>
            <w:tcBorders>
              <w:bottom w:val="single" w:sz="8" w:color="CCEEFF"/>
            </w:tcBorders>
          </w:tcPr>
          <w:p>
            <w:pPr>
              <w:jc w:val="right"/>
              <w:ind w:right="48"/>
              <w:spacing w:after="0" w:line="157"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revenue</w:t>
            </w:r>
          </w:p>
        </w:tc>
        <w:tc>
          <w:tcPr>
            <w:tcW w:w="4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100,951</w:t>
            </w: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94,494</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6,457</w:t>
            </w:r>
          </w:p>
        </w:tc>
        <w:tc>
          <w:tcPr>
            <w:tcW w:w="10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Cost of revenue:</w:t>
            </w: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Cost of product revenue</w:t>
            </w: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45,887</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41,449</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4,438</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5080" w:type="dxa"/>
            <w:vAlign w:val="bottom"/>
          </w:tcPr>
          <w:p>
            <w:pPr>
              <w:ind w:left="380"/>
              <w:spacing w:after="0" w:line="157" w:lineRule="exact"/>
              <w:rPr>
                <w:sz w:val="20"/>
                <w:szCs w:val="20"/>
                <w:color w:val="auto"/>
              </w:rPr>
            </w:pPr>
            <w:r>
              <w:rPr>
                <w:rFonts w:ascii="Arial" w:cs="Arial" w:eastAsia="Arial" w:hAnsi="Arial"/>
                <w:sz w:val="14"/>
                <w:szCs w:val="14"/>
                <w:color w:val="auto"/>
              </w:rPr>
              <w:t>Cost of service and other revenue</w:t>
            </w:r>
          </w:p>
        </w:tc>
        <w:tc>
          <w:tcPr>
            <w:tcW w:w="440" w:type="dxa"/>
            <w:vAlign w:val="bottom"/>
          </w:tcPr>
          <w:p>
            <w:pPr>
              <w:spacing w:after="0"/>
              <w:rPr>
                <w:sz w:val="13"/>
                <w:szCs w:val="13"/>
                <w:color w:val="auto"/>
              </w:rPr>
            </w:pPr>
          </w:p>
        </w:tc>
        <w:tc>
          <w:tcPr>
            <w:tcW w:w="12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10,619</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10,828</w:t>
            </w:r>
          </w:p>
        </w:tc>
        <w:tc>
          <w:tcPr>
            <w:tcW w:w="600" w:type="dxa"/>
            <w:vAlign w:val="bottom"/>
          </w:tcPr>
          <w:p>
            <w:pPr>
              <w:spacing w:after="0"/>
              <w:rPr>
                <w:sz w:val="13"/>
                <w:szCs w:val="13"/>
                <w:color w:val="auto"/>
              </w:rPr>
            </w:pPr>
          </w:p>
        </w:tc>
        <w:tc>
          <w:tcPr>
            <w:tcW w:w="9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(209)</w:t>
            </w:r>
          </w:p>
        </w:tc>
        <w:tc>
          <w:tcPr>
            <w:tcW w:w="10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Amortization of intangible assets</w:t>
            </w:r>
          </w:p>
        </w:tc>
        <w:tc>
          <w:tcPr>
            <w:tcW w:w="4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550</w:t>
            </w:r>
          </w:p>
        </w:tc>
        <w:tc>
          <w:tcPr>
            <w:tcW w:w="1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123</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427</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8"/>
        </w:trPr>
        <w:tc>
          <w:tcPr>
            <w:tcW w:w="5080" w:type="dxa"/>
            <w:vAlign w:val="bottom"/>
            <w:tcBorders>
              <w:bottom w:val="single" w:sz="8" w:color="CCEEFF"/>
            </w:tcBorders>
          </w:tcPr>
          <w:p>
            <w:pPr>
              <w:ind w:left="660"/>
              <w:spacing w:after="0" w:line="149" w:lineRule="exact"/>
              <w:rPr>
                <w:sz w:val="20"/>
                <w:szCs w:val="20"/>
                <w:color w:val="auto"/>
              </w:rPr>
            </w:pPr>
            <w:r>
              <w:rPr>
                <w:rFonts w:ascii="Arial" w:cs="Arial" w:eastAsia="Arial" w:hAnsi="Arial"/>
                <w:sz w:val="14"/>
                <w:szCs w:val="14"/>
                <w:color w:val="auto"/>
              </w:rPr>
              <w:t>Total cost of revenue</w:t>
            </w: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57,056</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52,400</w:t>
            </w:r>
          </w:p>
        </w:tc>
        <w:tc>
          <w:tcPr>
            <w:tcW w:w="6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ind w:right="208"/>
              <w:spacing w:after="0" w:line="149" w:lineRule="exact"/>
              <w:rPr>
                <w:sz w:val="20"/>
                <w:szCs w:val="20"/>
                <w:color w:val="auto"/>
              </w:rPr>
            </w:pPr>
            <w:r>
              <w:rPr>
                <w:rFonts w:ascii="Arial" w:cs="Arial" w:eastAsia="Arial" w:hAnsi="Arial"/>
                <w:sz w:val="14"/>
                <w:szCs w:val="14"/>
                <w:color w:val="auto"/>
              </w:rPr>
              <w:t>4,656</w:t>
            </w:r>
          </w:p>
        </w:tc>
        <w:tc>
          <w:tcPr>
            <w:tcW w:w="1080" w:type="dxa"/>
            <w:vAlign w:val="bottom"/>
            <w:tcBorders>
              <w:bottom w:val="single" w:sz="8" w:color="CCEEFF"/>
            </w:tcBorders>
          </w:tcPr>
          <w:p>
            <w:pPr>
              <w:jc w:val="right"/>
              <w:ind w:right="48"/>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Gross profit</w:t>
            </w:r>
          </w:p>
        </w:tc>
        <w:tc>
          <w:tcPr>
            <w:tcW w:w="4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43,895</w:t>
            </w: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42,094</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1,801</w:t>
            </w:r>
          </w:p>
        </w:tc>
        <w:tc>
          <w:tcPr>
            <w:tcW w:w="10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Operating expense:</w:t>
            </w: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Research and development</w:t>
            </w: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150,377</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70,323</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80,054</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56"/>
        </w:trPr>
        <w:tc>
          <w:tcPr>
            <w:tcW w:w="5080" w:type="dxa"/>
            <w:vAlign w:val="bottom"/>
          </w:tcPr>
          <w:p>
            <w:pPr>
              <w:ind w:left="380"/>
              <w:spacing w:after="0" w:line="157" w:lineRule="exact"/>
              <w:rPr>
                <w:sz w:val="20"/>
                <w:szCs w:val="20"/>
                <w:color w:val="auto"/>
              </w:rPr>
            </w:pPr>
            <w:r>
              <w:rPr>
                <w:rFonts w:ascii="Arial" w:cs="Arial" w:eastAsia="Arial" w:hAnsi="Arial"/>
                <w:sz w:val="14"/>
                <w:szCs w:val="14"/>
                <w:color w:val="auto"/>
              </w:rPr>
              <w:t>Sales, general and administrative</w:t>
            </w:r>
          </w:p>
        </w:tc>
        <w:tc>
          <w:tcPr>
            <w:tcW w:w="440" w:type="dxa"/>
            <w:vAlign w:val="bottom"/>
          </w:tcPr>
          <w:p>
            <w:pPr>
              <w:spacing w:after="0"/>
              <w:rPr>
                <w:sz w:val="13"/>
                <w:szCs w:val="13"/>
                <w:color w:val="auto"/>
              </w:rPr>
            </w:pPr>
          </w:p>
        </w:tc>
        <w:tc>
          <w:tcPr>
            <w:tcW w:w="12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115,851</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86,804</w:t>
            </w:r>
          </w:p>
        </w:tc>
        <w:tc>
          <w:tcPr>
            <w:tcW w:w="600" w:type="dxa"/>
            <w:vAlign w:val="bottom"/>
          </w:tcPr>
          <w:p>
            <w:pPr>
              <w:spacing w:after="0"/>
              <w:rPr>
                <w:sz w:val="13"/>
                <w:szCs w:val="13"/>
                <w:color w:val="auto"/>
              </w:rPr>
            </w:pPr>
          </w:p>
        </w:tc>
        <w:tc>
          <w:tcPr>
            <w:tcW w:w="9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29,047</w:t>
            </w:r>
          </w:p>
        </w:tc>
        <w:tc>
          <w:tcPr>
            <w:tcW w:w="10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Merger-related expenses</w:t>
            </w:r>
          </w:p>
        </w:tc>
        <w:tc>
          <w:tcPr>
            <w:tcW w:w="4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30,726</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(30,726)</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CCEEFF"/>
            </w:tcBorders>
          </w:tcPr>
          <w:p>
            <w:pPr>
              <w:ind w:left="380"/>
              <w:spacing w:after="0" w:line="157" w:lineRule="exact"/>
              <w:rPr>
                <w:sz w:val="20"/>
                <w:szCs w:val="20"/>
                <w:color w:val="auto"/>
              </w:rPr>
            </w:pPr>
            <w:r>
              <w:rPr>
                <w:rFonts w:ascii="Arial" w:cs="Arial" w:eastAsia="Arial" w:hAnsi="Arial"/>
                <w:sz w:val="14"/>
                <w:szCs w:val="14"/>
                <w:color w:val="auto"/>
              </w:rPr>
              <w:t>Change in fair value of contingent consideration</w:t>
            </w: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(2,221)</w:t>
            </w:r>
          </w:p>
        </w:tc>
        <w:tc>
          <w:tcPr>
            <w:tcW w:w="1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jc w:val="right"/>
              <w:ind w:right="208"/>
              <w:spacing w:after="0" w:line="157" w:lineRule="exact"/>
              <w:rPr>
                <w:sz w:val="20"/>
                <w:szCs w:val="20"/>
                <w:color w:val="auto"/>
              </w:rPr>
            </w:pPr>
            <w:r>
              <w:rPr>
                <w:rFonts w:ascii="Arial" w:cs="Arial" w:eastAsia="Arial" w:hAnsi="Arial"/>
                <w:sz w:val="14"/>
                <w:szCs w:val="14"/>
                <w:color w:val="auto"/>
              </w:rPr>
              <w:t>(2,221)</w:t>
            </w:r>
          </w:p>
        </w:tc>
        <w:tc>
          <w:tcPr>
            <w:tcW w:w="1080" w:type="dxa"/>
            <w:vAlign w:val="bottom"/>
            <w:tcBorders>
              <w:bottom w:val="single" w:sz="8" w:color="CCEEFF"/>
            </w:tcBorders>
          </w:tcPr>
          <w:p>
            <w:pPr>
              <w:jc w:val="right"/>
              <w:ind w:right="48"/>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operating expense</w:t>
            </w:r>
          </w:p>
        </w:tc>
        <w:tc>
          <w:tcPr>
            <w:tcW w:w="4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264,007</w:t>
            </w: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187,853</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76,154</w:t>
            </w:r>
          </w:p>
        </w:tc>
        <w:tc>
          <w:tcPr>
            <w:tcW w:w="10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Operating loss</w:t>
            </w:r>
          </w:p>
        </w:tc>
        <w:tc>
          <w:tcPr>
            <w:tcW w:w="440" w:type="dxa"/>
            <w:vAlign w:val="bottom"/>
          </w:tcPr>
          <w:p>
            <w:pPr>
              <w:spacing w:after="0"/>
              <w:rPr>
                <w:sz w:val="12"/>
                <w:szCs w:val="12"/>
                <w:color w:val="auto"/>
              </w:rPr>
            </w:pPr>
          </w:p>
        </w:tc>
        <w:tc>
          <w:tcPr>
            <w:tcW w:w="12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(220,112)</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(145,759)</w:t>
            </w:r>
          </w:p>
        </w:tc>
        <w:tc>
          <w:tcPr>
            <w:tcW w:w="600" w:type="dxa"/>
            <w:vAlign w:val="bottom"/>
          </w:tcPr>
          <w:p>
            <w:pPr>
              <w:spacing w:after="0"/>
              <w:rPr>
                <w:sz w:val="12"/>
                <w:szCs w:val="12"/>
                <w:color w:val="auto"/>
              </w:rPr>
            </w:pPr>
          </w:p>
        </w:tc>
        <w:tc>
          <w:tcPr>
            <w:tcW w:w="9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(74,353)</w:t>
            </w:r>
          </w:p>
        </w:tc>
        <w:tc>
          <w:tcPr>
            <w:tcW w:w="10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Loss from continuation advances from Illumina</w:t>
            </w:r>
          </w:p>
        </w:tc>
        <w:tc>
          <w:tcPr>
            <w:tcW w:w="4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(52,000)</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52,000</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5080" w:type="dxa"/>
            <w:vAlign w:val="bottom"/>
          </w:tcPr>
          <w:p>
            <w:pPr>
              <w:ind w:left="380"/>
              <w:spacing w:after="0" w:line="157" w:lineRule="exact"/>
              <w:rPr>
                <w:sz w:val="20"/>
                <w:szCs w:val="20"/>
                <w:color w:val="auto"/>
              </w:rPr>
            </w:pPr>
            <w:r>
              <w:rPr>
                <w:rFonts w:ascii="Arial" w:cs="Arial" w:eastAsia="Arial" w:hAnsi="Arial"/>
                <w:sz w:val="14"/>
                <w:szCs w:val="14"/>
                <w:color w:val="auto"/>
              </w:rPr>
              <w:t>Interest expense</w:t>
            </w:r>
          </w:p>
        </w:tc>
        <w:tc>
          <w:tcPr>
            <w:tcW w:w="440" w:type="dxa"/>
            <w:vAlign w:val="bottom"/>
          </w:tcPr>
          <w:p>
            <w:pPr>
              <w:spacing w:after="0"/>
              <w:rPr>
                <w:sz w:val="13"/>
                <w:szCs w:val="13"/>
                <w:color w:val="auto"/>
              </w:rPr>
            </w:pPr>
          </w:p>
        </w:tc>
        <w:tc>
          <w:tcPr>
            <w:tcW w:w="12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(11,042)</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(9,051)</w:t>
            </w:r>
          </w:p>
        </w:tc>
        <w:tc>
          <w:tcPr>
            <w:tcW w:w="600" w:type="dxa"/>
            <w:vAlign w:val="bottom"/>
          </w:tcPr>
          <w:p>
            <w:pPr>
              <w:spacing w:after="0"/>
              <w:rPr>
                <w:sz w:val="13"/>
                <w:szCs w:val="13"/>
                <w:color w:val="auto"/>
              </w:rPr>
            </w:pPr>
          </w:p>
        </w:tc>
        <w:tc>
          <w:tcPr>
            <w:tcW w:w="98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(1,991)</w:t>
            </w:r>
          </w:p>
        </w:tc>
        <w:tc>
          <w:tcPr>
            <w:tcW w:w="10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Other income, net</w:t>
            </w:r>
          </w:p>
        </w:tc>
        <w:tc>
          <w:tcPr>
            <w:tcW w:w="4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1,290</w:t>
            </w:r>
          </w:p>
        </w:tc>
        <w:tc>
          <w:tcPr>
            <w:tcW w:w="1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92</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1,198</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Loss before benefit from income taxes</w:t>
            </w:r>
          </w:p>
        </w:tc>
        <w:tc>
          <w:tcPr>
            <w:tcW w:w="440" w:type="dxa"/>
            <w:vAlign w:val="bottom"/>
          </w:tcPr>
          <w:p>
            <w:pPr>
              <w:spacing w:after="0"/>
              <w:rPr>
                <w:sz w:val="12"/>
                <w:szCs w:val="12"/>
                <w:color w:val="auto"/>
              </w:rPr>
            </w:pPr>
          </w:p>
        </w:tc>
        <w:tc>
          <w:tcPr>
            <w:tcW w:w="12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(229,864)</w:t>
            </w:r>
          </w:p>
        </w:tc>
        <w:tc>
          <w:tcPr>
            <w:tcW w:w="180" w:type="dxa"/>
            <w:vAlign w:val="bottom"/>
          </w:tcPr>
          <w:p>
            <w:pPr>
              <w:spacing w:after="0"/>
              <w:rPr>
                <w:sz w:val="12"/>
                <w:szCs w:val="12"/>
                <w:color w:val="auto"/>
              </w:rPr>
            </w:pPr>
          </w:p>
        </w:tc>
        <w:tc>
          <w:tcPr>
            <w:tcW w:w="4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(206,718)</w:t>
            </w:r>
          </w:p>
        </w:tc>
        <w:tc>
          <w:tcPr>
            <w:tcW w:w="600" w:type="dxa"/>
            <w:vAlign w:val="bottom"/>
          </w:tcPr>
          <w:p>
            <w:pPr>
              <w:spacing w:after="0"/>
              <w:rPr>
                <w:sz w:val="12"/>
                <w:szCs w:val="12"/>
                <w:color w:val="auto"/>
              </w:rPr>
            </w:pPr>
          </w:p>
        </w:tc>
        <w:tc>
          <w:tcPr>
            <w:tcW w:w="9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(23,146)</w:t>
            </w:r>
          </w:p>
        </w:tc>
        <w:tc>
          <w:tcPr>
            <w:tcW w:w="10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Benefit from income taxes</w:t>
            </w:r>
          </w:p>
        </w:tc>
        <w:tc>
          <w:tcPr>
            <w:tcW w:w="4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(94,824)</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94,824</w:t>
            </w:r>
          </w:p>
        </w:tc>
        <w:tc>
          <w:tcPr>
            <w:tcW w:w="10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(229,864)</w:t>
            </w:r>
          </w:p>
        </w:tc>
        <w:tc>
          <w:tcPr>
            <w:tcW w:w="18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(111,894)</w:t>
            </w:r>
          </w:p>
        </w:tc>
        <w:tc>
          <w:tcPr>
            <w:tcW w:w="6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(117,970)</w:t>
            </w:r>
          </w:p>
        </w:tc>
        <w:tc>
          <w:tcPr>
            <w:tcW w:w="10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3"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Revenue increased $6.5 million, or 7%, to $101.0 million for the nine months ended September 30, 2022, as compared to $94.5 million for the nine months ended September 30, 2021, driven primarily by an increase in consumable and service revenue from the growth in the installed base of Sequel II/IIe instruments.</w:t>
      </w:r>
    </w:p>
    <w:p>
      <w:pPr>
        <w:spacing w:after="0" w:line="4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consideration of the non-refundable payments received from Invitae pursuant to the Original Agreement of $23.5 million, we will provide Invitae with credits in connection with Invitae’s anticipated purchase of certain currently available and in-development sequencing systems (instruments and consumables). During the nine months ended September 30, 2022, Invitae purchased certain currently available instruments, for which $3.7 million of revenue was recognized as product revenue under the terms of the Amended and Restated Agreement.</w:t>
      </w:r>
    </w:p>
    <w:p>
      <w:pPr>
        <w:spacing w:after="0" w:line="61"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Instrument revenue decreased $2.5 million, or 6%, to $42.6 million for the nine months ended September 30, 2022, as compared to $45.1 million for the nine months ended September 30, 2021, primarily due to fewer instruments sold and a lower average selling price of instruments. We believe some of this decrease was driven by customer delays</w:t>
      </w:r>
    </w:p>
    <w:p>
      <w:pPr>
        <w:jc w:val="both"/>
        <w:ind w:right="20"/>
        <w:spacing w:after="0"/>
        <w:rPr>
          <w:sz w:val="20"/>
          <w:szCs w:val="20"/>
          <w:color w:val="auto"/>
        </w:rPr>
      </w:pPr>
      <w:r>
        <w:rPr>
          <w:rFonts w:ascii="Arial" w:cs="Arial" w:eastAsia="Arial" w:hAnsi="Arial"/>
          <w:sz w:val="14"/>
          <w:szCs w:val="14"/>
          <w:color w:val="auto"/>
        </w:rPr>
        <w:t>in instrument purchases as customers anticipated the launch of our new long-read platform, the Revio</w:t>
      </w:r>
      <w:r>
        <w:rPr>
          <w:rFonts w:ascii="Arial" w:cs="Arial" w:eastAsia="Arial" w:hAnsi="Arial"/>
          <w:sz w:val="22"/>
          <w:szCs w:val="22"/>
          <w:color w:val="auto"/>
          <w:vertAlign w:val="superscript"/>
        </w:rPr>
        <w:t>TM</w:t>
      </w:r>
      <w:r>
        <w:rPr>
          <w:rFonts w:ascii="Arial" w:cs="Arial" w:eastAsia="Arial" w:hAnsi="Arial"/>
          <w:sz w:val="14"/>
          <w:szCs w:val="14"/>
          <w:color w:val="auto"/>
        </w:rPr>
        <w:t>. At September 30, 2022, our installed base was 494 Sequel II and Sequel Ile systems compared to the 326 systems at September 30, 2021. We expect the installed base of Sequel II/IIe instruments to continue to grow, reflecting our increased commercial presence and customer demand; however, we anticipate that sales volumes may decline as compared to recent quarters as a result of the announcement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its anticipated availability for shipment in the first quarter of 2023.</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Consumables revenue increased $6.1 million, or 16%, to $43.3 million for the nine months ended September 30, 2022, as compared to $37.2 million for the nine months ended September 30, 2021. The increase in consumable sales was primarily due to higher Sequel II/IIe consumables sales attributable to the growth in the instrument installed base despite annualized pull-through declining for the nine months ended September 30, 2022 as compared to the same period in the prior year.</w:t>
      </w:r>
    </w:p>
    <w:p>
      <w:pPr>
        <w:spacing w:after="0" w:line="67"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Service and other revenue increased $2.9 million, or 24%, to $15.0 million for the nine months ended September 30, 2022, as compared to $12.2 million for the nine months ended September 30, 2021, primarily due to service contracts sold on the growing installed base.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9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Cost of product revenue increased by $4.4 million, or 11%, to $45.9 million for the nine months ended September 30, 2022, compared to $41.4 million for the nine months ended September 30, 2021. The increase in cost of product revenue was primarily due to higher overall product costs.</w:t>
      </w:r>
    </w:p>
    <w:p>
      <w:pPr>
        <w:spacing w:after="0" w:line="5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Cost of service and other revenue decreased by $0.2 million, or 2%, to $10.6 million for the nine months ended September 30, 2022, compared to $10.8 million for the nine months ended September 30, 2021.</w:t>
      </w:r>
    </w:p>
    <w:p>
      <w:pPr>
        <w:spacing w:after="0" w:line="4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Gross profit increased $1.8 million, or 4%, to $43.9 million for the nine months ended September 30, 2022, compared to $42.1 million the nine months ended September 30, 2021. Gross margin was 43.5% for the nine months ended September 30, 2022, compared to gross margin of 44.5% for the nine months ended September 30, 2021. The decrease in gross margin percentage was primarily due to a decrease in instrument sales volume and average selling price as well as higher product costs, which was partially offset by consumables volumes and higher service and other revenues during the nine months ended September 30, 2022, compared to the nine months ended September 30, 2021.</w:t>
      </w:r>
    </w:p>
    <w:p>
      <w:pPr>
        <w:spacing w:after="0" w:line="61"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We expect our gross margin will trend slightly lower during the remainder of the year due in part to new product transitions and the impacts of inflation and increased supply chain costs. The global shortage of semiconductors continues to be a challenge for us in our supply chain and resulted in cost increases that have and may continue to adversely impact margins. During these periods of shortages or delays, the price of components may increase, or the components may not be available at all. Additionally, in response to the surge in COVID-19 infections in 2022, the Chinese government imposed lockdowns in certain parts of the country, which has had, and may continue to have, a negative impact on manufacturing and/or supply chains, as well as customer demand for our products and demand through certain distributors. We may not be able to secure enough components at reasonable prices or of acceptable quality to build new products in a timely manner in the quantities or configurations needed. Accordingly, our revenue and gross margins could suffer until other sources can be developed.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w:t>
      </w:r>
    </w:p>
    <w:p>
      <w:pPr>
        <w:spacing w:after="0" w:line="8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Research and development expense increased by $80.1 million, or 114%, to $150.4 million for the nine months ended September 30, 2022, compared to $70.3 million for the nine months ended September 30, 2021. This change was primarily driven by an increase of $35.6 million in personnel expenses, including the acquired workforce from the Omniome acquisition, and an increase of $32.2 million of product development costs. In addition, facilities and information technology related expenses increased $10.2 million to support our operational expansion during the nine months ended September 30, 2022 compared to the nine months ended September 30, 2021. Research and development expense included stock-based compensation expense of $24.2 million and $12.5 million during the nine months ended September 30, 2022 and 2021, respectively.</w:t>
      </w:r>
    </w:p>
    <w:p>
      <w:pPr>
        <w:spacing w:after="0" w:line="75"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We will continue to focus a significant portion of our resources on developing new products and solutions, including improving the efficiency and usability of existing products, developing new solutions, software, workflows, and applications leveraging our core technologies. We expect research and development expenses for the year ending 2022 to increase, when compared to 2021, due to continued product development, a full year of expenses associated with the acquisition of Omniome and our intent to hire additional personnel in research and development. We anticipate that our spend during the remainder of 2022 will decline due to new product transitions. Additionally, we have collaborated and expect to continue to collaborate with strategic partners to develop sequencing solutions and expand the application of our technology.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General and Administrative Expense</w:t>
      </w:r>
    </w:p>
    <w:p>
      <w:pPr>
        <w:spacing w:after="0" w:line="8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Sales, general and administrative expense increased by $29.0 million, or 33%, to $115.9 million for the nine months ended September 30, 2022, compared to $86.8 million for the nine months ended September 30, 2021. The increase was primarily driven by an increase of $12.4 million in personnel costs, an increase of $5.0 million related to consulting and professional services, an increase of $4.1 million in travel related expenses, an increase of $3.8 million in marketing and business expenses, and an increase of $2.9 million in facilities expenses and information technology related expenses. Sales, general and administrative expense included stock-based compensation expense of $32.7 million and $25.6 million during the nine months ended September 30, 2022 and 2021, respectively. We anticipate sales, general, and administrative expense to continue to increase primarily as a result of the new product commercialization efforts.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Contingent Consideration</w:t>
      </w:r>
    </w:p>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Change in fair value of contingent consideration of $2.2 million during the nine months ended September 30, 2022, represents the remeasurement impact of the contingent consideration liability of $200 million (composed of $100 million in cash and $100 million in shares of our common stock) that is due upon the achievement of a milestone, defined as the first commercial shipment to a customer of both an instrument and related consumables, utilizing SBB technology. The decrease in contingent consideration liability was primarily due to the increase in discount rates.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from Continuation Advances from Illumina</w:t>
      </w:r>
    </w:p>
    <w:p>
      <w:pPr>
        <w:spacing w:after="0" w:line="93"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As part of the Termination Agreement, Illumina paid us Continuation Advances totaling $52.0 million, which was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7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Resulting from the issuance and sale of $900 million of 1.50% Convertible Senior Notes due February 15, 2028, $52.0 million of Continuation Advances were paid without interest to Illumina in February 2021 and recorded as other expense in the nine months ended September 30, 2021.</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81"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Interest expense for the nine months ended September 30, 2022 was $11.0 million compared to $9.1 million for the nine months ended September 30, 2021. The increase was primarily due to the nine months of interest incurred on the $900 million of 1.50% Convertible Senior Notes due February 15, 2028 that we issued on February 16, 2021 during the nine months ended September 30, 2022 compared to only seven months of interest during the nine months ended September 30, 2021.</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from Income Taxes</w:t>
      </w:r>
    </w:p>
    <w:p>
      <w:pPr>
        <w:spacing w:after="0" w:line="8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 deferred income tax benefit of $94.8 million for the nine months ended September 30, 2021, is related to the release of the valuation allowance for deferred tax assets due to the recognition of deferred tax liabilities in connection with the Omniome and Circulomics acquisitions. We maintain a full valuation allowance on the net deferred tax assets of our U.S. entities as we have concluded that it is more likely than not that we will not realize our deferred tax assets. Accordingly, this benefit from income taxes is reflected on our Condensed Consolidated Statements of Operations and Comprehensive Income (Loss) for the nine months ended September 30, 2021.</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8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Our primary sources of liquidity, other than our holdings of cash, cash equivalents, and investments, has primarily been through the issuance of debt or equity securities, together with cash flow from operating activities. We have historically incurred, and expect to continue to incur, operating losses and generate negative cash flows from operations on an annual basis due to the investments we intend to make as described in Results of Operations above, and as a result, we may require additional capital resources to execute our strategic initiatives to grow our business.</w:t>
      </w:r>
    </w:p>
    <w:p>
      <w:pPr>
        <w:spacing w:after="0" w:line="6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As of September 30, 2022, we had cash, cash equivalents and investments of $834.3 million compared to $1.04 billion as of December 31, 2021. We believe that our existing cash, cash equivalents and investments will be sufficient to fund our projected operating requirements beyond the next 12 months from the date of filing of this Quarterly Report on Form 10-Q for the quarter ended September 30, 2022.</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Factors that may affect our capital needs include, but are not limited to, the pace of adoption of our products, which affects the sales of our products and services; our ability to obtain new collaboration and customer arrangements and maintain existing collaborations and arrangements; the progress of our research and development programs; initiation or expansion of research programs and collaborations; the purchase of patent licenses;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and other factors. There can be no assurance that funds will be available on favorable terms, or at all.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8"/>
        </w:trPr>
        <w:tc>
          <w:tcPr>
            <w:tcW w:w="736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68"/>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used in operating activities</w:t>
            </w:r>
          </w:p>
        </w:tc>
        <w:tc>
          <w:tcPr>
            <w:tcW w:w="4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(202,645)</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(79,472)</w:t>
            </w:r>
          </w:p>
        </w:tc>
        <w:tc>
          <w:tcPr>
            <w:tcW w:w="0" w:type="dxa"/>
            <w:vAlign w:val="bottom"/>
          </w:tcPr>
          <w:p>
            <w:pPr>
              <w:spacing w:after="0"/>
              <w:rPr>
                <w:sz w:val="1"/>
                <w:szCs w:val="1"/>
                <w:color w:val="auto"/>
              </w:rPr>
            </w:pPr>
          </w:p>
        </w:tc>
      </w:tr>
      <w:tr>
        <w:trPr>
          <w:trHeight w:val="156"/>
        </w:trPr>
        <w:tc>
          <w:tcPr>
            <w:tcW w:w="7360" w:type="dxa"/>
            <w:vAlign w:val="bottom"/>
          </w:tcPr>
          <w:p>
            <w:pPr>
              <w:spacing w:after="0" w:line="157" w:lineRule="exact"/>
              <w:rPr>
                <w:sz w:val="20"/>
                <w:szCs w:val="20"/>
                <w:color w:val="auto"/>
              </w:rPr>
            </w:pPr>
            <w:r>
              <w:rPr>
                <w:rFonts w:ascii="Arial" w:cs="Arial" w:eastAsia="Arial" w:hAnsi="Arial"/>
                <w:sz w:val="14"/>
                <w:szCs w:val="14"/>
                <w:color w:val="auto"/>
              </w:rPr>
              <w:t>Cash provided by (used in) investing activities</w:t>
            </w:r>
          </w:p>
        </w:tc>
        <w:tc>
          <w:tcPr>
            <w:tcW w:w="420" w:type="dxa"/>
            <w:vAlign w:val="bottom"/>
          </w:tcPr>
          <w:p>
            <w:pPr>
              <w:spacing w:after="0"/>
              <w:rPr>
                <w:sz w:val="13"/>
                <w:szCs w:val="13"/>
                <w:color w:val="auto"/>
              </w:rPr>
            </w:pPr>
          </w:p>
        </w:tc>
        <w:tc>
          <w:tcPr>
            <w:tcW w:w="128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35,680</w:t>
            </w: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(744,284)</w:t>
            </w:r>
          </w:p>
        </w:tc>
        <w:tc>
          <w:tcPr>
            <w:tcW w:w="0" w:type="dxa"/>
            <w:vAlign w:val="bottom"/>
          </w:tcPr>
          <w:p>
            <w:pPr>
              <w:spacing w:after="0"/>
              <w:rPr>
                <w:sz w:val="1"/>
                <w:szCs w:val="1"/>
                <w:color w:val="auto"/>
              </w:rPr>
            </w:pPr>
          </w:p>
        </w:tc>
      </w:tr>
      <w:tr>
        <w:trPr>
          <w:trHeight w:val="156"/>
        </w:trPr>
        <w:tc>
          <w:tcPr>
            <w:tcW w:w="73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 provided by financing activities</w:t>
            </w:r>
          </w:p>
        </w:tc>
        <w:tc>
          <w:tcPr>
            <w:tcW w:w="4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8,803</w:t>
            </w:r>
          </w:p>
        </w:tc>
        <w:tc>
          <w:tcPr>
            <w:tcW w:w="4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1,168,257</w:t>
            </w:r>
          </w:p>
        </w:tc>
        <w:tc>
          <w:tcPr>
            <w:tcW w:w="0" w:type="dxa"/>
            <w:vAlign w:val="bottom"/>
          </w:tcPr>
          <w:p>
            <w:pPr>
              <w:spacing w:after="0"/>
              <w:rPr>
                <w:sz w:val="1"/>
                <w:szCs w:val="1"/>
                <w:color w:val="auto"/>
              </w:rPr>
            </w:pPr>
          </w:p>
        </w:tc>
      </w:tr>
      <w:tr>
        <w:trPr>
          <w:trHeight w:val="148"/>
        </w:trPr>
        <w:tc>
          <w:tcPr>
            <w:tcW w:w="7360" w:type="dxa"/>
            <w:vAlign w:val="bottom"/>
          </w:tcPr>
          <w:p>
            <w:pPr>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42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(158,162)</w:t>
            </w:r>
          </w:p>
        </w:tc>
        <w:tc>
          <w:tcPr>
            <w:tcW w:w="440" w:type="dxa"/>
            <w:vAlign w:val="bottom"/>
          </w:tcPr>
          <w:p>
            <w:pPr>
              <w:spacing w:after="0"/>
              <w:rPr>
                <w:sz w:val="12"/>
                <w:szCs w:val="12"/>
                <w:color w:val="auto"/>
              </w:rPr>
            </w:pPr>
          </w:p>
        </w:tc>
        <w:tc>
          <w:tcPr>
            <w:tcW w:w="4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344,501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8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primary uses of cash in operating activities include the development of future products and product enhancements, manufacturing, and support functions related to our sales, general and administrative activities.</w:t>
      </w:r>
    </w:p>
    <w:p>
      <w:pPr>
        <w:spacing w:after="0" w:line="4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Cash used in operating activities for the nine months ended September 30, 2022, of $202.6 million was due primarily to a $229.9 million net loss that included non-cash items such as stock-based compensation of $60.7 million, depreciation expense of $6.9 million, amortization of right-of-use assets of $5.2 million, amortization of premium and accretion of discount on marketable securities, net of $1.1 million, partially offset by a $2.2 million decrease in liability due to the change in estimated fair value of contingent consideration, and a net cash outflow due to $45.6 million in net changes to operating assets and liabilities. The change in net operating assets and liabilities was primarily attributable to a $20.7 million increase in inventory, a $11.1 million increase in accrued expenses, a $5.9 million increase in operating lease liabilities, a $5.7 million increase in prepaid expenses and other assets, and a $3.6 million increase in deferred revenue, partially offset by a $1.5 million decrease in accounts receivable a $1.5 million increase in accounts payable.</w:t>
      </w:r>
    </w:p>
    <w:p>
      <w:pPr>
        <w:spacing w:after="0" w:line="77"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Cash used in operating activities for the nine months ended September 30, 2021 was due primarily to a $111.9 million net loss, which includes a $94.8 million deferred income tax benefit, that was partially offset by a loss of $52.0 million from Continuation Advances repaid to Illumina that is considered a financing activity, non-cash items such as stock-based compensation of $54.4 million and depreciation expense of $4.9 million and a net cash inflow from changes in operating assets and liabilities of $9.8 million. The change in net operating assets and liabilities was primarily attributable to increases of $17.9 million in deferred revenue and $10.3 million in accrued expenses, partially offset by an increase of $5.5 million in inventory, an increase of $6.9 million in accounts receivable, a decrease of $3.2 million in operating lease liabilities, and a decrease of $3.0 million in other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93"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Our investing activities consist primarily of capital expenditures and investment purchases, sales, and maturities. Cash provided by investing activities for the nine months ended September 30, 2022, was due to $355.4 million of maturities and sales of investments offset by $307.9 million in purchases of investments, and $11.8 million in purchases of property and equipment.</w:t>
      </w:r>
    </w:p>
    <w:p>
      <w:pPr>
        <w:spacing w:after="0" w:line="7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Cash used in investing activities for the nine months ended September 30, 2021 was due primarily to net purchases of investments of $421.4 million, cash paid, net of cash acquired, of $319.8 million for the acquisitions of Omniome and Circulomics and purchases of property and equipment of $3.1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8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Cash provided by financing activities during the nine months ended September 30, 2022 primarily resulted from proceeds of $10.0 million from the issuance of common stock through our equity compensation plans partially offset by $1.2 million of principal payoff of notes.</w:t>
      </w:r>
    </w:p>
    <w:p>
      <w:pPr>
        <w:spacing w:after="0" w:line="68"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Cash provided by financing activities during the nine months ended September 30, 2021 resulted from the net proceeds of $895.5 million from our February 2021 issuance of $900 million of 1.50% Convertible Senior Notes after deducting debt issuance costs, net proceeds of $294.8 million from our September 2021 private placement of common stock after deducting issuance costs and proceeds of $30.1 million from the issuance of common stock through our equity compensation plans, partially offset by $52.0 million of Continuation Advances repaid to Illumina.</w:t>
      </w: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717296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97"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3"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There have been no changes to our significant accounting policies as disclosed in the Annual Report on Form 10-K for the year ended December 31, 2021; however, as a result of certain changes to the standard contractual terms and conditions with customers implemented during the quarter ended March 31, 2022, we concluded that a change in the application of our accounting policy, in accordance with ASC 606, was appropriate.</w:t>
      </w:r>
    </w:p>
    <w:p>
      <w:pPr>
        <w:spacing w:after="0" w:line="59"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Specifically, we modified the standard contractual terms with customers during the first quarter of 2022, to reflect transfer of title and risk of loss and right to invoice upon delivery. We also updated the terms of the warranty provided with the instrument to remove the service component. As a result, the warranty is no longer a separate performance obligation and, accordingly, we accrue for the cost of the assurance warranty when revenue of the instrument is recognized. In addition, because of technical enhancements associated with our more recent instrument releases, including the Sequel IIe systems, installation services are now distinct from the instrument itself. Therefore, instrument revenue is now recognized upon transfer of control of the asset to the customer, which is generally upon delivery for sales made to our non-distributor customers.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21" w:lineRule="exact"/>
        <w:rPr>
          <w:sz w:val="20"/>
          <w:szCs w:val="20"/>
          <w:color w:val="auto"/>
        </w:rPr>
      </w:pPr>
    </w:p>
    <w:p>
      <w:pPr>
        <w:ind w:right="360"/>
        <w:spacing w:after="0" w:line="309" w:lineRule="auto"/>
        <w:rPr>
          <w:sz w:val="20"/>
          <w:szCs w:val="20"/>
          <w:color w:val="auto"/>
        </w:rPr>
      </w:pPr>
      <w:r>
        <w:rPr>
          <w:rFonts w:ascii="Arial" w:cs="Arial" w:eastAsia="Arial" w:hAnsi="Arial"/>
          <w:sz w:val="16"/>
          <w:szCs w:val="16"/>
          <w:color w:val="auto"/>
        </w:rPr>
        <w:t xml:space="preserve">Please see </w:t>
      </w:r>
      <w:r>
        <w:rPr>
          <w:rFonts w:ascii="Arial" w:cs="Arial" w:eastAsia="Arial" w:hAnsi="Arial"/>
          <w:sz w:val="16"/>
          <w:szCs w:val="16"/>
          <w:i w:val="1"/>
          <w:iCs w:val="1"/>
          <w:u w:val="single" w:color="auto"/>
          <w:color w:val="0000FF"/>
        </w:rPr>
        <w:t>Note 1. Organization and Significant Accounting Policies</w:t>
      </w:r>
      <w:r>
        <w:rPr>
          <w:rFonts w:ascii="Arial" w:cs="Arial" w:eastAsia="Arial" w:hAnsi="Arial"/>
          <w:sz w:val="16"/>
          <w:szCs w:val="16"/>
          <w:color w:val="auto"/>
        </w:rPr>
        <w:t>, subsection titled “Recent Accounting Pronouncements”, in Part I, Item 1 of this Quarterly Report on Form 10-Q for information regarding applicable 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we did not have any off-balance sheet arrangements.</w:t>
      </w:r>
    </w:p>
    <w:p>
      <w:pPr>
        <w:spacing w:after="0" w:line="81" w:lineRule="exact"/>
        <w:rPr>
          <w:sz w:val="20"/>
          <w:szCs w:val="20"/>
          <w:color w:val="auto"/>
        </w:rPr>
      </w:pPr>
    </w:p>
    <w:p>
      <w:pPr>
        <w:jc w:val="both"/>
        <w:ind w:right="20"/>
        <w:spacing w:after="0" w:line="233" w:lineRule="auto"/>
        <w:rPr>
          <w:sz w:val="20"/>
          <w:szCs w:val="20"/>
          <w:color w:val="auto"/>
        </w:rPr>
      </w:pPr>
      <w:r>
        <w:rPr>
          <w:rFonts w:ascii="Arial" w:cs="Arial" w:eastAsia="Arial" w:hAnsi="Arial"/>
          <w:sz w:val="16"/>
          <w:szCs w:val="16"/>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60"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5"/>
          <w:szCs w:val="15"/>
          <w:i w:val="1"/>
          <w:iCs w:val="1"/>
          <w:u w:val="single" w:color="auto"/>
          <w:color w:val="0000FF"/>
        </w:rPr>
        <w:t>Note 8. Commitments and Contingencies</w:t>
      </w:r>
      <w:r>
        <w:rPr>
          <w:rFonts w:ascii="Arial" w:cs="Arial" w:eastAsia="Arial" w:hAnsi="Arial"/>
          <w:sz w:val="15"/>
          <w:szCs w:val="15"/>
          <w:color w:val="auto"/>
        </w:rPr>
        <w:t xml:space="preserve"> in Part I, Item 1 of this Quarterly Report on Form 10-Q, any associated expenses incurred are included within the related accrued litigation expense amounts. No additional liability associated with such indemnification agreements has been recorded as of September 30,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and Market Risk</w:t>
      </w:r>
    </w:p>
    <w:p>
      <w:pPr>
        <w:spacing w:after="0" w:line="85"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 xml:space="preserve">We carry our convertible senior notes at the principal amount, less unamortized debt issuance costs, on our Condensed Consolidated Balance Sheets. Because the notes have a fixed annual interest rate of 1.50%,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6"/>
          <w:szCs w:val="16"/>
          <w:i w:val="1"/>
          <w:iCs w:val="1"/>
          <w:u w:val="single" w:color="auto"/>
          <w:color w:val="0000FF"/>
        </w:rPr>
        <w:t>Note 7. Convertible Senior Notes</w:t>
      </w:r>
      <w:r>
        <w:rPr>
          <w:rFonts w:ascii="Arial" w:cs="Arial" w:eastAsia="Arial" w:hAnsi="Arial"/>
          <w:sz w:val="16"/>
          <w:szCs w:val="16"/>
          <w:color w:val="auto"/>
        </w:rPr>
        <w:t xml:space="preserve"> in Part I, Item 1 of this Form 10-Q for additional information.</w:t>
      </w:r>
    </w:p>
    <w:p>
      <w:pPr>
        <w:spacing w:after="0" w:line="73"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During the nine months ended September 30, 2022, we invested in cash equivalents, U.S. government and agency securities, U.S. Treasury securities, and corporate debt securities which were designated as cash equivalents and available-for-sale investments. Our cash equivalents and available-for-sale securities as of September 30, 2022 was $834.3 million.</w:t>
      </w:r>
    </w:p>
    <w:p>
      <w:pPr>
        <w:spacing w:after="0" w:line="59"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Our exposure to market risk for changes in interest rates relates primarily to our investment portfolio comprising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September 30, 2022 would have affected the fair value of our investment portfolio by approximately $3.1 million.</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other material changes in market risk from the information provided in our Annual Report on Form 10-K for the fiscal year ended December 31,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52"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8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September 30, 2022 that materially affected, or is reasonably likely to materially affect, our internal control over financial reporting. There were no material changes in our internal control over financial reporting during the fiscal quarter ended September 30, 2022, that have materially affected, or were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31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see </w:t>
      </w:r>
      <w:r>
        <w:rPr>
          <w:rFonts w:ascii="Arial" w:cs="Arial" w:eastAsia="Arial" w:hAnsi="Arial"/>
          <w:sz w:val="16"/>
          <w:szCs w:val="16"/>
          <w:i w:val="1"/>
          <w:iCs w:val="1"/>
          <w:u w:val="single" w:color="auto"/>
          <w:color w:val="0000FF"/>
        </w:rPr>
        <w:t>Note 8. Commitments and Contingencies</w:t>
      </w:r>
      <w:r>
        <w:rPr>
          <w:rFonts w:ascii="Arial" w:cs="Arial" w:eastAsia="Arial" w:hAnsi="Arial"/>
          <w:sz w:val="16"/>
          <w:szCs w:val="16"/>
          <w:color w:val="auto"/>
        </w:rPr>
        <w:t xml:space="preserve"> in Part I, Item 1 of this Quarterly Report on Form 10-Q.</w:t>
      </w:r>
    </w:p>
    <w:p>
      <w:pPr>
        <w:spacing w:after="0" w:line="12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i w:val="1"/>
          <w:iCs w:val="1"/>
          <w:color w:val="auto"/>
        </w:rPr>
        <w:t>You should consider carefully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the ongoing COVID-19 pandemic and any worsening of the economic environment may exacerbate the risks described below, any of which could have a material impact on us. This situation is changing rapidly and additional impacts may arise that we are not aware of currently.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Risk Factors</w:t>
      </w:r>
    </w:p>
    <w:p>
      <w:pPr>
        <w:spacing w:after="0" w:line="97"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potential adverse impact of health epidemics, including the ongoing COVID-19 pandemic;</w:t>
      </w:r>
    </w:p>
    <w:p>
      <w:pPr>
        <w:spacing w:after="0" w:line="56" w:lineRule="exact"/>
        <w:rPr>
          <w:sz w:val="20"/>
          <w:szCs w:val="20"/>
          <w:color w:val="auto"/>
        </w:rPr>
      </w:pPr>
    </w:p>
    <w:p>
      <w:pPr>
        <w:ind w:left="580" w:right="2940"/>
        <w:spacing w:after="0" w:line="321" w:lineRule="auto"/>
        <w:rPr>
          <w:sz w:val="20"/>
          <w:szCs w:val="20"/>
          <w:color w:val="auto"/>
        </w:rPr>
      </w:pPr>
      <w:r>
        <w:rPr>
          <w:rFonts w:ascii="Arial" w:cs="Arial" w:eastAsia="Arial" w:hAnsi="Arial"/>
          <w:sz w:val="16"/>
          <w:szCs w:val="16"/>
          <w:color w:val="auto"/>
        </w:rPr>
        <w:t>Our ability to successfully market, commercialize, and sell current and future products and related maintenance services; Our ability to achieve profitability for our business;</w:t>
      </w:r>
    </w:p>
    <w:p>
      <w:pPr>
        <w:ind w:left="280"/>
        <w:spacing w:after="0"/>
        <w:rPr>
          <w:sz w:val="20"/>
          <w:szCs w:val="20"/>
          <w:color w:val="auto"/>
        </w:rPr>
      </w:pPr>
      <w:r>
        <w:rPr>
          <w:rFonts w:ascii="Arial" w:cs="Arial" w:eastAsia="Arial" w:hAnsi="Arial"/>
          <w:sz w:val="16"/>
          <w:szCs w:val="16"/>
          <w:color w:val="auto"/>
        </w:rPr>
        <w:t>Our ability to successfully leverage and integrate our acquisitions and future acquisitions;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ability to successfully research, develop and timely manufacture our current and future products;</w:t>
      </w:r>
    </w:p>
    <w:p>
      <w:pPr>
        <w:spacing w:after="0" w:line="56" w:lineRule="exact"/>
        <w:rPr>
          <w:sz w:val="20"/>
          <w:szCs w:val="20"/>
          <w:color w:val="auto"/>
        </w:rPr>
      </w:pPr>
    </w:p>
    <w:p>
      <w:pPr>
        <w:ind w:left="580" w:right="1860"/>
        <w:spacing w:after="0" w:line="321" w:lineRule="auto"/>
        <w:rPr>
          <w:sz w:val="20"/>
          <w:szCs w:val="20"/>
          <w:color w:val="auto"/>
        </w:rPr>
      </w:pPr>
      <w:r>
        <w:rPr>
          <w:rFonts w:ascii="Arial" w:cs="Arial" w:eastAsia="Arial" w:hAnsi="Arial"/>
          <w:sz w:val="16"/>
          <w:szCs w:val="16"/>
          <w:color w:val="auto"/>
        </w:rPr>
        <w:t>Management of new product introductions and transitions, resultant costs, and ability of new products to generate promised performance; Recent significant changes to our leadership team and resultant disruptions to our business;</w:t>
      </w:r>
    </w:p>
    <w:p>
      <w:pPr>
        <w:ind w:left="280"/>
        <w:spacing w:after="0"/>
        <w:rPr>
          <w:sz w:val="20"/>
          <w:szCs w:val="20"/>
          <w:color w:val="auto"/>
        </w:rPr>
      </w:pPr>
      <w:r>
        <w:rPr>
          <w:rFonts w:ascii="Arial" w:cs="Arial" w:eastAsia="Arial" w:hAnsi="Arial"/>
          <w:sz w:val="16"/>
          <w:szCs w:val="16"/>
          <w:color w:val="auto"/>
        </w:rPr>
        <w:t>Retention, recruitment, and training of senior management, key personnel, scientists and engineers;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ability to further penetrate nucleic acid sequencing applications, as well as grow product demand;</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reliance on outsourcing to other companies for manufacturing certain components and sub-assemblies, some of which are sole-sourced;</w:t>
      </w:r>
    </w:p>
    <w:p>
      <w:pPr>
        <w:spacing w:after="0" w:line="56" w:lineRule="exact"/>
        <w:rPr>
          <w:sz w:val="20"/>
          <w:szCs w:val="20"/>
          <w:color w:val="auto"/>
        </w:rPr>
      </w:pPr>
    </w:p>
    <w:p>
      <w:pPr>
        <w:ind w:left="580" w:right="900"/>
        <w:spacing w:after="0" w:line="321" w:lineRule="auto"/>
        <w:rPr>
          <w:sz w:val="20"/>
          <w:szCs w:val="20"/>
          <w:color w:val="auto"/>
        </w:rPr>
      </w:pPr>
      <w:r>
        <w:rPr>
          <w:rFonts w:ascii="Arial" w:cs="Arial" w:eastAsia="Arial" w:hAnsi="Arial"/>
          <w:sz w:val="16"/>
          <w:szCs w:val="16"/>
          <w:color w:val="auto"/>
        </w:rPr>
        <w:t>Our ability to consistently manufacture our instruments and consumables to meet customers’ specifications, quantity, cost, or performance requirements; The high amount of competition we face in our industry;</w:t>
      </w:r>
    </w:p>
    <w:p>
      <w:pPr>
        <w:ind w:left="280"/>
        <w:spacing w:after="0"/>
        <w:rPr>
          <w:sz w:val="20"/>
          <w:szCs w:val="20"/>
          <w:color w:val="auto"/>
        </w:rPr>
      </w:pPr>
      <w:r>
        <w:rPr>
          <w:rFonts w:ascii="Arial" w:cs="Arial" w:eastAsia="Arial" w:hAnsi="Arial"/>
          <w:sz w:val="16"/>
          <w:szCs w:val="16"/>
          <w:color w:val="auto"/>
        </w:rPr>
        <w:t>Our ability to attract customers and increase sales of current and future products;</w:t>
      </w:r>
    </w:p>
    <w:p>
      <w:pPr>
        <w:spacing w:after="0" w:line="68" w:lineRule="exact"/>
        <w:rPr>
          <w:sz w:val="20"/>
          <w:szCs w:val="20"/>
          <w:color w:val="auto"/>
        </w:rPr>
      </w:pPr>
    </w:p>
    <w:p>
      <w:pPr>
        <w:ind w:left="580" w:right="1520"/>
        <w:spacing w:after="0" w:line="313" w:lineRule="auto"/>
        <w:rPr>
          <w:sz w:val="20"/>
          <w:szCs w:val="20"/>
          <w:color w:val="auto"/>
        </w:rPr>
      </w:pPr>
      <w:r>
        <w:rPr>
          <w:rFonts w:ascii="Arial" w:cs="Arial" w:eastAsia="Arial" w:hAnsi="Arial"/>
          <w:sz w:val="16"/>
          <w:szCs w:val="16"/>
          <w:color w:val="auto"/>
        </w:rPr>
        <w:t>Reliance on a limited number of customers for a significant portion of our revenues, including academic, research and government institutions; The complexity of our products giving rise to defects or errors;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unpredictable and lengthy sales cycles;</w:t>
      </w:r>
    </w:p>
    <w:p>
      <w:pPr>
        <w:spacing w:after="0" w:line="6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Our business, financial condition and results of operations could be adversely affected by political and economic tensions between the United States and other countries, including China and Russia;</w:t>
      </w:r>
    </w:p>
    <w:p>
      <w:pPr>
        <w:spacing w:after="0" w:line="43" w:lineRule="exact"/>
        <w:rPr>
          <w:sz w:val="20"/>
          <w:szCs w:val="20"/>
          <w:color w:val="auto"/>
        </w:rPr>
      </w:pPr>
    </w:p>
    <w:p>
      <w:pPr>
        <w:ind w:left="580" w:right="3220"/>
        <w:spacing w:after="0" w:line="334" w:lineRule="auto"/>
        <w:rPr>
          <w:sz w:val="20"/>
          <w:szCs w:val="20"/>
          <w:color w:val="auto"/>
        </w:rPr>
      </w:pPr>
      <w:r>
        <w:rPr>
          <w:rFonts w:ascii="Arial" w:cs="Arial" w:eastAsia="Arial" w:hAnsi="Arial"/>
          <w:sz w:val="15"/>
          <w:szCs w:val="15"/>
          <w:color w:val="auto"/>
        </w:rPr>
        <w:t>Securing and maintaining patent or other intellectual property protection for our products and related improvements; Current and future legal proceedings filed against us claiming intellectual property infringement;</w:t>
      </w:r>
    </w:p>
    <w:p>
      <w:pPr>
        <w:ind w:left="580" w:right="4940"/>
        <w:spacing w:after="0" w:line="324" w:lineRule="auto"/>
        <w:rPr>
          <w:sz w:val="20"/>
          <w:szCs w:val="20"/>
          <w:color w:val="auto"/>
        </w:rPr>
      </w:pPr>
      <w:r>
        <w:rPr>
          <w:rFonts w:ascii="Arial" w:cs="Arial" w:eastAsia="Arial" w:hAnsi="Arial"/>
          <w:sz w:val="16"/>
          <w:szCs w:val="16"/>
          <w:color w:val="auto"/>
        </w:rPr>
        <w:t>Governmental regulations that burden operations or narrow the market for our products; Evolving ethical, legal, privacy, social, and regulatory concerns regarding genetic testing; Volatility of the price of our common stock; and</w:t>
      </w:r>
    </w:p>
    <w:p>
      <w:pPr>
        <w:ind w:left="280"/>
        <w:spacing w:after="0"/>
        <w:rPr>
          <w:sz w:val="20"/>
          <w:szCs w:val="20"/>
          <w:color w:val="auto"/>
        </w:rPr>
      </w:pPr>
      <w:r>
        <w:rPr>
          <w:rFonts w:ascii="Arial" w:cs="Arial" w:eastAsia="Arial" w:hAnsi="Arial"/>
          <w:sz w:val="16"/>
          <w:szCs w:val="16"/>
          <w:color w:val="auto"/>
        </w:rPr>
        <w:t>Our stock price falling as a result of future offerings or sales.</w:t>
      </w: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167640</wp:posOffset>
            </wp:positionV>
            <wp:extent cx="717296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adversely affected by health epidemics, including the ongoing COVID-19 pandemic.</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Our business has been and could be further adversely impacted by the effects of COVID-19 or other epidemics or pandemics. As a result of the ongoing COVID-19 pandemic, our financial results continue to be impacted negatively as our customers in multiple regions around the world suspended or curtailed their normal operations in efforts to curb the spread of COVID-19. While a significant number of our customer sites that shut down due to COVID-19 have re-opened, a significant number of our customers had delayed purchases of capital assets due to the negative impact of the pandemic on their businesses. This dynamic continues to negatively impact the recognition of revenue related to the sale of our Sequel and Sequel II/IIe instruments and the associated consumables and software, and may negatively impact the recognition of revenue related to</w:t>
      </w:r>
    </w:p>
    <w:p>
      <w:pPr>
        <w:jc w:val="both"/>
        <w:spacing w:after="0" w:line="241" w:lineRule="auto"/>
        <w:rPr>
          <w:sz w:val="20"/>
          <w:szCs w:val="20"/>
          <w:color w:val="auto"/>
        </w:rPr>
      </w:pPr>
      <w:r>
        <w:rPr>
          <w:rFonts w:ascii="Arial" w:cs="Arial" w:eastAsia="Arial" w:hAnsi="Arial"/>
          <w:sz w:val="14"/>
          <w:szCs w:val="14"/>
          <w:color w:val="auto"/>
        </w:rPr>
        <w:t>the anticipated sales of our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and Onso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instruments and their associated consumables and software. The inability to receive or accept shipments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We are continuing to monitor this evolving situation.</w:t>
      </w:r>
    </w:p>
    <w:p>
      <w:pPr>
        <w:spacing w:after="0" w:line="6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 For example, because our semiconductor manufacturers are located in a region where immunization rates in certain communities may be low, the Omicron variant of COVID-19, as well as any future variants that evolve, could impact workforce availability at those locations and disrupt supply. For example, in response to a surge in COVID-19 infections in 2022, the Chinese government imposed lockdowns in certain parts of the country, which has had, and may continue to have, a negative impact on manufacturing and/or supply chains, as well as customer demand for our products and demand through certain distributors.</w:t>
      </w:r>
    </w:p>
    <w:p>
      <w:pPr>
        <w:spacing w:after="0" w:line="65"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The COVID-19 pandemic has caused us to modify our business practices, including limiting certain of our commercial operations and limiting certain employees from working in the office. Starting in April 2022, we invited employees located near those reopened offices to return to the office. The reopening of our U.S. offices has created and may continue to create additional risks and operational challenges and may require us to make additional investments in the design, implementation and enforcement of new workplace health and safety protocols. Even if we follow what we believe to be best practices, our efforts to reopen our offices safely may not be successful and could expose our employees, partners and customers to health risks, and us to associated liability. Furthermore, additional and/or extended governmental restrictions, new regulations or other changing conditions could cause us to temporarily close certain office locations again. We have offered, and may plan to continue to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spacing w:after="0" w:line="7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51"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In September 2015, we launched the PacBio Sequel</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System, and concurrently began phasing out production of PacBio RS II instruments and in April 2019, we announced the commercial launch of the Sequel II System. In October 2020, we launched the Sequel IIe System, which has increased computational capacity, and is designed to enable customers to generate PacBio HiFi reads more efficiently. In April 2021, we released a new HiFi sequencing workflow allowing for more accurate HiFi reads with limited sample quantities. At September 30, 2022, our installed based was 494 Sequel II and Sequel IIe systems compared to the 326 systems as of September 30, 2021, and we expect the number of Sequel II/IIe placements to continue to grow during the remainder of 2022.</w:t>
      </w:r>
    </w:p>
    <w:p>
      <w:pPr>
        <w:spacing w:after="0" w:line="63"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We have made and expect to continue making substantial investments to develop new products and enhance our existing products through our acquisitions and research and development efforts. For example, we recently announced that we intend to begin taking orders for the new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long-read sequencing system in the fourth quarter of</w:t>
      </w:r>
    </w:p>
    <w:p>
      <w:pPr>
        <w:spacing w:after="0" w:line="2"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2022, with shipments expected to commence in the first quarter of 2023, and we are also progressing development of Onso</w:t>
      </w:r>
      <w:r>
        <w:rPr>
          <w:rFonts w:ascii="Arial" w:cs="Arial" w:eastAsia="Arial" w:hAnsi="Arial"/>
          <w:sz w:val="26"/>
          <w:szCs w:val="26"/>
          <w:color w:val="auto"/>
          <w:vertAlign w:val="superscript"/>
        </w:rPr>
        <w:t>TM</w:t>
      </w:r>
      <w:r>
        <w:rPr>
          <w:rFonts w:ascii="Arial" w:cs="Arial" w:eastAsia="Arial" w:hAnsi="Arial"/>
          <w:sz w:val="16"/>
          <w:szCs w:val="16"/>
          <w:color w:val="auto"/>
        </w:rPr>
        <w:t>, our SBB short-read platform, with shipments expected to commence in the first half of 2023. However, due to challenges we may experience in developing and marketing our existing products and launching new products, we may not be able to effectively:</w:t>
      </w:r>
    </w:p>
    <w:p>
      <w:pPr>
        <w:spacing w:after="0" w:line="60"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manage the timeliness of our new product introductions and the rate at which sales of our new products may cannibalize sales of our older products or manage sales and marketing of multiple sequencing platforms;</w:t>
      </w:r>
    </w:p>
    <w:p>
      <w:pPr>
        <w:spacing w:after="0" w:line="44" w:lineRule="exact"/>
        <w:rPr>
          <w:sz w:val="20"/>
          <w:szCs w:val="20"/>
          <w:color w:val="auto"/>
        </w:rPr>
      </w:pPr>
    </w:p>
    <w:p>
      <w:pPr>
        <w:ind w:left="580" w:right="20"/>
        <w:spacing w:after="0" w:line="212" w:lineRule="auto"/>
        <w:rPr>
          <w:sz w:val="20"/>
          <w:szCs w:val="20"/>
          <w:color w:val="auto"/>
        </w:rPr>
      </w:pPr>
      <w:r>
        <w:rPr>
          <w:rFonts w:ascii="Arial" w:cs="Arial" w:eastAsia="Arial" w:hAnsi="Arial"/>
          <w:sz w:val="16"/>
          <w:szCs w:val="16"/>
          <w:color w:val="auto"/>
        </w:rPr>
        <w:t>drive adoption of our current and future products, including the Sequel II/IIe Systems, the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system and products under development related to our emerging SBB technology, including the Onso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system;</w:t>
      </w:r>
    </w:p>
    <w:p>
      <w:pPr>
        <w:spacing w:after="0" w:line="1" w:lineRule="exact"/>
        <w:rPr>
          <w:sz w:val="20"/>
          <w:szCs w:val="20"/>
          <w:color w:val="auto"/>
        </w:rPr>
      </w:pPr>
    </w:p>
    <w:p>
      <w:pPr>
        <w:ind w:left="580" w:right="4500"/>
        <w:spacing w:after="0" w:line="312" w:lineRule="auto"/>
        <w:rPr>
          <w:sz w:val="20"/>
          <w:szCs w:val="20"/>
          <w:color w:val="auto"/>
        </w:rPr>
      </w:pPr>
      <w:r>
        <w:rPr>
          <w:rFonts w:ascii="Arial" w:cs="Arial" w:eastAsia="Arial" w:hAnsi="Arial"/>
          <w:sz w:val="16"/>
          <w:szCs w:val="16"/>
          <w:color w:val="auto"/>
        </w:rPr>
        <w:t>maintain our competitive position by continuing to attract and retain customers for our products; provide appropriate levels of customer training and support for our products;</w:t>
      </w:r>
    </w:p>
    <w:p>
      <w:pPr>
        <w:ind w:left="280"/>
        <w:spacing w:after="0"/>
        <w:rPr>
          <w:sz w:val="20"/>
          <w:szCs w:val="20"/>
          <w:color w:val="auto"/>
        </w:rPr>
      </w:pPr>
      <w:r>
        <w:rPr>
          <w:rFonts w:ascii="Arial" w:cs="Arial" w:eastAsia="Arial" w:hAnsi="Arial"/>
          <w:sz w:val="16"/>
          <w:szCs w:val="16"/>
          <w:color w:val="auto"/>
        </w:rPr>
        <w:t>implement an effective marketing strategy to promote awareness of our products;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develop and implement an effective sales and distribution strategy for our current and future products;</w:t>
      </w:r>
    </w:p>
    <w:p>
      <w:pPr>
        <w:spacing w:after="0" w:line="56" w:lineRule="exact"/>
        <w:rPr>
          <w:sz w:val="20"/>
          <w:szCs w:val="20"/>
          <w:color w:val="auto"/>
        </w:rPr>
      </w:pPr>
    </w:p>
    <w:p>
      <w:pPr>
        <w:ind w:left="580" w:right="400"/>
        <w:spacing w:after="0" w:line="321" w:lineRule="auto"/>
        <w:rPr>
          <w:sz w:val="20"/>
          <w:szCs w:val="20"/>
          <w:color w:val="auto"/>
        </w:rPr>
      </w:pPr>
      <w:r>
        <w:rPr>
          <w:rFonts w:ascii="Arial" w:cs="Arial" w:eastAsia="Arial" w:hAnsi="Arial"/>
          <w:sz w:val="16"/>
          <w:szCs w:val="16"/>
          <w:color w:val="auto"/>
        </w:rPr>
        <w:t>develop, manufacture and commercialize new products or achieve an acceptable return on our manufacturing or research and development efforts and expenses; comply with regulatory requirements applicable to our products;</w:t>
      </w:r>
    </w:p>
    <w:p>
      <w:pPr>
        <w:ind w:left="280"/>
        <w:spacing w:after="0"/>
        <w:rPr>
          <w:sz w:val="20"/>
          <w:szCs w:val="20"/>
          <w:color w:val="auto"/>
        </w:rPr>
      </w:pPr>
      <w:r>
        <w:rPr>
          <w:rFonts w:ascii="Arial" w:cs="Arial" w:eastAsia="Arial" w:hAnsi="Arial"/>
          <w:sz w:val="16"/>
          <w:szCs w:val="16"/>
          <w:color w:val="auto"/>
        </w:rPr>
        <w:t>anticipate and adapt to changes in our market;</w:t>
      </w:r>
    </w:p>
    <w:p>
      <w:pPr>
        <w:spacing w:after="0" w:line="6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accommodate customer expectations and demands with respect to our products, increase product adoption by our existing customers or develop new customer relationships;</w:t>
      </w:r>
    </w:p>
    <w:p>
      <w:pPr>
        <w:spacing w:after="0" w:line="31" w:lineRule="exact"/>
        <w:rPr>
          <w:sz w:val="20"/>
          <w:szCs w:val="20"/>
          <w:color w:val="auto"/>
        </w:rPr>
      </w:pPr>
    </w:p>
    <w:p>
      <w:pPr>
        <w:ind w:left="580" w:right="1740"/>
        <w:spacing w:after="0" w:line="338" w:lineRule="auto"/>
        <w:rPr>
          <w:sz w:val="20"/>
          <w:szCs w:val="20"/>
          <w:color w:val="auto"/>
        </w:rPr>
      </w:pPr>
      <w:r>
        <w:rPr>
          <w:rFonts w:ascii="Arial" w:cs="Arial" w:eastAsia="Arial" w:hAnsi="Arial"/>
          <w:sz w:val="16"/>
          <w:szCs w:val="16"/>
          <w:color w:val="auto"/>
        </w:rPr>
        <w:t>deliver our beta systems to our external beta testing sites or complete our external beta testing program on our currently expected timelines; overcome unexpected challenges discovered during beta testing;</w:t>
      </w:r>
    </w:p>
    <w:p>
      <w:pPr>
        <w:ind w:left="580" w:right="2440"/>
        <w:spacing w:after="0" w:line="251" w:lineRule="auto"/>
        <w:rPr>
          <w:sz w:val="20"/>
          <w:szCs w:val="20"/>
          <w:color w:val="auto"/>
        </w:rPr>
      </w:pPr>
      <w:r>
        <w:rPr>
          <w:rFonts w:ascii="Arial" w:cs="Arial" w:eastAsia="Arial" w:hAnsi="Arial"/>
          <w:sz w:val="16"/>
          <w:szCs w:val="16"/>
          <w:color w:val="auto"/>
        </w:rPr>
        <w:t>complete the scientific and technical validation of new products such as the Onso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on our currently expected timeline or at all; deliver our future products in a timely manner to our customers;</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grow our share by marketing and selling our products for new and additional applications;</w:t>
      </w:r>
    </w:p>
    <w:p>
      <w:pPr>
        <w:spacing w:after="0" w:line="56"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manage the significant burdens that expanding our existing or future products into current and new markets may impose on marketing, compliance, and other administrative and managerial resources;</w:t>
      </w:r>
    </w:p>
    <w:p>
      <w:pPr>
        <w:spacing w:after="0" w:line="19"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19" w:lineRule="exact"/>
        <w:rPr>
          <w:sz w:val="20"/>
          <w:szCs w:val="20"/>
          <w:color w:val="auto"/>
        </w:rPr>
      </w:pPr>
    </w:p>
    <w:p>
      <w:pPr>
        <w:ind w:left="580" w:right="2920"/>
        <w:spacing w:after="0" w:line="283" w:lineRule="auto"/>
        <w:rPr>
          <w:sz w:val="20"/>
          <w:szCs w:val="20"/>
          <w:color w:val="auto"/>
        </w:rPr>
      </w:pPr>
      <w:r>
        <w:rPr>
          <w:rFonts w:ascii="Arial" w:cs="Arial" w:eastAsia="Arial" w:hAnsi="Arial"/>
          <w:sz w:val="16"/>
          <w:szCs w:val="16"/>
          <w:color w:val="auto"/>
        </w:rPr>
        <w:t>adapt or scale our manufacturing activities to meet performance specifications and potential demand at a reasonable cost; avoid infringement and misappropriation of third-party intellectual property;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167640</wp:posOffset>
            </wp:positionV>
            <wp:extent cx="717296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357" w:lineRule="exact"/>
        <w:rPr>
          <w:sz w:val="20"/>
          <w:szCs w:val="20"/>
          <w:color w:val="auto"/>
        </w:rPr>
      </w:pPr>
    </w:p>
    <w:p>
      <w:pPr>
        <w:ind w:left="580" w:right="3420"/>
        <w:spacing w:after="0" w:line="334" w:lineRule="auto"/>
        <w:rPr>
          <w:sz w:val="20"/>
          <w:szCs w:val="20"/>
          <w:color w:val="auto"/>
        </w:rPr>
      </w:pPr>
      <w:r>
        <w:rPr>
          <w:rFonts w:ascii="Arial" w:cs="Arial" w:eastAsia="Arial" w:hAnsi="Arial"/>
          <w:sz w:val="15"/>
          <w:szCs w:val="15"/>
          <w:color w:val="auto"/>
        </w:rPr>
        <w:t>obtain and maintain any necessary licenses to third-party intellectual property on commercially reasonable terms; obtain valid and enforceable patents that give us a competitive advantage or enforce existing patents;</w:t>
      </w:r>
    </w:p>
    <w:p>
      <w:pPr>
        <w:ind w:left="280"/>
        <w:spacing w:after="0"/>
        <w:rPr>
          <w:sz w:val="20"/>
          <w:szCs w:val="20"/>
          <w:color w:val="auto"/>
        </w:rPr>
      </w:pPr>
      <w:r>
        <w:rPr>
          <w:rFonts w:ascii="Arial" w:cs="Arial" w:eastAsia="Arial" w:hAnsi="Arial"/>
          <w:sz w:val="16"/>
          <w:szCs w:val="16"/>
          <w:color w:val="auto"/>
        </w:rPr>
        <w:t>protect our proprietary technology; and</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attract, retain and motivate qualified personnel.</w:t>
      </w:r>
    </w:p>
    <w:p>
      <w:pPr>
        <w:spacing w:after="0" w:line="8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Except for the quarters ended September 30, 2015 (as a result of a one-time gain on lease amendments), March 31, 2020 (as a result of the recognition of a gain relating to the Continuation Advances), December 31, 2020 (as a result of recognition of gain relating to the Reverse Termination Fee), September 30, 2021 (as a result of the recognition of a one-time income tax benefit from business acquisitions), 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Our net losses since inception and our expectation of incurring substantial losses and negative cash flow for the foreseeable future could:</w:t>
      </w:r>
    </w:p>
    <w:p>
      <w:pPr>
        <w:spacing w:after="0" w:line="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make it more difficult for us to satisfy our obligations;</w:t>
      </w:r>
    </w:p>
    <w:p>
      <w:pPr>
        <w:spacing w:after="0" w:line="6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increase our vulnerability to general adverse economic and industry conditions;</w:t>
      </w:r>
    </w:p>
    <w:p>
      <w:pPr>
        <w:spacing w:after="0" w:line="56" w:lineRule="exact"/>
        <w:rPr>
          <w:sz w:val="20"/>
          <w:szCs w:val="20"/>
          <w:color w:val="auto"/>
        </w:rPr>
      </w:pPr>
    </w:p>
    <w:p>
      <w:pPr>
        <w:ind w:left="960" w:right="2060"/>
        <w:spacing w:after="0" w:line="321" w:lineRule="auto"/>
        <w:rPr>
          <w:sz w:val="20"/>
          <w:szCs w:val="20"/>
          <w:color w:val="auto"/>
        </w:rPr>
      </w:pPr>
      <w:r>
        <w:rPr>
          <w:rFonts w:ascii="Arial" w:cs="Arial" w:eastAsia="Arial" w:hAnsi="Arial"/>
          <w:sz w:val="16"/>
          <w:szCs w:val="16"/>
          <w:color w:val="auto"/>
        </w:rPr>
        <w:t>limit our ability to fund future working capital, capital expenditures, research and development and other business opportunities; increase the volatility of the price of our common stock;</w:t>
      </w:r>
    </w:p>
    <w:p>
      <w:pPr>
        <w:ind w:left="680"/>
        <w:spacing w:after="0"/>
        <w:rPr>
          <w:sz w:val="20"/>
          <w:szCs w:val="20"/>
          <w:color w:val="auto"/>
        </w:rPr>
      </w:pPr>
      <w:r>
        <w:rPr>
          <w:rFonts w:ascii="Arial" w:cs="Arial" w:eastAsia="Arial" w:hAnsi="Arial"/>
          <w:sz w:val="16"/>
          <w:szCs w:val="16"/>
          <w:color w:val="auto"/>
        </w:rPr>
        <w:t>limit our flexibility to react to changes in our business and the industry in which we operate;</w:t>
      </w:r>
    </w:p>
    <w:p>
      <w:pPr>
        <w:spacing w:after="0" w:line="56" w:lineRule="exact"/>
        <w:rPr>
          <w:sz w:val="20"/>
          <w:szCs w:val="20"/>
          <w:color w:val="auto"/>
        </w:rPr>
      </w:pPr>
    </w:p>
    <w:p>
      <w:pPr>
        <w:ind w:left="960" w:right="3100"/>
        <w:spacing w:after="0" w:line="337" w:lineRule="auto"/>
        <w:rPr>
          <w:sz w:val="20"/>
          <w:szCs w:val="20"/>
          <w:color w:val="auto"/>
        </w:rPr>
      </w:pPr>
      <w:r>
        <w:rPr>
          <w:rFonts w:ascii="Arial" w:cs="Arial" w:eastAsia="Arial" w:hAnsi="Arial"/>
          <w:sz w:val="16"/>
          <w:szCs w:val="16"/>
          <w:color w:val="auto"/>
        </w:rPr>
        <w:t>place us at a disadvantage to other companies that offer nucleic acid sequencing equipment or consumables; and limit our ability to borrow additional funds.</w:t>
      </w:r>
    </w:p>
    <w:p>
      <w:pPr>
        <w:jc w:val="both"/>
        <w:spacing w:after="0" w:line="241" w:lineRule="auto"/>
        <w:rPr>
          <w:sz w:val="20"/>
          <w:szCs w:val="20"/>
          <w:color w:val="auto"/>
        </w:rPr>
      </w:pPr>
      <w:r>
        <w:rPr>
          <w:rFonts w:ascii="Arial" w:cs="Arial" w:eastAsia="Arial" w:hAnsi="Arial"/>
          <w:sz w:val="16"/>
          <w:szCs w:val="16"/>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Any or all of the foregoing may have a material adverse effect on our business, operations, financial condition, and prospects.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not cash flow positive and may not have sufficient cash to make required payments under the terms of our debt or fund our long-term planned operations.</w:t>
      </w:r>
    </w:p>
    <w:p>
      <w:pPr>
        <w:spacing w:after="0" w:line="10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and may further incur additional debt, including the debt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our growth will depend, in part, on our ability to fund our commercialization efforts and our efforts to develop new products, including any improvements to</w:t>
      </w:r>
    </w:p>
    <w:p>
      <w:pPr>
        <w:spacing w:after="0" w:line="3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our SMRT Cell products and Sequel II/IIe Systems, the continued development and anticipated launch of the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HiFi long-read system and the Onso</w:t>
      </w:r>
      <w:r>
        <w:rPr>
          <w:rFonts w:ascii="Arial" w:cs="Arial" w:eastAsia="Arial" w:hAnsi="Arial"/>
          <w:sz w:val="22"/>
          <w:szCs w:val="22"/>
          <w:color w:val="auto"/>
          <w:vertAlign w:val="superscript"/>
        </w:rPr>
        <w:t>TM</w:t>
      </w:r>
      <w:r>
        <w:rPr>
          <w:rFonts w:ascii="Arial" w:cs="Arial" w:eastAsia="Arial" w:hAnsi="Arial"/>
          <w:sz w:val="14"/>
          <w:szCs w:val="14"/>
          <w:color w:val="auto"/>
        </w:rPr>
        <w:t>, SBB short-read system.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01"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b w:val="1"/>
          <w:bCs w:val="1"/>
          <w:i w:val="1"/>
          <w:iCs w:val="1"/>
          <w:color w:val="auto"/>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2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In July 2021, we acquired Circulomics and in September 2021, we acquired Omniome.</w:t>
      </w:r>
    </w:p>
    <w:p>
      <w:pPr>
        <w:spacing w:after="0" w:line="7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Acquisitions and strategic transactions involve numerous risks, any of which could harm our business and negatively affect our financial condition and results of operations, including:</w:t>
      </w:r>
    </w:p>
    <w:p>
      <w:pPr>
        <w:spacing w:after="0" w:line="6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intense competition for suitable acquisition targets, which could increase prices and adversely affect our ability to consummate deals on favorable or acceptable terms;</w:t>
      </w:r>
    </w:p>
    <w:p>
      <w:pPr>
        <w:spacing w:after="0" w:line="31" w:lineRule="exact"/>
        <w:rPr>
          <w:sz w:val="20"/>
          <w:szCs w:val="20"/>
          <w:color w:val="auto"/>
        </w:rPr>
      </w:pPr>
    </w:p>
    <w:p>
      <w:pPr>
        <w:ind w:left="580" w:right="7580"/>
        <w:spacing w:after="0" w:line="367" w:lineRule="auto"/>
        <w:rPr>
          <w:sz w:val="20"/>
          <w:szCs w:val="20"/>
          <w:color w:val="auto"/>
        </w:rPr>
      </w:pPr>
      <w:r>
        <w:rPr>
          <w:rFonts w:ascii="Arial" w:cs="Arial" w:eastAsia="Arial" w:hAnsi="Arial"/>
          <w:sz w:val="14"/>
          <w:szCs w:val="14"/>
          <w:color w:val="auto"/>
        </w:rPr>
        <w:t>failure or material delay in closing a transaction; transaction-related lawsuits or claims;</w:t>
      </w:r>
    </w:p>
    <w:p>
      <w:pPr>
        <w:ind w:left="580" w:right="3460"/>
        <w:spacing w:after="0" w:line="321" w:lineRule="auto"/>
        <w:rPr>
          <w:sz w:val="20"/>
          <w:szCs w:val="20"/>
          <w:color w:val="auto"/>
        </w:rPr>
      </w:pPr>
      <w:r>
        <w:rPr>
          <w:rFonts w:ascii="Arial" w:cs="Arial" w:eastAsia="Arial" w:hAnsi="Arial"/>
          <w:sz w:val="16"/>
          <w:szCs w:val="16"/>
          <w:color w:val="auto"/>
        </w:rPr>
        <w:t>difficulties in integrating the technologies, operations, existing contracts, and personnel of an acquired company; difficulties in retaining key employees or business partners of an acquired company;</w:t>
      </w:r>
    </w:p>
    <w:p>
      <w:pPr>
        <w:ind w:left="280"/>
        <w:spacing w:after="0"/>
        <w:rPr>
          <w:sz w:val="20"/>
          <w:szCs w:val="20"/>
          <w:color w:val="auto"/>
        </w:rPr>
      </w:pPr>
      <w:r>
        <w:rPr>
          <w:rFonts w:ascii="Arial" w:cs="Arial" w:eastAsia="Arial" w:hAnsi="Arial"/>
          <w:sz w:val="16"/>
          <w:szCs w:val="16"/>
          <w:color w:val="auto"/>
        </w:rPr>
        <w:t>difficulties in retaining suppliers, partners or customers of an acquired company;</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challenges with integrating the brand identity of an acquired company with our own;</w:t>
      </w:r>
    </w:p>
    <w:p>
      <w:pPr>
        <w:spacing w:after="0" w:line="68" w:lineRule="exact"/>
        <w:rPr>
          <w:sz w:val="20"/>
          <w:szCs w:val="20"/>
          <w:color w:val="auto"/>
        </w:rPr>
      </w:pPr>
    </w:p>
    <w:p>
      <w:pPr>
        <w:ind w:left="580" w:right="3360"/>
        <w:spacing w:after="0" w:line="321" w:lineRule="auto"/>
        <w:rPr>
          <w:sz w:val="20"/>
          <w:szCs w:val="20"/>
          <w:color w:val="auto"/>
        </w:rPr>
      </w:pPr>
      <w:r>
        <w:rPr>
          <w:rFonts w:ascii="Arial" w:cs="Arial" w:eastAsia="Arial" w:hAnsi="Arial"/>
          <w:sz w:val="16"/>
          <w:szCs w:val="16"/>
          <w:color w:val="auto"/>
        </w:rPr>
        <w:t>diversion of financial and management resources from existing operations or alternative acquisition opportunities; failure to realize the anticipated benefits or synergies of a transaction;</w:t>
      </w:r>
    </w:p>
    <w:p>
      <w:pPr>
        <w:ind w:left="280"/>
        <w:spacing w:after="0"/>
        <w:rPr>
          <w:sz w:val="20"/>
          <w:szCs w:val="20"/>
          <w:color w:val="auto"/>
        </w:rPr>
      </w:pPr>
      <w:r>
        <w:rPr>
          <w:rFonts w:ascii="Arial" w:cs="Arial" w:eastAsia="Arial" w:hAnsi="Arial"/>
          <w:sz w:val="16"/>
          <w:szCs w:val="16"/>
          <w:color w:val="auto"/>
        </w:rPr>
        <w:t>difficulties in developing technology post-acquisition;</w:t>
      </w:r>
    </w:p>
    <w:p>
      <w:pPr>
        <w:spacing w:after="0" w:line="56"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43" w:lineRule="exact"/>
        <w:rPr>
          <w:sz w:val="20"/>
          <w:szCs w:val="20"/>
          <w:color w:val="auto"/>
        </w:rPr>
      </w:pPr>
    </w:p>
    <w:p>
      <w:pPr>
        <w:ind w:left="580" w:right="2180"/>
        <w:spacing w:after="0" w:line="294" w:lineRule="auto"/>
        <w:rPr>
          <w:sz w:val="20"/>
          <w:szCs w:val="20"/>
          <w:color w:val="auto"/>
        </w:rPr>
      </w:pPr>
      <w:r>
        <w:rPr>
          <w:rFonts w:ascii="Arial" w:cs="Arial" w:eastAsia="Arial" w:hAnsi="Arial"/>
          <w:sz w:val="15"/>
          <w:szCs w:val="15"/>
          <w:color w:val="auto"/>
        </w:rPr>
        <w:t>risks that regulatory bodies may enact new laws or promulgate new regulations that are adverse to an acquired company or business; risks that regulatory bodies do not approve our acquisitions or business combinations or delay such approvals;</w:t>
      </w: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717296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357" w:lineRule="exact"/>
        <w:rPr>
          <w:sz w:val="20"/>
          <w:szCs w:val="20"/>
          <w:color w:val="auto"/>
        </w:rPr>
      </w:pPr>
    </w:p>
    <w:p>
      <w:pPr>
        <w:ind w:left="580" w:right="1760"/>
        <w:spacing w:after="0" w:line="334" w:lineRule="auto"/>
        <w:rPr>
          <w:sz w:val="20"/>
          <w:szCs w:val="20"/>
          <w:color w:val="auto"/>
        </w:rPr>
      </w:pPr>
      <w:r>
        <w:rPr>
          <w:rFonts w:ascii="Arial" w:cs="Arial" w:eastAsia="Arial" w:hAnsi="Arial"/>
          <w:sz w:val="15"/>
          <w:szCs w:val="15"/>
          <w:color w:val="auto"/>
        </w:rPr>
        <w:t>theft of our trade secrets or confidential information that we share with potential acquisition candidates or other potential strategic partners; risk that an acquired company or investment in new services cannibalizes a portion of our existing business; and</w:t>
      </w:r>
    </w:p>
    <w:p>
      <w:pPr>
        <w:ind w:left="280"/>
        <w:spacing w:after="0"/>
        <w:rPr>
          <w:sz w:val="20"/>
          <w:szCs w:val="20"/>
          <w:color w:val="auto"/>
        </w:rPr>
      </w:pPr>
      <w:r>
        <w:rPr>
          <w:rFonts w:ascii="Arial" w:cs="Arial" w:eastAsia="Arial" w:hAnsi="Arial"/>
          <w:sz w:val="16"/>
          <w:szCs w:val="16"/>
          <w:color w:val="auto"/>
        </w:rPr>
        <w:t>adverse market reaction to an acquisition or other strategic transaction.</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5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spacing w:after="0" w:line="119"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If we are unable to successfully develop and timely manufacture our current and future products, including with respect to SMRT Cells Sequel II/IIe Systems, the Revio</w:t>
      </w:r>
      <w:r>
        <w:rPr>
          <w:rFonts w:ascii="Arial" w:cs="Arial" w:eastAsia="Arial" w:hAnsi="Arial"/>
          <w:sz w:val="24"/>
          <w:szCs w:val="24"/>
          <w:b w:val="1"/>
          <w:bCs w:val="1"/>
          <w:i w:val="1"/>
          <w:iCs w:val="1"/>
          <w:color w:val="auto"/>
          <w:vertAlign w:val="superscript"/>
        </w:rPr>
        <w:t>TM</w:t>
      </w:r>
      <w:r>
        <w:rPr>
          <w:rFonts w:ascii="Arial" w:cs="Arial" w:eastAsia="Arial" w:hAnsi="Arial"/>
          <w:sz w:val="15"/>
          <w:szCs w:val="15"/>
          <w:b w:val="1"/>
          <w:bCs w:val="1"/>
          <w:i w:val="1"/>
          <w:iCs w:val="1"/>
          <w:color w:val="auto"/>
        </w:rPr>
        <w:t>, the Onso</w:t>
      </w:r>
      <w:r>
        <w:rPr>
          <w:rFonts w:ascii="Arial" w:cs="Arial" w:eastAsia="Arial" w:hAnsi="Arial"/>
          <w:sz w:val="24"/>
          <w:szCs w:val="24"/>
          <w:b w:val="1"/>
          <w:bCs w:val="1"/>
          <w:i w:val="1"/>
          <w:iCs w:val="1"/>
          <w:color w:val="auto"/>
          <w:vertAlign w:val="superscript"/>
        </w:rPr>
        <w:t>TM</w:t>
      </w:r>
      <w:r>
        <w:rPr>
          <w:rFonts w:ascii="Arial" w:cs="Arial" w:eastAsia="Arial" w:hAnsi="Arial"/>
          <w:sz w:val="15"/>
          <w:szCs w:val="15"/>
          <w:b w:val="1"/>
          <w:bCs w:val="1"/>
          <w:i w:val="1"/>
          <w:iCs w:val="1"/>
          <w:color w:val="auto"/>
        </w:rPr>
        <w:t>, and other SMRT Cell, HiFi, and SBB products under development, and related products, our business may be adversely affected.</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4"/>
          <w:szCs w:val="14"/>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Systems, and the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and Onso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products under development,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4"/>
          <w:szCs w:val="14"/>
          <w:color w:val="auto"/>
        </w:rPr>
        <w:t>our products, including with respect to SMRT Cells, reagents, Sequel II/IIe Systems, the Revio</w:t>
      </w:r>
      <w:r>
        <w:rPr>
          <w:rFonts w:ascii="Arial" w:cs="Arial" w:eastAsia="Arial" w:hAnsi="Arial"/>
          <w:sz w:val="22"/>
          <w:szCs w:val="22"/>
          <w:color w:val="auto"/>
          <w:vertAlign w:val="superscript"/>
        </w:rPr>
        <w:t>TM</w:t>
      </w:r>
      <w:r>
        <w:rPr>
          <w:rFonts w:ascii="Arial" w:cs="Arial" w:eastAsia="Arial" w:hAnsi="Arial"/>
          <w:sz w:val="14"/>
          <w:szCs w:val="14"/>
          <w:color w:val="auto"/>
        </w:rPr>
        <w:t>, the Onso</w:t>
      </w:r>
      <w:r>
        <w:rPr>
          <w:rFonts w:ascii="Arial" w:cs="Arial" w:eastAsia="Arial" w:hAnsi="Arial"/>
          <w:sz w:val="22"/>
          <w:szCs w:val="22"/>
          <w:color w:val="auto"/>
          <w:vertAlign w:val="superscript"/>
        </w:rPr>
        <w:t>TM</w:t>
      </w:r>
      <w:r>
        <w:rPr>
          <w:rFonts w:ascii="Arial" w:cs="Arial" w:eastAsia="Arial" w:hAnsi="Arial"/>
          <w:sz w:val="14"/>
          <w:szCs w:val="14"/>
          <w:color w:val="auto"/>
        </w:rPr>
        <w:t>, and other SMRT Cell, HiFi, and SBB products under development,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w:t>
      </w:r>
    </w:p>
    <w:p>
      <w:pPr>
        <w:spacing w:after="0" w:line="231" w:lineRule="auto"/>
        <w:rPr>
          <w:sz w:val="20"/>
          <w:szCs w:val="20"/>
          <w:color w:val="auto"/>
        </w:rPr>
      </w:pPr>
      <w:r>
        <w:rPr>
          <w:rFonts w:ascii="Arial" w:cs="Arial" w:eastAsia="Arial" w:hAnsi="Arial"/>
          <w:sz w:val="14"/>
          <w:szCs w:val="14"/>
          <w:color w:val="auto"/>
        </w:rPr>
        <w:t>consumables specifically for the Sequel, Sequel II/IIe, and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Systems, and may need to develop in the future, other customized SMRT Cells and consumables for our</w:t>
      </w:r>
    </w:p>
    <w:p>
      <w:pPr>
        <w:jc w:val="both"/>
        <w:ind w:right="20"/>
        <w:spacing w:after="0" w:line="215" w:lineRule="auto"/>
        <w:rPr>
          <w:sz w:val="20"/>
          <w:szCs w:val="20"/>
          <w:color w:val="auto"/>
        </w:rPr>
      </w:pPr>
      <w:r>
        <w:rPr>
          <w:rFonts w:ascii="Arial" w:cs="Arial" w:eastAsia="Arial" w:hAnsi="Arial"/>
          <w:sz w:val="16"/>
          <w:szCs w:val="16"/>
          <w:color w:val="auto"/>
        </w:rPr>
        <w:t>future products. Our production of the SMRT Cells for the Sequel and Sequel II/IIe Systems has been and may in the future, including with respect to the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system, be below desired levels and yields, and we have experienced and may experience in the future manufacturing delays, product or quality defects, SMRT Cell variability, and other issues. For example, the COVID–19 pandemic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61"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and technical validation may not be completed on our currently expected timelines or at all. Such testing may also expose fundamental flaws in our products that may cause us to abandon the further development of such products.</w:t>
      </w:r>
    </w:p>
    <w:p>
      <w:pPr>
        <w:spacing w:after="0" w:line="69"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If the continued rollout of our current and future products, including with respect to the SMRT Cell 8M, the Sequel II/IIe, Revio</w:t>
      </w:r>
      <w:r>
        <w:rPr>
          <w:rFonts w:ascii="Arial" w:cs="Arial" w:eastAsia="Arial" w:hAnsi="Arial"/>
          <w:sz w:val="22"/>
          <w:szCs w:val="22"/>
          <w:color w:val="auto"/>
          <w:vertAlign w:val="superscript"/>
        </w:rPr>
        <w:t>TM</w:t>
      </w:r>
      <w:r>
        <w:rPr>
          <w:rFonts w:ascii="Arial" w:cs="Arial" w:eastAsia="Arial" w:hAnsi="Arial"/>
          <w:sz w:val="14"/>
          <w:szCs w:val="14"/>
          <w:color w:val="auto"/>
        </w:rPr>
        <w:t>, and Onso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w:t>
      </w:r>
    </w:p>
    <w:p>
      <w:pPr>
        <w:spacing w:after="0" w:line="1" w:lineRule="exact"/>
        <w:rPr>
          <w:sz w:val="20"/>
          <w:szCs w:val="20"/>
          <w:color w:val="auto"/>
        </w:rPr>
      </w:pPr>
    </w:p>
    <w:p>
      <w:pPr>
        <w:jc w:val="both"/>
        <w:ind w:right="20"/>
        <w:spacing w:after="0" w:line="203" w:lineRule="auto"/>
        <w:rPr>
          <w:sz w:val="20"/>
          <w:szCs w:val="20"/>
          <w:color w:val="auto"/>
        </w:rPr>
      </w:pPr>
      <w:r>
        <w:rPr>
          <w:rFonts w:ascii="Arial" w:cs="Arial" w:eastAsia="Arial" w:hAnsi="Arial"/>
          <w:sz w:val="16"/>
          <w:szCs w:val="16"/>
          <w:color w:val="auto"/>
        </w:rPr>
        <w:t>existing and new products, including the SMRT Cell 8M, Sequel II/IIe Systems, the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the Onso</w:t>
      </w:r>
      <w:r>
        <w:rPr>
          <w:rFonts w:ascii="Arial" w:cs="Arial" w:eastAsia="Arial" w:hAnsi="Arial"/>
          <w:sz w:val="26"/>
          <w:szCs w:val="26"/>
          <w:color w:val="auto"/>
          <w:vertAlign w:val="superscript"/>
        </w:rPr>
        <w:t>TM</w:t>
      </w:r>
      <w:r>
        <w:rPr>
          <w:rFonts w:ascii="Arial" w:cs="Arial" w:eastAsia="Arial" w:hAnsi="Arial"/>
          <w:sz w:val="16"/>
          <w:szCs w:val="16"/>
          <w:color w:val="auto"/>
        </w:rPr>
        <w:t>, could materially and adversely affect our business, operations, financial condition, and prospects.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w:t>
      </w:r>
    </w:p>
    <w:p>
      <w:pPr>
        <w:jc w:val="both"/>
        <w:spacing w:after="0" w:line="253" w:lineRule="auto"/>
        <w:rPr>
          <w:sz w:val="20"/>
          <w:szCs w:val="20"/>
          <w:color w:val="auto"/>
        </w:rPr>
      </w:pPr>
      <w:r>
        <w:rPr>
          <w:rFonts w:ascii="Arial" w:cs="Arial" w:eastAsia="Arial" w:hAnsi="Arial"/>
          <w:sz w:val="14"/>
          <w:szCs w:val="14"/>
          <w:color w:val="auto"/>
        </w:rPr>
        <w:t>introduction of new products in the future, including in connection with the SMRT Cell 8M, the Sequel II/IIe Systems and the Revio</w:t>
      </w:r>
      <w:r>
        <w:rPr>
          <w:rFonts w:ascii="Arial" w:cs="Arial" w:eastAsia="Arial" w:hAnsi="Arial"/>
          <w:sz w:val="22"/>
          <w:szCs w:val="22"/>
          <w:color w:val="auto"/>
          <w:vertAlign w:val="superscript"/>
        </w:rPr>
        <w:t>TM</w:t>
      </w:r>
      <w:r>
        <w:rPr>
          <w:rFonts w:ascii="Arial" w:cs="Arial" w:eastAsia="Arial" w:hAnsi="Arial"/>
          <w:sz w:val="14"/>
          <w:szCs w:val="14"/>
          <w:color w:val="auto"/>
        </w:rPr>
        <w:t>, in addition to the Onso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and other SBB products currently under development.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For example, in January 2021, we entered into the Development Agreement, a multi-year collaboration with Invitae to begin development of a production-scale high-throughput sequencing platform, which was amended and restated on June 24, 2022 (the “Amended and Restated Agreement”). While we anticipate that in connection with the Amended and Restated Agreement, we will continue to receive feedback, input and insight from Invitae in connection with our intended development of new high-throughput sequencing systems, such feedback will not be contractually required and Invitae has no contractual right to participate in decisions regarding the development program for such new sequencing systems. Invitae will not be contractually obligated to reimburse us for development costs under the Amended and Restated Agreement. In consideration of non-refundable Development Costs (as defined in the Development Agreement) paid by Invitae to us pursuant to the Development Agreement, we will provide Invitae with credits in connection with Invitae’s anticipated purchase of currently available and in-development sequencing systems (instruments and consumables). In addition, subject to certain</w:t>
      </w:r>
    </w:p>
    <w:p>
      <w:pPr>
        <w:spacing w:after="0" w:line="6" w:lineRule="exact"/>
        <w:rPr>
          <w:sz w:val="20"/>
          <w:szCs w:val="20"/>
          <w:color w:val="auto"/>
        </w:rPr>
      </w:pPr>
    </w:p>
    <w:p>
      <w:pPr>
        <w:jc w:val="both"/>
        <w:ind w:right="20"/>
        <w:spacing w:after="0" w:line="213" w:lineRule="auto"/>
        <w:rPr>
          <w:sz w:val="20"/>
          <w:szCs w:val="20"/>
          <w:color w:val="auto"/>
        </w:rPr>
      </w:pPr>
      <w:r>
        <w:rPr>
          <w:rFonts w:ascii="Arial" w:cs="Arial" w:eastAsia="Arial" w:hAnsi="Arial"/>
          <w:sz w:val="16"/>
          <w:szCs w:val="16"/>
          <w:color w:val="auto"/>
        </w:rPr>
        <w:t>conditions, Invitae will be entitled to most favored pricing for our Sequel IIe systems and certain in-development systems, including the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system. Furthermore, we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must successfully manage new product introductions and transitions, including with respect to the SMRT Cell 8M, the Sequel II/IIe Systems, and the development of</w:t>
      </w:r>
    </w:p>
    <w:p>
      <w:pPr>
        <w:spacing w:after="0" w:line="44" w:lineRule="exact"/>
        <w:rPr>
          <w:sz w:val="20"/>
          <w:szCs w:val="20"/>
          <w:color w:val="auto"/>
        </w:rPr>
      </w:pPr>
    </w:p>
    <w:p>
      <w:pPr>
        <w:jc w:val="both"/>
        <w:ind w:right="20"/>
        <w:spacing w:after="0" w:line="203" w:lineRule="auto"/>
        <w:rPr>
          <w:sz w:val="20"/>
          <w:szCs w:val="20"/>
          <w:color w:val="auto"/>
        </w:rPr>
      </w:pPr>
      <w:r>
        <w:rPr>
          <w:rFonts w:ascii="Arial" w:cs="Arial" w:eastAsia="Arial" w:hAnsi="Arial"/>
          <w:sz w:val="16"/>
          <w:szCs w:val="16"/>
          <w:b w:val="1"/>
          <w:bCs w:val="1"/>
          <w:i w:val="1"/>
          <w:iCs w:val="1"/>
          <w:color w:val="auto"/>
        </w:rPr>
        <w:t>the Revio</w:t>
      </w:r>
      <w:r>
        <w:rPr>
          <w:rFonts w:ascii="Arial" w:cs="Arial" w:eastAsia="Arial" w:hAnsi="Arial"/>
          <w:sz w:val="26"/>
          <w:szCs w:val="26"/>
          <w:b w:val="1"/>
          <w:bCs w:val="1"/>
          <w:i w:val="1"/>
          <w:iCs w:val="1"/>
          <w:color w:val="auto"/>
          <w:vertAlign w:val="superscript"/>
        </w:rPr>
        <w:t>TM</w:t>
      </w:r>
      <w:r>
        <w:rPr>
          <w:rFonts w:ascii="Arial" w:cs="Arial" w:eastAsia="Arial" w:hAnsi="Arial"/>
          <w:sz w:val="16"/>
          <w:szCs w:val="16"/>
          <w:b w:val="1"/>
          <w:bCs w:val="1"/>
          <w:i w:val="1"/>
          <w:iCs w:val="1"/>
          <w:color w:val="auto"/>
        </w:rPr>
        <w:t xml:space="preserve"> HiFi long-read sequencing system and the Onso</w:t>
      </w:r>
      <w:r>
        <w:rPr>
          <w:rFonts w:ascii="Arial" w:cs="Arial" w:eastAsia="Arial" w:hAnsi="Arial"/>
          <w:sz w:val="26"/>
          <w:szCs w:val="26"/>
          <w:b w:val="1"/>
          <w:bCs w:val="1"/>
          <w:i w:val="1"/>
          <w:iCs w:val="1"/>
          <w:color w:val="auto"/>
          <w:vertAlign w:val="superscript"/>
        </w:rPr>
        <w:t>TM</w:t>
      </w:r>
      <w:r>
        <w:rPr>
          <w:rFonts w:ascii="Arial" w:cs="Arial" w:eastAsia="Arial" w:hAnsi="Arial"/>
          <w:sz w:val="16"/>
          <w:szCs w:val="16"/>
          <w:b w:val="1"/>
          <w:bCs w:val="1"/>
          <w:i w:val="1"/>
          <w:iCs w:val="1"/>
          <w:color w:val="auto"/>
        </w:rPr>
        <w:t xml:space="preserve"> SBB short-read sequencing system, and we may incur significant costs during these transitions and development, and these efforts may not result in the benefits we anticipate.</w:t>
      </w:r>
    </w:p>
    <w:p>
      <w:pPr>
        <w:spacing w:after="0" w:line="156"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w:t>
      </w:r>
    </w:p>
    <w:p>
      <w:pPr>
        <w:spacing w:after="0" w:line="218" w:lineRule="auto"/>
        <w:rPr>
          <w:sz w:val="20"/>
          <w:szCs w:val="20"/>
          <w:color w:val="auto"/>
        </w:rPr>
      </w:pPr>
      <w:r>
        <w:rPr>
          <w:rFonts w:ascii="Arial" w:cs="Arial" w:eastAsia="Arial" w:hAnsi="Arial"/>
          <w:sz w:val="14"/>
          <w:szCs w:val="14"/>
          <w:color w:val="auto"/>
        </w:rPr>
        <w:t>realize the benefits we anticipate from the development and commercialization of the SMRT Cell 8M, Sequel II/IIe Systems, the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HiFi long-read sequencing system,</w:t>
      </w:r>
    </w:p>
    <w:p>
      <w:pPr>
        <w:jc w:val="both"/>
        <w:ind w:right="20"/>
        <w:spacing w:after="0" w:line="213" w:lineRule="auto"/>
        <w:rPr>
          <w:sz w:val="20"/>
          <w:szCs w:val="20"/>
          <w:color w:val="auto"/>
        </w:rPr>
      </w:pPr>
      <w:r>
        <w:rPr>
          <w:rFonts w:ascii="Arial" w:cs="Arial" w:eastAsia="Arial" w:hAnsi="Arial"/>
          <w:sz w:val="16"/>
          <w:szCs w:val="16"/>
          <w:color w:val="auto"/>
        </w:rPr>
        <w:t>and the Onso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SBB short-read sequencing system, and any future products that may be developed for research, medical and clinical uses,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167640</wp:posOffset>
            </wp:positionV>
            <wp:extent cx="717296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176"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w:t>
      </w:r>
    </w:p>
    <w:p>
      <w:pPr>
        <w:spacing w:after="0" w:line="1" w:lineRule="exact"/>
        <w:rPr>
          <w:sz w:val="20"/>
          <w:szCs w:val="20"/>
          <w:color w:val="auto"/>
        </w:rPr>
      </w:pPr>
    </w:p>
    <w:p>
      <w:pPr>
        <w:jc w:val="both"/>
        <w:ind w:right="20"/>
        <w:spacing w:after="0" w:line="197" w:lineRule="auto"/>
        <w:rPr>
          <w:sz w:val="20"/>
          <w:szCs w:val="20"/>
          <w:color w:val="auto"/>
        </w:rPr>
      </w:pPr>
      <w:r>
        <w:rPr>
          <w:rFonts w:ascii="Arial" w:cs="Arial" w:eastAsia="Arial" w:hAnsi="Arial"/>
          <w:sz w:val="16"/>
          <w:szCs w:val="16"/>
          <w:color w:val="auto"/>
        </w:rPr>
        <w:t>successfully manage these product transitions, including with respect to the SMRT Cell 8M, Sequel II/IIe Systems, the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the Onso</w:t>
      </w:r>
      <w:r>
        <w:rPr>
          <w:rFonts w:ascii="Arial" w:cs="Arial" w:eastAsia="Arial" w:hAnsi="Arial"/>
          <w:sz w:val="26"/>
          <w:szCs w:val="26"/>
          <w:color w:val="auto"/>
          <w:vertAlign w:val="superscript"/>
        </w:rPr>
        <w:t>TM</w:t>
      </w:r>
      <w:r>
        <w:rPr>
          <w:rFonts w:ascii="Arial" w:cs="Arial" w:eastAsia="Arial" w:hAnsi="Arial"/>
          <w:sz w:val="16"/>
          <w:szCs w:val="16"/>
          <w:color w:val="auto"/>
        </w:rPr>
        <w:t>, and any future long-read and short-read products, our business, operations, financial condition, and prospects may be materially and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changes to our leadership team and the resulting management transitions might harm our future operating results.</w:t>
      </w:r>
    </w:p>
    <w:p>
      <w:pPr>
        <w:spacing w:after="0" w:line="81"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was appointed effective January 8, 2021. Jeff Eidel was appointed Chief Commercial Officer effective August 16, 2022, succeeding Peter Fromen who resigned effective May 20, 2022. Also, our Vice President and Chief Accounting Officer Michele Farmer was appointed effective May 17, 2021, and our Chair of the Board Dr. John F. Milligan was appointed effective September 14, 2020.</w:t>
      </w:r>
    </w:p>
    <w:p>
      <w:pPr>
        <w:spacing w:after="0" w:line="5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07"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has been and may continue to be high. We compete for qualified management and scientific personnel with other life science companies, academic institutions and research institutions, particularly those focusing on genomics. This competition has become exacerbated by the increase in employee resignations in 2021 and continued high rates of employee turnover continuing into 2022 that have been experienced by us and reported by employers nationwide. To induce valuable employees to remain at our company, in addition to salary and cash incentives, we have issued stock options and restricted stock units that vest over time. The value to employees of stock options and restricted stock units that vest over time may be significantly affected by movements in our stock price that are beyond our control and may at any time be insufficient to counteract more lucrative offers from other companies. We may face challenges in retaining and recruiting such individuals due to sustained declines in our stock price that could reduce the retention value of equity awards.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 In addition, we will need to continue to recruit, hire and retain sales personnel to support the commercialization of our existing and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new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19"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9"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w:t>
      </w:r>
    </w:p>
    <w:p>
      <w:pPr>
        <w:spacing w:after="0" w:line="1"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8M, Sequel II/IIe Systems, and anticipated sale and commercialization of the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and the Onso</w:t>
      </w:r>
      <w:r>
        <w:rPr>
          <w:rFonts w:ascii="Arial" w:cs="Arial" w:eastAsia="Arial" w:hAnsi="Arial"/>
          <w:sz w:val="22"/>
          <w:szCs w:val="22"/>
          <w:color w:val="auto"/>
          <w:vertAlign w:val="superscript"/>
        </w:rPr>
        <w:t>TM</w:t>
      </w:r>
      <w:r>
        <w:rPr>
          <w:rFonts w:ascii="Arial" w:cs="Arial" w:eastAsia="Arial" w:hAnsi="Arial"/>
          <w:sz w:val="14"/>
          <w:szCs w:val="14"/>
          <w:color w:val="auto"/>
        </w:rPr>
        <w:t>, and related products may not grow sufficiently to cover our costs. There can be no assurance that we will be successful in adding new products or securing additional customers for our current and future products, including with respect to the</w:t>
      </w:r>
    </w:p>
    <w:p>
      <w:pPr>
        <w:jc w:val="both"/>
        <w:spacing w:after="0" w:line="252" w:lineRule="auto"/>
        <w:rPr>
          <w:sz w:val="20"/>
          <w:szCs w:val="20"/>
          <w:color w:val="auto"/>
        </w:rPr>
      </w:pPr>
      <w:r>
        <w:rPr>
          <w:rFonts w:ascii="Arial" w:cs="Arial" w:eastAsia="Arial" w:hAnsi="Arial"/>
          <w:sz w:val="14"/>
          <w:szCs w:val="14"/>
          <w:color w:val="auto"/>
        </w:rPr>
        <w:t>SMRT Cell 8M, Sequel II/IIe Systems, the Revio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and the Onso</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and products related to our recent Circulomics and Omniome acquisitions. If we are unable to successfully develop SBB technology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66"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4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growth with existing customers that we are expecting, our current and future sales and revenue may be materially and adversely harmed, or we may recognize an impairment loss, and our business may not succeed.</w:t>
      </w:r>
    </w:p>
    <w:p>
      <w:pPr>
        <w:spacing w:after="0" w:line="9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 disruptions,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in response to a surge in COVID-19 infections in 2022, the Chinese government imposed lockdowns in certain parts of the country, which has had, and may continue to have, a negative impact on manufacturing and/or supply chains, in addition to customer demand for our products and demand through certain distributors. If as a result of global economic or political instability, such as the political uncertainty associated with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infections are reduced, supply issues or business disruptions are resolved and/or other sources can be developed.</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because our semiconductor suppliers are in regions that may have communities with low vaccination rates, the Omicron variant of COVID-19, or any variants that evolve in the future, could lead to increased infections among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10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20"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w:t>
      </w:r>
    </w:p>
    <w:p>
      <w:pPr>
        <w:jc w:val="both"/>
        <w:ind w:right="20"/>
        <w:spacing w:after="0" w:line="197" w:lineRule="auto"/>
        <w:rPr>
          <w:sz w:val="20"/>
          <w:szCs w:val="20"/>
          <w:color w:val="auto"/>
        </w:rPr>
      </w:pPr>
      <w:r>
        <w:rPr>
          <w:rFonts w:ascii="Arial" w:cs="Arial" w:eastAsia="Arial" w:hAnsi="Arial"/>
          <w:sz w:val="16"/>
          <w:szCs w:val="16"/>
          <w:color w:val="auto"/>
        </w:rPr>
        <w:t>including with respect to the SMRT Cell 8M, Sequel II/IIe Systems, the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the Onso</w:t>
      </w:r>
      <w:r>
        <w:rPr>
          <w:rFonts w:ascii="Arial" w:cs="Arial" w:eastAsia="Arial" w:hAnsi="Arial"/>
          <w:sz w:val="26"/>
          <w:szCs w:val="26"/>
          <w:color w:val="auto"/>
          <w:vertAlign w:val="superscript"/>
        </w:rPr>
        <w:t>TM</w:t>
      </w:r>
      <w:r>
        <w:rPr>
          <w:rFonts w:ascii="Arial" w:cs="Arial" w:eastAsia="Arial" w:hAnsi="Arial"/>
          <w:sz w:val="16"/>
          <w:szCs w:val="16"/>
          <w:color w:val="auto"/>
        </w:rPr>
        <w:t>, could diminish future demand for our products and may materially and adversely harm our future operating results.</w:t>
      </w:r>
    </w:p>
    <w:p>
      <w:pPr>
        <w:spacing w:after="0" w:line="120"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52" w:lineRule="exact"/>
        <w:rPr>
          <w:sz w:val="20"/>
          <w:szCs w:val="20"/>
          <w:color w:val="auto"/>
        </w:rPr>
      </w:pPr>
    </w:p>
    <w:p>
      <w:pPr>
        <w:jc w:val="both"/>
        <w:ind w:right="20"/>
        <w:spacing w:after="0" w:line="252" w:lineRule="auto"/>
        <w:rPr>
          <w:sz w:val="20"/>
          <w:szCs w:val="20"/>
          <w:color w:val="auto"/>
        </w:rPr>
      </w:pPr>
      <w:r>
        <w:rPr>
          <w:rFonts w:ascii="Arial" w:cs="Arial" w:eastAsia="Arial" w:hAnsi="Arial"/>
          <w:sz w:val="15"/>
          <w:szCs w:val="15"/>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717296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8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There are a significant number of companies offering nucleic acid sequencing products and/or services, including Illumina, BGI Genomics, Thermo Fisher Scientific, Oxford Nanopore Technologies Ltd. (“ONT Ltd.”), Roche, and Qiagen. Companies that may enter the market may include Ultima Genomics, Element Biosciences and Singular Genomics.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increase sales of our current products or market and sell our future products.</w:t>
      </w:r>
    </w:p>
    <w:p>
      <w:pPr>
        <w:spacing w:after="0" w:line="81" w:lineRule="exact"/>
        <w:rPr>
          <w:sz w:val="20"/>
          <w:szCs w:val="20"/>
          <w:color w:val="auto"/>
        </w:rPr>
      </w:pPr>
    </w:p>
    <w:p>
      <w:pPr>
        <w:jc w:val="both"/>
        <w:spacing w:after="0" w:line="331" w:lineRule="auto"/>
        <w:rPr>
          <w:sz w:val="20"/>
          <w:szCs w:val="20"/>
          <w:color w:val="auto"/>
        </w:rPr>
      </w:pPr>
      <w:r>
        <w:rPr>
          <w:rFonts w:ascii="Arial" w:cs="Arial" w:eastAsia="Arial" w:hAnsi="Arial"/>
          <w:sz w:val="14"/>
          <w:szCs w:val="14"/>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1" w:lineRule="exact"/>
        <w:rPr>
          <w:sz w:val="20"/>
          <w:szCs w:val="20"/>
          <w:color w:val="auto"/>
        </w:rPr>
      </w:pPr>
    </w:p>
    <w:p>
      <w:pPr>
        <w:ind w:left="580" w:right="1100"/>
        <w:spacing w:after="0" w:line="367" w:lineRule="auto"/>
        <w:rPr>
          <w:sz w:val="20"/>
          <w:szCs w:val="20"/>
          <w:color w:val="auto"/>
        </w:rPr>
      </w:pPr>
      <w:r>
        <w:rPr>
          <w:rFonts w:ascii="Arial" w:cs="Arial" w:eastAsia="Arial" w:hAnsi="Arial"/>
          <w:sz w:val="14"/>
          <w:szCs w:val="14"/>
          <w:color w:val="auto"/>
        </w:rPr>
        <w:t>our ability to attract, retain and manage qualified sales, marketing and service personnel necessary to expand market acceptance for our technologies; the performance and commercial availability expectations of our existing and potential customers with respect to new and existing products;</w:t>
      </w:r>
    </w:p>
    <w:p>
      <w:pPr>
        <w:ind w:left="280"/>
        <w:spacing w:after="0"/>
        <w:rPr>
          <w:sz w:val="20"/>
          <w:szCs w:val="20"/>
          <w:color w:val="auto"/>
        </w:rPr>
      </w:pPr>
      <w:r>
        <w:rPr>
          <w:rFonts w:ascii="Arial" w:cs="Arial" w:eastAsia="Arial" w:hAnsi="Arial"/>
          <w:sz w:val="16"/>
          <w:szCs w:val="16"/>
          <w:color w:val="auto"/>
        </w:rPr>
        <w:t>availability of potential sales and distribution partners to sell our technologies, and our ability to attract and retain such sales and distribution partners;</w:t>
      </w:r>
    </w:p>
    <w:p>
      <w:pPr>
        <w:spacing w:after="0" w:line="56"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the time and cost of maintaining and growing a specialized sales, marketing and service force for a particular application, which may be difficult to justify in light of the revenue generated; and</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sales, marketing and service force may be unable to execute successful commercial activities.</w:t>
      </w:r>
    </w:p>
    <w:p>
      <w:pPr>
        <w:spacing w:after="0" w:line="8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09" w:lineRule="exact"/>
        <w:rPr>
          <w:sz w:val="20"/>
          <w:szCs w:val="20"/>
          <w:color w:val="auto"/>
        </w:rPr>
      </w:pPr>
    </w:p>
    <w:p>
      <w:pPr>
        <w:jc w:val="both"/>
        <w:ind w:right="20"/>
        <w:spacing w:after="0" w:line="295" w:lineRule="auto"/>
        <w:rPr>
          <w:sz w:val="20"/>
          <w:szCs w:val="20"/>
          <w:color w:val="auto"/>
        </w:rPr>
      </w:pPr>
      <w:r>
        <w:rPr>
          <w:rFonts w:ascii="Arial" w:cs="Arial" w:eastAsia="Arial" w:hAnsi="Arial"/>
          <w:sz w:val="15"/>
          <w:szCs w:val="15"/>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receive a significant portion of our revenue from a limited number of customers. For example, for the fiscal years ended December 31, 2021, 2020 and 2019, one of our customers, who is our primary distributor in China, accounted for approximately 13%, 14%, and 17% of our total revenue, respectively.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6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6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0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43"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II/IIe Systems. Despite internal and external testing, defects or errors may arise in our products, which could result in a failure to obtain, maintain or increase market acceptance of our products, diversion of development</w:t>
      </w:r>
    </w:p>
    <w:p>
      <w:pPr>
        <w:jc w:val="both"/>
        <w:spacing w:after="0" w:line="220" w:lineRule="auto"/>
        <w:rPr>
          <w:sz w:val="20"/>
          <w:szCs w:val="20"/>
          <w:color w:val="auto"/>
        </w:rPr>
      </w:pPr>
      <w:r>
        <w:rPr>
          <w:rFonts w:ascii="Arial" w:cs="Arial" w:eastAsia="Arial" w:hAnsi="Arial"/>
          <w:sz w:val="16"/>
          <w:szCs w:val="16"/>
          <w:color w:val="auto"/>
        </w:rPr>
        <w:t>resources, injury to our reputation and increased warranty, service and maintenance costs. New products, including the Revio</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the Onso</w:t>
      </w:r>
      <w:r>
        <w:rPr>
          <w:rFonts w:ascii="Arial" w:cs="Arial" w:eastAsia="Arial" w:hAnsi="Arial"/>
          <w:sz w:val="26"/>
          <w:szCs w:val="26"/>
          <w:color w:val="auto"/>
          <w:vertAlign w:val="superscript"/>
        </w:rPr>
        <w:t>TM</w:t>
      </w:r>
      <w:r>
        <w:rPr>
          <w:rFonts w:ascii="Arial" w:cs="Arial" w:eastAsia="Arial" w:hAnsi="Arial"/>
          <w:sz w:val="16"/>
          <w:szCs w:val="16"/>
          <w:color w:val="auto"/>
        </w:rPr>
        <w:t>, or enhancements to our existing products, including the SMRT Cell 8M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60"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convert our orders in backlog into revenue.</w:t>
      </w:r>
    </w:p>
    <w:p>
      <w:pPr>
        <w:spacing w:after="0" w:line="8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4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0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sales cycles are unpredictable and lengthy, which makes it difficult to forecast revenue and may increase the magnitude of quarterly or annual fluctuations in our operating results.</w:t>
      </w:r>
    </w:p>
    <w:p>
      <w:pPr>
        <w:spacing w:after="0" w:line="4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cycles, the realization of revenue from our selling efforts may be substantially delayed, our ability to forecast our future revenue may be more limited and our revenue may fluctuate significantly from quarter to quarter.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are subject to risks associated with political conflicts between the U.S. and China. A significant portion of our revenue is generated from China. For example, for the fiscal years ended December 31, 2021, 2020 and 2019, one customer, who is our primary distributor in China, accounted for approximately 13%, 14% and 17% of our total revenue, respectively.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6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Tariffs and or other trade barriers were previously imposed between the U.S. and China, the scope and duration of which, remain uncertain. Beginning in September 2018, the U.S. Trade Representative (the “USTR”) enacted various tariffs of 7.5%, 10%, 15%, and 25% on the import of Chinese products, including non-U.S. components and materials that may be used in our products. These tariffs have and could continue to raise our costs. China also has imposed tariffs on imports into China from the United States. 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and it continues to include biotechnologies including “[g]enome and protein engineering including design tools” and “[b]iomanufacturing and bioprocessing technologies.” Therefore, it is possible that our ability to export our products to China may be restricted in the future for this reason.</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Additionally, the U.S. government recently announced new controls restricting the ability to send certain products and technology related to semiconductors, semiconductor manufacturing, and supercomputing to China without an export license. These new controls also apply to certain hardware containing these specified integrated circuits. Additionally, the U.S. government informed certain suppliers of integrated circuits (“ICs") that some of their ICs cannot be exported to China without a license. In many cases, these licenses are subject to a policy of denial and will not be issued. These controls may impact our ability to export certain products to China and restrict our ability to use certain ICs in our products. The U.S. government also recently added additional entities in China to restricted party lists impacting the ability of U.S. companies to provide items to these entities. It is possible that the Chinese government will retaliate in ways that could impact our business.</w:t>
      </w:r>
    </w:p>
    <w:p>
      <w:pPr>
        <w:spacing w:after="0" w:line="5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risks could include:</w:t>
      </w:r>
    </w:p>
    <w:p>
      <w:pPr>
        <w:spacing w:after="0" w:line="93" w:lineRule="exact"/>
        <w:rPr>
          <w:sz w:val="20"/>
          <w:szCs w:val="20"/>
          <w:color w:val="auto"/>
        </w:rPr>
      </w:pPr>
    </w:p>
    <w:p>
      <w:pPr>
        <w:ind w:left="580" w:right="20"/>
        <w:spacing w:after="0" w:line="235" w:lineRule="auto"/>
        <w:rPr>
          <w:sz w:val="20"/>
          <w:szCs w:val="20"/>
          <w:color w:val="auto"/>
        </w:rPr>
      </w:pPr>
      <w:r>
        <w:rPr>
          <w:rFonts w:ascii="Arial" w:cs="Arial" w:eastAsia="Arial" w:hAnsi="Arial"/>
          <w:sz w:val="16"/>
          <w:szCs w:val="16"/>
          <w:color w:val="auto"/>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4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product supply disruptions and increased costs as a result of heightened exposure to changes in the policies of the Chinese government, political unrest or unstable economic conditions in China; and</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nationalization or other expropriation of private enterprises or intellectual property by the Chinese government.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Difficulties in this relationship may require us to take actions adverse to our business to comply with governmental restrictions on business and trade with China.</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addition, our consumable chips are partly manufactured by a company based in Taiwan. Our supply of consumables chips and other critical components may be materially and adversely affected by diplomatic, geopolitical and other developments affecting the relationship between China and Taiwan. Accordingly, there is a risk that current political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may cause fluctuations in our revenue and results of operations.</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operate on a December 31st year-end and believe that there are significant seasonal factors which may cause sales of our products, and particularly our sequencing instruments, to vary on a quarterly or yearly basis, contribute to the lengthy sales cycles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4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43"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have materially impacted the value of our deferred tax assets and liabilities and could adversely affect our future taxable income and effective tax rate.</w:t>
      </w:r>
    </w:p>
    <w:p>
      <w:pPr>
        <w:spacing w:after="0" w:line="5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4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5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43" w:lineRule="exact"/>
        <w:rPr>
          <w:sz w:val="20"/>
          <w:szCs w:val="20"/>
          <w:color w:val="auto"/>
        </w:rPr>
      </w:pPr>
    </w:p>
    <w:p>
      <w:pPr>
        <w:ind w:left="580" w:right="1620"/>
        <w:spacing w:after="0" w:line="321" w:lineRule="auto"/>
        <w:rPr>
          <w:sz w:val="20"/>
          <w:szCs w:val="20"/>
          <w:color w:val="auto"/>
        </w:rPr>
      </w:pPr>
      <w:r>
        <w:rPr>
          <w:rFonts w:ascii="Arial" w:cs="Arial" w:eastAsia="Arial" w:hAnsi="Arial"/>
          <w:sz w:val="16"/>
          <w:szCs w:val="16"/>
          <w:color w:val="auto"/>
        </w:rPr>
        <w:t>we or our licensors might not have been the first to make the inventions covered by each of our pending patent applications or issued patents; we or our licensors might not have been the first to file patent applications for these inventions;</w:t>
      </w:r>
    </w:p>
    <w:p>
      <w:pPr>
        <w:ind w:left="280"/>
        <w:spacing w:after="0"/>
        <w:rPr>
          <w:sz w:val="20"/>
          <w:szCs w:val="20"/>
          <w:color w:val="auto"/>
        </w:rPr>
      </w:pPr>
      <w:r>
        <w:rPr>
          <w:rFonts w:ascii="Arial" w:cs="Arial" w:eastAsia="Arial" w:hAnsi="Arial"/>
          <w:sz w:val="16"/>
          <w:szCs w:val="16"/>
          <w:color w:val="auto"/>
        </w:rPr>
        <w:t>it is possible that neither our pending patent applications nor the pending patent applications of our licensors will result in issued patents;</w:t>
      </w:r>
    </w:p>
    <w:p>
      <w:pPr>
        <w:spacing w:after="0" w:line="56"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19" w:lineRule="exact"/>
        <w:rPr>
          <w:sz w:val="20"/>
          <w:szCs w:val="20"/>
          <w:color w:val="auto"/>
        </w:rPr>
      </w:pPr>
    </w:p>
    <w:p>
      <w:pPr>
        <w:ind w:left="580" w:right="20"/>
        <w:spacing w:after="0" w:line="313" w:lineRule="auto"/>
        <w:rPr>
          <w:sz w:val="20"/>
          <w:szCs w:val="20"/>
          <w:color w:val="auto"/>
        </w:rPr>
      </w:pPr>
      <w:r>
        <w:rPr>
          <w:rFonts w:ascii="Arial" w:cs="Arial" w:eastAsia="Arial" w:hAnsi="Arial"/>
          <w:sz w:val="14"/>
          <w:szCs w:val="14"/>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ind w:left="280"/>
        <w:spacing w:after="0"/>
        <w:rPr>
          <w:sz w:val="20"/>
          <w:szCs w:val="20"/>
          <w:color w:val="auto"/>
        </w:rPr>
      </w:pPr>
      <w:r>
        <w:rPr>
          <w:rFonts w:ascii="Arial" w:cs="Arial" w:eastAsia="Arial" w:hAnsi="Arial"/>
          <w:sz w:val="16"/>
          <w:szCs w:val="16"/>
          <w:color w:val="auto"/>
        </w:rPr>
        <w:t>our enforcement of patents and proprietary rights in other countries may be problematic or unpredictable;</w:t>
      </w:r>
    </w:p>
    <w:p>
      <w:pPr>
        <w:spacing w:after="0" w:line="56"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or our partners may not adequately protect our trade secrets;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may not develop additional proprietary technologies that are patentable; or</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8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Variability in intellectual property laws may adversely affect our intellectual property position.</w:t>
      </w:r>
    </w:p>
    <w:p>
      <w:pPr>
        <w:spacing w:after="0" w:line="81"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68"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19"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intellectual property may be subject to challenges in the United States or foreign jurisdictions that could adversely affect our intellectual property position.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of certain patents that we have asserted against ONT Inc. and ONT Ltd. in litigation proceedings for patent infringement. While none of the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technology is subject to “march-in” rights by the U.S. government.</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involved in legal proceedings to enforce our intellectual property rights.</w:t>
      </w:r>
    </w:p>
    <w:p>
      <w:pPr>
        <w:spacing w:after="0" w:line="93" w:lineRule="exact"/>
        <w:rPr>
          <w:sz w:val="20"/>
          <w:szCs w:val="20"/>
          <w:color w:val="auto"/>
        </w:rPr>
      </w:pPr>
    </w:p>
    <w:p>
      <w:pPr>
        <w:jc w:val="both"/>
        <w:ind w:right="20"/>
        <w:spacing w:after="0" w:line="243" w:lineRule="auto"/>
        <w:rPr>
          <w:sz w:val="20"/>
          <w:szCs w:val="20"/>
          <w:color w:val="auto"/>
        </w:rPr>
      </w:pPr>
      <w:r>
        <w:rPr>
          <w:rFonts w:ascii="Arial" w:cs="Arial" w:eastAsia="Arial" w:hAnsi="Arial"/>
          <w:sz w:val="15"/>
          <w:szCs w:val="15"/>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Personal Genomics of Taiwan, Inc. (“PGI”),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43"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6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 yet registered some of our trademarks in all of our potential markets, and failure to secure those registrations could adversely affect our business.</w:t>
      </w:r>
    </w:p>
    <w:p>
      <w:pPr>
        <w:spacing w:after="0" w:line="116" w:lineRule="exact"/>
        <w:rPr>
          <w:sz w:val="20"/>
          <w:szCs w:val="20"/>
          <w:color w:val="auto"/>
        </w:rPr>
      </w:pPr>
    </w:p>
    <w:p>
      <w:pPr>
        <w:jc w:val="both"/>
        <w:ind w:right="20"/>
        <w:spacing w:after="0" w:line="283" w:lineRule="auto"/>
        <w:rPr>
          <w:sz w:val="20"/>
          <w:szCs w:val="20"/>
          <w:color w:val="auto"/>
        </w:rPr>
      </w:pPr>
      <w:r>
        <w:rPr>
          <w:rFonts w:ascii="Arial" w:cs="Arial" w:eastAsia="Arial" w:hAnsi="Arial"/>
          <w:sz w:val="14"/>
          <w:szCs w:val="14"/>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adversely affect our ability to sell our products and subject us to possible litigation.</w:t>
      </w:r>
    </w:p>
    <w:p>
      <w:pPr>
        <w:spacing w:after="0" w:line="8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Regulation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and may become, subject to governmental regulations that may impose burdens on our operations, and the markets for our products may be narrowed.</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are subject, both directly and indirectly, to the adverse impact of government regulation of our operations and markets. For example, export of our instruments may be subject to strict regulatory control in a number of jurisdictions. Following Russia’s invasion of Ukraine,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72" w:lineRule="exact"/>
        <w:rPr>
          <w:sz w:val="20"/>
          <w:szCs w:val="20"/>
          <w:color w:val="auto"/>
        </w:rPr>
      </w:pPr>
    </w:p>
    <w:p>
      <w:pPr>
        <w:jc w:val="both"/>
        <w:ind w:right="20"/>
        <w:spacing w:after="0" w:line="230"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113"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38" w:lineRule="exact"/>
        <w:rPr>
          <w:sz w:val="20"/>
          <w:szCs w:val="20"/>
          <w:color w:val="auto"/>
        </w:rPr>
      </w:pPr>
    </w:p>
    <w:p>
      <w:pPr>
        <w:jc w:val="both"/>
        <w:ind w:right="20"/>
        <w:spacing w:after="0" w:line="230" w:lineRule="auto"/>
        <w:rPr>
          <w:sz w:val="20"/>
          <w:szCs w:val="20"/>
          <w:color w:val="auto"/>
        </w:rPr>
      </w:pPr>
      <w:r>
        <w:rPr>
          <w:rFonts w:ascii="Arial" w:cs="Arial" w:eastAsia="Arial" w:hAnsi="Arial"/>
          <w:sz w:val="16"/>
          <w:szCs w:val="16"/>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71"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The FDA has historically exercised enforcement discretion in not enforcing the medical device regulations against laboratories developing and offering LDTs. However, in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57" w:lineRule="exact"/>
        <w:rPr>
          <w:sz w:val="20"/>
          <w:szCs w:val="20"/>
          <w:color w:val="auto"/>
        </w:rPr>
      </w:pPr>
    </w:p>
    <w:p>
      <w:pPr>
        <w:jc w:val="both"/>
        <w:ind w:right="20"/>
        <w:spacing w:after="0" w:line="246" w:lineRule="auto"/>
        <w:rPr>
          <w:sz w:val="20"/>
          <w:szCs w:val="20"/>
          <w:color w:val="auto"/>
        </w:rPr>
      </w:pPr>
      <w:r>
        <w:rPr>
          <w:rFonts w:ascii="Arial" w:cs="Arial" w:eastAsia="Arial" w:hAnsi="Arial"/>
          <w:sz w:val="15"/>
          <w:szCs w:val="15"/>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56"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As part of the Trump Administration’s efforts to combat COVID-19 and consistent with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(“EUA”), for an LDT may nonetheless voluntarily submit a premarket approval application (“PMA”),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In November 2021, HHS under the Biden Administration issued a statement that withdrew the 2020 policy announcement issued under the Trump Administration, stating that HHS does not have a policy on LDTs that is separate from FDA’s longstanding approach. The FDA also issued a revised version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of its COVID-19 test policy that states the FDA expects newly offered COVID-19 tests, including LDTs, to have an EUA, or traditional marketing authorization such as a granted De Novo or cleared 510(k), prior to clinical use.</w:t>
      </w:r>
    </w:p>
    <w:p>
      <w:pPr>
        <w:spacing w:after="0" w:line="4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and instruments. Further, we could be required to obtain premarket clearance or approval from the FDA before we can sell our products to certain customers. More recently, Congress passed the FDA user fee reauthorization legislation without substantive FDA policy riders, including the VALID Act, but Congress may revisit the policy riders and enact other FDA programmatic reforms in the future.</w:t>
      </w:r>
    </w:p>
    <w:p>
      <w:pPr>
        <w:spacing w:after="0" w:line="69"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09"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7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58"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6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Further, if we decide to seek regulatory clearance or approval for certain of our products in countries outside of the United States or if a foreign regulatory authority determines that our products are regulated as medical devices, we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are continuing to expand our international operations as part of our growth strategy and have experienced an increasing concentration of sales in certain regions outside the United States, especially the Asia-Pacific region.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Additionally, the U.S. government recently announced new controls restricting the ability to send certain products and technology related to semiconductors, semiconductor manufacturing, and supercomputing to China without an export license. These new controls also apply to certain hardware containing these specified integrated circuits. Additionally, the U.S. government informed certain suppliers of ICs that some of their ICs cannot be exported to China without a license. In many cases, these licenses are subject to a policy of denial and will not be issued. These controls may impact our ability to export certain products to China and restrict our ability to use certain ICs in our products. The U.S. government also recently added additional entities in China to restricted party lists impacting the ability of U.S. companies to provide items to these entities. It is possible that the Chinese government will retaliate in ways that could impact our business.</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i w:val="1"/>
          <w:iCs w:val="1"/>
          <w:color w:val="auto"/>
        </w:rPr>
        <w:t>Our international business could expose us to business, regulatory, political, operational, financial, and economic risks associated with doing business outside of the 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Engaging in international business inherently involves a number of difficulties and risks, including:</w:t>
      </w:r>
    </w:p>
    <w:p>
      <w:pPr>
        <w:spacing w:after="0" w:line="81" w:lineRule="exact"/>
        <w:rPr>
          <w:sz w:val="20"/>
          <w:szCs w:val="20"/>
          <w:color w:val="auto"/>
        </w:rPr>
      </w:pPr>
    </w:p>
    <w:p>
      <w:pPr>
        <w:ind w:left="580" w:right="20"/>
        <w:spacing w:after="0" w:line="239" w:lineRule="auto"/>
        <w:rPr>
          <w:sz w:val="20"/>
          <w:szCs w:val="20"/>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36"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required compliance with U.S. laws such as the Foreign Corrupt Practices Act, and other U.S. federal laws and trade and economic sanctions and other regulations established by the Office of Foreign Asset Control;</w:t>
      </w:r>
    </w:p>
    <w:p>
      <w:pPr>
        <w:spacing w:after="0" w:line="43" w:lineRule="exact"/>
        <w:rPr>
          <w:sz w:val="20"/>
          <w:szCs w:val="20"/>
          <w:color w:val="auto"/>
        </w:rPr>
      </w:pPr>
    </w:p>
    <w:p>
      <w:pPr>
        <w:ind w:left="580" w:right="7220"/>
        <w:spacing w:after="0" w:line="367" w:lineRule="auto"/>
        <w:rPr>
          <w:sz w:val="20"/>
          <w:szCs w:val="20"/>
          <w:color w:val="auto"/>
        </w:rPr>
      </w:pPr>
      <w:r>
        <w:rPr>
          <w:rFonts w:ascii="Arial" w:cs="Arial" w:eastAsia="Arial" w:hAnsi="Arial"/>
          <w:sz w:val="14"/>
          <w:szCs w:val="14"/>
          <w:color w:val="auto"/>
        </w:rPr>
        <w:t>export requirements and import or trade restrictions; laws and business practices favoring local companies;</w:t>
      </w:r>
    </w:p>
    <w:p>
      <w:pPr>
        <w:ind w:left="280"/>
        <w:spacing w:after="0"/>
        <w:rPr>
          <w:sz w:val="20"/>
          <w:szCs w:val="20"/>
          <w:color w:val="auto"/>
        </w:rPr>
      </w:pPr>
      <w:r>
        <w:rPr>
          <w:rFonts w:ascii="Arial" w:cs="Arial" w:eastAsia="Arial" w:hAnsi="Arial"/>
          <w:sz w:val="16"/>
          <w:szCs w:val="16"/>
          <w:color w:val="auto"/>
        </w:rPr>
        <w:t>restrictions on both inbound and outbound cross-border investment;</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exchange, longer payment cycles and difficulties in enforcing agreements and collecting receivables through certain foreign legal systems;</w:t>
      </w:r>
    </w:p>
    <w:p>
      <w:pPr>
        <w:spacing w:after="0" w:line="56" w:lineRule="exact"/>
        <w:rPr>
          <w:sz w:val="20"/>
          <w:szCs w:val="20"/>
          <w:color w:val="auto"/>
        </w:rPr>
      </w:pPr>
    </w:p>
    <w:p>
      <w:pPr>
        <w:jc w:val="right"/>
        <w:ind w:left="580" w:right="20"/>
        <w:spacing w:after="0" w:line="278" w:lineRule="auto"/>
        <w:rPr>
          <w:sz w:val="20"/>
          <w:szCs w:val="20"/>
          <w:color w:val="auto"/>
        </w:rPr>
      </w:pPr>
      <w:r>
        <w:rPr>
          <w:rFonts w:ascii="Arial" w:cs="Arial" w:eastAsia="Arial" w:hAnsi="Arial"/>
          <w:sz w:val="14"/>
          <w:szCs w:val="14"/>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23" w:lineRule="exact"/>
        <w:rPr>
          <w:sz w:val="20"/>
          <w:szCs w:val="20"/>
          <w:color w:val="auto"/>
        </w:rPr>
      </w:pPr>
    </w:p>
    <w:p>
      <w:pPr>
        <w:ind w:left="580" w:right="3360"/>
        <w:spacing w:after="0" w:line="321" w:lineRule="auto"/>
        <w:rPr>
          <w:sz w:val="20"/>
          <w:szCs w:val="20"/>
          <w:color w:val="auto"/>
        </w:rPr>
      </w:pPr>
      <w:r>
        <w:rPr>
          <w:rFonts w:ascii="Arial" w:cs="Arial" w:eastAsia="Arial" w:hAnsi="Arial"/>
          <w:sz w:val="16"/>
          <w:szCs w:val="16"/>
          <w:color w:val="auto"/>
        </w:rPr>
        <w:t>potentially adverse tax consequences, tariffs, customs charges, bureaucratic requirements, and other trade barriers; difficulties and costs of staffing and managing foreign operations; and</w:t>
      </w:r>
    </w:p>
    <w:p>
      <w:pPr>
        <w:ind w:left="580" w:right="20"/>
        <w:spacing w:after="0" w:line="246" w:lineRule="auto"/>
        <w:rPr>
          <w:sz w:val="20"/>
          <w:szCs w:val="20"/>
          <w:color w:val="auto"/>
        </w:rPr>
      </w:pPr>
      <w:r>
        <w:rPr>
          <w:rFonts w:ascii="Arial" w:cs="Arial" w:eastAsia="Arial" w:hAnsi="Arial"/>
          <w:sz w:val="16"/>
          <w:szCs w:val="16"/>
          <w:color w:val="auto"/>
        </w:rPr>
        <w:t>difficulties protecting, maintaining, enforcing or procuring intellectual property rights and defending against intellectual property claims under the law and judicial systems of other countries.</w:t>
      </w:r>
    </w:p>
    <w:p>
      <w:pPr>
        <w:spacing w:after="0" w:line="5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If one or more of these risks occurs, it could require us to dedicate significant resources to remedy such occurrence, and if we are unsuccessful in finding a solution, our financial results will suffer.</w:t>
      </w:r>
    </w:p>
    <w:p>
      <w:pPr>
        <w:spacing w:after="0" w:line="9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Ethical, legal, privacy, data protection and social concerns or governmental restrictions surrounding the use of genetic information could reduce demand for our technology.</w:t>
      </w:r>
    </w:p>
    <w:p>
      <w:pPr>
        <w:spacing w:after="0" w:line="4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12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Owning Our Common Stock</w:t>
      </w:r>
    </w:p>
    <w:p>
      <w:pPr>
        <w:spacing w:after="0" w:line="13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b w:val="1"/>
          <w:bCs w:val="1"/>
          <w:i w:val="1"/>
          <w:iCs w:val="1"/>
          <w:color w:val="auto"/>
        </w:rPr>
        <w:t>The price of our common stock has been, is, and may continue to be, highly volatile, and you may be unable to sell your shares at or above the price you paid to acquire them.</w:t>
      </w:r>
    </w:p>
    <w:p>
      <w:pPr>
        <w:spacing w:after="0" w:line="6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actual or anticipated fluctuations in our financial condition and operating results;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announcements of new products, technological innovations or strategic partnerships by us or our competitors;</w:t>
      </w:r>
    </w:p>
    <w:p>
      <w:pPr>
        <w:spacing w:after="0" w:line="56" w:lineRule="exact"/>
        <w:rPr>
          <w:sz w:val="20"/>
          <w:szCs w:val="20"/>
          <w:color w:val="auto"/>
        </w:rPr>
      </w:pPr>
    </w:p>
    <w:p>
      <w:pPr>
        <w:ind w:left="580" w:right="2380"/>
        <w:spacing w:after="0" w:line="321" w:lineRule="auto"/>
        <w:rPr>
          <w:sz w:val="20"/>
          <w:szCs w:val="20"/>
          <w:color w:val="auto"/>
        </w:rPr>
      </w:pPr>
      <w:r>
        <w:rPr>
          <w:rFonts w:ascii="Arial" w:cs="Arial" w:eastAsia="Arial" w:hAnsi="Arial"/>
          <w:sz w:val="16"/>
          <w:szCs w:val="16"/>
          <w:color w:val="auto"/>
        </w:rPr>
        <w:t>announcements by us, our customers, partners or suppliers relating directly or indirectly to our products, services or technologies; overall conditions in our industry and market;</w:t>
      </w:r>
    </w:p>
    <w:p>
      <w:pPr>
        <w:ind w:left="280"/>
        <w:spacing w:after="0"/>
        <w:rPr>
          <w:sz w:val="20"/>
          <w:szCs w:val="20"/>
          <w:color w:val="auto"/>
        </w:rPr>
      </w:pPr>
      <w:r>
        <w:rPr>
          <w:rFonts w:ascii="Arial" w:cs="Arial" w:eastAsia="Arial" w:hAnsi="Arial"/>
          <w:sz w:val="16"/>
          <w:szCs w:val="16"/>
          <w:color w:val="auto"/>
        </w:rPr>
        <w:t>addition or loss of significant customers;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changes in laws or regulations applicable to our products;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actual or anticipated changes in our growth rate relative to our competitors;</w:t>
      </w:r>
    </w:p>
    <w:p>
      <w:pPr>
        <w:spacing w:after="0" w:line="56"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announcements by us or our competitors of significant acquisitions, strategic partnerships, joint ventures, capital commitments or achievement of significant milestones;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additions or departures of key personnel;</w:t>
      </w:r>
    </w:p>
    <w:p>
      <w:pPr>
        <w:spacing w:after="0" w:line="68" w:lineRule="exact"/>
        <w:rPr>
          <w:sz w:val="20"/>
          <w:szCs w:val="20"/>
          <w:color w:val="auto"/>
        </w:rPr>
      </w:pPr>
    </w:p>
    <w:p>
      <w:pPr>
        <w:ind w:left="580" w:right="6200"/>
        <w:spacing w:after="0" w:line="358" w:lineRule="auto"/>
        <w:rPr>
          <w:sz w:val="20"/>
          <w:szCs w:val="20"/>
          <w:color w:val="auto"/>
        </w:rPr>
      </w:pPr>
      <w:r>
        <w:rPr>
          <w:rFonts w:ascii="Arial" w:cs="Arial" w:eastAsia="Arial" w:hAnsi="Arial"/>
          <w:sz w:val="14"/>
          <w:szCs w:val="14"/>
          <w:color w:val="auto"/>
        </w:rPr>
        <w:t>competition from existing products or new products that may emerge; issuance of new or updated research or reports by securities analysts;</w:t>
      </w:r>
    </w:p>
    <w:p>
      <w:pPr>
        <w:ind w:left="280"/>
        <w:spacing w:after="0"/>
        <w:rPr>
          <w:sz w:val="20"/>
          <w:szCs w:val="20"/>
          <w:color w:val="auto"/>
        </w:rPr>
      </w:pPr>
      <w:r>
        <w:rPr>
          <w:rFonts w:ascii="Arial" w:cs="Arial" w:eastAsia="Arial" w:hAnsi="Arial"/>
          <w:sz w:val="16"/>
          <w:szCs w:val="16"/>
          <w:color w:val="auto"/>
        </w:rPr>
        <w:t>fluctuations in the valuation of companies perceived by investors to be comparable to us;</w:t>
      </w:r>
    </w:p>
    <w:p>
      <w:pPr>
        <w:spacing w:after="0" w:line="6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disputes or other developments related to proprietary rights, including patents, litigation matters or our ability to obtain intellectual property protection for our technologies;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announcement or expectation of additional financing efforts;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167640</wp:posOffset>
            </wp:positionV>
            <wp:extent cx="717296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of our common stock by us or our stockholders;</w:t>
      </w:r>
    </w:p>
    <w:p>
      <w:pPr>
        <w:spacing w:after="0" w:line="56" w:lineRule="exact"/>
        <w:rPr>
          <w:sz w:val="20"/>
          <w:szCs w:val="20"/>
          <w:color w:val="auto"/>
        </w:rPr>
      </w:pPr>
    </w:p>
    <w:p>
      <w:pPr>
        <w:ind w:left="580" w:right="4320"/>
        <w:spacing w:after="0" w:line="321" w:lineRule="auto"/>
        <w:rPr>
          <w:sz w:val="20"/>
          <w:szCs w:val="20"/>
          <w:color w:val="auto"/>
        </w:rPr>
      </w:pPr>
      <w:r>
        <w:rPr>
          <w:rFonts w:ascii="Arial" w:cs="Arial" w:eastAsia="Arial" w:hAnsi="Arial"/>
          <w:sz w:val="16"/>
          <w:szCs w:val="16"/>
          <w:color w:val="auto"/>
        </w:rPr>
        <w:t>stock price and volume fluctuations attributable to inconsistent trading volume levels of our shares; reports, guidance and ratings issued by securities or industry analysts;</w:t>
      </w:r>
    </w:p>
    <w:p>
      <w:pPr>
        <w:ind w:left="280"/>
        <w:spacing w:after="0"/>
        <w:rPr>
          <w:sz w:val="20"/>
          <w:szCs w:val="20"/>
          <w:color w:val="auto"/>
        </w:rPr>
      </w:pPr>
      <w:r>
        <w:rPr>
          <w:rFonts w:ascii="Arial" w:cs="Arial" w:eastAsia="Arial" w:hAnsi="Arial"/>
          <w:sz w:val="16"/>
          <w:szCs w:val="16"/>
          <w:color w:val="auto"/>
        </w:rPr>
        <w:t>operating results below the expectations of securities analysts or investors; and</w:t>
      </w:r>
    </w:p>
    <w:p>
      <w:pPr>
        <w:spacing w:after="0" w:line="56" w:lineRule="exact"/>
        <w:rPr>
          <w:sz w:val="20"/>
          <w:szCs w:val="20"/>
          <w:color w:val="auto"/>
        </w:rPr>
      </w:pPr>
    </w:p>
    <w:p>
      <w:pPr>
        <w:ind w:left="580"/>
        <w:spacing w:after="0" w:line="235" w:lineRule="auto"/>
        <w:rPr>
          <w:sz w:val="20"/>
          <w:szCs w:val="20"/>
          <w:color w:val="auto"/>
        </w:rPr>
      </w:pPr>
      <w:r>
        <w:rPr>
          <w:rFonts w:ascii="Arial" w:cs="Arial" w:eastAsia="Arial" w:hAnsi="Arial"/>
          <w:sz w:val="16"/>
          <w:szCs w:val="16"/>
          <w:color w:val="auto"/>
        </w:rPr>
        <w:t>general economic and market conditions, which could be impacted by various events including COVID-19 or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spacing w:after="0" w:line="73"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and current macroeconomic trends and geopolitical events, and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0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68"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73"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42"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On September 20, 2021, in connection with the closing of the Omniome Merger, we completed a Private Placement for the sale of an aggregate of 11,214,953 shares of our common stock, at a price of $26.75 per share, for aggregate gross proceeds of approximately $300 million (the “Private Placement”), and registered the Private Placement shares for resale on a registration statement on Form S-3. The Private Placement Investors may sell any or all of their shares pursuant to the registration statement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In addition, the Private Placement included the sale of approximately $60 million of our common stock to SB Northstar LP.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company or changes in management and will make the approval of certain transactions difficult or impossible without the support of these stockholders.</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56" w:lineRule="exact"/>
        <w:rPr>
          <w:sz w:val="20"/>
          <w:szCs w:val="20"/>
          <w:color w:val="auto"/>
        </w:rPr>
      </w:pPr>
    </w:p>
    <w:p>
      <w:pPr>
        <w:ind w:left="580"/>
        <w:spacing w:after="0" w:line="262" w:lineRule="auto"/>
        <w:rPr>
          <w:sz w:val="20"/>
          <w:szCs w:val="20"/>
          <w:color w:val="auto"/>
        </w:rPr>
      </w:pPr>
      <w:r>
        <w:rPr>
          <w:rFonts w:ascii="Arial" w:cs="Arial" w:eastAsia="Arial" w:hAnsi="Arial"/>
          <w:sz w:val="16"/>
          <w:szCs w:val="16"/>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specify that special meetings of our stockholders can be called only by our board of directors, the Chair of the Board, the Chief Executive Officer or the President;</w:t>
      </w:r>
    </w:p>
    <w:p>
      <w:pPr>
        <w:spacing w:after="0" w:line="6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establish advance notice procedures for stockholder approvals to be brought before an annual meeting of our stockholders, including proposed nominations of persons for election to our board of directors;</w:t>
      </w:r>
    </w:p>
    <w:p>
      <w:pPr>
        <w:spacing w:after="0" w:line="43" w:lineRule="exact"/>
        <w:rPr>
          <w:sz w:val="20"/>
          <w:szCs w:val="20"/>
          <w:color w:val="auto"/>
        </w:rPr>
      </w:pPr>
    </w:p>
    <w:p>
      <w:pPr>
        <w:ind w:left="580" w:right="2000"/>
        <w:spacing w:after="0" w:line="313" w:lineRule="auto"/>
        <w:rPr>
          <w:sz w:val="20"/>
          <w:szCs w:val="20"/>
          <w:color w:val="auto"/>
        </w:rPr>
      </w:pPr>
      <w:r>
        <w:rPr>
          <w:rFonts w:ascii="Arial" w:cs="Arial" w:eastAsia="Arial" w:hAnsi="Arial"/>
          <w:sz w:val="16"/>
          <w:szCs w:val="16"/>
          <w:color w:val="auto"/>
        </w:rPr>
        <w:t>establish that our board of directors is divided into three classes, Class I, Class II and Class III, with each class serving staggered terms; provide that our directors may be removed only for cause;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93"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61" w:lineRule="exact"/>
        <w:rPr>
          <w:sz w:val="20"/>
          <w:szCs w:val="20"/>
          <w:color w:val="auto"/>
        </w:rPr>
      </w:pPr>
    </w:p>
    <w:p>
      <w:pPr>
        <w:jc w:val="both"/>
        <w:ind w:right="20"/>
        <w:spacing w:after="0" w:line="324" w:lineRule="auto"/>
        <w:rPr>
          <w:sz w:val="20"/>
          <w:szCs w:val="20"/>
          <w:color w:val="auto"/>
        </w:rPr>
      </w:pPr>
      <w:r>
        <w:rPr>
          <w:rFonts w:ascii="Arial" w:cs="Arial" w:eastAsia="Arial" w:hAnsi="Arial"/>
          <w:sz w:val="13"/>
          <w:szCs w:val="13"/>
          <w:b w:val="1"/>
          <w:bCs w:val="1"/>
          <w:i w:val="1"/>
          <w:iCs w:val="1"/>
          <w:color w:val="auto"/>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2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6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Any person or entity purchasing, holding or otherwise acquiring any interest in any of our securities shall be deemed to have notice of and consented to the foregoing bylaw provisions. Although we believe these exclusive forum</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jc w:val="both"/>
        <w:ind w:right="20"/>
        <w:spacing w:after="0" w:line="231" w:lineRule="auto"/>
        <w:rPr>
          <w:sz w:val="20"/>
          <w:szCs w:val="20"/>
          <w:color w:val="auto"/>
        </w:rPr>
      </w:pPr>
      <w:r>
        <w:rPr>
          <w:rFonts w:ascii="Arial" w:cs="Arial" w:eastAsia="Arial" w:hAnsi="Arial"/>
          <w:sz w:val="16"/>
          <w:szCs w:val="16"/>
          <w:color w:val="auto"/>
        </w:rPr>
        <w:t>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large number of authorized but unissued shares of common stock may potentially dilute existing stockholders’ stockholdings.</w:t>
      </w:r>
    </w:p>
    <w:p>
      <w:pPr>
        <w:spacing w:after="0" w:line="8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Notes</w:t>
      </w:r>
    </w:p>
    <w:p>
      <w:pPr>
        <w:spacing w:after="0" w:line="13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68"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5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Notes are converted, it may adversely affect our financial condition and operating results.</w:t>
      </w:r>
    </w:p>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or political conditions could adversely affect our business, financial condition or results of operations.</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General conditions in the global economy and in the global financial markets could adversely affect our results of operations, including the potential effects from the ongoing COVID-19 pandemic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political uncertainty and military actions associated with the war in Ukraine and the related response,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Delivery of our products could be delayed or disrupted by factors beyond our control, and we could lose customers as a result.</w:t>
      </w:r>
    </w:p>
    <w:p>
      <w:pPr>
        <w:spacing w:after="0" w:line="81"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Doing business internationally creates operational and financial risks for our business.</w:t>
      </w:r>
    </w:p>
    <w:p>
      <w:pPr>
        <w:spacing w:after="0" w:line="81"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62" w:lineRule="exact"/>
        <w:rPr>
          <w:sz w:val="20"/>
          <w:szCs w:val="20"/>
          <w:color w:val="auto"/>
        </w:rPr>
      </w:pPr>
    </w:p>
    <w:p>
      <w:pPr>
        <w:ind w:left="580" w:right="5960"/>
        <w:spacing w:after="0" w:line="343" w:lineRule="auto"/>
        <w:rPr>
          <w:sz w:val="20"/>
          <w:szCs w:val="20"/>
          <w:color w:val="auto"/>
        </w:rPr>
      </w:pPr>
      <w:r>
        <w:rPr>
          <w:rFonts w:ascii="Arial" w:cs="Arial" w:eastAsia="Arial" w:hAnsi="Arial"/>
          <w:sz w:val="15"/>
          <w:szCs w:val="15"/>
          <w:color w:val="auto"/>
        </w:rPr>
        <w:t>limits to travel as a result of the COVID-19 pandemic or other epidemics; challenges in staffing and managing foreign operations;</w:t>
      </w:r>
    </w:p>
    <w:p>
      <w:pPr>
        <w:ind w:left="580" w:right="1220"/>
        <w:spacing w:after="0" w:line="321" w:lineRule="auto"/>
        <w:rPr>
          <w:sz w:val="20"/>
          <w:szCs w:val="20"/>
          <w:color w:val="auto"/>
        </w:rPr>
      </w:pPr>
      <w:r>
        <w:rPr>
          <w:rFonts w:ascii="Arial" w:cs="Arial" w:eastAsia="Arial" w:hAnsi="Arial"/>
          <w:sz w:val="16"/>
          <w:szCs w:val="16"/>
          <w:color w:val="auto"/>
        </w:rPr>
        <w:t>potentially longer sales cycles and more time required to engage and educate customers on the benefits of our platform outside of the United States; the potential need for localized software and documentation;</w:t>
      </w:r>
    </w:p>
    <w:p>
      <w:pPr>
        <w:ind w:left="580" w:right="840"/>
        <w:spacing w:after="0" w:line="321" w:lineRule="auto"/>
        <w:rPr>
          <w:sz w:val="20"/>
          <w:szCs w:val="20"/>
          <w:color w:val="auto"/>
        </w:rPr>
      </w:pPr>
      <w:r>
        <w:rPr>
          <w:rFonts w:ascii="Arial" w:cs="Arial" w:eastAsia="Arial" w:hAnsi="Arial"/>
          <w:sz w:val="16"/>
          <w:szCs w:val="16"/>
          <w:color w:val="auto"/>
        </w:rPr>
        <w:t>reduced protection for intellectual property rights in some countries and practical difficulties of enforcing intellectual property and contract rights abroad; defending against intellectual property claims in other countries;</w:t>
      </w:r>
    </w:p>
    <w:p>
      <w:pPr>
        <w:ind w:left="580" w:right="20"/>
        <w:spacing w:after="0" w:line="236" w:lineRule="auto"/>
        <w:rPr>
          <w:sz w:val="20"/>
          <w:szCs w:val="20"/>
          <w:color w:val="auto"/>
        </w:rPr>
      </w:pPr>
      <w:r>
        <w:rPr>
          <w:rFonts w:ascii="Arial" w:cs="Arial" w:eastAsia="Arial" w:hAnsi="Arial"/>
          <w:sz w:val="16"/>
          <w:szCs w:val="16"/>
          <w:color w:val="auto"/>
        </w:rPr>
        <w:t>restrictions on both inbound and outbound cross-border investment, including enhanced oversight by the Committee on Foreign Investment in the United States (“CFIUS”) and substantial restrictions on investment from China;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167640</wp:posOffset>
            </wp:positionV>
            <wp:extent cx="717296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357"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31"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changes in diplomatic and trade relationships, including new tariffs, trade protection measures, import or export licensing requirements, trade embargoes, sanctions and other trade barriers;</w:t>
      </w:r>
    </w:p>
    <w:p>
      <w:pPr>
        <w:spacing w:after="0" w:line="19" w:lineRule="exact"/>
        <w:rPr>
          <w:sz w:val="20"/>
          <w:szCs w:val="20"/>
          <w:color w:val="auto"/>
        </w:rPr>
      </w:pPr>
    </w:p>
    <w:p>
      <w:pPr>
        <w:ind w:left="580" w:right="20"/>
        <w:spacing w:after="0" w:line="265" w:lineRule="auto"/>
        <w:rPr>
          <w:sz w:val="20"/>
          <w:szCs w:val="20"/>
          <w:color w:val="auto"/>
        </w:rPr>
      </w:pPr>
      <w:r>
        <w:rPr>
          <w:rFonts w:ascii="Arial" w:cs="Arial" w:eastAsia="Arial" w:hAnsi="Arial"/>
          <w:sz w:val="15"/>
          <w:szCs w:val="15"/>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17" w:lineRule="exact"/>
        <w:rPr>
          <w:sz w:val="20"/>
          <w:szCs w:val="20"/>
          <w:color w:val="auto"/>
        </w:rPr>
      </w:pPr>
    </w:p>
    <w:p>
      <w:pPr>
        <w:ind w:left="580" w:right="20"/>
        <w:spacing w:after="0" w:line="262" w:lineRule="auto"/>
        <w:rPr>
          <w:sz w:val="20"/>
          <w:szCs w:val="20"/>
          <w:color w:val="auto"/>
        </w:rPr>
      </w:pPr>
      <w:r>
        <w:rPr>
          <w:rFonts w:ascii="Arial" w:cs="Arial" w:eastAsia="Arial" w:hAnsi="Arial"/>
          <w:sz w:val="16"/>
          <w:szCs w:val="16"/>
          <w:color w:val="auto"/>
        </w:rPr>
        <w:t>deterioration of political relations between the U.S. and Russia, China, Japan, Korea, Canada, the United Kingdom (“U.K.”) and the E.U., which could have a material adverse effect on our sales and operations in these countries;</w:t>
      </w:r>
    </w:p>
    <w:p>
      <w:pPr>
        <w:spacing w:after="0" w:line="19" w:lineRule="exact"/>
        <w:rPr>
          <w:sz w:val="20"/>
          <w:szCs w:val="20"/>
          <w:color w:val="auto"/>
        </w:rPr>
      </w:pPr>
    </w:p>
    <w:p>
      <w:pPr>
        <w:ind w:left="580" w:right="20"/>
        <w:spacing w:after="0" w:line="313" w:lineRule="auto"/>
        <w:rPr>
          <w:sz w:val="20"/>
          <w:szCs w:val="20"/>
          <w:color w:val="auto"/>
        </w:rPr>
      </w:pPr>
      <w:r>
        <w:rPr>
          <w:rFonts w:ascii="Arial" w:cs="Arial" w:eastAsia="Arial" w:hAnsi="Arial"/>
          <w:sz w:val="14"/>
          <w:szCs w:val="14"/>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ind w:left="580" w:right="2940"/>
        <w:spacing w:after="0" w:line="321" w:lineRule="auto"/>
        <w:rPr>
          <w:sz w:val="20"/>
          <w:szCs w:val="20"/>
          <w:color w:val="auto"/>
        </w:rPr>
      </w:pPr>
      <w:r>
        <w:rPr>
          <w:rFonts w:ascii="Arial" w:cs="Arial" w:eastAsia="Arial" w:hAnsi="Arial"/>
          <w:sz w:val="16"/>
          <w:szCs w:val="16"/>
          <w:color w:val="auto"/>
        </w:rPr>
        <w:t>difficulties in obtaining export licenses or in overcoming other trade barriers and restrictions resulting in delivery delays; fluctuations in currency exchange rates and the related effect on our results of operations;</w:t>
      </w:r>
    </w:p>
    <w:p>
      <w:pPr>
        <w:ind w:left="580" w:right="6120"/>
        <w:spacing w:after="0" w:line="358" w:lineRule="auto"/>
        <w:rPr>
          <w:sz w:val="20"/>
          <w:szCs w:val="20"/>
          <w:color w:val="auto"/>
        </w:rPr>
      </w:pPr>
      <w:r>
        <w:rPr>
          <w:rFonts w:ascii="Arial" w:cs="Arial" w:eastAsia="Arial" w:hAnsi="Arial"/>
          <w:sz w:val="14"/>
          <w:szCs w:val="14"/>
          <w:color w:val="auto"/>
        </w:rPr>
        <w:t>increased financial accounting and reporting burdens and complexities; disruptions to global trade due to disease outbreaks or conflicts;</w:t>
      </w:r>
    </w:p>
    <w:p>
      <w:pPr>
        <w:ind w:left="280"/>
        <w:spacing w:after="0"/>
        <w:rPr>
          <w:sz w:val="20"/>
          <w:szCs w:val="20"/>
          <w:color w:val="auto"/>
        </w:rPr>
      </w:pPr>
      <w:r>
        <w:rPr>
          <w:rFonts w:ascii="Arial" w:cs="Arial" w:eastAsia="Arial" w:hAnsi="Arial"/>
          <w:sz w:val="16"/>
          <w:szCs w:val="16"/>
          <w:color w:val="auto"/>
        </w:rPr>
        <w:t>potential increases on tariffs or restrictions on trade generally; and</w:t>
      </w:r>
    </w:p>
    <w:p>
      <w:pPr>
        <w:spacing w:after="0" w:line="68" w:lineRule="exact"/>
        <w:rPr>
          <w:sz w:val="20"/>
          <w:szCs w:val="20"/>
          <w:color w:val="auto"/>
        </w:rPr>
      </w:pPr>
    </w:p>
    <w:p>
      <w:pPr>
        <w:ind w:left="580" w:right="20"/>
        <w:spacing w:after="0" w:line="246" w:lineRule="auto"/>
        <w:rPr>
          <w:sz w:val="20"/>
          <w:szCs w:val="20"/>
          <w:color w:val="auto"/>
        </w:rPr>
      </w:pPr>
      <w:r>
        <w:rPr>
          <w:rFonts w:ascii="Arial" w:cs="Arial" w:eastAsia="Arial" w:hAnsi="Arial"/>
          <w:sz w:val="16"/>
          <w:szCs w:val="16"/>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57"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6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369"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0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4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negatively impacted by changes in the United States political environment.</w:t>
      </w:r>
    </w:p>
    <w:p>
      <w:pPr>
        <w:spacing w:after="0" w:line="9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1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Disruption of critical information technology systems or material breaches in the security of our systems could harm our business, customer relations and financial condition.</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Our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incidences and security breaches to which we could be vulnerable by state-sponsored or affiliated actors or others in connection with the political uncertainty and military actions associated with the war in Ukraine. Certain of our systems are not redundant, and our disaster recovery planning is not sufficient for every eventuality. Despite any precautions we may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take, such problems could result in, among other consequences, disruption of our operations, which could harm our reputation and financial results.</w:t>
      </w:r>
    </w:p>
    <w:p>
      <w:pPr>
        <w:spacing w:after="0" w:line="93"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Security breaches and other disruptions could compromise our information and expose us to liability, which would cause our business and reputation to suffer.</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 Retaliatory acts by Russia in response to Western sanctions could include cyber attacks that could disrupt the economy generally or that may either directly or indirectly impact our operations specifically.</w:t>
      </w:r>
    </w:p>
    <w:p>
      <w:pPr>
        <w:spacing w:after="0" w:line="69"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717296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321"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42" w:lineRule="exact"/>
        <w:rPr>
          <w:sz w:val="20"/>
          <w:szCs w:val="20"/>
          <w:color w:val="auto"/>
        </w:rPr>
      </w:pPr>
    </w:p>
    <w:p>
      <w:pPr>
        <w:jc w:val="both"/>
        <w:ind w:right="20"/>
        <w:spacing w:after="0" w:line="270" w:lineRule="auto"/>
        <w:rPr>
          <w:sz w:val="20"/>
          <w:szCs w:val="20"/>
          <w:color w:val="auto"/>
        </w:rPr>
      </w:pPr>
      <w:r>
        <w:rPr>
          <w:rFonts w:ascii="Arial" w:cs="Arial" w:eastAsia="Arial" w:hAnsi="Arial"/>
          <w:sz w:val="14"/>
          <w:szCs w:val="14"/>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4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expands the CCPA, including by introducing additional obligations such as data minimization and storage limitations and granting additional rights to consumers, among others. The enactment of the CCPA has prompted similar legislative developments in other states, such as Virginia, which in March 2021 enacted a Consumer Data Protection Act that will go into effect January 1, 2023, and Colorado, which in June 2021 enacted a Colorado Privacy Act that will go into effect July 1, 2023, Utah, which in March 2022 enacted a Utah Consumer Privacy Act that will go into effect July 1, 2023, and Connecticut, which in May 2022 enacted a similar law, An Act Concerning Personal Data Privacy and Online Monitoring, that will go into effect July 1, 2023.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7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4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184150</wp:posOffset>
            </wp:positionV>
            <wp:extent cx="717296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1" w:name="page72"/>
    <w:bookmarkEnd w:id="71"/>
    <w:p>
      <w:pPr>
        <w:ind w:left="20"/>
        <w:spacing w:after="0"/>
        <w:rPr>
          <w:sz w:val="20"/>
          <w:szCs w:val="20"/>
          <w:color w:val="auto"/>
        </w:rPr>
      </w:pPr>
      <w:r>
        <w:rPr>
          <w:rFonts w:ascii="Arial" w:cs="Arial" w:eastAsia="Arial" w:hAnsi="Arial"/>
          <w:sz w:val="16"/>
          <w:szCs w:val="16"/>
          <w:u w:val="single" w:color="auto"/>
          <w:color w:val="0000FF"/>
        </w:rPr>
        <w:t>Table of Contents</w:t>
      </w:r>
    </w:p>
    <w:p>
      <w:pPr>
        <w:spacing w:after="0" w:line="38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None.</w:t>
      </w:r>
    </w:p>
    <w:p>
      <w:pPr>
        <w:spacing w:after="0" w:line="20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 Upon Senior Securities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None.</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 applicable.</w:t>
      </w:r>
    </w:p>
    <w:p>
      <w:pPr>
        <w:spacing w:after="0" w:line="20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85" w:lineRule="exact"/>
        <w:rPr>
          <w:sz w:val="20"/>
          <w:szCs w:val="20"/>
          <w:color w:val="auto"/>
        </w:rPr>
      </w:pPr>
    </w:p>
    <w:p>
      <w:pPr>
        <w:jc w:val="both"/>
        <w:ind w:left="20" w:right="20"/>
        <w:spacing w:after="0" w:line="241" w:lineRule="auto"/>
        <w:rPr>
          <w:sz w:val="20"/>
          <w:szCs w:val="20"/>
          <w:color w:val="auto"/>
        </w:rPr>
      </w:pPr>
      <w:r>
        <w:rPr>
          <w:rFonts w:ascii="Arial" w:cs="Arial" w:eastAsia="Arial" w:hAnsi="Arial"/>
          <w:sz w:val="16"/>
          <w:szCs w:val="16"/>
          <w:color w:val="auto"/>
        </w:rPr>
        <w:t>As disclosed under Item 5.03 of our Current Report on Form 8-K filed with the SEC on November 7, 2022, on November 3, 2022, our board of directors, upon recommendation of the corporate governance and nominating committee, amended and restated our Second Amended and Restated Bylaws, effective immediately (the “Amended and Restated Bylaws”). The Amended and Restated Bylaws were amended and restated, among other things, to:</w:t>
      </w:r>
    </w:p>
    <w:p>
      <w:pPr>
        <w:spacing w:after="0" w:line="59" w:lineRule="exact"/>
        <w:rPr>
          <w:sz w:val="20"/>
          <w:szCs w:val="20"/>
          <w:color w:val="auto"/>
        </w:rPr>
      </w:pPr>
    </w:p>
    <w:p>
      <w:pPr>
        <w:ind w:left="600" w:right="20"/>
        <w:spacing w:after="0" w:line="265" w:lineRule="auto"/>
        <w:rPr>
          <w:sz w:val="20"/>
          <w:szCs w:val="20"/>
          <w:color w:val="auto"/>
        </w:rPr>
      </w:pPr>
      <w:r>
        <w:rPr>
          <w:rFonts w:ascii="Arial" w:cs="Arial" w:eastAsia="Arial" w:hAnsi="Arial"/>
          <w:sz w:val="15"/>
          <w:szCs w:val="15"/>
          <w:color w:val="auto"/>
        </w:rPr>
        <w:t>revise the procedures and requirements for the nomination of directors and the submission of proposals by stockholders for consideration at meetings of stockholders, including, among other items, by adding a requirement that a stockholder seeking to nominate director(s) at a meeting deliver to the Company reasonable evidence that it has complied with the requirements of Rule 14a-19 of the Exchange Act no later than five business days before the meeting;</w:t>
      </w:r>
    </w:p>
    <w:p>
      <w:pPr>
        <w:spacing w:after="0" w:line="41" w:lineRule="exact"/>
        <w:rPr>
          <w:sz w:val="20"/>
          <w:szCs w:val="20"/>
          <w:color w:val="auto"/>
        </w:rPr>
      </w:pPr>
    </w:p>
    <w:p>
      <w:pPr>
        <w:ind w:left="600" w:right="740"/>
        <w:spacing w:after="0" w:line="352" w:lineRule="auto"/>
        <w:rPr>
          <w:sz w:val="20"/>
          <w:szCs w:val="20"/>
          <w:color w:val="auto"/>
        </w:rPr>
      </w:pPr>
      <w:r>
        <w:rPr>
          <w:rFonts w:ascii="Arial" w:cs="Arial" w:eastAsia="Arial" w:hAnsi="Arial"/>
          <w:sz w:val="16"/>
          <w:szCs w:val="16"/>
          <w:color w:val="auto"/>
        </w:rPr>
        <w:t>revise certain additional procedures related to stockholder meetings to conform to the provisions of the Delaware General Corporation Law (the “DGCL”); update various provisions regarding directors, board committees, and officers;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clarify the forum selection provision, including with respect to claims under the Securities Act; and</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make various updates throughout to conform to current Delaware law and to make ministerial changes, clarifications, and other conforming revisions.</w:t>
      </w:r>
    </w:p>
    <w:p>
      <w:pPr>
        <w:spacing w:after="0" w:line="93" w:lineRule="exact"/>
        <w:rPr>
          <w:sz w:val="20"/>
          <w:szCs w:val="20"/>
          <w:color w:val="auto"/>
        </w:rPr>
      </w:pPr>
    </w:p>
    <w:p>
      <w:pPr>
        <w:ind w:left="20"/>
        <w:spacing w:after="0" w:line="246" w:lineRule="auto"/>
        <w:rPr>
          <w:sz w:val="20"/>
          <w:szCs w:val="20"/>
          <w:color w:val="auto"/>
        </w:rPr>
      </w:pPr>
      <w:r>
        <w:rPr>
          <w:rFonts w:ascii="Arial" w:cs="Arial" w:eastAsia="Arial" w:hAnsi="Arial"/>
          <w:sz w:val="16"/>
          <w:szCs w:val="16"/>
          <w:color w:val="auto"/>
        </w:rPr>
        <w:t>The foregoing description is qualified in its entirety by reference to the Amended and Restated Bylaws, a copy of which is being filed herewith as Exhibit 3.1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17296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20" w:type="dxa"/>
            <w:vAlign w:val="bottom"/>
            <w:tcBorders>
              <w:bottom w:val="single" w:sz="8" w:color="0000FF"/>
            </w:tcBorders>
          </w:tcPr>
          <w:p>
            <w:pPr>
              <w:spacing w:after="0"/>
              <w:rPr>
                <w:sz w:val="16"/>
                <w:szCs w:val="16"/>
                <w:color w:val="auto"/>
              </w:rPr>
            </w:pPr>
          </w:p>
        </w:tc>
        <w:tc>
          <w:tcPr>
            <w:tcW w:w="11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8"/>
              </w:rPr>
              <w:t>Table of Contents</w:t>
            </w:r>
          </w:p>
        </w:tc>
        <w:tc>
          <w:tcPr>
            <w:tcW w:w="1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720" w:type="dxa"/>
            <w:vAlign w:val="bottom"/>
            <w:gridSpan w:val="4"/>
          </w:tcPr>
          <w:p>
            <w:pPr>
              <w:spacing w:after="0"/>
              <w:rPr>
                <w:sz w:val="20"/>
                <w:szCs w:val="20"/>
                <w:color w:val="auto"/>
              </w:rPr>
            </w:pPr>
            <w:r>
              <w:rPr>
                <w:rFonts w:ascii="Arial" w:cs="Arial" w:eastAsia="Arial" w:hAnsi="Arial"/>
                <w:sz w:val="16"/>
                <w:szCs w:val="16"/>
                <w:b w:val="1"/>
                <w:bCs w:val="1"/>
                <w:color w:val="auto"/>
              </w:rPr>
              <w:t>Item 6.</w:t>
            </w:r>
          </w:p>
        </w:tc>
        <w:tc>
          <w:tcPr>
            <w:tcW w:w="6700" w:type="dxa"/>
            <w:vAlign w:val="bottom"/>
            <w:gridSpan w:val="10"/>
          </w:tcPr>
          <w:p>
            <w:pPr>
              <w:ind w:left="160"/>
              <w:spacing w:after="0"/>
              <w:rPr>
                <w:sz w:val="20"/>
                <w:szCs w:val="20"/>
                <w:color w:val="auto"/>
              </w:rPr>
            </w:pPr>
            <w:r>
              <w:rPr>
                <w:rFonts w:ascii="Arial" w:cs="Arial" w:eastAsia="Arial" w:hAnsi="Arial"/>
                <w:sz w:val="16"/>
                <w:szCs w:val="16"/>
                <w:b w:val="1"/>
                <w:bCs w:val="1"/>
                <w:color w:val="auto"/>
              </w:rPr>
              <w:t>Exhibits</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color w:val="auto"/>
              </w:rPr>
              <w:t>Exhibit No.</w:t>
            </w:r>
          </w:p>
        </w:tc>
        <w:tc>
          <w:tcPr>
            <w:tcW w:w="180" w:type="dxa"/>
            <w:vAlign w:val="bottom"/>
          </w:tcPr>
          <w:p>
            <w:pPr>
              <w:spacing w:after="0"/>
              <w:rPr>
                <w:sz w:val="24"/>
                <w:szCs w:val="24"/>
                <w:color w:val="auto"/>
              </w:rPr>
            </w:pPr>
          </w:p>
        </w:tc>
        <w:tc>
          <w:tcPr>
            <w:tcW w:w="6080" w:type="dxa"/>
            <w:vAlign w:val="bottom"/>
            <w:gridSpan w:val="8"/>
            <w:vMerge w:val="restart"/>
          </w:tcPr>
          <w:p>
            <w:pPr>
              <w:ind w:left="2700"/>
              <w:spacing w:after="0"/>
              <w:rPr>
                <w:sz w:val="20"/>
                <w:szCs w:val="20"/>
                <w:color w:val="auto"/>
              </w:rPr>
            </w:pPr>
            <w:r>
              <w:rPr>
                <w:rFonts w:ascii="Arial" w:cs="Arial" w:eastAsia="Arial" w:hAnsi="Arial"/>
                <w:sz w:val="14"/>
                <w:szCs w:val="14"/>
                <w:color w:val="auto"/>
              </w:rPr>
              <w:t>Description</w:t>
            </w:r>
          </w:p>
        </w:tc>
        <w:tc>
          <w:tcPr>
            <w:tcW w:w="7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rPr>
              <w:t>Incorporated by reference herein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gridSpan w:val="8"/>
            <w:vMerge w:val="continue"/>
          </w:tcPr>
          <w:p>
            <w:pPr>
              <w:spacing w:after="0"/>
              <w:rPr>
                <w:sz w:val="12"/>
                <w:szCs w:val="12"/>
                <w:color w:val="auto"/>
              </w:rPr>
            </w:pPr>
          </w:p>
        </w:tc>
        <w:tc>
          <w:tcPr>
            <w:tcW w:w="74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Form</w:t>
            </w:r>
          </w:p>
        </w:tc>
        <w:tc>
          <w:tcPr>
            <w:tcW w:w="128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Exhibit No.</w:t>
            </w:r>
          </w:p>
        </w:tc>
        <w:tc>
          <w:tcPr>
            <w:tcW w:w="4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ind w:right="520"/>
              <w:spacing w:after="0" w:line="149" w:lineRule="exact"/>
              <w:rPr>
                <w:sz w:val="20"/>
                <w:szCs w:val="20"/>
                <w:color w:val="auto"/>
              </w:rPr>
            </w:pPr>
            <w:r>
              <w:rPr>
                <w:rFonts w:ascii="Arial" w:cs="Arial" w:eastAsia="Arial" w:hAnsi="Arial"/>
                <w:sz w:val="14"/>
                <w:szCs w:val="14"/>
                <w:color w:val="auto"/>
                <w:w w:val="95"/>
              </w:rPr>
              <w:t>Filing Date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0" w:type="dxa"/>
            <w:vAlign w:val="bottom"/>
          </w:tcPr>
          <w:p>
            <w:pPr>
              <w:spacing w:after="0" w:line="125" w:lineRule="exact"/>
              <w:rPr>
                <w:rFonts w:ascii="Arial" w:cs="Arial" w:eastAsia="Arial" w:hAnsi="Arial"/>
                <w:sz w:val="14"/>
                <w:szCs w:val="14"/>
                <w:color w:val="0000FF"/>
                <w:w w:val="81"/>
              </w:rPr>
            </w:pPr>
            <w:hyperlink r:id="rId89">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80" w:type="dxa"/>
            <w:vAlign w:val="bottom"/>
            <w:gridSpan w:val="8"/>
          </w:tcPr>
          <w:p>
            <w:pPr>
              <w:spacing w:after="0" w:line="125" w:lineRule="exact"/>
              <w:rPr>
                <w:rFonts w:ascii="Arial" w:cs="Arial" w:eastAsia="Arial" w:hAnsi="Arial"/>
                <w:sz w:val="14"/>
                <w:szCs w:val="14"/>
                <w:color w:val="0000FF"/>
              </w:rPr>
            </w:pPr>
            <w:hyperlink r:id="rId89">
              <w:r>
                <w:rPr>
                  <w:rFonts w:ascii="Arial" w:cs="Arial" w:eastAsia="Arial" w:hAnsi="Arial"/>
                  <w:sz w:val="14"/>
                  <w:szCs w:val="14"/>
                  <w:color w:val="0000FF"/>
                </w:rPr>
                <w:t>Third Amended and Restated Bylaws of Pacific Biosciences of California, Inc.</w:t>
              </w:r>
            </w:hyperlink>
          </w:p>
        </w:tc>
        <w:tc>
          <w:tcPr>
            <w:tcW w:w="740" w:type="dxa"/>
            <w:vAlign w:val="bottom"/>
          </w:tcPr>
          <w:p>
            <w:pPr>
              <w:ind w:left="260"/>
              <w:spacing w:after="0" w:line="125" w:lineRule="exact"/>
              <w:rPr>
                <w:sz w:val="20"/>
                <w:szCs w:val="20"/>
                <w:color w:val="auto"/>
              </w:rPr>
            </w:pPr>
            <w:r>
              <w:rPr>
                <w:rFonts w:ascii="Arial" w:cs="Arial" w:eastAsia="Arial" w:hAnsi="Arial"/>
                <w:sz w:val="14"/>
                <w:szCs w:val="14"/>
                <w:color w:val="auto"/>
              </w:rPr>
              <w:t>8-K</w:t>
            </w:r>
          </w:p>
        </w:tc>
        <w:tc>
          <w:tcPr>
            <w:tcW w:w="1280" w:type="dxa"/>
            <w:vAlign w:val="bottom"/>
          </w:tcPr>
          <w:p>
            <w:pPr>
              <w:jc w:val="right"/>
              <w:ind w:right="568"/>
              <w:spacing w:after="0" w:line="125" w:lineRule="exact"/>
              <w:rPr>
                <w:sz w:val="20"/>
                <w:szCs w:val="20"/>
                <w:color w:val="auto"/>
              </w:rPr>
            </w:pPr>
            <w:r>
              <w:rPr>
                <w:rFonts w:ascii="Arial" w:cs="Arial" w:eastAsia="Arial" w:hAnsi="Arial"/>
                <w:sz w:val="14"/>
                <w:szCs w:val="14"/>
                <w:color w:val="auto"/>
              </w:rPr>
              <w:t>3.1</w:t>
            </w:r>
          </w:p>
        </w:tc>
        <w:tc>
          <w:tcPr>
            <w:tcW w:w="1840" w:type="dxa"/>
            <w:vAlign w:val="bottom"/>
            <w:gridSpan w:val="3"/>
          </w:tcPr>
          <w:p>
            <w:pPr>
              <w:jc w:val="center"/>
              <w:ind w:right="40"/>
              <w:spacing w:after="0" w:line="125" w:lineRule="exact"/>
              <w:rPr>
                <w:sz w:val="20"/>
                <w:szCs w:val="20"/>
                <w:color w:val="auto"/>
              </w:rPr>
            </w:pPr>
            <w:r>
              <w:rPr>
                <w:rFonts w:ascii="Arial" w:cs="Arial" w:eastAsia="Arial" w:hAnsi="Arial"/>
                <w:sz w:val="14"/>
                <w:szCs w:val="14"/>
                <w:color w:val="auto"/>
                <w:w w:val="93"/>
              </w:rPr>
              <w:t>November 7, 2022</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700" w:type="dxa"/>
            <w:vAlign w:val="bottom"/>
            <w:gridSpan w:val="3"/>
            <w:shd w:val="clear" w:color="auto" w:fill="CCEEFF"/>
          </w:tcPr>
          <w:p>
            <w:pPr>
              <w:spacing w:after="0" w:line="133" w:lineRule="exact"/>
              <w:rPr>
                <w:sz w:val="20"/>
                <w:szCs w:val="20"/>
                <w:color w:val="auto"/>
              </w:rPr>
            </w:pPr>
            <w:r>
              <w:rPr>
                <w:rFonts w:ascii="Arial" w:cs="Arial" w:eastAsia="Arial" w:hAnsi="Arial"/>
                <w:sz w:val="14"/>
                <w:szCs w:val="14"/>
                <w:color w:val="0000FF"/>
              </w:rPr>
              <w:t>31.1</w:t>
            </w: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80" w:type="dxa"/>
            <w:vAlign w:val="bottom"/>
            <w:gridSpan w:val="8"/>
            <w:shd w:val="clear" w:color="auto" w:fill="CCEEFF"/>
          </w:tcPr>
          <w:p>
            <w:pPr>
              <w:spacing w:after="0" w:line="133" w:lineRule="exact"/>
              <w:rPr>
                <w:sz w:val="20"/>
                <w:szCs w:val="20"/>
                <w:color w:val="auto"/>
              </w:rPr>
            </w:pPr>
            <w:r>
              <w:rPr>
                <w:rFonts w:ascii="Arial" w:cs="Arial" w:eastAsia="Arial" w:hAnsi="Arial"/>
                <w:sz w:val="14"/>
                <w:szCs w:val="14"/>
                <w:color w:val="0000FF"/>
                <w:w w:val="97"/>
              </w:rPr>
              <w:t>Certification of Chief Executive Officer pursuant to Exchange Act Rules 13a-14(a) and 15d-14(a), as</w:t>
            </w:r>
          </w:p>
        </w:tc>
        <w:tc>
          <w:tcPr>
            <w:tcW w:w="7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840" w:type="dxa"/>
            <w:vAlign w:val="bottom"/>
            <w:gridSpan w:val="3"/>
            <w:shd w:val="clear" w:color="auto" w:fill="CCEEFF"/>
          </w:tcPr>
          <w:p>
            <w:pPr>
              <w:jc w:val="center"/>
              <w:ind w:right="40"/>
              <w:spacing w:after="0" w:line="133" w:lineRule="exact"/>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920" w:type="dxa"/>
            <w:vAlign w:val="bottom"/>
            <w:tcBorders>
              <w:top w:val="single" w:sz="8" w:color="0000FF"/>
              <w:bottom w:val="single" w:sz="8" w:color="0000FF"/>
            </w:tcBorders>
            <w:gridSpan w:val="2"/>
            <w:shd w:val="clear" w:color="auto" w:fill="CCEEFF"/>
          </w:tcPr>
          <w:p>
            <w:pPr>
              <w:spacing w:after="0" w:line="137" w:lineRule="exact"/>
              <w:rPr>
                <w:sz w:val="20"/>
                <w:szCs w:val="20"/>
                <w:color w:val="auto"/>
              </w:rPr>
            </w:pPr>
            <w:r>
              <w:rPr>
                <w:rFonts w:ascii="Arial" w:cs="Arial" w:eastAsia="Arial" w:hAnsi="Arial"/>
                <w:sz w:val="14"/>
                <w:szCs w:val="14"/>
                <w:color w:val="0000FF"/>
                <w:w w:val="92"/>
              </w:rPr>
              <w:t>adopted pursuant to Section 302 of the Sarbanes-Oxley Act of 2002</w:t>
            </w:r>
          </w:p>
        </w:tc>
        <w:tc>
          <w:tcPr>
            <w:tcW w:w="20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4"/>
                <w:szCs w:val="14"/>
                <w:color w:val="0000FF"/>
              </w:rPr>
              <w:t>31.2</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80" w:type="dxa"/>
            <w:vAlign w:val="bottom"/>
            <w:gridSpan w:val="8"/>
          </w:tcPr>
          <w:p>
            <w:pPr>
              <w:spacing w:after="0" w:line="133" w:lineRule="exact"/>
              <w:rPr>
                <w:sz w:val="20"/>
                <w:szCs w:val="20"/>
                <w:color w:val="auto"/>
              </w:rPr>
            </w:pPr>
            <w:r>
              <w:rPr>
                <w:rFonts w:ascii="Arial" w:cs="Arial" w:eastAsia="Arial" w:hAnsi="Arial"/>
                <w:sz w:val="14"/>
                <w:szCs w:val="14"/>
                <w:color w:val="0000FF"/>
                <w:w w:val="98"/>
              </w:rPr>
              <w:t>Certification of Chief Financial Officer pursuant to Exchange Act Rules 13a-14(a) and 15d-14(a), as</w:t>
            </w: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40" w:type="dxa"/>
            <w:vAlign w:val="bottom"/>
            <w:gridSpan w:val="3"/>
          </w:tcPr>
          <w:p>
            <w:pPr>
              <w:jc w:val="center"/>
              <w:ind w:right="40"/>
              <w:spacing w:after="0" w:line="133" w:lineRule="exact"/>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980" w:type="dxa"/>
            <w:vAlign w:val="bottom"/>
            <w:tcBorders>
              <w:top w:val="single" w:sz="8" w:color="0000FF"/>
            </w:tcBorders>
            <w:gridSpan w:val="6"/>
          </w:tcPr>
          <w:p>
            <w:pPr>
              <w:spacing w:after="0" w:line="137" w:lineRule="exact"/>
              <w:rPr>
                <w:sz w:val="20"/>
                <w:szCs w:val="20"/>
                <w:color w:val="auto"/>
              </w:rPr>
            </w:pPr>
            <w:r>
              <w:rPr>
                <w:rFonts w:ascii="Arial" w:cs="Arial" w:eastAsia="Arial" w:hAnsi="Arial"/>
                <w:sz w:val="14"/>
                <w:szCs w:val="14"/>
                <w:color w:val="0000FF"/>
              </w:rPr>
              <w:t>adopted pursuant to Section 302 of the Sarbanes-Oxley Act of 2002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700" w:type="dxa"/>
            <w:vAlign w:val="bottom"/>
            <w:gridSpan w:val="3"/>
            <w:shd w:val="clear" w:color="auto" w:fill="CCEEFF"/>
          </w:tcPr>
          <w:p>
            <w:pPr>
              <w:spacing w:after="0" w:line="133" w:lineRule="exact"/>
              <w:rPr>
                <w:sz w:val="20"/>
                <w:szCs w:val="20"/>
                <w:color w:val="auto"/>
              </w:rPr>
            </w:pPr>
            <w:r>
              <w:rPr>
                <w:rFonts w:ascii="Arial" w:cs="Arial" w:eastAsia="Arial" w:hAnsi="Arial"/>
                <w:sz w:val="14"/>
                <w:szCs w:val="14"/>
                <w:color w:val="0000FF"/>
              </w:rPr>
              <w:t>32.1</w:t>
            </w:r>
            <w:r>
              <w:rPr>
                <w:rFonts w:ascii="Arial" w:cs="Arial" w:eastAsia="Arial" w:hAnsi="Arial"/>
                <w:sz w:val="14"/>
                <w:szCs w:val="14"/>
                <w:color w:val="000000"/>
              </w:rPr>
              <w:t>*</w:t>
            </w: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80" w:type="dxa"/>
            <w:vAlign w:val="bottom"/>
            <w:gridSpan w:val="8"/>
            <w:shd w:val="clear" w:color="auto" w:fill="CCEEFF"/>
          </w:tcPr>
          <w:p>
            <w:pPr>
              <w:spacing w:after="0" w:line="133" w:lineRule="exact"/>
              <w:rPr>
                <w:sz w:val="20"/>
                <w:szCs w:val="20"/>
                <w:color w:val="auto"/>
              </w:rPr>
            </w:pPr>
            <w:r>
              <w:rPr>
                <w:rFonts w:ascii="Arial" w:cs="Arial" w:eastAsia="Arial" w:hAnsi="Arial"/>
                <w:sz w:val="14"/>
                <w:szCs w:val="14"/>
                <w:color w:val="0000FF"/>
                <w:w w:val="99"/>
              </w:rPr>
              <w:t>Certification of Chief Executive Officer pursuant to 18 U.S.C. Section 1350, as adopted pursuant to</w:t>
            </w:r>
          </w:p>
        </w:tc>
        <w:tc>
          <w:tcPr>
            <w:tcW w:w="7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840" w:type="dxa"/>
            <w:vAlign w:val="bottom"/>
            <w:gridSpan w:val="3"/>
            <w:shd w:val="clear" w:color="auto" w:fill="CCEEFF"/>
          </w:tcPr>
          <w:p>
            <w:pPr>
              <w:jc w:val="center"/>
              <w:ind w:right="40"/>
              <w:spacing w:after="0" w:line="133" w:lineRule="exact"/>
              <w:rPr>
                <w:sz w:val="20"/>
                <w:szCs w:val="20"/>
                <w:color w:val="auto"/>
              </w:rPr>
            </w:pPr>
            <w:r>
              <w:rPr>
                <w:rFonts w:ascii="Arial" w:cs="Arial" w:eastAsia="Arial" w:hAnsi="Arial"/>
                <w:sz w:val="14"/>
                <w:szCs w:val="14"/>
                <w:color w:val="auto"/>
                <w:w w:val="94"/>
              </w:rPr>
              <w:t>Furnished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0000FF"/>
              <w:bottom w:val="single" w:sz="8" w:color="0000FF"/>
            </w:tcBorders>
            <w:shd w:val="clear" w:color="auto" w:fill="CCEEFF"/>
          </w:tcPr>
          <w:p>
            <w:pPr>
              <w:spacing w:after="0" w:line="137" w:lineRule="exact"/>
              <w:rPr>
                <w:sz w:val="20"/>
                <w:szCs w:val="20"/>
                <w:color w:val="auto"/>
              </w:rPr>
            </w:pPr>
            <w:r>
              <w:rPr>
                <w:rFonts w:ascii="Arial" w:cs="Arial" w:eastAsia="Arial" w:hAnsi="Arial"/>
                <w:sz w:val="14"/>
                <w:szCs w:val="14"/>
                <w:color w:val="0000FF"/>
                <w:w w:val="93"/>
              </w:rPr>
              <w:t>Section 906 of the Sarbanes-Oxley Act of 2002</w:t>
            </w:r>
          </w:p>
        </w:tc>
        <w:tc>
          <w:tcPr>
            <w:tcW w:w="326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4"/>
                <w:szCs w:val="14"/>
                <w:color w:val="0000FF"/>
              </w:rPr>
              <w:t>32.2</w:t>
            </w:r>
            <w:r>
              <w:rPr>
                <w:rFonts w:ascii="Arial" w:cs="Arial" w:eastAsia="Arial" w:hAnsi="Arial"/>
                <w:sz w:val="14"/>
                <w:szCs w:val="14"/>
                <w:color w:val="000000"/>
              </w:rPr>
              <w:t>*</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80" w:type="dxa"/>
            <w:vAlign w:val="bottom"/>
            <w:gridSpan w:val="8"/>
          </w:tcPr>
          <w:p>
            <w:pPr>
              <w:spacing w:after="0" w:line="133" w:lineRule="exact"/>
              <w:rPr>
                <w:sz w:val="20"/>
                <w:szCs w:val="20"/>
                <w:color w:val="auto"/>
              </w:rPr>
            </w:pPr>
            <w:r>
              <w:rPr>
                <w:rFonts w:ascii="Arial" w:cs="Arial" w:eastAsia="Arial" w:hAnsi="Arial"/>
                <w:sz w:val="14"/>
                <w:szCs w:val="14"/>
                <w:color w:val="0000FF"/>
                <w:w w:val="99"/>
              </w:rPr>
              <w:t>Certification of Chief Financial Officer pursuant to 18 U.S.C. Section 1350, as adopted pursuant to</w:t>
            </w: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40" w:type="dxa"/>
            <w:vAlign w:val="bottom"/>
            <w:gridSpan w:val="3"/>
          </w:tcPr>
          <w:p>
            <w:pPr>
              <w:jc w:val="center"/>
              <w:ind w:right="40"/>
              <w:spacing w:after="0" w:line="133" w:lineRule="exact"/>
              <w:rPr>
                <w:sz w:val="20"/>
                <w:szCs w:val="20"/>
                <w:color w:val="auto"/>
              </w:rPr>
            </w:pPr>
            <w:r>
              <w:rPr>
                <w:rFonts w:ascii="Arial" w:cs="Arial" w:eastAsia="Arial" w:hAnsi="Arial"/>
                <w:sz w:val="14"/>
                <w:szCs w:val="14"/>
                <w:color w:val="auto"/>
                <w:w w:val="94"/>
              </w:rPr>
              <w:t>Furnished herewith</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960" w:type="dxa"/>
            <w:vAlign w:val="bottom"/>
            <w:tcBorders>
              <w:top w:val="single" w:sz="8" w:color="0000FF"/>
            </w:tcBorders>
            <w:gridSpan w:val="5"/>
          </w:tcPr>
          <w:p>
            <w:pPr>
              <w:spacing w:after="0" w:line="137" w:lineRule="exact"/>
              <w:rPr>
                <w:sz w:val="20"/>
                <w:szCs w:val="20"/>
                <w:color w:val="auto"/>
              </w:rPr>
            </w:pPr>
            <w:r>
              <w:rPr>
                <w:rFonts w:ascii="Arial" w:cs="Arial" w:eastAsia="Arial" w:hAnsi="Arial"/>
                <w:sz w:val="14"/>
                <w:szCs w:val="14"/>
                <w:color w:val="0000FF"/>
              </w:rPr>
              <w:t>Section 906 of the Sarbanes-Oxley Act of 2002</w:t>
            </w:r>
          </w:p>
        </w:tc>
        <w:tc>
          <w:tcPr>
            <w:tcW w:w="12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101.INS</w:t>
            </w: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80" w:type="dxa"/>
            <w:vAlign w:val="bottom"/>
            <w:gridSpan w:val="8"/>
            <w:shd w:val="clear" w:color="auto" w:fill="CCEEFF"/>
          </w:tcPr>
          <w:p>
            <w:pPr>
              <w:spacing w:after="0" w:line="136" w:lineRule="exact"/>
              <w:rPr>
                <w:sz w:val="20"/>
                <w:szCs w:val="20"/>
                <w:color w:val="auto"/>
              </w:rPr>
            </w:pPr>
            <w:r>
              <w:rPr>
                <w:rFonts w:ascii="Arial" w:cs="Arial" w:eastAsia="Arial" w:hAnsi="Arial"/>
                <w:sz w:val="14"/>
                <w:szCs w:val="14"/>
                <w:color w:val="auto"/>
                <w:w w:val="94"/>
              </w:rPr>
              <w:t>XBRL Instance Document (the instance document does not appear in the Interactive Data File because</w:t>
            </w:r>
          </w:p>
        </w:tc>
        <w:tc>
          <w:tcPr>
            <w:tcW w:w="7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840" w:type="dxa"/>
            <w:vAlign w:val="bottom"/>
            <w:gridSpan w:val="3"/>
            <w:shd w:val="clear" w:color="auto" w:fill="CCEEFF"/>
          </w:tcPr>
          <w:p>
            <w:pPr>
              <w:jc w:val="center"/>
              <w:ind w:right="40"/>
              <w:spacing w:after="0" w:line="136" w:lineRule="exact"/>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8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rPr>
              <w:t>its XBRL tags are embedded within the Inline XBRL document)</w:t>
            </w:r>
          </w:p>
        </w:tc>
        <w:tc>
          <w:tcPr>
            <w:tcW w:w="7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101.SCH</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gridSpan w:val="3"/>
          </w:tcPr>
          <w:p>
            <w:pPr>
              <w:jc w:val="center"/>
              <w:ind w:right="40"/>
              <w:spacing w:after="0"/>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101.CAL</w:t>
            </w:r>
          </w:p>
        </w:tc>
        <w:tc>
          <w:tcPr>
            <w:tcW w:w="4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8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101.DEF</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gridSpan w:val="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gridSpan w:val="3"/>
          </w:tcPr>
          <w:p>
            <w:pPr>
              <w:jc w:val="center"/>
              <w:ind w:right="40"/>
              <w:spacing w:after="0"/>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101.LAB</w:t>
            </w:r>
          </w:p>
        </w:tc>
        <w:tc>
          <w:tcPr>
            <w:tcW w:w="4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8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rPr>
              <w:t>Inline XBRL Taxonomy Extension Labels Linkbase Document</w:t>
            </w:r>
          </w:p>
        </w:tc>
        <w:tc>
          <w:tcPr>
            <w:tcW w:w="7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101.PRE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gridSpan w:val="3"/>
          </w:tcPr>
          <w:p>
            <w:pPr>
              <w:jc w:val="center"/>
              <w:ind w:right="40"/>
              <w:spacing w:after="0"/>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104</w:t>
            </w: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8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Cover Page Interactive File (formatted as inline XBRL and contained in Exhibit 101)</w:t>
            </w: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221615</wp:posOffset>
            </wp:positionV>
            <wp:extent cx="34817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81705" cy="7620"/>
                    </a:xfrm>
                    <a:prstGeom prst="rect">
                      <a:avLst/>
                    </a:prstGeom>
                    <a:noFill/>
                  </pic:spPr>
                </pic:pic>
              </a:graphicData>
            </a:graphic>
          </wp:anchor>
        </w:drawing>
      </w:r>
    </w:p>
    <w:p>
      <w:pPr>
        <w:spacing w:after="0" w:line="400" w:lineRule="exact"/>
        <w:rPr>
          <w:sz w:val="20"/>
          <w:szCs w:val="20"/>
          <w:color w:val="auto"/>
        </w:rPr>
      </w:pPr>
    </w:p>
    <w:p>
      <w:pPr>
        <w:jc w:val="both"/>
        <w:ind w:left="380" w:hanging="364"/>
        <w:spacing w:after="0" w:line="235"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17296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80"/>
          </w:cols>
          <w:pgMar w:left="300" w:top="100" w:right="31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45" w:lineRule="exact"/>
        <w:rPr>
          <w:sz w:val="20"/>
          <w:szCs w:val="20"/>
          <w:color w:val="auto"/>
        </w:rPr>
      </w:pPr>
    </w:p>
    <w:p>
      <w:pPr>
        <w:ind w:firstLine="392"/>
        <w:spacing w:after="0" w:line="246" w:lineRule="auto"/>
        <w:rPr>
          <w:sz w:val="20"/>
          <w:szCs w:val="20"/>
          <w:color w:val="auto"/>
        </w:rPr>
      </w:pPr>
      <w:r>
        <w:rPr>
          <w:rFonts w:ascii="Arial" w:cs="Arial" w:eastAsia="Arial" w:hAnsi="Arial"/>
          <w:sz w:val="16"/>
          <w:szCs w:val="16"/>
          <w:color w:val="auto"/>
        </w:rPr>
        <w:t>Pursuant to the requirements of the Securities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337" w:lineRule="exact"/>
        <w:rPr>
          <w:sz w:val="20"/>
          <w:szCs w:val="20"/>
          <w:color w:val="auto"/>
        </w:rPr>
      </w:pPr>
    </w:p>
    <w:p>
      <w:pPr>
        <w:ind w:left="6000" w:right="1800" w:hanging="8177"/>
        <w:spacing w:after="0"/>
        <w:tabs>
          <w:tab w:leader="none" w:pos="5980" w:val="left"/>
        </w:tabs>
        <w:rPr>
          <w:sz w:val="20"/>
          <w:szCs w:val="20"/>
          <w:color w:val="auto"/>
        </w:rPr>
      </w:pPr>
      <w:r>
        <w:rPr>
          <w:rFonts w:ascii="Arial" w:cs="Arial" w:eastAsia="Arial" w:hAnsi="Arial"/>
          <w:sz w:val="16"/>
          <w:szCs w:val="16"/>
          <w:color w:val="auto"/>
        </w:rPr>
        <w:t>Date: November 8, 2022</w:t>
      </w:r>
      <w:r>
        <w:rPr>
          <w:sz w:val="20"/>
          <w:szCs w:val="20"/>
          <w:color w:val="auto"/>
        </w:rPr>
        <w:tab/>
      </w:r>
      <w:r>
        <w:rPr>
          <w:rFonts w:ascii="Arial" w:cs="Arial" w:eastAsia="Arial" w:hAnsi="Arial"/>
          <w:sz w:val="16"/>
          <w:szCs w:val="16"/>
          <w:color w:val="auto"/>
        </w:rPr>
        <w:t>By: /s/ Christian O. Henry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-6985</wp:posOffset>
            </wp:positionV>
            <wp:extent cx="3115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115310" cy="7620"/>
                    </a:xfrm>
                    <a:prstGeom prst="rect">
                      <a:avLst/>
                    </a:prstGeom>
                    <a:noFill/>
                  </pic:spPr>
                </pic:pic>
              </a:graphicData>
            </a:graphic>
          </wp:anchor>
        </w:drawing>
      </w:r>
    </w:p>
    <w:p>
      <w:pPr>
        <w:spacing w:after="0" w:line="134" w:lineRule="exact"/>
        <w:rPr>
          <w:sz w:val="20"/>
          <w:szCs w:val="20"/>
          <w:color w:val="auto"/>
        </w:rPr>
      </w:pPr>
    </w:p>
    <w:p>
      <w:pPr>
        <w:jc w:val="center"/>
        <w:ind w:left="6340"/>
        <w:spacing w:after="0"/>
        <w:rPr>
          <w:sz w:val="20"/>
          <w:szCs w:val="20"/>
          <w:color w:val="auto"/>
        </w:rPr>
      </w:pPr>
      <w:r>
        <w:rPr>
          <w:rFonts w:ascii="Arial" w:cs="Arial" w:eastAsia="Arial" w:hAnsi="Arial"/>
          <w:sz w:val="16"/>
          <w:szCs w:val="16"/>
          <w:color w:val="auto"/>
        </w:rPr>
        <w:t>Chief Executive Officer and President</w:t>
      </w:r>
    </w:p>
    <w:p>
      <w:pPr>
        <w:jc w:val="center"/>
        <w:ind w:left="634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00" w:right="1960" w:hanging="8338"/>
        <w:spacing w:after="0"/>
        <w:tabs>
          <w:tab w:leader="none" w:pos="5980" w:val="left"/>
        </w:tabs>
        <w:rPr>
          <w:sz w:val="20"/>
          <w:szCs w:val="20"/>
          <w:color w:val="auto"/>
        </w:rPr>
      </w:pPr>
      <w:r>
        <w:rPr>
          <w:rFonts w:ascii="Arial" w:cs="Arial" w:eastAsia="Arial" w:hAnsi="Arial"/>
          <w:sz w:val="16"/>
          <w:szCs w:val="16"/>
          <w:color w:val="auto"/>
        </w:rPr>
        <w:t>Date: November 8, 2022</w:t>
      </w:r>
      <w:r>
        <w:rPr>
          <w:sz w:val="20"/>
          <w:szCs w:val="20"/>
          <w:color w:val="auto"/>
        </w:rPr>
        <w:tab/>
      </w:r>
      <w:r>
        <w:rPr>
          <w:rFonts w:ascii="Arial" w:cs="Arial" w:eastAsia="Arial" w:hAnsi="Arial"/>
          <w:sz w:val="16"/>
          <w:szCs w:val="16"/>
          <w:color w:val="auto"/>
        </w:rPr>
        <w:t>By: /s/ Susan G. Kim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-6985</wp:posOffset>
            </wp:positionV>
            <wp:extent cx="3115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115310" cy="7620"/>
                    </a:xfrm>
                    <a:prstGeom prst="rect">
                      <a:avLst/>
                    </a:prstGeom>
                    <a:noFill/>
                  </pic:spPr>
                </pic:pic>
              </a:graphicData>
            </a:graphic>
          </wp:anchor>
        </w:drawing>
      </w:r>
    </w:p>
    <w:p>
      <w:pPr>
        <w:spacing w:after="0" w:line="134"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Chief Financial Officer</w:t>
      </w:r>
    </w:p>
    <w:p>
      <w:pPr>
        <w:ind w:left="786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00" w:right="1760" w:hanging="8328"/>
        <w:spacing w:after="0"/>
        <w:tabs>
          <w:tab w:leader="none" w:pos="5980" w:val="left"/>
        </w:tabs>
        <w:rPr>
          <w:sz w:val="20"/>
          <w:szCs w:val="20"/>
          <w:color w:val="auto"/>
        </w:rPr>
      </w:pPr>
      <w:r>
        <w:rPr>
          <w:rFonts w:ascii="Arial" w:cs="Arial" w:eastAsia="Arial" w:hAnsi="Arial"/>
          <w:sz w:val="16"/>
          <w:szCs w:val="16"/>
          <w:color w:val="auto"/>
        </w:rPr>
        <w:t>Date: November 8, 2022</w:t>
      </w:r>
      <w:r>
        <w:rPr>
          <w:sz w:val="20"/>
          <w:szCs w:val="20"/>
          <w:color w:val="auto"/>
        </w:rPr>
        <w:tab/>
      </w:r>
      <w:r>
        <w:rPr>
          <w:rFonts w:ascii="Arial" w:cs="Arial" w:eastAsia="Arial" w:hAnsi="Arial"/>
          <w:sz w:val="16"/>
          <w:szCs w:val="16"/>
          <w:color w:val="auto"/>
        </w:rPr>
        <w:t>By: /s/ Michele Farmer Michele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-6985</wp:posOffset>
            </wp:positionV>
            <wp:extent cx="31000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100070" cy="7620"/>
                    </a:xfrm>
                    <a:prstGeom prst="rect">
                      <a:avLst/>
                    </a:prstGeom>
                    <a:noFill/>
                  </pic:spPr>
                </pic:pic>
              </a:graphicData>
            </a:graphic>
          </wp:anchor>
        </w:drawing>
      </w:r>
    </w:p>
    <w:p>
      <w:pPr>
        <w:spacing w:after="0" w:line="122" w:lineRule="exact"/>
        <w:rPr>
          <w:sz w:val="20"/>
          <w:szCs w:val="20"/>
          <w:color w:val="auto"/>
        </w:rPr>
      </w:pPr>
    </w:p>
    <w:p>
      <w:pPr>
        <w:jc w:val="center"/>
        <w:ind w:left="6340"/>
        <w:spacing w:after="0"/>
        <w:rPr>
          <w:sz w:val="20"/>
          <w:szCs w:val="20"/>
          <w:color w:val="auto"/>
        </w:rPr>
      </w:pPr>
      <w:r>
        <w:rPr>
          <w:rFonts w:ascii="Arial" w:cs="Arial" w:eastAsia="Arial" w:hAnsi="Arial"/>
          <w:sz w:val="16"/>
          <w:szCs w:val="16"/>
          <w:color w:val="auto"/>
        </w:rPr>
        <w:t>Vice President and Chief Accounting Officer</w:t>
      </w:r>
    </w:p>
    <w:p>
      <w:pPr>
        <w:jc w:val="center"/>
        <w:ind w:left="6380"/>
        <w:spacing w:after="0"/>
        <w:rPr>
          <w:sz w:val="20"/>
          <w:szCs w:val="20"/>
          <w:color w:val="auto"/>
        </w:rPr>
      </w:pPr>
      <w:r>
        <w:rPr>
          <w:rFonts w:ascii="Arial" w:cs="Arial" w:eastAsia="Arial" w:hAnsi="Arial"/>
          <w:sz w:val="16"/>
          <w:szCs w:val="16"/>
          <w:i w:val="1"/>
          <w:iCs w:val="1"/>
          <w:color w:val="auto"/>
        </w:rPr>
        <w:t>(Principal Accounting Officer)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0"/>
          </w:cols>
          <w:pgMar w:left="320" w:top="116" w:right="319" w:bottom="1440" w:gutter="0" w:footer="0" w:header="0"/>
        </w:sectPr>
      </w:pPr>
    </w:p>
    <w:bookmarkStart w:id="74" w:name="page75"/>
    <w:bookmarkEnd w:id="74"/>
    <w:p>
      <w:pPr>
        <w:jc w:val="right"/>
        <w:ind w:right="39"/>
        <w:spacing w:after="0"/>
        <w:rPr>
          <w:sz w:val="20"/>
          <w:szCs w:val="20"/>
          <w:color w:val="auto"/>
        </w:rPr>
      </w:pPr>
      <w:r>
        <w:rPr>
          <w:rFonts w:ascii="Arial" w:cs="Arial" w:eastAsia="Arial" w:hAnsi="Arial"/>
          <w:sz w:val="19"/>
          <w:szCs w:val="19"/>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jc w:val="center"/>
        <w:spacing w:after="0" w:line="219" w:lineRule="auto"/>
        <w:rPr>
          <w:sz w:val="20"/>
          <w:szCs w:val="20"/>
          <w:color w:val="auto"/>
        </w:rPr>
      </w:pPr>
      <w:r>
        <w:rPr>
          <w:rFonts w:ascii="Arial" w:cs="Arial" w:eastAsia="Arial" w:hAnsi="Arial"/>
          <w:sz w:val="16"/>
          <w:szCs w:val="16"/>
          <w:b w:val="1"/>
          <w:bCs w:val="1"/>
          <w:color w:val="auto"/>
        </w:rPr>
        <w:t>SECURITIES EXCHANGE ACT RULES 13a-15(e), AS ADOPTED PURSUANT</w:t>
      </w:r>
    </w:p>
    <w:p>
      <w:pPr>
        <w:jc w:val="center"/>
        <w:spacing w:after="0"/>
        <w:rPr>
          <w:sz w:val="20"/>
          <w:szCs w:val="20"/>
          <w:color w:val="auto"/>
        </w:rPr>
      </w:pPr>
      <w:r>
        <w:rPr>
          <w:rFonts w:ascii="Arial" w:cs="Arial" w:eastAsia="Arial" w:hAnsi="Arial"/>
          <w:sz w:val="16"/>
          <w:szCs w:val="16"/>
          <w:b w:val="1"/>
          <w:bCs w:val="1"/>
          <w:color w:val="auto"/>
        </w:rPr>
        <w:t>TO SECTION 302 OF THE SARBANES-OXLEY ACT OF 2002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Christian Henry, certify that:</w:t>
      </w:r>
    </w:p>
    <w:p>
      <w:pPr>
        <w:spacing w:after="0" w:line="44" w:lineRule="exact"/>
        <w:rPr>
          <w:sz w:val="20"/>
          <w:szCs w:val="20"/>
          <w:color w:val="auto"/>
        </w:rPr>
      </w:pPr>
    </w:p>
    <w:p>
      <w:pPr>
        <w:ind w:left="580" w:hanging="15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Pacific Biosciences of California, Inc.;</w:t>
      </w:r>
    </w:p>
    <w:p>
      <w:pPr>
        <w:spacing w:after="0" w:line="128" w:lineRule="exact"/>
        <w:rPr>
          <w:rFonts w:ascii="Arial" w:cs="Arial" w:eastAsia="Arial" w:hAnsi="Arial"/>
          <w:sz w:val="16"/>
          <w:szCs w:val="16"/>
          <w:color w:val="auto"/>
        </w:rPr>
      </w:pPr>
    </w:p>
    <w:p>
      <w:pPr>
        <w:ind w:left="40" w:right="99" w:firstLine="383"/>
        <w:spacing w:after="0" w:line="225" w:lineRule="auto"/>
        <w:tabs>
          <w:tab w:leader="none" w:pos="593"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6"/>
          <w:szCs w:val="16"/>
          <w:color w:val="auto"/>
        </w:rPr>
      </w:pPr>
    </w:p>
    <w:p>
      <w:pPr>
        <w:ind w:left="40" w:right="239" w:firstLine="383"/>
        <w:spacing w:after="0" w:line="225" w:lineRule="auto"/>
        <w:tabs>
          <w:tab w:leader="none" w:pos="593"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6"/>
          <w:szCs w:val="16"/>
          <w:color w:val="auto"/>
        </w:rPr>
      </w:pPr>
    </w:p>
    <w:p>
      <w:pPr>
        <w:ind w:left="40" w:right="599" w:firstLine="383"/>
        <w:spacing w:after="0" w:line="225" w:lineRule="auto"/>
        <w:tabs>
          <w:tab w:leader="none" w:pos="5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ind w:left="40" w:right="239" w:firstLine="383"/>
        <w:spacing w:after="0"/>
        <w:tabs>
          <w:tab w:leader="none" w:pos="597"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5"/>
          <w:szCs w:val="15"/>
          <w:color w:val="auto"/>
        </w:rPr>
      </w:pPr>
    </w:p>
    <w:p>
      <w:pPr>
        <w:ind w:left="40" w:right="339" w:firstLine="383"/>
        <w:spacing w:after="0" w:line="225" w:lineRule="auto"/>
        <w:tabs>
          <w:tab w:leader="none" w:pos="6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6"/>
          <w:szCs w:val="16"/>
          <w:color w:val="auto"/>
        </w:rPr>
      </w:pPr>
    </w:p>
    <w:p>
      <w:pPr>
        <w:ind w:left="40" w:right="419" w:firstLine="383"/>
        <w:spacing w:after="0" w:line="225" w:lineRule="auto"/>
        <w:tabs>
          <w:tab w:leader="none" w:pos="59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jc w:val="both"/>
        <w:ind w:left="40" w:right="99" w:firstLine="383"/>
        <w:spacing w:after="0" w:line="225" w:lineRule="auto"/>
        <w:tabs>
          <w:tab w:leader="none" w:pos="6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sz w:val="20"/>
          <w:szCs w:val="20"/>
          <w:color w:val="auto"/>
        </w:rPr>
      </w:pPr>
    </w:p>
    <w:p>
      <w:pPr>
        <w:ind w:left="40" w:right="379" w:firstLine="383"/>
        <w:spacing w:after="0" w:line="225" w:lineRule="auto"/>
        <w:tabs>
          <w:tab w:leader="none" w:pos="5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sz w:val="20"/>
          <w:szCs w:val="20"/>
          <w:color w:val="auto"/>
        </w:rPr>
      </w:pPr>
    </w:p>
    <w:p>
      <w:pPr>
        <w:ind w:left="40" w:right="219" w:firstLine="383"/>
        <w:spacing w:after="0" w:line="298" w:lineRule="auto"/>
        <w:tabs>
          <w:tab w:leader="none" w:pos="588"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Arial" w:cs="Arial" w:eastAsia="Arial" w:hAnsi="Arial"/>
          <w:sz w:val="14"/>
          <w:szCs w:val="14"/>
          <w:color w:val="auto"/>
        </w:rPr>
      </w:pPr>
    </w:p>
    <w:p>
      <w:pPr>
        <w:ind w:left="40" w:right="239" w:firstLine="383"/>
        <w:spacing w:after="0" w:line="246" w:lineRule="auto"/>
        <w:tabs>
          <w:tab w:leader="none" w:pos="59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November 8, 2022</w:t>
      </w:r>
    </w:p>
    <w:p>
      <w:pPr>
        <w:spacing w:after="0" w:line="242" w:lineRule="exact"/>
        <w:rPr>
          <w:sz w:val="20"/>
          <w:szCs w:val="20"/>
          <w:color w:val="auto"/>
        </w:rPr>
      </w:pPr>
    </w:p>
    <w:p>
      <w:pPr>
        <w:ind w:left="5460"/>
        <w:spacing w:after="0"/>
        <w:tabs>
          <w:tab w:leader="none" w:pos="6640" w:val="left"/>
        </w:tabs>
        <w:rPr>
          <w:sz w:val="20"/>
          <w:szCs w:val="20"/>
          <w:color w:val="auto"/>
        </w:rPr>
      </w:pPr>
      <w:r>
        <w:rPr>
          <w:rFonts w:ascii="Arial" w:cs="Arial" w:eastAsia="Arial" w:hAnsi="Arial"/>
          <w:sz w:val="32"/>
          <w:szCs w:val="32"/>
          <w:color w:val="auto"/>
          <w:vertAlign w:val="superscript"/>
        </w:rPr>
        <w:t>By:</w:t>
      </w:r>
      <w:r>
        <w:rPr>
          <w:sz w:val="20"/>
          <w:szCs w:val="20"/>
          <w:color w:val="auto"/>
        </w:rPr>
        <w:tab/>
      </w:r>
      <w:r>
        <w:rPr>
          <w:rFonts w:ascii="Arial" w:cs="Arial" w:eastAsia="Arial" w:hAnsi="Arial"/>
          <w:sz w:val="16"/>
          <w:szCs w:val="16"/>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22860</wp:posOffset>
            </wp:positionV>
            <wp:extent cx="205422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54225" cy="7620"/>
                    </a:xfrm>
                    <a:prstGeom prst="rect">
                      <a:avLst/>
                    </a:prstGeom>
                    <a:noFill/>
                  </pic:spPr>
                </pic:pic>
              </a:graphicData>
            </a:graphic>
          </wp:anchor>
        </w:drawing>
      </w:r>
    </w:p>
    <w:p>
      <w:pPr>
        <w:spacing w:after="0" w:line="2" w:lineRule="exact"/>
        <w:rPr>
          <w:sz w:val="20"/>
          <w:szCs w:val="20"/>
          <w:color w:val="auto"/>
        </w:rPr>
      </w:pPr>
    </w:p>
    <w:p>
      <w:pPr>
        <w:jc w:val="center"/>
        <w:ind w:left="5700"/>
        <w:spacing w:after="0"/>
        <w:rPr>
          <w:sz w:val="20"/>
          <w:szCs w:val="20"/>
          <w:color w:val="auto"/>
        </w:rPr>
      </w:pPr>
      <w:r>
        <w:rPr>
          <w:rFonts w:ascii="Arial" w:cs="Arial" w:eastAsia="Arial" w:hAnsi="Arial"/>
          <w:sz w:val="16"/>
          <w:szCs w:val="16"/>
          <w:color w:val="auto"/>
        </w:rPr>
        <w:t>Christian O. Henry</w:t>
      </w:r>
    </w:p>
    <w:p>
      <w:pPr>
        <w:jc w:val="center"/>
        <w:ind w:left="5700"/>
        <w:spacing w:after="0" w:line="219" w:lineRule="auto"/>
        <w:rPr>
          <w:sz w:val="20"/>
          <w:szCs w:val="20"/>
          <w:color w:val="auto"/>
        </w:rPr>
      </w:pPr>
      <w:r>
        <w:rPr>
          <w:rFonts w:ascii="Arial" w:cs="Arial" w:eastAsia="Arial" w:hAnsi="Arial"/>
          <w:sz w:val="16"/>
          <w:szCs w:val="16"/>
          <w:color w:val="auto"/>
        </w:rPr>
        <w:t>Chief Executive Officer and President</w:t>
      </w:r>
    </w:p>
    <w:p>
      <w:pPr>
        <w:ind w:left="642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5721985" cy="48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21985" cy="4826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5" w:name="page76"/>
    <w:bookmarkEnd w:id="75"/>
    <w:p>
      <w:pPr>
        <w:jc w:val="right"/>
        <w:ind w:right="39"/>
        <w:spacing w:after="0"/>
        <w:rPr>
          <w:sz w:val="20"/>
          <w:szCs w:val="20"/>
          <w:color w:val="auto"/>
        </w:rPr>
      </w:pPr>
      <w:r>
        <w:rPr>
          <w:rFonts w:ascii="Arial" w:cs="Arial" w:eastAsia="Arial" w:hAnsi="Arial"/>
          <w:sz w:val="19"/>
          <w:szCs w:val="19"/>
          <w:b w:val="1"/>
          <w:bCs w:val="1"/>
          <w:color w:val="auto"/>
        </w:rPr>
        <w:t>Exhibit 31.2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jc w:val="center"/>
        <w:spacing w:after="0" w:line="219" w:lineRule="auto"/>
        <w:rPr>
          <w:sz w:val="20"/>
          <w:szCs w:val="20"/>
          <w:color w:val="auto"/>
        </w:rPr>
      </w:pPr>
      <w:r>
        <w:rPr>
          <w:rFonts w:ascii="Arial" w:cs="Arial" w:eastAsia="Arial" w:hAnsi="Arial"/>
          <w:sz w:val="16"/>
          <w:szCs w:val="16"/>
          <w:b w:val="1"/>
          <w:bCs w:val="1"/>
          <w:color w:val="auto"/>
        </w:rPr>
        <w:t>SECURITIES EXCHANGE ACT RULES 13a-15(e), AS ADOPTED PURSUANT</w:t>
      </w:r>
    </w:p>
    <w:p>
      <w:pPr>
        <w:jc w:val="center"/>
        <w:spacing w:after="0"/>
        <w:rPr>
          <w:sz w:val="20"/>
          <w:szCs w:val="20"/>
          <w:color w:val="auto"/>
        </w:rPr>
      </w:pPr>
      <w:r>
        <w:rPr>
          <w:rFonts w:ascii="Arial" w:cs="Arial" w:eastAsia="Arial" w:hAnsi="Arial"/>
          <w:sz w:val="16"/>
          <w:szCs w:val="16"/>
          <w:b w:val="1"/>
          <w:bCs w:val="1"/>
          <w:color w:val="auto"/>
        </w:rPr>
        <w:t>TO SECTION 302 OF THE SARBANES-OXLEY ACT OF 2002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Susan Kim, certify that:</w:t>
      </w:r>
    </w:p>
    <w:p>
      <w:pPr>
        <w:spacing w:after="0" w:line="44" w:lineRule="exact"/>
        <w:rPr>
          <w:sz w:val="20"/>
          <w:szCs w:val="20"/>
          <w:color w:val="auto"/>
        </w:rPr>
      </w:pPr>
    </w:p>
    <w:p>
      <w:pPr>
        <w:ind w:left="580" w:hanging="157"/>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Pacific Biosciences of California, Inc.;</w:t>
      </w:r>
    </w:p>
    <w:p>
      <w:pPr>
        <w:spacing w:after="0" w:line="128" w:lineRule="exact"/>
        <w:rPr>
          <w:rFonts w:ascii="Arial" w:cs="Arial" w:eastAsia="Arial" w:hAnsi="Arial"/>
          <w:sz w:val="16"/>
          <w:szCs w:val="16"/>
          <w:color w:val="auto"/>
        </w:rPr>
      </w:pPr>
    </w:p>
    <w:p>
      <w:pPr>
        <w:ind w:left="40" w:right="99" w:firstLine="383"/>
        <w:spacing w:after="0" w:line="225" w:lineRule="auto"/>
        <w:tabs>
          <w:tab w:leader="none" w:pos="593"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6"/>
          <w:szCs w:val="16"/>
          <w:color w:val="auto"/>
        </w:rPr>
      </w:pPr>
    </w:p>
    <w:p>
      <w:pPr>
        <w:ind w:left="40" w:right="239" w:firstLine="383"/>
        <w:spacing w:after="0" w:line="225" w:lineRule="auto"/>
        <w:tabs>
          <w:tab w:leader="none" w:pos="593"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6"/>
          <w:szCs w:val="16"/>
          <w:color w:val="auto"/>
        </w:rPr>
      </w:pPr>
    </w:p>
    <w:p>
      <w:pPr>
        <w:ind w:left="40" w:right="599" w:firstLine="383"/>
        <w:spacing w:after="0" w:line="225" w:lineRule="auto"/>
        <w:tabs>
          <w:tab w:leader="none" w:pos="59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ind w:left="40" w:right="239" w:firstLine="383"/>
        <w:spacing w:after="0"/>
        <w:tabs>
          <w:tab w:leader="none" w:pos="597"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5"/>
          <w:szCs w:val="15"/>
          <w:color w:val="auto"/>
        </w:rPr>
      </w:pPr>
    </w:p>
    <w:p>
      <w:pPr>
        <w:ind w:left="40" w:right="339" w:firstLine="383"/>
        <w:spacing w:after="0" w:line="225" w:lineRule="auto"/>
        <w:tabs>
          <w:tab w:leader="none" w:pos="6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6"/>
          <w:szCs w:val="16"/>
          <w:color w:val="auto"/>
        </w:rPr>
      </w:pPr>
    </w:p>
    <w:p>
      <w:pPr>
        <w:ind w:left="40" w:right="419" w:firstLine="383"/>
        <w:spacing w:after="0" w:line="225" w:lineRule="auto"/>
        <w:tabs>
          <w:tab w:leader="none" w:pos="597"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jc w:val="both"/>
        <w:ind w:left="40" w:right="99" w:firstLine="383"/>
        <w:spacing w:after="0" w:line="225" w:lineRule="auto"/>
        <w:tabs>
          <w:tab w:leader="none" w:pos="6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sz w:val="20"/>
          <w:szCs w:val="20"/>
          <w:color w:val="auto"/>
        </w:rPr>
      </w:pPr>
    </w:p>
    <w:p>
      <w:pPr>
        <w:ind w:left="40" w:right="379" w:firstLine="383"/>
        <w:spacing w:after="0" w:line="225" w:lineRule="auto"/>
        <w:tabs>
          <w:tab w:leader="none" w:pos="5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sz w:val="20"/>
          <w:szCs w:val="20"/>
          <w:color w:val="auto"/>
        </w:rPr>
      </w:pPr>
    </w:p>
    <w:p>
      <w:pPr>
        <w:ind w:left="40" w:right="219" w:firstLine="383"/>
        <w:spacing w:after="0" w:line="298" w:lineRule="auto"/>
        <w:tabs>
          <w:tab w:leader="none" w:pos="5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Arial" w:cs="Arial" w:eastAsia="Arial" w:hAnsi="Arial"/>
          <w:sz w:val="14"/>
          <w:szCs w:val="14"/>
          <w:color w:val="auto"/>
        </w:rPr>
      </w:pPr>
    </w:p>
    <w:p>
      <w:pPr>
        <w:ind w:left="40" w:right="239" w:firstLine="383"/>
        <w:spacing w:after="0" w:line="246" w:lineRule="auto"/>
        <w:tabs>
          <w:tab w:leader="none" w:pos="59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November 8, 2022</w:t>
      </w:r>
    </w:p>
    <w:p>
      <w:pPr>
        <w:spacing w:after="0" w:line="242" w:lineRule="exact"/>
        <w:rPr>
          <w:sz w:val="20"/>
          <w:szCs w:val="20"/>
          <w:color w:val="auto"/>
        </w:rPr>
      </w:pPr>
    </w:p>
    <w:p>
      <w:pPr>
        <w:ind w:left="5460"/>
        <w:spacing w:after="0"/>
        <w:tabs>
          <w:tab w:leader="none" w:pos="6800" w:val="left"/>
        </w:tabs>
        <w:rPr>
          <w:sz w:val="20"/>
          <w:szCs w:val="20"/>
          <w:color w:val="auto"/>
        </w:rPr>
      </w:pPr>
      <w:r>
        <w:rPr>
          <w:rFonts w:ascii="Arial" w:cs="Arial" w:eastAsia="Arial" w:hAnsi="Arial"/>
          <w:sz w:val="32"/>
          <w:szCs w:val="32"/>
          <w:color w:val="auto"/>
          <w:vertAlign w:val="superscript"/>
        </w:rPr>
        <w:t>By:</w:t>
      </w:r>
      <w:r>
        <w:rPr>
          <w:sz w:val="20"/>
          <w:szCs w:val="20"/>
          <w:color w:val="auto"/>
        </w:rPr>
        <w:tab/>
      </w:r>
      <w:r>
        <w:rPr>
          <w:rFonts w:ascii="Arial" w:cs="Arial" w:eastAsia="Arial" w:hAnsi="Arial"/>
          <w:sz w:val="16"/>
          <w:szCs w:val="16"/>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22860</wp:posOffset>
            </wp:positionV>
            <wp:extent cx="205422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54225" cy="7620"/>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Susan G. Kim</w:t>
      </w:r>
    </w:p>
    <w:p>
      <w:pPr>
        <w:ind w:left="6580"/>
        <w:spacing w:after="0" w:line="219" w:lineRule="auto"/>
        <w:rPr>
          <w:sz w:val="20"/>
          <w:szCs w:val="20"/>
          <w:color w:val="auto"/>
        </w:rPr>
      </w:pPr>
      <w:r>
        <w:rPr>
          <w:rFonts w:ascii="Arial" w:cs="Arial" w:eastAsia="Arial" w:hAnsi="Arial"/>
          <w:sz w:val="16"/>
          <w:szCs w:val="16"/>
          <w:color w:val="auto"/>
        </w:rPr>
        <w:t>Chief Financial Officer</w:t>
      </w:r>
    </w:p>
    <w:p>
      <w:pPr>
        <w:ind w:left="644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5721985" cy="4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721985" cy="4826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6" w:name="page77"/>
    <w:bookmarkEnd w:id="76"/>
    <w:p>
      <w:pPr>
        <w:jc w:val="right"/>
        <w:ind w:right="39"/>
        <w:spacing w:after="0"/>
        <w:rPr>
          <w:sz w:val="20"/>
          <w:szCs w:val="20"/>
          <w:color w:val="auto"/>
        </w:rPr>
      </w:pPr>
      <w:r>
        <w:rPr>
          <w:rFonts w:ascii="Arial" w:cs="Arial" w:eastAsia="Arial" w:hAnsi="Arial"/>
          <w:sz w:val="19"/>
          <w:szCs w:val="19"/>
          <w:b w:val="1"/>
          <w:bCs w:val="1"/>
          <w:color w:val="auto"/>
        </w:rPr>
        <w:t>Exhibit 32.1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Furnished Pursuant to 18 U.S.C. Section 1350,</w:t>
      </w:r>
    </w:p>
    <w:p>
      <w:pPr>
        <w:jc w:val="center"/>
        <w:spacing w:after="0" w:line="219" w:lineRule="auto"/>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03" w:lineRule="exact"/>
        <w:rPr>
          <w:sz w:val="20"/>
          <w:szCs w:val="20"/>
          <w:color w:val="auto"/>
        </w:rPr>
      </w:pPr>
    </w:p>
    <w:p>
      <w:pPr>
        <w:ind w:left="40" w:right="79"/>
        <w:spacing w:after="0" w:line="252" w:lineRule="auto"/>
        <w:rPr>
          <w:sz w:val="20"/>
          <w:szCs w:val="20"/>
          <w:color w:val="auto"/>
        </w:rPr>
      </w:pPr>
      <w:r>
        <w:rPr>
          <w:rFonts w:ascii="Arial" w:cs="Arial" w:eastAsia="Arial" w:hAnsi="Arial"/>
          <w:sz w:val="14"/>
          <w:szCs w:val="14"/>
          <w:color w:val="auto"/>
        </w:rPr>
        <w:t>In connection with the Quarterly Report of Pacific Biosciences of California, Inc. (the “Company”) on Form 10-Q for the period ended September 30, 2022, as filed with the Securities and Exchange Commission on the date hereof, I, Christian Henry, Chief Executive Officer</w:t>
      </w:r>
    </w:p>
    <w:p>
      <w:pPr>
        <w:spacing w:after="0" w:line="1" w:lineRule="exact"/>
        <w:rPr>
          <w:sz w:val="20"/>
          <w:szCs w:val="20"/>
          <w:color w:val="auto"/>
        </w:rPr>
      </w:pPr>
    </w:p>
    <w:p>
      <w:pPr>
        <w:ind w:left="40" w:right="619"/>
        <w:spacing w:after="0" w:line="226" w:lineRule="auto"/>
        <w:rPr>
          <w:sz w:val="20"/>
          <w:szCs w:val="20"/>
          <w:color w:val="auto"/>
        </w:rPr>
      </w:pPr>
      <w:r>
        <w:rPr>
          <w:rFonts w:ascii="Arial" w:cs="Arial" w:eastAsia="Arial" w:hAnsi="Arial"/>
          <w:sz w:val="16"/>
          <w:szCs w:val="16"/>
          <w:color w:val="auto"/>
        </w:rPr>
        <w:t>of the Company, certify for the purposes of section 1350 of chapter 63 of title 18 of the United States Code, as adopted pursuant to Section 906 of the Sarbanes-Oxley Act of 2002, that, to the best of my knowledge,</w:t>
      </w:r>
    </w:p>
    <w:p>
      <w:pPr>
        <w:spacing w:after="0" w:line="96" w:lineRule="exact"/>
        <w:rPr>
          <w:sz w:val="20"/>
          <w:szCs w:val="20"/>
          <w:color w:val="auto"/>
        </w:rPr>
      </w:pPr>
    </w:p>
    <w:p>
      <w:pPr>
        <w:ind w:left="600" w:right="99" w:hanging="281"/>
        <w:spacing w:after="0" w:line="246"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2022 (the “Report”), fully complies with the requirements of section 13(a) or 15(d) of the Securities Exchange Act of 1934, and</w:t>
      </w:r>
    </w:p>
    <w:p>
      <w:pPr>
        <w:spacing w:after="0" w:line="91" w:lineRule="exact"/>
        <w:rPr>
          <w:rFonts w:ascii="Arial" w:cs="Arial" w:eastAsia="Arial" w:hAnsi="Arial"/>
          <w:sz w:val="16"/>
          <w:szCs w:val="16"/>
          <w:color w:val="auto"/>
        </w:rPr>
      </w:pPr>
    </w:p>
    <w:p>
      <w:pPr>
        <w:ind w:left="600" w:right="99" w:hanging="281"/>
        <w:spacing w:after="0" w:line="246"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tabs>
          <w:tab w:leader="none" w:pos="6040" w:val="left"/>
        </w:tabs>
        <w:rPr>
          <w:sz w:val="20"/>
          <w:szCs w:val="20"/>
          <w:color w:val="auto"/>
        </w:rPr>
      </w:pPr>
      <w:r>
        <w:rPr>
          <w:rFonts w:ascii="Arial" w:cs="Arial" w:eastAsia="Arial" w:hAnsi="Arial"/>
          <w:sz w:val="16"/>
          <w:szCs w:val="16"/>
          <w:color w:val="auto"/>
        </w:rPr>
        <w:t>Date: November 8, 2022</w:t>
      </w:r>
      <w:r>
        <w:rPr>
          <w:sz w:val="20"/>
          <w:szCs w:val="20"/>
          <w:color w:val="auto"/>
        </w:rPr>
        <w:tab/>
      </w:r>
      <w:r>
        <w:rPr>
          <w:rFonts w:ascii="Arial" w:cs="Arial" w:eastAsia="Arial" w:hAnsi="Arial"/>
          <w:sz w:val="14"/>
          <w:szCs w:val="14"/>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13335</wp:posOffset>
            </wp:positionV>
            <wp:extent cx="27946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794635" cy="7620"/>
                    </a:xfrm>
                    <a:prstGeom prst="rect">
                      <a:avLst/>
                    </a:prstGeom>
                    <a:noFill/>
                  </pic:spPr>
                </pic:pic>
              </a:graphicData>
            </a:graphic>
          </wp:anchor>
        </w:drawing>
      </w:r>
    </w:p>
    <w:p>
      <w:pPr>
        <w:spacing w:after="0" w:line="24" w:lineRule="exact"/>
        <w:rPr>
          <w:sz w:val="20"/>
          <w:szCs w:val="20"/>
          <w:color w:val="auto"/>
        </w:rPr>
      </w:pPr>
    </w:p>
    <w:p>
      <w:pPr>
        <w:jc w:val="center"/>
        <w:ind w:left="4540"/>
        <w:spacing w:after="0"/>
        <w:rPr>
          <w:sz w:val="20"/>
          <w:szCs w:val="20"/>
          <w:color w:val="auto"/>
        </w:rPr>
      </w:pPr>
      <w:r>
        <w:rPr>
          <w:rFonts w:ascii="Arial" w:cs="Arial" w:eastAsia="Arial" w:hAnsi="Arial"/>
          <w:sz w:val="16"/>
          <w:szCs w:val="16"/>
          <w:color w:val="auto"/>
        </w:rPr>
        <w:t>Christian O. Henry</w:t>
      </w:r>
    </w:p>
    <w:p>
      <w:pPr>
        <w:spacing w:after="0" w:line="7" w:lineRule="exact"/>
        <w:rPr>
          <w:sz w:val="20"/>
          <w:szCs w:val="20"/>
          <w:color w:val="auto"/>
        </w:rPr>
      </w:pPr>
    </w:p>
    <w:p>
      <w:pPr>
        <w:jc w:val="center"/>
        <w:ind w:left="4540"/>
        <w:spacing w:after="0"/>
        <w:rPr>
          <w:sz w:val="20"/>
          <w:szCs w:val="20"/>
          <w:color w:val="auto"/>
        </w:rPr>
      </w:pPr>
      <w:r>
        <w:rPr>
          <w:rFonts w:ascii="Arial" w:cs="Arial" w:eastAsia="Arial" w:hAnsi="Arial"/>
          <w:sz w:val="16"/>
          <w:szCs w:val="16"/>
          <w:color w:val="auto"/>
        </w:rPr>
        <w:t>Chief Executive Officer and President</w:t>
      </w:r>
    </w:p>
    <w:p>
      <w:pPr>
        <w:jc w:val="center"/>
        <w:ind w:left="45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5721985" cy="48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721985" cy="4826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jc w:val="right"/>
        <w:ind w:right="39"/>
        <w:spacing w:after="0"/>
        <w:rPr>
          <w:sz w:val="20"/>
          <w:szCs w:val="20"/>
          <w:color w:val="auto"/>
        </w:rPr>
      </w:pPr>
      <w:r>
        <w:rPr>
          <w:rFonts w:ascii="Arial" w:cs="Arial" w:eastAsia="Arial" w:hAnsi="Arial"/>
          <w:sz w:val="19"/>
          <w:szCs w:val="19"/>
          <w:b w:val="1"/>
          <w:bCs w:val="1"/>
          <w:color w:val="auto"/>
        </w:rPr>
        <w:t>Exhibit 32.2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CFO Furnished Pursuant to 18 U.S.C. Section 1350,</w:t>
      </w:r>
    </w:p>
    <w:p>
      <w:pPr>
        <w:jc w:val="center"/>
        <w:spacing w:after="0" w:line="219" w:lineRule="auto"/>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03" w:lineRule="exact"/>
        <w:rPr>
          <w:sz w:val="20"/>
          <w:szCs w:val="20"/>
          <w:color w:val="auto"/>
        </w:rPr>
      </w:pPr>
    </w:p>
    <w:p>
      <w:pPr>
        <w:ind w:left="40" w:right="259"/>
        <w:spacing w:after="0" w:line="252" w:lineRule="auto"/>
        <w:rPr>
          <w:sz w:val="20"/>
          <w:szCs w:val="20"/>
          <w:color w:val="auto"/>
        </w:rPr>
      </w:pPr>
      <w:r>
        <w:rPr>
          <w:rFonts w:ascii="Arial" w:cs="Arial" w:eastAsia="Arial" w:hAnsi="Arial"/>
          <w:sz w:val="14"/>
          <w:szCs w:val="14"/>
          <w:color w:val="auto"/>
        </w:rPr>
        <w:t>In connection with the Quarterly Report of Pacific Biosciences of California, Inc. (the “Company”) on Form 10-Q for the period ended September 30, 2022, as filed with the Securities and Exchange Commission on the date hereof, I, Susan Kim, Chief Financial Officer of</w:t>
      </w:r>
    </w:p>
    <w:p>
      <w:pPr>
        <w:spacing w:after="0" w:line="1" w:lineRule="exact"/>
        <w:rPr>
          <w:sz w:val="20"/>
          <w:szCs w:val="20"/>
          <w:color w:val="auto"/>
        </w:rPr>
      </w:pPr>
    </w:p>
    <w:p>
      <w:pPr>
        <w:ind w:left="40" w:right="779"/>
        <w:spacing w:after="0" w:line="226" w:lineRule="auto"/>
        <w:rPr>
          <w:sz w:val="20"/>
          <w:szCs w:val="20"/>
          <w:color w:val="auto"/>
        </w:rPr>
      </w:pPr>
      <w:r>
        <w:rPr>
          <w:rFonts w:ascii="Arial" w:cs="Arial" w:eastAsia="Arial" w:hAnsi="Arial"/>
          <w:sz w:val="16"/>
          <w:szCs w:val="16"/>
          <w:color w:val="auto"/>
        </w:rPr>
        <w:t>the Company, certify for the purposes of section 1350 of chapter 63 of title 18 of the United States Code, as adopted pursuant to Section 906 of the Sarbanes-Oxley Act of 2002, that, to the best of my knowledge,</w:t>
      </w:r>
    </w:p>
    <w:p>
      <w:pPr>
        <w:spacing w:after="0" w:line="96" w:lineRule="exact"/>
        <w:rPr>
          <w:sz w:val="20"/>
          <w:szCs w:val="20"/>
          <w:color w:val="auto"/>
        </w:rPr>
      </w:pPr>
    </w:p>
    <w:p>
      <w:pPr>
        <w:ind w:left="600" w:right="99" w:hanging="281"/>
        <w:spacing w:after="0" w:line="246"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2022 (the “Report”), fully complies with the requirements of section 13(a) or 15(d) of the Securities Exchange Act of 1934, and</w:t>
      </w:r>
    </w:p>
    <w:p>
      <w:pPr>
        <w:spacing w:after="0" w:line="91" w:lineRule="exact"/>
        <w:rPr>
          <w:rFonts w:ascii="Arial" w:cs="Arial" w:eastAsia="Arial" w:hAnsi="Arial"/>
          <w:sz w:val="16"/>
          <w:szCs w:val="16"/>
          <w:color w:val="auto"/>
        </w:rPr>
      </w:pPr>
    </w:p>
    <w:p>
      <w:pPr>
        <w:ind w:left="600" w:right="99" w:hanging="281"/>
        <w:spacing w:after="0" w:line="246"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6"/>
          <w:szCs w:val="16"/>
          <w:color w:val="auto"/>
        </w:rPr>
        <w:t>Date: November 8, 2022</w:t>
      </w:r>
      <w:r>
        <w:rPr>
          <w:sz w:val="20"/>
          <w:szCs w:val="20"/>
          <w:color w:val="auto"/>
        </w:rPr>
        <w:tab/>
      </w:r>
      <w:r>
        <w:rPr>
          <w:rFonts w:ascii="Arial" w:cs="Arial" w:eastAsia="Arial" w:hAnsi="Arial"/>
          <w:sz w:val="14"/>
          <w:szCs w:val="14"/>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5715</wp:posOffset>
            </wp:positionV>
            <wp:extent cx="279463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794635" cy="7620"/>
                    </a:xfrm>
                    <a:prstGeom prst="rect">
                      <a:avLst/>
                    </a:prstGeom>
                    <a:noFill/>
                  </pic:spPr>
                </pic:pic>
              </a:graphicData>
            </a:graphic>
          </wp:anchor>
        </w:drawing>
      </w:r>
    </w:p>
    <w:p>
      <w:pPr>
        <w:jc w:val="center"/>
        <w:ind w:left="4540"/>
        <w:spacing w:after="0"/>
        <w:rPr>
          <w:sz w:val="20"/>
          <w:szCs w:val="20"/>
          <w:color w:val="auto"/>
        </w:rPr>
      </w:pPr>
      <w:r>
        <w:rPr>
          <w:rFonts w:ascii="Arial" w:cs="Arial" w:eastAsia="Arial" w:hAnsi="Arial"/>
          <w:sz w:val="16"/>
          <w:szCs w:val="16"/>
          <w:color w:val="auto"/>
        </w:rPr>
        <w:t>Susan G. Kim</w:t>
      </w:r>
    </w:p>
    <w:p>
      <w:pPr>
        <w:jc w:val="center"/>
        <w:ind w:left="4540"/>
        <w:spacing w:after="0" w:line="203"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5721985" cy="48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721985" cy="4826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
      <w:numFmt w:val="bullet"/>
      <w:start w:val="1"/>
    </w:lvl>
  </w:abstractNum>
  <w:abstractNum w:abstractNumId="3">
    <w:nsid w:val="7C83E458"/>
    <w:multiLevelType w:val="hybridMultilevel"/>
    <w:lvl w:ilvl="0">
      <w:lvlJc w:val="left"/>
      <w:lvlText w:val=" "/>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
      <w:numFmt w:val="bullet"/>
      <w:start w:val="1"/>
    </w:lvl>
  </w:abstractNum>
  <w:abstractNum w:abstractNumId="6">
    <w:nsid w:val="436C6125"/>
    <w:multiLevelType w:val="hybridMultilevel"/>
    <w:lvl w:ilvl="0">
      <w:lvlJc w:val="left"/>
      <w:lvlText w:val=" "/>
      <w:numFmt w:val="bullet"/>
      <w:start w:val="1"/>
    </w:lvl>
  </w:abstractNum>
  <w:abstractNum w:abstractNumId="7">
    <w:nsid w:val="628C895D"/>
    <w:multiLevelType w:val="hybridMultilevel"/>
    <w:lvl w:ilvl="0">
      <w:lvlJc w:val="left"/>
      <w:lvlText w:val=" "/>
      <w:numFmt w:val="bullet"/>
      <w:start w:val="1"/>
    </w:lvl>
  </w:abstractNum>
  <w:abstractNum w:abstractNumId="8">
    <w:nsid w:val="333AB105"/>
    <w:multiLevelType w:val="hybridMultilevel"/>
    <w:lvl w:ilvl="0">
      <w:lvlJc w:val="left"/>
      <w:lvlText w:val=" "/>
      <w:numFmt w:val="bullet"/>
      <w:start w:val="1"/>
    </w:lvl>
  </w:abstractNum>
  <w:abstractNum w:abstractNumId="9">
    <w:nsid w:val="721DA317"/>
    <w:multiLevelType w:val="hybridMultilevel"/>
    <w:lvl w:ilvl="0">
      <w:lvlJc w:val="left"/>
      <w:lvlText w:val=" "/>
      <w:numFmt w:val="bullet"/>
      <w:start w:val="1"/>
    </w:lvl>
  </w:abstractNum>
  <w:abstractNum w:abstractNumId="10">
    <w:nsid w:val="2443A858"/>
    <w:multiLevelType w:val="hybridMultilevel"/>
    <w:lvl w:ilvl="0">
      <w:lvlJc w:val="left"/>
      <w:lvlText w:val=" "/>
      <w:numFmt w:val="bullet"/>
      <w:start w:val="1"/>
    </w:lvl>
  </w:abstractNum>
  <w:abstractNum w:abstractNumId="11">
    <w:nsid w:val="2D1D5AE9"/>
    <w:multiLevelType w:val="hybridMultilevel"/>
    <w:lvl w:ilvl="0">
      <w:lvlJc w:val="left"/>
      <w:lvlText w:val=" "/>
      <w:numFmt w:val="bullet"/>
      <w:start w:val="1"/>
    </w:lvl>
  </w:abstractNum>
  <w:abstractNum w:abstractNumId="12">
    <w:nsid w:val="6763845E"/>
    <w:multiLevelType w:val="hybridMultilevel"/>
    <w:lvl w:ilvl="0">
      <w:lvlJc w:val="left"/>
      <w:lvlText w:val=" "/>
      <w:numFmt w:val="bullet"/>
      <w:start w:val="1"/>
    </w:lvl>
  </w:abstractNum>
  <w:abstractNum w:abstractNumId="13">
    <w:nsid w:val="75A2A8D4"/>
    <w:multiLevelType w:val="hybridMultilevel"/>
    <w:lvl w:ilvl="0">
      <w:lvlJc w:val="left"/>
      <w:lvlText w:val=" "/>
      <w:numFmt w:val="bullet"/>
      <w:start w:val="1"/>
    </w:lvl>
  </w:abstractNum>
  <w:abstractNum w:abstractNumId="14">
    <w:nsid w:val="8EDBDAB"/>
    <w:multiLevelType w:val="hybridMultilevel"/>
    <w:lvl w:ilvl="0">
      <w:lvlJc w:val="left"/>
      <w:lvlText w:val=" "/>
      <w:numFmt w:val="bullet"/>
      <w:start w:val="1"/>
    </w:lvl>
  </w:abstractNum>
  <w:abstractNum w:abstractNumId="15">
    <w:nsid w:val="79838CB2"/>
    <w:multiLevelType w:val="hybridMultilevel"/>
    <w:lvl w:ilvl="0">
      <w:lvlJc w:val="left"/>
      <w:lvlText w:val=" "/>
      <w:numFmt w:val="bullet"/>
      <w:start w:val="1"/>
    </w:lvl>
  </w:abstractNum>
  <w:abstractNum w:abstractNumId="16">
    <w:nsid w:val="4353D0CD"/>
    <w:multiLevelType w:val="hybridMultilevel"/>
    <w:lvl w:ilvl="0">
      <w:lvlJc w:val="left"/>
      <w:lvlText w:val=" "/>
      <w:numFmt w:val="bullet"/>
      <w:start w:val="1"/>
    </w:lvl>
  </w:abstractNum>
  <w:abstractNum w:abstractNumId="17">
    <w:nsid w:val="B03E0C6"/>
    <w:multiLevelType w:val="hybridMultilevel"/>
    <w:lvl w:ilvl="0">
      <w:lvlJc w:val="left"/>
      <w:lvlText w:val=" "/>
      <w:numFmt w:val="bullet"/>
      <w:start w:val="1"/>
    </w:lvl>
  </w:abstractNum>
  <w:abstractNum w:abstractNumId="18">
    <w:nsid w:val="189A769B"/>
    <w:multiLevelType w:val="hybridMultilevel"/>
    <w:lvl w:ilvl="0">
      <w:lvlJc w:val="left"/>
      <w:lvlText w:val=" "/>
      <w:numFmt w:val="bullet"/>
      <w:start w:val="1"/>
    </w:lvl>
  </w:abstractNum>
  <w:abstractNum w:abstractNumId="19">
    <w:nsid w:val="54E49EB4"/>
    <w:multiLevelType w:val="hybridMultilevel"/>
    <w:lvl w:ilvl="0">
      <w:lvlJc w:val="left"/>
      <w:lvlText w:val=" "/>
      <w:numFmt w:val="bullet"/>
      <w:start w:val="1"/>
    </w:lvl>
  </w:abstractNum>
  <w:abstractNum w:abstractNumId="20">
    <w:nsid w:val="71F32454"/>
    <w:multiLevelType w:val="hybridMultilevel"/>
    <w:lvl w:ilvl="0">
      <w:lvlJc w:val="left"/>
      <w:lvlText w:val=" "/>
      <w:numFmt w:val="bullet"/>
      <w:start w:val="1"/>
    </w:lvl>
  </w:abstractNum>
  <w:abstractNum w:abstractNumId="21">
    <w:nsid w:val="2CA88611"/>
    <w:multiLevelType w:val="hybridMultilevel"/>
    <w:lvl w:ilvl="0">
      <w:lvlJc w:val="left"/>
      <w:lvlText w:val=" "/>
      <w:numFmt w:val="bullet"/>
      <w:start w:val="1"/>
    </w:lvl>
  </w:abstractNum>
  <w:abstractNum w:abstractNumId="22">
    <w:nsid w:val="836C40E"/>
    <w:multiLevelType w:val="hybridMultilevel"/>
    <w:lvl w:ilvl="0">
      <w:lvlJc w:val="left"/>
      <w:lvlText w:val=" "/>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Roman"/>
      <w:start w:val="1"/>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89" Type="http://schemas.openxmlformats.org/officeDocument/2006/relationships/hyperlink" Target="http://www.sec.gov/Archives/edgar/data/1299130/000129913022000128/pacb-20221103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2022-11-08T15:57:18Z</dcterms:created>
  <dcterms:modified xsi:type="dcterms:W3CDTF">2022-11-08T15:57:18Z</dcterms:modified>
</cp:coreProperties>
</file>