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 2026</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Pacific Biosciences of California,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001-34899</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16-1590339</w:t>
            </w:r>
          </w:p>
        </w:tc>
      </w:tr>
      <w:tr>
        <w:trPr>
          <w:trHeight w:val="205"/>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2140" w:type="dxa"/>
            <w:vAlign w:val="bottom"/>
          </w:tcPr>
          <w:p>
            <w:pPr>
              <w:spacing w:after="0"/>
              <w:rPr>
                <w:sz w:val="24"/>
                <w:szCs w:val="24"/>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1305 O’Brien Drive</w:t>
            </w:r>
          </w:p>
        </w:tc>
        <w:tc>
          <w:tcPr>
            <w:tcW w:w="176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1760" w:type="dxa"/>
            <w:vAlign w:val="bottom"/>
          </w:tcPr>
          <w:p>
            <w:pPr>
              <w:spacing w:after="0"/>
              <w:rPr>
                <w:sz w:val="18"/>
                <w:szCs w:val="18"/>
                <w:color w:val="auto"/>
              </w:rPr>
            </w:pPr>
          </w:p>
        </w:tc>
      </w:tr>
      <w:tr>
        <w:trPr>
          <w:trHeight w:val="190"/>
        </w:trPr>
        <w:tc>
          <w:tcPr>
            <w:tcW w:w="2140" w:type="dxa"/>
            <w:vAlign w:val="bottom"/>
          </w:tcPr>
          <w:p>
            <w:pPr>
              <w:spacing w:after="0"/>
              <w:rPr>
                <w:sz w:val="16"/>
                <w:szCs w:val="16"/>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60" w:type="dxa"/>
            <w:vAlign w:val="bottom"/>
          </w:tcPr>
          <w:p>
            <w:pPr>
              <w:spacing w:after="0"/>
              <w:rPr>
                <w:sz w:val="16"/>
                <w:szCs w:val="16"/>
                <w:color w:val="auto"/>
              </w:rPr>
            </w:pPr>
          </w:p>
        </w:tc>
      </w:tr>
      <w:tr>
        <w:trPr>
          <w:trHeight w:val="377"/>
        </w:trPr>
        <w:tc>
          <w:tcPr>
            <w:tcW w:w="2140" w:type="dxa"/>
            <w:vAlign w:val="bottom"/>
          </w:tcPr>
          <w:p>
            <w:pPr>
              <w:spacing w:after="0"/>
              <w:rPr>
                <w:sz w:val="24"/>
                <w:szCs w:val="24"/>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(650) 521-8000</w:t>
            </w:r>
          </w:p>
        </w:tc>
        <w:tc>
          <w:tcPr>
            <w:tcW w:w="176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351"/>
        </w:trPr>
        <w:tc>
          <w:tcPr>
            <w:tcW w:w="2140" w:type="dxa"/>
            <w:vAlign w:val="bottom"/>
          </w:tcPr>
          <w:p>
            <w:pPr>
              <w:spacing w:after="0"/>
              <w:rPr>
                <w:sz w:val="24"/>
                <w:szCs w:val="24"/>
                <w:color w:val="auto"/>
              </w:rPr>
            </w:pP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24"/>
                <w:szCs w:val="24"/>
                <w:color w:val="auto"/>
              </w:rPr>
            </w:pPr>
          </w:p>
        </w:tc>
      </w:tr>
    </w:tbl>
    <w:p>
      <w:pPr>
        <w:spacing w:after="0" w:line="16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700" w:hanging="435"/>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700" w:hanging="435"/>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700" w:hanging="435"/>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700" w:hanging="435"/>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7"/>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PACB</w:t>
            </w:r>
          </w:p>
        </w:tc>
        <w:tc>
          <w:tcPr>
            <w:tcW w:w="3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2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ind w:left="1080" w:right="420" w:hanging="1295"/>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5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On April 21, 2026, the board of directors (the "Board") of Pacific Biosciences of California, Inc. (the “Company”), at the recommendation of the compensation committee of the Board, approved an amendment (the “Amendment”) to the Company’s 2020 Equity Incentive Plan (the “2020 Plan”), subject to stockholder approval, to reserve an additional 16,000,000 shares of the Company’s common stock (the “Additional Shares”) for issuance pursuant to the 2020 Plan. As described below under Item 5.07, the stockholders of the Company approved the Amendment at the annual meeting of stockholders held virtually on June 3, 2026 (the “Annual Meeting”).</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more complete description of the material terms of the Amendment and 2020 Plan can be found in “Proposal 4: Approval of Amendment to the 2020 Equity Incentive Plan” in the Company’s definitive proxy statement originally filed with the Securities and Exchange Commission (“SEC”) on April 23, 2026 (as supplemented, the “Proxy Statement”), which description is incorporated by reference herein. The foregoing descriptions and the descriptions incorporated by reference from the Proxy Statement are qualified by reference to the full text of the 2020 Plan, as amended, a copy of which is filed as Exhibit 10.1 to this report and incorporated by reference herein.</w:t>
      </w:r>
    </w:p>
    <w:p>
      <w:pPr>
        <w:spacing w:after="0" w:line="1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held the Annual Meeting on June 3, 2026. Of the 310,487,099 shares of the Company’s common stock outstanding as of 5:00 p.m. (Pacific time) on April 6, 2026, the record date for the Annual Meeting, 203,009,375 shares were represented at the Annual Meeting, either by virtual attendance or by proxy, constituting approximately 65% of shares of common stock entitled to vote at the Annual Meeting. The four matters voted on at the Annual Meeting and the voting results with respect to each such matter are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Four Class III Directors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368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Ericson</w:t>
            </w:r>
          </w:p>
        </w:tc>
        <w:tc>
          <w:tcPr>
            <w:tcW w:w="122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128,010,323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8,109,601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1,111,140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65,778,311</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Kathy Ordoñez</w:t>
            </w: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130,522,400</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5,673,816</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1,034,848</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65,778,311</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M. Smith</w:t>
            </w:r>
          </w:p>
        </w:tc>
        <w:tc>
          <w:tcPr>
            <w:tcW w:w="122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131,731,235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4,069,337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1,430,492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65,778,311</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 Gibson, Ph.D.</w:t>
            </w: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131,899,750</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4,107,270</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1,224,044</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65,778,311</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Christian O. Henry</w:t>
            </w:r>
          </w:p>
        </w:tc>
        <w:tc>
          <w:tcPr>
            <w:tcW w:w="122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129,999,918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5,924,115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1,307,031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65,778,311</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F. Milligan, Ph.D.</w:t>
            </w: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130,471,635</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5,650,906</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1,108,523</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65,778,311</w:t>
            </w:r>
          </w:p>
        </w:tc>
      </w:tr>
    </w:tbl>
    <w:p>
      <w:pPr>
        <w:spacing w:after="0" w:line="21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until the 2027 annual meeting of stockholders and until his or her successor is duly elected and qualified, subject to his or her earlier resignation or removal.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4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198,046,666</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3,990,483</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972,226</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Approval of Named Executive Officer Compensation</w:t>
            </w:r>
          </w:p>
        </w:tc>
        <w:tc>
          <w:tcPr>
            <w:tcW w:w="2400" w:type="dxa"/>
            <w:vAlign w:val="bottom"/>
          </w:tcPr>
          <w:p>
            <w:pPr>
              <w:spacing w:after="0"/>
              <w:rPr>
                <w:sz w:val="20"/>
                <w:szCs w:val="20"/>
                <w:color w:val="auto"/>
              </w:rPr>
            </w:pPr>
          </w:p>
        </w:tc>
      </w:tr>
      <w:tr>
        <w:trPr>
          <w:trHeight w:val="378"/>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114,050,930</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21,239,989</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1,940,145</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65,778,311</w:t>
            </w:r>
          </w:p>
        </w:tc>
      </w:tr>
      <w:tr>
        <w:trPr>
          <w:trHeight w:val="27"/>
        </w:trPr>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of the Company’s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Approval of Amendment to the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114,865,820</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20,469,132</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1,896,112</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65,778,311</w:t>
            </w:r>
          </w:p>
        </w:tc>
      </w:tr>
      <w:tr>
        <w:trPr>
          <w:trHeight w:val="27"/>
        </w:trPr>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stockholders approved the amendment to the 2020 Plan to increase the number of shares of the Company’s common stock reserved thereunder.</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1220" w:hanging="1194"/>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1"/>
                <w:szCs w:val="21"/>
                <w:color w:val="auto"/>
              </w:rPr>
            </w:pPr>
          </w:p>
        </w:tc>
        <w:tc>
          <w:tcPr>
            <w:tcW w:w="5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Pacific Biosciences of California, Inc. 2020 Equity Incentive Plan, as amended</w:t>
            </w:r>
          </w:p>
        </w:tc>
      </w:tr>
    </w:tbl>
    <w:p>
      <w:pPr>
        <w:spacing w:after="0" w:line="63" w:lineRule="exact"/>
        <w:rPr>
          <w:sz w:val="20"/>
          <w:szCs w:val="20"/>
          <w:color w:val="auto"/>
        </w:rPr>
      </w:pPr>
    </w:p>
    <w:p>
      <w:pPr>
        <w:ind w:left="1220" w:hanging="1194"/>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9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089" w:right="11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Pacific Biosciences of California, Inc.</w:t>
      </w:r>
    </w:p>
    <w:p>
      <w:pPr>
        <w:spacing w:after="0" w:line="337" w:lineRule="exact"/>
        <w:rPr>
          <w:sz w:val="20"/>
          <w:szCs w:val="20"/>
          <w:color w:val="auto"/>
        </w:rPr>
      </w:pPr>
    </w:p>
    <w:p>
      <w:pPr>
        <w:ind w:left="5680"/>
        <w:spacing w:after="0"/>
        <w:tabs>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Brett Atkins</w:t>
      </w:r>
    </w:p>
    <w:p>
      <w:pPr>
        <w:spacing w:after="0" w:line="6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General Counsel</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4, 2026</w:t>
      </w:r>
    </w:p>
    <w:p>
      <w:pPr>
        <w:sectPr>
          <w:pgSz w:w="11900" w:h="16838" w:orient="portrait"/>
          <w:cols w:equalWidth="0" w:num="1">
            <w:col w:w="11200"/>
          </w:cols>
          <w:pgMar w:left="320" w:top="110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PACIFIC BIOSCIENCES OF CALIFORNIA,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May 25, 2022, June 18, 2024 and June 4, 2025, and As Amended Further Effective June 3, 2026)</w:t>
      </w:r>
    </w:p>
    <w:p>
      <w:pPr>
        <w:spacing w:after="0" w:line="200" w:lineRule="exact"/>
        <w:rPr>
          <w:sz w:val="20"/>
          <w:szCs w:val="20"/>
          <w:color w:val="auto"/>
        </w:rPr>
      </w:pPr>
    </w:p>
    <w:p>
      <w:pPr>
        <w:spacing w:after="0" w:line="24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this Plan are:</w:t>
      </w:r>
    </w:p>
    <w:p>
      <w:pPr>
        <w:spacing w:after="0" w:line="22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12" w:lineRule="exact"/>
        <w:rPr>
          <w:rFonts w:ascii="Times New Roman" w:cs="Times New Roman" w:eastAsia="Times New Roman" w:hAnsi="Times New Roman"/>
          <w:sz w:val="25"/>
          <w:szCs w:val="25"/>
          <w:color w:val="auto"/>
        </w:rPr>
      </w:pPr>
    </w:p>
    <w:p>
      <w:pPr>
        <w:ind w:left="1940" w:hanging="636"/>
        <w:spacing w:after="0"/>
        <w:tabs>
          <w:tab w:leader="none" w:pos="1940" w:val="left"/>
        </w:tabs>
        <w:numPr>
          <w:ilvl w:val="1"/>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198" w:lineRule="exact"/>
        <w:rPr>
          <w:rFonts w:ascii="Times New Roman" w:cs="Times New Roman" w:eastAsia="Times New Roman" w:hAnsi="Times New Roman"/>
          <w:sz w:val="25"/>
          <w:szCs w:val="25"/>
          <w:color w:val="auto"/>
        </w:rPr>
      </w:pPr>
    </w:p>
    <w:p>
      <w:pPr>
        <w:ind w:left="1940" w:hanging="636"/>
        <w:spacing w:after="0"/>
        <w:tabs>
          <w:tab w:leader="none" w:pos="1940" w:val="left"/>
        </w:tabs>
        <w:numPr>
          <w:ilvl w:val="1"/>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to promote the success of the Company’s business.</w:t>
      </w:r>
    </w:p>
    <w:p>
      <w:pPr>
        <w:spacing w:after="0" w:line="19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Restricted Stock, Restricted Stock Units, Stock Appreciation Rights, Performance Units and Performance Shares.</w:t>
      </w:r>
    </w:p>
    <w:p>
      <w:pPr>
        <w:spacing w:after="0" w:line="158"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3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without limitation the related issuance of shares of Common Stock, including without limitation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63" w:lineRule="exact"/>
        <w:rPr>
          <w:rFonts w:ascii="Times New Roman" w:cs="Times New Roman" w:eastAsia="Times New Roman" w:hAnsi="Times New Roman"/>
          <w:sz w:val="22"/>
          <w:szCs w:val="22"/>
          <w:color w:val="auto"/>
        </w:rPr>
      </w:pPr>
    </w:p>
    <w:p>
      <w:pPr>
        <w:ind w:firstLine="1304"/>
        <w:spacing w:after="0" w:line="258" w:lineRule="auto"/>
        <w:tabs>
          <w:tab w:leader="none" w:pos="193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Performance Units or Performance Shares.</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between the Company and Participant setting forth the terms and provisions applicable to an Award granted under the Plan. The Award Agreement is subject to the terms and conditions of the Plan.</w:t>
      </w:r>
    </w:p>
    <w:p>
      <w:pPr>
        <w:spacing w:after="0" w:line="17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06" w:lineRule="exact"/>
        <w:rPr>
          <w:rFonts w:ascii="Times New Roman" w:cs="Times New Roman" w:eastAsia="Times New Roman" w:hAnsi="Times New Roman"/>
          <w:sz w:val="22"/>
          <w:szCs w:val="22"/>
          <w:color w:val="auto"/>
        </w:rPr>
      </w:pPr>
    </w:p>
    <w:p>
      <w:pPr>
        <w:jc w:val="both"/>
        <w:ind w:firstLine="1952"/>
        <w:spacing w:after="0" w:line="235" w:lineRule="auto"/>
        <w:tabs>
          <w:tab w:leader="none" w:pos="2202"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w:t>
      </w:r>
    </w:p>
    <w:p>
      <w:pPr>
        <w:sectPr>
          <w:pgSz w:w="11900" w:h="16838" w:orient="portrait"/>
          <w:cols w:equalWidth="0" w:num="1">
            <w:col w:w="11240"/>
          </w:cols>
          <w:pgMar w:left="320" w:top="122" w:right="339" w:bottom="1440" w:gutter="0" w:footer="0" w:header="0"/>
        </w:sectPr>
      </w:pPr>
    </w:p>
    <w:bookmarkStart w:id="5" w:name="page6"/>
    <w:bookmarkEnd w:id="5"/>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2" w:lineRule="exact"/>
        <w:rPr>
          <w:sz w:val="20"/>
          <w:szCs w:val="20"/>
          <w:color w:val="auto"/>
        </w:rPr>
      </w:pPr>
    </w:p>
    <w:p>
      <w:pPr>
        <w:jc w:val="both"/>
        <w:ind w:firstLine="1952"/>
        <w:spacing w:after="0" w:line="238" w:lineRule="auto"/>
        <w:tabs>
          <w:tab w:leader="none" w:pos="226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6" w:lineRule="exact"/>
        <w:rPr>
          <w:rFonts w:ascii="Times New Roman" w:cs="Times New Roman" w:eastAsia="Times New Roman" w:hAnsi="Times New Roman"/>
          <w:sz w:val="22"/>
          <w:szCs w:val="22"/>
          <w:color w:val="auto"/>
        </w:rPr>
      </w:pPr>
    </w:p>
    <w:p>
      <w:pPr>
        <w:jc w:val="both"/>
        <w:ind w:firstLine="1952"/>
        <w:spacing w:after="0" w:line="232" w:lineRule="auto"/>
        <w:tabs>
          <w:tab w:leader="none" w:pos="251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67" w:lineRule="exact"/>
        <w:rPr>
          <w:sz w:val="20"/>
          <w:szCs w:val="20"/>
          <w:color w:val="auto"/>
        </w:rPr>
      </w:pPr>
    </w:p>
    <w:p>
      <w:pPr>
        <w:jc w:val="both"/>
        <w:ind w:firstLine="1944"/>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both"/>
        <w:ind w:firstLine="1944"/>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ind w:right="20" w:firstLine="1304"/>
        <w:spacing w:after="0" w:line="258" w:lineRule="auto"/>
        <w:tabs>
          <w:tab w:leader="none" w:pos="19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Any reference to a section of the Code or regulation thereunder will include such section or regulation, any valid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00" w:right="3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22"/>
          <w:szCs w:val="22"/>
          <w:color w:val="auto"/>
        </w:rPr>
        <w:t>regulation or other official guidance promulgated under such section, and any comparable provision of any future legislation or regulation amending, supplementing, or superseding such section or regulation.</w:t>
      </w:r>
    </w:p>
    <w:p>
      <w:pPr>
        <w:spacing w:after="0" w:line="158" w:lineRule="exact"/>
        <w:rPr>
          <w:sz w:val="20"/>
          <w:szCs w:val="20"/>
          <w:color w:val="auto"/>
        </w:rPr>
      </w:pPr>
    </w:p>
    <w:p>
      <w:pPr>
        <w:ind w:firstLine="1304"/>
        <w:spacing w:after="0" w:line="258" w:lineRule="auto"/>
        <w:tabs>
          <w:tab w:leader="none" w:pos="19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a duly authorized committee of the Board, in accordance with Section 4 hereof.</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Pacific Biosciences of California, Inc., a Delaware corporation, or any successor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182" w:lineRule="exact"/>
        <w:rPr>
          <w:rFonts w:ascii="Times New Roman" w:cs="Times New Roman" w:eastAsia="Times New Roman" w:hAnsi="Times New Roman"/>
          <w:sz w:val="22"/>
          <w:szCs w:val="22"/>
          <w:color w:val="auto"/>
        </w:rPr>
      </w:pPr>
    </w:p>
    <w:p>
      <w:pPr>
        <w:jc w:val="both"/>
        <w:ind w:firstLine="1304"/>
        <w:spacing w:after="0" w:line="249" w:lineRule="exact"/>
        <w:tabs>
          <w:tab w:leader="none" w:pos="19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engaged by the Company or a Parent or Subsidiary of the Company to render bona fide services to such entity, provided the services (i) are not in connection with the offer or sale of securities in a capital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4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Program</w:t>
      </w:r>
      <w:r>
        <w:rPr>
          <w:rFonts w:ascii="Times New Roman" w:cs="Times New Roman" w:eastAsia="Times New Roman" w:hAnsi="Times New Roman"/>
          <w:sz w:val="21"/>
          <w:szCs w:val="2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w:t>
      </w:r>
    </w:p>
    <w:p>
      <w:pPr>
        <w:spacing w:after="0" w:line="161"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192"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2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84" w:right="339" w:bottom="1440" w:gutter="0" w:footer="0" w:header="0"/>
        </w:sectPr>
      </w:pPr>
    </w:p>
    <w:bookmarkStart w:id="7" w:name="page8"/>
    <w:bookmarkEnd w:id="7"/>
    <w:p>
      <w:pPr>
        <w:jc w:val="both"/>
        <w:ind w:firstLine="1952"/>
        <w:spacing w:after="0" w:line="239" w:lineRule="auto"/>
        <w:tabs>
          <w:tab w:leader="none" w:pos="246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 or</w:t>
      </w:r>
    </w:p>
    <w:p>
      <w:pPr>
        <w:spacing w:after="0" w:line="180" w:lineRule="exact"/>
        <w:rPr>
          <w:rFonts w:ascii="Times New Roman" w:cs="Times New Roman" w:eastAsia="Times New Roman" w:hAnsi="Times New Roman"/>
          <w:sz w:val="22"/>
          <w:szCs w:val="22"/>
          <w:color w:val="auto"/>
        </w:rPr>
      </w:pPr>
    </w:p>
    <w:p>
      <w:pPr>
        <w:ind w:firstLine="1952"/>
        <w:spacing w:after="0" w:line="258" w:lineRule="auto"/>
        <w:tabs>
          <w:tab w:leader="none" w:pos="261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3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intended to qualify, and actually qualifies, as an incentive stock option within the meaning of Section 422 of the Code and the regulations promulgated thereunder.</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Inside Director</w:t>
      </w:r>
      <w:r>
        <w:rPr>
          <w:rFonts w:ascii="Times New Roman" w:cs="Times New Roman" w:eastAsia="Times New Roman" w:hAnsi="Times New Roman"/>
          <w:sz w:val="22"/>
          <w:szCs w:val="22"/>
          <w:color w:val="auto"/>
        </w:rPr>
        <w:t>” means a Director who is an Employee.</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93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 stock option granted pursuant to the Plan.</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Director</w:t>
      </w:r>
      <w:r>
        <w:rPr>
          <w:rFonts w:ascii="Times New Roman" w:cs="Times New Roman" w:eastAsia="Times New Roman" w:hAnsi="Times New Roman"/>
          <w:sz w:val="22"/>
          <w:szCs w:val="22"/>
          <w:color w:val="auto"/>
        </w:rPr>
        <w:t>” means a Director who is not an Employee.</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424(e).</w:t>
      </w:r>
    </w:p>
    <w:p>
      <w:pPr>
        <w:spacing w:after="0" w:line="18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ind w:firstLine="1304"/>
        <w:spacing w:after="0" w:line="258" w:lineRule="auto"/>
        <w:tabs>
          <w:tab w:leader="none" w:pos="193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w:t>
      </w:r>
      <w:r>
        <w:rPr>
          <w:rFonts w:ascii="Times New Roman" w:cs="Times New Roman" w:eastAsia="Times New Roman" w:hAnsi="Times New Roman"/>
          <w:sz w:val="22"/>
          <w:szCs w:val="22"/>
          <w:color w:val="auto"/>
        </w:rPr>
        <w:t>” means an Award denominated in Shares which may be earned in whole or in part upon attainment of performance goals or other vesting criteria as the Administrator may determine pursuant to Section 10.</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7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Unit</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7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Pacific Biosciences of California, Inc. 2020 Equity Incentive Plan, as amended from time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time.</w:t>
      </w:r>
    </w:p>
    <w:p>
      <w:pPr>
        <w:spacing w:after="0" w:line="182" w:lineRule="exact"/>
        <w:rPr>
          <w:rFonts w:ascii="Times New Roman" w:cs="Times New Roman" w:eastAsia="Times New Roman" w:hAnsi="Times New Roman"/>
          <w:sz w:val="21"/>
          <w:szCs w:val="21"/>
          <w:color w:val="auto"/>
        </w:rPr>
      </w:pPr>
    </w:p>
    <w:p>
      <w:pPr>
        <w:ind w:firstLine="1304"/>
        <w:spacing w:after="0" w:line="258" w:lineRule="auto"/>
        <w:tabs>
          <w:tab w:leader="none" w:pos="177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pursuant to a Restricted Stock award under Section 7 of the Plan, or issued pursuant to the early exercise of an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00" w:right="339" w:bottom="1440" w:gutter="0" w:footer="0" w:header="0"/>
        </w:sectPr>
      </w:pPr>
    </w:p>
    <w:bookmarkStart w:id="8" w:name="page9"/>
    <w:bookmarkEnd w:id="8"/>
    <w:p>
      <w:pPr>
        <w:jc w:val="both"/>
        <w:ind w:firstLine="1304"/>
        <w:spacing w:after="0" w:line="244" w:lineRule="auto"/>
        <w:tabs>
          <w:tab w:leader="none" w:pos="170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8. Each Restricted Stock Unit represents an unfunded and unsecured obligation of the Company.</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87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of the Exchange Act or any successor to Rule 16b-3, as in effect when discretion is being exercised with respect to the Plan.</w:t>
      </w:r>
    </w:p>
    <w:p>
      <w:pPr>
        <w:spacing w:after="0" w:line="158"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means Section 16(b) of the Exchange Act.</w:t>
      </w:r>
    </w:p>
    <w:p>
      <w:pPr>
        <w:spacing w:after="0" w:line="19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Code, as it has been and may be amended from time to time, and any proposed or final Treasury Regulations and Internal Revenue Service guidance that has been promulgated or may be promulgated thereunder from time to time, or any state law equivalent.</w:t>
      </w:r>
    </w:p>
    <w:p>
      <w:pPr>
        <w:spacing w:after="0" w:line="173" w:lineRule="exact"/>
        <w:rPr>
          <w:rFonts w:ascii="Times New Roman" w:cs="Times New Roman" w:eastAsia="Times New Roman" w:hAnsi="Times New Roman"/>
          <w:sz w:val="22"/>
          <w:szCs w:val="22"/>
          <w:color w:val="auto"/>
        </w:rPr>
      </w:pPr>
    </w:p>
    <w:p>
      <w:pPr>
        <w:ind w:left="1700" w:hanging="396"/>
        <w:spacing w:after="0"/>
        <w:tabs>
          <w:tab w:leader="none" w:pos="17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rFonts w:ascii="Times New Roman" w:cs="Times New Roman" w:eastAsia="Times New Roman" w:hAnsi="Times New Roman"/>
          <w:sz w:val="22"/>
          <w:szCs w:val="22"/>
          <w:color w:val="auto"/>
        </w:rPr>
      </w:pPr>
    </w:p>
    <w:p>
      <w:pPr>
        <w:ind w:left="1700" w:hanging="396"/>
        <w:spacing w:after="0"/>
        <w:tabs>
          <w:tab w:leader="none" w:pos="17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14 of the Plan.</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2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9 is designated as a Stock Appreciation Right.</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424(f).</w:t>
      </w:r>
    </w:p>
    <w:p>
      <w:pPr>
        <w:spacing w:after="0" w:line="182" w:lineRule="exact"/>
        <w:rPr>
          <w:rFonts w:ascii="Times New Roman" w:cs="Times New Roman" w:eastAsia="Times New Roman" w:hAnsi="Times New Roman"/>
          <w:sz w:val="22"/>
          <w:szCs w:val="22"/>
          <w:color w:val="auto"/>
        </w:rPr>
      </w:pPr>
    </w:p>
    <w:p>
      <w:pPr>
        <w:ind w:firstLine="1304"/>
        <w:spacing w:after="0" w:line="245" w:lineRule="auto"/>
        <w:tabs>
          <w:tab w:leader="none" w:pos="1917"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is open for trading.</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3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the provisions of Section 14 of the Plan, the maximum aggregate number of Shares that may be issued under the Plan is (i) 88,000,000 Shares, plus (ii) any Shares subject to stock options or similar awards granted under any of the Company’s 2010 Equity Incentive Plan, 2010 Outside Director Equity Incentive Plan, or 2005 Stock Plan (collectively, the “</w:t>
      </w:r>
      <w:r>
        <w:rPr>
          <w:rFonts w:ascii="Times New Roman" w:cs="Times New Roman" w:eastAsia="Times New Roman" w:hAnsi="Times New Roman"/>
          <w:sz w:val="22"/>
          <w:szCs w:val="22"/>
          <w:u w:val="single" w:color="auto"/>
          <w:color w:val="auto"/>
        </w:rPr>
        <w:t>Prior Plans</w:t>
      </w:r>
      <w:r>
        <w:rPr>
          <w:rFonts w:ascii="Times New Roman" w:cs="Times New Roman" w:eastAsia="Times New Roman" w:hAnsi="Times New Roman"/>
          <w:sz w:val="22"/>
          <w:szCs w:val="22"/>
          <w:color w:val="auto"/>
        </w:rPr>
        <w:t>”) that, on or after the effective date of the Plan as set forth in Section 18, expire or otherwise terminate without having been exercised or issued in full and any Shares subject to awards granted under the Prior Plans that, on or after the effective date of the Plan, are forfeited to or repurchased by the Company due to failure to vest, with the maximum number of Shares to be added to the Plan pursuant to the foregoing clause (ii) equal to 26,903,587 Shares. In addition, Shares may become available for issuance under the Plan pursuant to Sections 3(b) and 3(c). The Shares may be authorized, but unissued, or reacquired Common Stock.</w:t>
      </w:r>
    </w:p>
    <w:p>
      <w:pPr>
        <w:spacing w:after="0" w:line="17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Lapsed Awards</w:t>
      </w:r>
      <w:r>
        <w:rPr>
          <w:rFonts w:ascii="Times New Roman" w:cs="Times New Roman" w:eastAsia="Times New Roman" w:hAnsi="Times New Roman"/>
          <w:sz w:val="22"/>
          <w:szCs w:val="22"/>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00" w:right="339" w:bottom="1440" w:gutter="0" w:footer="0" w:header="0"/>
        </w:sectPr>
      </w:pPr>
    </w:p>
    <w:bookmarkStart w:id="9" w:name="page10"/>
    <w:bookmarkEnd w:id="9"/>
    <w:p>
      <w:pPr>
        <w:jc w:val="both"/>
        <w:spacing w:after="0" w:line="232" w:lineRule="auto"/>
        <w:rPr>
          <w:sz w:val="20"/>
          <w:szCs w:val="20"/>
          <w:color w:val="auto"/>
        </w:rPr>
      </w:pPr>
      <w:r>
        <w:rPr>
          <w:rFonts w:ascii="Times New Roman" w:cs="Times New Roman" w:eastAsia="Times New Roman" w:hAnsi="Times New Roman"/>
          <w:sz w:val="22"/>
          <w:szCs w:val="22"/>
          <w:color w:val="auto"/>
        </w:rPr>
        <w:t>Appreciation Rights that are settled in Shares, the gross number of Shares covered by the portion of the Award so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the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84" w:lineRule="exact"/>
        <w:rPr>
          <w:sz w:val="20"/>
          <w:szCs w:val="20"/>
          <w:color w:val="auto"/>
        </w:rPr>
      </w:pPr>
    </w:p>
    <w:p>
      <w:pPr>
        <w:ind w:firstLine="1304"/>
        <w:spacing w:after="0" w:line="258" w:lineRule="auto"/>
        <w:tabs>
          <w:tab w:leader="none" w:pos="193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The Company, at all times during the term of this Plan, will reserve and keep available such number of Shares as will be sufficient to satisfy the requirements of the Plan.</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952"/>
        <w:spacing w:after="0" w:line="245" w:lineRule="auto"/>
        <w:tabs>
          <w:tab w:leader="none" w:pos="2472"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72" w:lineRule="exact"/>
        <w:rPr>
          <w:rFonts w:ascii="Times New Roman" w:cs="Times New Roman" w:eastAsia="Times New Roman" w:hAnsi="Times New Roman"/>
          <w:sz w:val="22"/>
          <w:szCs w:val="22"/>
          <w:color w:val="auto"/>
        </w:rPr>
      </w:pPr>
    </w:p>
    <w:p>
      <w:pPr>
        <w:ind w:right="20" w:firstLine="1952"/>
        <w:spacing w:after="0" w:line="258" w:lineRule="auto"/>
        <w:tabs>
          <w:tab w:leader="none" w:pos="2424"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rFonts w:ascii="Times New Roman" w:cs="Times New Roman" w:eastAsia="Times New Roman" w:hAnsi="Times New Roman"/>
          <w:sz w:val="22"/>
          <w:szCs w:val="22"/>
          <w:color w:val="auto"/>
        </w:rPr>
      </w:pPr>
    </w:p>
    <w:p>
      <w:pPr>
        <w:ind w:right="20" w:firstLine="1952"/>
        <w:spacing w:after="0" w:line="258" w:lineRule="auto"/>
        <w:tabs>
          <w:tab w:leader="none" w:pos="2497"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satisfy Applicable Laws.</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in the case of a Committee, the specific duties delegated by the Board to such Committee, the Administrator will have the authority, in its discretion:</w:t>
      </w:r>
    </w:p>
    <w:p>
      <w:pPr>
        <w:spacing w:after="0" w:line="158"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 hereunder;</w:t>
      </w:r>
    </w:p>
    <w:p>
      <w:pPr>
        <w:spacing w:after="0" w:line="206"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19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 for use under the Plan;</w:t>
      </w:r>
    </w:p>
    <w:p>
      <w:pPr>
        <w:spacing w:after="0" w:line="206" w:lineRule="exact"/>
        <w:rPr>
          <w:rFonts w:ascii="Times New Roman" w:cs="Times New Roman" w:eastAsia="Times New Roman" w:hAnsi="Times New Roman"/>
          <w:sz w:val="22"/>
          <w:szCs w:val="22"/>
          <w:color w:val="auto"/>
        </w:rPr>
      </w:pPr>
    </w:p>
    <w:p>
      <w:pPr>
        <w:ind w:right="20" w:firstLine="1952"/>
        <w:spacing w:after="0" w:line="258" w:lineRule="auto"/>
        <w:tabs>
          <w:tab w:leader="none" w:pos="2517"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The terms and conditions include, but are not limited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084" w:right="339" w:bottom="1440"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2"/>
          <w:szCs w:val="22"/>
          <w:color w:val="auto"/>
        </w:rPr>
        <w:t>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3" w:lineRule="exact"/>
        <w:rPr>
          <w:sz w:val="20"/>
          <w:szCs w:val="20"/>
          <w:color w:val="auto"/>
        </w:rPr>
      </w:pPr>
    </w:p>
    <w:p>
      <w:pPr>
        <w:jc w:val="both"/>
        <w:ind w:firstLine="1952"/>
        <w:spacing w:after="0" w:line="244" w:lineRule="auto"/>
        <w:tabs>
          <w:tab w:leader="none" w:pos="262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5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under the Plan;</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60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19(c) of the Plan), including without limitation the discretionary authority to extend the post-termination exercisability period of Awards; provided, however, that in no event will the term of an Option or Stock Appreciation Right be extended beyond its original maximum term;</w:t>
      </w:r>
    </w:p>
    <w:p>
      <w:pPr>
        <w:spacing w:after="0" w:line="173"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tax withholding obligations in a manner prescribed in Section 15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182" w:lineRule="exact"/>
        <w:rPr>
          <w:rFonts w:ascii="Times New Roman" w:cs="Times New Roman" w:eastAsia="Times New Roman" w:hAnsi="Times New Roman"/>
          <w:sz w:val="22"/>
          <w:szCs w:val="22"/>
          <w:color w:val="auto"/>
        </w:rPr>
      </w:pPr>
    </w:p>
    <w:p>
      <w:pPr>
        <w:ind w:firstLine="1952"/>
        <w:spacing w:after="0" w:line="258" w:lineRule="auto"/>
        <w:tabs>
          <w:tab w:leader="none" w:pos="248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49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temporarily suspend the exercisability of an Award if the Administrator deems such suspension to be necessary or appropriate for administrative purposes;</w:t>
      </w:r>
    </w:p>
    <w:p>
      <w:pPr>
        <w:spacing w:after="0" w:line="158" w:lineRule="exact"/>
        <w:rPr>
          <w:rFonts w:ascii="Times New Roman" w:cs="Times New Roman" w:eastAsia="Times New Roman" w:hAnsi="Times New Roman"/>
          <w:sz w:val="22"/>
          <w:szCs w:val="22"/>
          <w:color w:val="auto"/>
        </w:rPr>
      </w:pPr>
    </w:p>
    <w:p>
      <w:pPr>
        <w:ind w:firstLine="1952"/>
        <w:spacing w:after="0" w:line="245" w:lineRule="auto"/>
        <w:tabs>
          <w:tab w:leader="none" w:pos="26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the Participant under an Award; and</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3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Exchange Program or Repricing</w:t>
      </w:r>
      <w:r>
        <w:rPr>
          <w:rFonts w:ascii="Times New Roman" w:cs="Times New Roman" w:eastAsia="Times New Roman" w:hAnsi="Times New Roman"/>
          <w:sz w:val="22"/>
          <w:szCs w:val="22"/>
          <w:color w:val="auto"/>
        </w:rPr>
        <w:t>. Notwithstanding the powers of the Administrator set forth herein, the Administrator will not be permitted to implement an Exchange Program.</w:t>
      </w:r>
    </w:p>
    <w:p>
      <w:pPr>
        <w:spacing w:after="0" w:line="158"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14 of the Plan.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Performance Units and Performance Shares, until the Shares are issued (as evidenced by the appropriate entry on the books of the Company or a duly authorized transfer agent of the Company), no right to receive dividends or any other rights as a stockholder will exist with respect to the Shares subject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00" w:right="339" w:bottom="1440" w:gutter="0" w:footer="0" w:header="0"/>
        </w:sectPr>
      </w:pPr>
    </w:p>
    <w:bookmarkStart w:id="11" w:name="page12"/>
    <w:bookmarkEnd w:id="11"/>
    <w:p>
      <w:pPr>
        <w:jc w:val="both"/>
        <w:spacing w:after="0" w:line="238" w:lineRule="auto"/>
        <w:rPr>
          <w:sz w:val="20"/>
          <w:szCs w:val="20"/>
          <w:color w:val="auto"/>
        </w:rPr>
      </w:pPr>
      <w:r>
        <w:rPr>
          <w:rFonts w:ascii="Times New Roman" w:cs="Times New Roman" w:eastAsia="Times New Roman" w:hAnsi="Times New Roman"/>
          <w:sz w:val="22"/>
          <w:szCs w:val="22"/>
          <w:color w:val="auto"/>
        </w:rPr>
        <w:t>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 For the avoidance of doubt, the number of Shares available for issuance under the Plan will not be reduced to reflect any dividends or other distributions that are reinvested into additional Shares or credited as additional Shares subject to or paid with respect to an Award.</w:t>
      </w:r>
    </w:p>
    <w:p>
      <w:pPr>
        <w:spacing w:after="0" w:line="177" w:lineRule="exact"/>
        <w:rPr>
          <w:sz w:val="20"/>
          <w:szCs w:val="20"/>
          <w:color w:val="auto"/>
        </w:rPr>
      </w:pPr>
    </w:p>
    <w:p>
      <w:pPr>
        <w:jc w:val="both"/>
        <w:ind w:firstLine="1304"/>
        <w:spacing w:after="0" w:line="238" w:lineRule="auto"/>
        <w:tabs>
          <w:tab w:leader="none" w:pos="193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78"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304"/>
        <w:spacing w:after="0" w:line="282" w:lineRule="auto"/>
        <w:tabs>
          <w:tab w:leader="none" w:pos="193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Options</w:t>
      </w:r>
      <w:r>
        <w:rPr>
          <w:rFonts w:ascii="Times New Roman" w:cs="Times New Roman" w:eastAsia="Times New Roman" w:hAnsi="Times New Roman"/>
          <w:sz w:val="21"/>
          <w:szCs w:val="21"/>
          <w:color w:val="auto"/>
        </w:rPr>
        <w:t>. Subject to the terms and provisions of the Plan, the Administrator, at any time and from time to time, may grant Options to Service Providers in such amounts as the Administrator, in its sole discretion, will determine.</w:t>
      </w:r>
    </w:p>
    <w:p>
      <w:pPr>
        <w:spacing w:after="0" w:line="134" w:lineRule="exact"/>
        <w:rPr>
          <w:rFonts w:ascii="Times New Roman" w:cs="Times New Roman" w:eastAsia="Times New Roman" w:hAnsi="Times New Roman"/>
          <w:sz w:val="21"/>
          <w:szCs w:val="21"/>
          <w:color w:val="auto"/>
        </w:rPr>
      </w:pPr>
    </w:p>
    <w:p>
      <w:pPr>
        <w:jc w:val="both"/>
        <w:ind w:firstLine="1304"/>
        <w:spacing w:after="0" w:line="244" w:lineRule="auto"/>
        <w:tabs>
          <w:tab w:leader="none" w:pos="194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 Agreement</w:t>
      </w:r>
      <w:r>
        <w:rPr>
          <w:rFonts w:ascii="Times New Roman" w:cs="Times New Roman" w:eastAsia="Times New Roman" w:hAnsi="Times New Roman"/>
          <w:sz w:val="22"/>
          <w:szCs w:val="22"/>
          <w:color w:val="auto"/>
        </w:rPr>
        <w:t>. Each Award of an Option will be evidenced by an Award Agreement that will specify the exercise price, the number of Shares subject to the Option, the exercise restrictions, if any, applicable to the Option, and such other terms and conditions as the Administrator, in its sole discretion, will determine.</w:t>
      </w:r>
    </w:p>
    <w:p>
      <w:pPr>
        <w:spacing w:after="0" w:line="159"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3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spacing w:after="0" w:line="18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Exercise Price and Consideration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52"/>
        <w:spacing w:after="0" w:line="258" w:lineRule="auto"/>
        <w:tabs>
          <w:tab w:leader="none" w:pos="2445"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pursuant to exercise of an Option will be determined by the Administrator, subject to the following:</w:t>
      </w:r>
    </w:p>
    <w:p>
      <w:pPr>
        <w:spacing w:after="0" w:line="158"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084" w:right="339" w:bottom="1440" w:gutter="0" w:footer="0" w:header="0"/>
        </w:sectPr>
      </w:pPr>
    </w:p>
    <w:bookmarkStart w:id="12" w:name="page13"/>
    <w:bookmarkEnd w:id="12"/>
    <w:p>
      <w:pPr>
        <w:jc w:val="both"/>
        <w:ind w:firstLine="3248"/>
        <w:spacing w:after="0" w:line="239" w:lineRule="auto"/>
        <w:tabs>
          <w:tab w:leader="none" w:pos="3607" w:val="left"/>
        </w:tabs>
        <w:numPr>
          <w:ilvl w:val="3"/>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80" w:lineRule="exact"/>
        <w:rPr>
          <w:rFonts w:ascii="Times New Roman" w:cs="Times New Roman" w:eastAsia="Times New Roman" w:hAnsi="Times New Roman"/>
          <w:sz w:val="22"/>
          <w:szCs w:val="22"/>
          <w:color w:val="auto"/>
        </w:rPr>
      </w:pPr>
    </w:p>
    <w:p>
      <w:pPr>
        <w:jc w:val="both"/>
        <w:ind w:firstLine="3248"/>
        <w:spacing w:after="0" w:line="238" w:lineRule="auto"/>
        <w:tabs>
          <w:tab w:leader="none" w:pos="3663" w:val="left"/>
        </w:tabs>
        <w:numPr>
          <w:ilvl w:val="3"/>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78" w:lineRule="exact"/>
        <w:rPr>
          <w:rFonts w:ascii="Times New Roman" w:cs="Times New Roman" w:eastAsia="Times New Roman" w:hAnsi="Times New Roman"/>
          <w:sz w:val="22"/>
          <w:szCs w:val="22"/>
          <w:color w:val="auto"/>
        </w:rPr>
      </w:pPr>
    </w:p>
    <w:p>
      <w:pPr>
        <w:ind w:firstLine="2600"/>
        <w:spacing w:after="0" w:line="258" w:lineRule="auto"/>
        <w:tabs>
          <w:tab w:leader="none" w:pos="310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Nonstatutory Stock Option, the per Share exercise price will be no less than one hundred percent (100%) of the Fair Market Value per Share on the date of grant.</w:t>
      </w:r>
    </w:p>
    <w:p>
      <w:pPr>
        <w:spacing w:after="0" w:line="158" w:lineRule="exact"/>
        <w:rPr>
          <w:rFonts w:ascii="Times New Roman" w:cs="Times New Roman" w:eastAsia="Times New Roman" w:hAnsi="Times New Roman"/>
          <w:sz w:val="22"/>
          <w:szCs w:val="22"/>
          <w:color w:val="auto"/>
        </w:rPr>
      </w:pPr>
    </w:p>
    <w:p>
      <w:pPr>
        <w:jc w:val="both"/>
        <w:ind w:firstLine="2600"/>
        <w:spacing w:after="0" w:line="244" w:lineRule="auto"/>
        <w:tabs>
          <w:tab w:leader="none" w:pos="3063"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7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3" w:lineRule="exact"/>
        <w:rPr>
          <w:rFonts w:ascii="Times New Roman" w:cs="Times New Roman" w:eastAsia="Times New Roman" w:hAnsi="Times New Roman"/>
          <w:sz w:val="22"/>
          <w:szCs w:val="22"/>
          <w:color w:val="auto"/>
        </w:rPr>
      </w:pPr>
    </w:p>
    <w:p>
      <w:pPr>
        <w:jc w:val="both"/>
        <w:ind w:firstLine="1952"/>
        <w:spacing w:after="0" w:line="232" w:lineRule="auto"/>
        <w:tabs>
          <w:tab w:leader="none" w:pos="253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3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9" w:lineRule="exact"/>
        <w:rPr>
          <w:sz w:val="20"/>
          <w:szCs w:val="20"/>
          <w:color w:val="auto"/>
        </w:rPr>
      </w:pPr>
    </w:p>
    <w:p>
      <w:pPr>
        <w:jc w:val="both"/>
        <w:ind w:firstLine="1944"/>
        <w:spacing w:after="0" w:line="235"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The Company will issue (or cause to be issued) such Shares promptly after the Option is exercised.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084" w:right="339" w:bottom="1440" w:gutter="0" w:footer="0" w:header="0"/>
        </w:sectPr>
      </w:pPr>
    </w:p>
    <w:bookmarkStart w:id="13" w:name="page14"/>
    <w:bookmarkEnd w:id="13"/>
    <w:p>
      <w:pPr>
        <w:ind w:firstLine="1944"/>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jc w:val="both"/>
        <w:ind w:firstLine="1952"/>
        <w:spacing w:after="0" w:line="244" w:lineRule="auto"/>
        <w:tabs>
          <w:tab w:leader="none" w:pos="249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Relationship as a Service Provider</w:t>
      </w:r>
      <w:r>
        <w:rPr>
          <w:rFonts w:ascii="Times New Roman" w:cs="Times New Roman" w:eastAsia="Times New Roman" w:hAnsi="Times New Roman"/>
          <w:sz w:val="21"/>
          <w:szCs w:val="21"/>
          <w:color w:val="auto"/>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177" w:lineRule="exact"/>
        <w:rPr>
          <w:rFonts w:ascii="Times New Roman" w:cs="Times New Roman" w:eastAsia="Times New Roman" w:hAnsi="Times New Roman"/>
          <w:sz w:val="21"/>
          <w:szCs w:val="21"/>
          <w:color w:val="auto"/>
        </w:rPr>
      </w:pPr>
    </w:p>
    <w:p>
      <w:pPr>
        <w:jc w:val="both"/>
        <w:ind w:firstLine="1952"/>
        <w:spacing w:after="0" w:line="244" w:lineRule="auto"/>
        <w:tabs>
          <w:tab w:leader="none" w:pos="268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 of Participant</w:t>
      </w:r>
      <w:r>
        <w:rPr>
          <w:rFonts w:ascii="Times New Roman" w:cs="Times New Roman" w:eastAsia="Times New Roman" w:hAnsi="Times New Roman"/>
          <w:sz w:val="21"/>
          <w:szCs w:val="21"/>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twelve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179" w:lineRule="exact"/>
        <w:rPr>
          <w:rFonts w:ascii="Times New Roman" w:cs="Times New Roman" w:eastAsia="Times New Roman" w:hAnsi="Times New Roman"/>
          <w:sz w:val="21"/>
          <w:szCs w:val="21"/>
          <w:color w:val="auto"/>
        </w:rPr>
      </w:pPr>
    </w:p>
    <w:p>
      <w:pPr>
        <w:jc w:val="both"/>
        <w:ind w:firstLine="1952"/>
        <w:spacing w:after="0" w:line="232" w:lineRule="auto"/>
        <w:tabs>
          <w:tab w:leader="none" w:pos="25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Tolling Expiration</w:t>
      </w:r>
      <w:r>
        <w:rPr>
          <w:rFonts w:ascii="Times New Roman" w:cs="Times New Roman" w:eastAsia="Times New Roman" w:hAnsi="Times New Roman"/>
          <w:sz w:val="22"/>
          <w:szCs w:val="22"/>
          <w:color w:val="auto"/>
        </w:rPr>
        <w:t>. A Participant’s Award Agreement also may provide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00" w:right="339" w:bottom="1440" w:gutter="0" w:footer="0" w:header="0"/>
        </w:sectPr>
      </w:pPr>
    </w:p>
    <w:bookmarkStart w:id="14" w:name="page15"/>
    <w:bookmarkEnd w:id="14"/>
    <w:p>
      <w:pPr>
        <w:jc w:val="both"/>
        <w:ind w:firstLine="2600"/>
        <w:spacing w:after="0" w:line="239" w:lineRule="auto"/>
        <w:tabs>
          <w:tab w:leader="none" w:pos="321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0" w:lineRule="exact"/>
        <w:rPr>
          <w:rFonts w:ascii="Times New Roman" w:cs="Times New Roman" w:eastAsia="Times New Roman" w:hAnsi="Times New Roman"/>
          <w:sz w:val="22"/>
          <w:szCs w:val="22"/>
          <w:color w:val="auto"/>
        </w:rPr>
      </w:pPr>
    </w:p>
    <w:p>
      <w:pPr>
        <w:jc w:val="both"/>
        <w:ind w:firstLine="2600"/>
        <w:spacing w:after="0" w:line="248" w:lineRule="auto"/>
        <w:tabs>
          <w:tab w:leader="none" w:pos="3139"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w:t>
      </w:r>
    </w:p>
    <w:p>
      <w:pPr>
        <w:spacing w:after="0" w:line="16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w:t>
      </w:r>
      <w:r>
        <w:rPr>
          <w:rFonts w:ascii="Times New Roman" w:cs="Times New Roman" w:eastAsia="Times New Roman" w:hAnsi="Times New Roman"/>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any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6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this Section 7 or the Award Agreement, Shares of Restricted Stock may not be sold, transferred, pledged, assigned, or otherwise alienated or hypothecated until the end of any applicable Period of Restriction.</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of Restrictions</w:t>
      </w:r>
      <w:r>
        <w:rPr>
          <w:rFonts w:ascii="Times New Roman" w:cs="Times New Roman" w:eastAsia="Times New Roman" w:hAnsi="Times New Roman"/>
          <w:sz w:val="22"/>
          <w:szCs w:val="22"/>
          <w:color w:val="auto"/>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w:t>
      </w:r>
    </w:p>
    <w:p>
      <w:pPr>
        <w:spacing w:after="0" w:line="180" w:lineRule="exact"/>
        <w:rPr>
          <w:rFonts w:ascii="Times New Roman" w:cs="Times New Roman" w:eastAsia="Times New Roman" w:hAnsi="Times New Roman"/>
          <w:sz w:val="22"/>
          <w:szCs w:val="22"/>
          <w:color w:val="auto"/>
        </w:rPr>
      </w:pPr>
    </w:p>
    <w:p>
      <w:pPr>
        <w:jc w:val="both"/>
        <w:ind w:right="20" w:firstLine="1304"/>
        <w:spacing w:after="0" w:line="238" w:lineRule="auto"/>
        <w:tabs>
          <w:tab w:leader="none" w:pos="193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During any applicable Period of Restriction, Service Providers holding Shares of Restricted Stock granted hereunder may exercise full voting rights with respect to those Shares, unless the Administrator determines otherwise.</w:t>
      </w:r>
    </w:p>
    <w:p>
      <w:pPr>
        <w:spacing w:after="0" w:line="178" w:lineRule="exact"/>
        <w:rPr>
          <w:rFonts w:ascii="Times New Roman" w:cs="Times New Roman" w:eastAsia="Times New Roman" w:hAnsi="Times New Roman"/>
          <w:sz w:val="22"/>
          <w:szCs w:val="22"/>
          <w:color w:val="auto"/>
        </w:rPr>
      </w:pPr>
    </w:p>
    <w:p>
      <w:pPr>
        <w:jc w:val="both"/>
        <w:ind w:right="20" w:firstLine="1304"/>
        <w:spacing w:after="0" w:line="282" w:lineRule="auto"/>
        <w:tabs>
          <w:tab w:leader="none" w:pos="194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3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Restricted Stock Units may be granted at any time and from time to time as determined by the Administrator. After the Administrator determines that it will grant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00"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22"/>
          <w:szCs w:val="22"/>
          <w:color w:val="auto"/>
        </w:rPr>
        <w:t>Stock Units under the Plan, it will advise the Participant in an Award Agreement of the terms, conditions, and restrictions related to the grant, including the number of Restricted Stock Units.</w:t>
      </w:r>
    </w:p>
    <w:p>
      <w:pPr>
        <w:spacing w:after="0" w:line="158" w:lineRule="exact"/>
        <w:rPr>
          <w:sz w:val="20"/>
          <w:szCs w:val="20"/>
          <w:color w:val="auto"/>
        </w:rPr>
      </w:pPr>
    </w:p>
    <w:p>
      <w:pPr>
        <w:jc w:val="both"/>
        <w:ind w:firstLine="1304"/>
        <w:spacing w:after="0" w:line="235"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Administrator will have complete discretion to determine the number of Stock Appreciation Rights granted to any Service Provider.</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and Other Terms</w:t>
      </w:r>
      <w:r>
        <w:rPr>
          <w:rFonts w:ascii="Times New Roman" w:cs="Times New Roman" w:eastAsia="Times New Roman" w:hAnsi="Times New Roman"/>
          <w:sz w:val="22"/>
          <w:szCs w:val="22"/>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as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93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Stock Appreciation Right Amount</w:t>
      </w:r>
      <w:r>
        <w:rPr>
          <w:rFonts w:ascii="Times New Roman" w:cs="Times New Roman" w:eastAsia="Times New Roman" w:hAnsi="Times New Roman"/>
          <w:sz w:val="22"/>
          <w:szCs w:val="22"/>
          <w:color w:val="auto"/>
        </w:rPr>
        <w:t>. Upon exercise of a Stock Appreciation Right, a Participant will be entitled to receive payment from the Company in an amount determined as the product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084" w:right="339" w:bottom="1440" w:gutter="0" w:footer="0" w:header="0"/>
        </w:sectPr>
      </w:pPr>
    </w:p>
    <w:bookmarkStart w:id="16" w:name="page17"/>
    <w:bookmarkEnd w:id="16"/>
    <w:p>
      <w:pPr>
        <w:ind w:left="2460" w:hanging="508"/>
        <w:spacing w:after="0"/>
        <w:tabs>
          <w:tab w:leader="none" w:pos="24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and</w:t>
      </w:r>
    </w:p>
    <w:p>
      <w:pPr>
        <w:spacing w:after="0" w:line="182" w:lineRule="exact"/>
        <w:rPr>
          <w:sz w:val="20"/>
          <w:szCs w:val="20"/>
          <w:color w:val="auto"/>
        </w:rPr>
      </w:pPr>
    </w:p>
    <w:p>
      <w:pPr>
        <w:ind w:left="1960"/>
        <w:spacing w:after="0"/>
        <w:tabs>
          <w:tab w:leader="none" w:pos="24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The number of Shares with respect to which the Stock Appreciation Right is exercised.</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exercise of a Stock Appreciation Right may be in cash, in Shares of equivalent value, or in some combination of both.</w:t>
      </w:r>
    </w:p>
    <w:p>
      <w:pPr>
        <w:spacing w:after="0" w:line="15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Units and Performance Shares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Performance Units/Shares</w:t>
      </w:r>
      <w:r>
        <w:rPr>
          <w:rFonts w:ascii="Times New Roman" w:cs="Times New Roman" w:eastAsia="Times New Roman" w:hAnsi="Times New Roman"/>
          <w:sz w:val="22"/>
          <w:szCs w:val="22"/>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Performance Units/Shares</w:t>
      </w:r>
      <w:r>
        <w:rPr>
          <w:rFonts w:ascii="Times New Roman" w:cs="Times New Roman" w:eastAsia="Times New Roman" w:hAnsi="Times New Roman"/>
          <w:sz w:val="22"/>
          <w:szCs w:val="22"/>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73"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3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Objectives and Other Terms</w:t>
      </w:r>
      <w:r>
        <w:rPr>
          <w:rFonts w:ascii="Times New Roman" w:cs="Times New Roman" w:eastAsia="Times New Roman" w:hAnsi="Times New Roman"/>
          <w:sz w:val="22"/>
          <w:szCs w:val="22"/>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of Performance Units/Shares</w:t>
      </w:r>
      <w:r>
        <w:rPr>
          <w:rFonts w:ascii="Times New Roman" w:cs="Times New Roman" w:eastAsia="Times New Roman" w:hAnsi="Times New Roman"/>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54" w:lineRule="exact"/>
        <w:rPr>
          <w:rFonts w:ascii="Times New Roman" w:cs="Times New Roman" w:eastAsia="Times New Roman" w:hAnsi="Times New Roman"/>
          <w:sz w:val="21"/>
          <w:szCs w:val="21"/>
          <w:color w:val="auto"/>
        </w:rPr>
      </w:pPr>
    </w:p>
    <w:p>
      <w:pPr>
        <w:jc w:val="both"/>
        <w:ind w:firstLine="1304"/>
        <w:spacing w:after="0" w:line="238" w:lineRule="auto"/>
        <w:tabs>
          <w:tab w:leader="none" w:pos="193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 of Performance Units/Shares</w:t>
      </w:r>
      <w:r>
        <w:rPr>
          <w:rFonts w:ascii="Times New Roman" w:cs="Times New Roman" w:eastAsia="Times New Roman" w:hAnsi="Times New Roman"/>
          <w:sz w:val="22"/>
          <w:szCs w:val="22"/>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193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Performance Units/Shares</w:t>
      </w:r>
      <w:r>
        <w:rPr>
          <w:rFonts w:ascii="Times New Roman" w:cs="Times New Roman" w:eastAsia="Times New Roman" w:hAnsi="Times New Roman"/>
          <w:sz w:val="22"/>
          <w:szCs w:val="22"/>
          <w:color w:val="auto"/>
        </w:rPr>
        <w:t>. On the date set forth in the Award Agreement, all unearned or unvested Performance Units/Shares will be forfeited to the Company, and again will be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00" w:right="339" w:bottom="1440" w:gutter="0" w:footer="0" w:header="0"/>
        </w:sectPr>
      </w:pPr>
    </w:p>
    <w:bookmarkStart w:id="17" w:name="page18"/>
    <w:bookmarkEnd w:id="17"/>
    <w:p>
      <w:pPr>
        <w:jc w:val="both"/>
        <w:ind w:firstLine="656"/>
        <w:spacing w:after="0" w:line="236"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Director Award Limitations</w:t>
      </w:r>
      <w:r>
        <w:rPr>
          <w:rFonts w:ascii="Times New Roman" w:cs="Times New Roman" w:eastAsia="Times New Roman" w:hAnsi="Times New Roman"/>
          <w:sz w:val="22"/>
          <w:szCs w:val="22"/>
          <w:color w:val="auto"/>
        </w:rPr>
        <w:t>. No Outside Director may be granted, in any Fiscal Year, Awards (the value of which will be based on their grant date fair value determined in accordance with U.S. generally accepted accounting principles) and any other compensation (including without limitation any cash retainers or fees)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67"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Absence/Transfer Between Locations</w:t>
      </w:r>
      <w:r>
        <w:rPr>
          <w:rFonts w:ascii="Times New Roman" w:cs="Times New Roman" w:eastAsia="Times New Roman" w:hAnsi="Times New Roman"/>
          <w:sz w:val="22"/>
          <w:szCs w:val="22"/>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78"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3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64"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3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or Change in Control</w:t>
      </w:r>
      <w:r>
        <w:rPr>
          <w:rFonts w:ascii="Times New Roman" w:cs="Times New Roman" w:eastAsia="Times New Roman" w:hAnsi="Times New Roman"/>
          <w:sz w:val="22"/>
          <w:szCs w:val="22"/>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00" w:right="339" w:bottom="1440" w:gutter="0" w:footer="0" w:header="0"/>
        </w:sectPr>
      </w:pPr>
    </w:p>
    <w:bookmarkStart w:id="18" w:name="page19"/>
    <w:bookmarkEnd w:id="18"/>
    <w:p>
      <w:pPr>
        <w:jc w:val="both"/>
        <w:spacing w:after="0" w:line="232" w:lineRule="auto"/>
        <w:rPr>
          <w:sz w:val="20"/>
          <w:szCs w:val="20"/>
          <w:color w:val="auto"/>
        </w:rPr>
      </w:pPr>
      <w:r>
        <w:rPr>
          <w:rFonts w:ascii="Times New Roman" w:cs="Times New Roman" w:eastAsia="Times New Roman" w:hAnsi="Times New Roman"/>
          <w:sz w:val="22"/>
          <w:szCs w:val="22"/>
          <w:color w:val="auto"/>
        </w:rPr>
        <w:t>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w:t>
      </w:r>
    </w:p>
    <w:p>
      <w:pPr>
        <w:spacing w:after="0" w:line="186"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For the purposes of this subsection (c) (and subsection (d)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subsection (c)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084" w:right="339" w:bottom="1440"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2"/>
          <w:szCs w:val="22"/>
          <w:color w:val="auto"/>
        </w:rPr>
        <w:t>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Notwithstanding anything in this subsection (c) to the contrary, if a payment under an Award Agreement is subject to Section 409A and if the change in control definition contained in the Award Agreement or other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179" w:lineRule="exact"/>
        <w:rPr>
          <w:sz w:val="20"/>
          <w:szCs w:val="20"/>
          <w:color w:val="auto"/>
        </w:rPr>
      </w:pPr>
    </w:p>
    <w:p>
      <w:pPr>
        <w:jc w:val="both"/>
        <w:ind w:firstLine="1304"/>
        <w:spacing w:after="0" w:line="236" w:lineRule="auto"/>
        <w:tabs>
          <w:tab w:leader="none" w:pos="19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Director Awards</w:t>
      </w:r>
      <w:r>
        <w:rPr>
          <w:rFonts w:ascii="Times New Roman" w:cs="Times New Roman" w:eastAsia="Times New Roman" w:hAnsi="Times New Roman"/>
          <w:sz w:val="22"/>
          <w:szCs w:val="22"/>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as of such date of termination, the Participant’s Awards will be treated as described in the second paragraph of Section 14(c) above with respect to vesting acceleration (for clarity, as though the Awards were not assumed or substituted).</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3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U.S. federal, state, and local, non-U.S., and other taxes (including the Participant’s FICA obligation) required to be withheld with respect to such Award (or exercise thereof).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value of the Shares to be withheld or delivered will be determined as of the date that the taxes are required to be withheld.</w:t>
      </w:r>
    </w:p>
    <w:p>
      <w:pPr>
        <w:spacing w:after="0" w:line="206" w:lineRule="exact"/>
        <w:rPr>
          <w:sz w:val="20"/>
          <w:szCs w:val="20"/>
          <w:color w:val="auto"/>
        </w:rPr>
      </w:pPr>
    </w:p>
    <w:p>
      <w:pPr>
        <w:jc w:val="both"/>
        <w:ind w:firstLine="1304"/>
        <w:spacing w:after="0" w:line="232" w:lineRule="auto"/>
        <w:tabs>
          <w:tab w:leader="none" w:pos="193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18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180"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8"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became effective on August 4, 2020, the date on which the Company’s stockholders approved the Plan. It will continue in effect for a term of ten (10) years from the effective date of the Plan, unless terminated earlier under Section 19 of the Plan.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Administrator, at any time, may amend, alter, suspend or terminate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Plan.</w:t>
      </w:r>
    </w:p>
    <w:p>
      <w:pPr>
        <w:spacing w:after="0" w:line="182" w:lineRule="exact"/>
        <w:rPr>
          <w:rFonts w:ascii="Times New Roman" w:cs="Times New Roman" w:eastAsia="Times New Roman" w:hAnsi="Times New Roman"/>
          <w:sz w:val="21"/>
          <w:szCs w:val="21"/>
          <w:color w:val="auto"/>
        </w:rPr>
      </w:pPr>
    </w:p>
    <w:p>
      <w:pPr>
        <w:ind w:firstLine="1304"/>
        <w:spacing w:after="0" w:line="258" w:lineRule="auto"/>
        <w:tabs>
          <w:tab w:leader="none" w:pos="19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44"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00" w:right="339" w:bottom="1440" w:gutter="0" w:footer="0" w:header="0"/>
        </w:sectPr>
      </w:pPr>
    </w:p>
    <w:bookmarkStart w:id="21" w:name="page22"/>
    <w:bookmarkEnd w:id="21"/>
    <w:p>
      <w:pPr>
        <w:jc w:val="both"/>
        <w:ind w:right="20" w:firstLine="1304"/>
        <w:spacing w:after="0" w:line="244" w:lineRule="auto"/>
        <w:tabs>
          <w:tab w:leader="none" w:pos="193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9"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w:t>
      </w:r>
    </w:p>
    <w:p>
      <w:pPr>
        <w:spacing w:after="0" w:line="14" w:lineRule="exact"/>
        <w:rPr>
          <w:rFonts w:ascii="Times New Roman" w:cs="Times New Roman" w:eastAsia="Times New Roman" w:hAnsi="Times New Roman"/>
          <w:sz w:val="22"/>
          <w:szCs w:val="22"/>
          <w:color w:val="auto"/>
        </w:rPr>
      </w:pPr>
    </w:p>
    <w:p>
      <w:pPr>
        <w:ind w:firstLine="8"/>
        <w:spacing w:after="0" w:line="237" w:lineRule="auto"/>
        <w:tabs>
          <w:tab w:leader="none" w:pos="41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64" w:lineRule="exact"/>
        <w:rPr>
          <w:rFonts w:ascii="Times New Roman" w:cs="Times New Roman" w:eastAsia="Times New Roman" w:hAnsi="Times New Roman"/>
          <w:sz w:val="22"/>
          <w:szCs w:val="22"/>
          <w:color w:val="auto"/>
        </w:rPr>
      </w:pPr>
    </w:p>
    <w:p>
      <w:pPr>
        <w:jc w:val="both"/>
        <w:ind w:firstLine="656"/>
        <w:spacing w:after="0" w:line="245" w:lineRule="exact"/>
        <w:tabs>
          <w:tab w:leader="none" w:pos="129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will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(the “</w:t>
      </w: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2"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sectPr>
      <w:pgSz w:w="11900" w:h="16838" w:orient="portrait"/>
      <w:cols w:equalWidth="0" w:num="1">
        <w:col w:w="11240"/>
      </w:cols>
      <w:pgMar w:left="320" w:top="13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1)"/>
      <w:numFmt w:val="lowerLetter"/>
      <w:start w:val="4"/>
    </w:lvl>
  </w:abstractNum>
  <w:abstractNum w:abstractNumId="2">
    <w:nsid w:val="436C6125"/>
    <w:multiLevelType w:val="hybridMultilevel"/>
    <w:lvl w:ilvl="0">
      <w:lvlJc w:val="left"/>
      <w:lvlText w:val="+"/>
      <w:numFmt w:val="bullet"/>
      <w:start w:val="1"/>
    </w:lvl>
    <w:lvl w:ilvl="1">
      <w:lvlJc w:val="left"/>
      <w:lvlText w:val="%2"/>
      <w:numFmt w:val="decimal"/>
      <w:start w:val="104"/>
    </w:lvl>
  </w:abstractNum>
  <w:abstractNum w:abstractNumId="3">
    <w:nsid w:val="628C895D"/>
    <w:multiLevelType w:val="hybridMultilevel"/>
    <w:lvl w:ilvl="0">
      <w:lvlJc w:val="left"/>
      <w:lvlText w:val="%1."/>
      <w:numFmt w:val="decimal"/>
      <w:start w:val="1"/>
    </w:lvl>
    <w:lvl w:ilvl="1">
      <w:lvlJc w:val="left"/>
      <w:lvlText w:val="•"/>
      <w:numFmt w:val="bullet"/>
      <w:start w:val="1"/>
    </w:lvl>
  </w:abstractNum>
  <w:abstractNum w:abstractNumId="4">
    <w:nsid w:val="333AB1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721DA317"/>
    <w:multiLevelType w:val="hybridMultilevel"/>
    <w:lvl w:ilvl="0">
      <w:lvlJc w:val="left"/>
      <w:lvlText w:val="(%1)"/>
      <w:numFmt w:val="lowerRoman"/>
      <w:start w:val="2"/>
    </w:lvl>
  </w:abstractNum>
  <w:abstractNum w:abstractNumId="6">
    <w:nsid w:val="2443A858"/>
    <w:multiLevelType w:val="hybridMultilevel"/>
    <w:lvl w:ilvl="0">
      <w:lvlJc w:val="left"/>
      <w:lvlText w:val="%1."/>
      <w:numFmt w:val="lowerLetter"/>
      <w:start w:val="7"/>
    </w:lvl>
  </w:abstractNum>
  <w:abstractNum w:abstractNumId="7">
    <w:nsid w:val="2D1D5AE9"/>
    <w:multiLevelType w:val="hybridMultilevel"/>
    <w:lvl w:ilvl="0">
      <w:lvlJc w:val="left"/>
      <w:lvlText w:val="%1."/>
      <w:numFmt w:val="lowerLetter"/>
      <w:start w:val="8"/>
    </w:lvl>
    <w:lvl w:ilvl="1">
      <w:lvlJc w:val="left"/>
      <w:lvlText w:val="(%2)"/>
      <w:numFmt w:val="lowerRoman"/>
      <w:start w:val="1"/>
    </w:lvl>
  </w:abstractNum>
  <w:abstractNum w:abstractNumId="8">
    <w:nsid w:val="6763845E"/>
    <w:multiLevelType w:val="hybridMultilevel"/>
    <w:lvl w:ilvl="0">
      <w:lvlJc w:val="left"/>
      <w:lvlText w:val="%1"/>
      <w:numFmt w:val="lowerLetter"/>
      <w:start w:val="1"/>
    </w:lvl>
    <w:lvl w:ilvl="1">
      <w:lvlJc w:val="left"/>
      <w:lvlText w:val="(%2)"/>
      <w:numFmt w:val="lowerRoman"/>
      <w:start w:val="2"/>
    </w:lvl>
  </w:abstractNum>
  <w:abstractNum w:abstractNumId="9">
    <w:nsid w:val="75A2A8D4"/>
    <w:multiLevelType w:val="hybridMultilevel"/>
    <w:lvl w:ilvl="0">
      <w:lvlJc w:val="left"/>
      <w:lvlText w:val="%1."/>
      <w:numFmt w:val="lowerLetter"/>
      <w:start w:val="18"/>
    </w:lvl>
    <w:lvl w:ilvl="1">
      <w:lvlJc w:val="left"/>
      <w:lvlText w:val="%2"/>
      <w:numFmt w:val="lowerRoman"/>
      <w:start w:val="1"/>
    </w:lvl>
  </w:abstractNum>
  <w:abstractNum w:abstractNumId="10">
    <w:nsid w:val="8EDBDAB"/>
    <w:multiLevelType w:val="hybridMultilevel"/>
    <w:lvl w:ilvl="0">
      <w:lvlJc w:val="left"/>
      <w:lvlText w:val="%1."/>
      <w:numFmt w:val="lowerLetter"/>
      <w:start w:val="27"/>
    </w:lvl>
  </w:abstractNum>
  <w:abstractNum w:abstractNumId="11">
    <w:nsid w:val="79838CB2"/>
    <w:multiLevelType w:val="hybridMultilevel"/>
    <w:lvl w:ilvl="0">
      <w:lvlJc w:val="left"/>
      <w:lvlText w:val="%1"/>
      <w:numFmt w:val="decimal"/>
      <w:start w:val="1"/>
    </w:lvl>
    <w:lvl w:ilvl="1">
      <w:lvlJc w:val="left"/>
      <w:lvlText w:val="%2."/>
      <w:numFmt w:val="lowerLetter"/>
      <w:start w:val="32"/>
    </w:lvl>
  </w:abstractNum>
  <w:abstractNum w:abstractNumId="12">
    <w:nsid w:val="4353D0CD"/>
    <w:multiLevelType w:val="hybridMultilevel"/>
    <w:lvl w:ilvl="0">
      <w:lvlJc w:val="left"/>
      <w:lvlText w:val="%1."/>
      <w:numFmt w:val="decimal"/>
      <w:start w:val="3"/>
    </w:lvl>
    <w:lvl w:ilvl="1">
      <w:lvlJc w:val="left"/>
      <w:lvlText w:val="%2."/>
      <w:numFmt w:val="lowerLetter"/>
      <w:start w:val="1"/>
    </w:lvl>
  </w:abstractNum>
  <w:abstractNum w:abstractNumId="13">
    <w:nsid w:val="B03E0C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
    <w:nsid w:val="189A769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54E49EB4"/>
    <w:multiLevelType w:val="hybridMultilevel"/>
    <w:lvl w:ilvl="0">
      <w:lvlJc w:val="left"/>
      <w:lvlText w:val="%1"/>
      <w:numFmt w:val="lowerLetter"/>
      <w:start w:val="1"/>
    </w:lvl>
    <w:lvl w:ilvl="1">
      <w:lvlJc w:val="left"/>
      <w:lvlText w:val="(%2)"/>
      <w:numFmt w:val="lowerRoman"/>
      <w:start w:val="6"/>
    </w:lvl>
  </w:abstractNum>
  <w:abstractNum w:abstractNumId="16">
    <w:nsid w:val="71F32454"/>
    <w:multiLevelType w:val="hybridMultilevel"/>
    <w:lvl w:ilvl="0">
      <w:lvlJc w:val="left"/>
      <w:lvlText w:val="%1."/>
      <w:numFmt w:val="lowerLetter"/>
      <w:start w:val="3"/>
    </w:lvl>
    <w:lvl w:ilvl="1">
      <w:lvlJc w:val="left"/>
      <w:lvlText w:val="%2"/>
      <w:numFmt w:val="lowerRoman"/>
      <w:start w:val="1"/>
    </w:lvl>
  </w:abstractNum>
  <w:abstractNum w:abstractNumId="17">
    <w:nsid w:val="2CA8861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18">
    <w:nsid w:val="836C40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
    <w:nsid w:val="2901D8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0">
    <w:nsid w:val="3A95F87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21">
    <w:nsid w:val="8138641"/>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22">
    <w:nsid w:val="1E7FF521"/>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3">
    <w:nsid w:val="7C3DBD3D"/>
    <w:multiLevelType w:val="hybridMultilevel"/>
    <w:lvl w:ilvl="0">
      <w:lvlJc w:val="left"/>
      <w:lvlText w:val="(%1)"/>
      <w:numFmt w:val="lowerRoman"/>
      <w:start w:val="2"/>
    </w:lvl>
  </w:abstractNum>
  <w:abstractNum w:abstractNumId="24">
    <w:nsid w:val="737B8D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5">
    <w:nsid w:val="6CEAF087"/>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6">
    <w:nsid w:val="22221A70"/>
    <w:multiLevelType w:val="hybridMultilevel"/>
    <w:lvl w:ilvl="0">
      <w:lvlJc w:val="left"/>
      <w:lvlText w:val="%1"/>
      <w:numFmt w:val="decimal"/>
      <w:start w:val="1"/>
    </w:lvl>
    <w:lvl w:ilvl="1">
      <w:lvlJc w:val="left"/>
      <w:lvlText w:val="%2."/>
      <w:numFmt w:val="lowerLetter"/>
      <w:start w:val="2"/>
    </w:lvl>
  </w:abstractNum>
  <w:abstractNum w:abstractNumId="27">
    <w:nsid w:val="4516DDE9"/>
    <w:multiLevelType w:val="hybridMultilevel"/>
    <w:lvl w:ilvl="0">
      <w:lvlJc w:val="left"/>
      <w:lvlText w:val="%1."/>
      <w:numFmt w:val="decimal"/>
      <w:start w:val="9"/>
    </w:lvl>
    <w:lvl w:ilvl="1">
      <w:lvlJc w:val="left"/>
      <w:lvlText w:val="%2."/>
      <w:numFmt w:val="lowerLetter"/>
      <w:start w:val="1"/>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1."/>
      <w:numFmt w:val="decimal"/>
      <w:start w:val="10"/>
    </w:lvl>
    <w:lvl w:ilvl="1">
      <w:lvlJc w:val="left"/>
      <w:lvlText w:val="%2."/>
      <w:numFmt w:val="lowerLetter"/>
      <w:start w:val="1"/>
    </w:lvl>
  </w:abstractNum>
  <w:abstractNum w:abstractNumId="30">
    <w:nsid w:val="419AC241"/>
    <w:multiLevelType w:val="hybridMultilevel"/>
    <w:lvl w:ilvl="0">
      <w:lvlJc w:val="left"/>
      <w:lvlText w:val="%1."/>
      <w:numFmt w:val="decimal"/>
      <w:start w:val="11"/>
    </w:lvl>
    <w:lvl w:ilvl="1">
      <w:lvlJc w:val="left"/>
      <w:lvlText w:val="%2."/>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4"/>
    </w:lvl>
  </w:abstractNum>
  <w:abstractNum w:abstractNumId="32">
    <w:nsid w:val="440BADFC"/>
    <w:multiLevelType w:val="hybridMultilevel"/>
    <w:lvl w:ilvl="0">
      <w:lvlJc w:val="left"/>
      <w:lvlText w:val="%1."/>
      <w:numFmt w:val="decimal"/>
      <w:start w:val="15"/>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3"/>
    </w:lvl>
  </w:abstractNum>
  <w:abstractNum w:abstractNumId="34">
    <w:nsid w:val="3804823E"/>
    <w:multiLevelType w:val="hybridMultilevel"/>
    <w:lvl w:ilvl="0">
      <w:lvlJc w:val="left"/>
      <w:lvlText w:val="%1."/>
      <w:numFmt w:val="decimal"/>
      <w:start w:val="16"/>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lvl w:ilvl="3">
      <w:lvlJc w:val="left"/>
      <w:lvlText w:val="*"/>
      <w:numFmt w:val="bullet"/>
      <w:start w:val="1"/>
    </w:lvl>
  </w:abstractNum>
  <w:abstractNum w:abstractNumId="37">
    <w:nsid w:val="5C482A97"/>
    <w:multiLevelType w:val="hybridMultilevel"/>
    <w:lvl w:ilvl="0">
      <w:lvlJc w:val="left"/>
      <w:lvlText w:val="(%1)"/>
      <w:numFmt w:val="decimal"/>
      <w:start w:val="12"/>
    </w:lvl>
    <w:lvl w:ilvl="1">
      <w:lvlJc w:val="left"/>
      <w:lvlText w:val="%2."/>
      <w:numFmt w:val="decimal"/>
      <w:start w:val="23"/>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2026-06-04T16:37:54Z</dcterms:created>
  <dcterms:modified xsi:type="dcterms:W3CDTF">2026-06-04T16:37:54Z</dcterms:modified>
</cp:coreProperties>
</file>