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(Mark One)</w:t>
      </w:r>
    </w:p>
    <w:p>
      <w:pPr>
        <w:pStyle w:val="TextBody"/>
        <w:bidi w:val="0"/>
        <w:spacing w:lineRule="auto" w:line="288" w:before="0" w:after="0"/>
        <w:jc w:val="center"/>
        <w:rPr/>
      </w:pPr>
      <w:r>
        <w:rPr>
          <w:rFonts w:ascii="Wingdings;sans-serif" w:hAnsi="Wingdings;sans-serif"/>
          <w:b/>
          <w:color w:val="000000"/>
          <w:sz w:val="18"/>
        </w:rPr>
        <w:t>x</w:t>
      </w: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June 30, 2024</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lineRule="auto" w:line="288" w:before="200" w:after="283"/>
        <w:jc w:val="center"/>
        <w:rPr/>
      </w:pPr>
      <w:r>
        <w:rPr>
          <w:rFonts w:ascii="Wingdings;sans-serif" w:hAnsi="Wingdings;sans-serif"/>
          <w:b/>
          <w:color w:val="000000"/>
          <w:sz w:val="18"/>
        </w:rPr>
        <w:t>o</w:t>
      </w: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Commission File Number 001-34899</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p>
      <w:pPr>
        <w:pStyle w:val="TextBody"/>
        <w:bidi w:val="0"/>
        <w:spacing w:before="60" w:after="283"/>
        <w:jc w:val="center"/>
        <w:rPr/>
      </w:pPr>
      <w:r>
        <w:rPr/>
        <w:drawing>
          <wp:inline distT="0" distB="0" distL="0" distR="0">
            <wp:extent cx="24765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571500"/>
                    </a:xfrm>
                    <a:prstGeom prst="rect">
                      <a:avLst/>
                    </a:prstGeom>
                  </pic:spPr>
                </pic:pic>
              </a:graphicData>
            </a:graphic>
          </wp:inline>
        </w:drawing>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Pacific Biosciences of California,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tbl>
      <w:tblPr>
        <w:tblW w:w="4408" w:type="dxa"/>
        <w:jc w:val="left"/>
        <w:tblInd w:w="0" w:type="dxa"/>
        <w:tblLayout w:type="fixed"/>
        <w:tblCellMar>
          <w:top w:w="28" w:type="dxa"/>
          <w:left w:w="28" w:type="dxa"/>
          <w:bottom w:w="28" w:type="dxa"/>
          <w:right w:w="28" w:type="dxa"/>
        </w:tblCellMar>
      </w:tblPr>
      <w:tblGrid>
        <w:gridCol w:w="1060"/>
        <w:gridCol w:w="929"/>
        <w:gridCol w:w="935"/>
        <w:gridCol w:w="432"/>
        <w:gridCol w:w="432"/>
        <w:gridCol w:w="620"/>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16-1590339</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1305 O’Brien Drive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Menlo Park, CA</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94025</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(650) 521-8000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_____________________________________________________________________________________________</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799" w:type="dxa"/>
        <w:jc w:val="left"/>
        <w:tblInd w:w="0" w:type="dxa"/>
        <w:tblLayout w:type="fixed"/>
        <w:tblCellMar>
          <w:top w:w="28" w:type="dxa"/>
          <w:left w:w="28" w:type="dxa"/>
          <w:bottom w:w="28" w:type="dxa"/>
          <w:right w:w="28" w:type="dxa"/>
        </w:tblCellMar>
      </w:tblPr>
      <w:tblGrid>
        <w:gridCol w:w="1142"/>
        <w:gridCol w:w="997"/>
        <w:gridCol w:w="1011"/>
        <w:gridCol w:w="474"/>
        <w:gridCol w:w="474"/>
        <w:gridCol w:w="476"/>
        <w:gridCol w:w="945"/>
        <w:gridCol w:w="945"/>
        <w:gridCol w:w="1335"/>
      </w:tblGrid>
      <w:tr>
        <w:trPr/>
        <w:tc>
          <w:tcPr>
            <w:tcW w:w="114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15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$0.001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PACB</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60" w:after="283"/>
        <w:ind w:left="0" w:right="0" w:firstLine="540"/>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200" w:after="283"/>
        <w:ind w:left="0" w:right="0" w:firstLine="540"/>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200" w:after="283"/>
        <w:ind w:left="0" w:right="0" w:firstLine="54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794" w:type="dxa"/>
        <w:jc w:val="left"/>
        <w:tblInd w:w="0" w:type="dxa"/>
        <w:tblLayout w:type="fixed"/>
        <w:tblCellMar>
          <w:top w:w="28" w:type="dxa"/>
          <w:left w:w="28" w:type="dxa"/>
          <w:bottom w:w="28" w:type="dxa"/>
          <w:right w:w="28" w:type="dxa"/>
        </w:tblCellMar>
      </w:tblPr>
      <w:tblGrid>
        <w:gridCol w:w="755"/>
        <w:gridCol w:w="664"/>
        <w:gridCol w:w="666"/>
        <w:gridCol w:w="109"/>
        <w:gridCol w:w="109"/>
        <w:gridCol w:w="109"/>
        <w:gridCol w:w="669"/>
        <w:gridCol w:w="669"/>
        <w:gridCol w:w="672"/>
        <w:gridCol w:w="109"/>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16"/>
              </w:rPr>
            </w:pPr>
            <w:r>
              <w:rPr>
                <w:rFonts w:ascii="Wingdings;sans-serif" w:hAnsi="Wingdings;sans-serif"/>
                <w:b w:val="false"/>
                <w:color w:val="000000"/>
                <w:sz w:val="16"/>
              </w:rPr>
              <w:t>o</w:t>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54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200" w:after="283"/>
        <w:ind w:left="0" w:right="0" w:firstLine="540"/>
        <w:jc w:val="left"/>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200" w:after="283"/>
        <w:ind w:left="0" w:right="0" w:firstLine="54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Number of shares outstanding of the issuer’s common stock as of July 31, 2024: 272,528,950.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center"/>
        <w:rPr>
          <w:rFonts w:ascii="Roboto;sans-serif" w:hAnsi="Roboto;sans-serif"/>
          <w:b/>
          <w:color w:val="000000"/>
          <w:sz w:val="20"/>
        </w:rPr>
      </w:pPr>
      <w:r>
        <w:rPr>
          <w:rFonts w:ascii="Roboto;sans-serif" w:hAnsi="Roboto;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320"/>
        <w:gridCol w:w="2917"/>
        <w:gridCol w:w="2930"/>
        <w:gridCol w:w="303"/>
        <w:gridCol w:w="303"/>
        <w:gridCol w:w="432"/>
      </w:tblGrid>
      <w:tr>
        <w:trPr/>
        <w:tc>
          <w:tcPr>
            <w:tcW w:w="3320" w:type="dxa"/>
            <w:tcBorders/>
            <w:vAlign w:val="center"/>
          </w:tcPr>
          <w:p>
            <w:pPr>
              <w:pStyle w:val="TableContents"/>
              <w:bidi w:val="0"/>
              <w:spacing w:before="0" w:after="283"/>
              <w:jc w:val="left"/>
              <w:rPr>
                <w:sz w:val="4"/>
                <w:szCs w:val="4"/>
              </w:rPr>
            </w:pPr>
            <w:r>
              <w:rPr>
                <w:sz w:val="4"/>
                <w:szCs w:val="4"/>
              </w:rPr>
            </w:r>
          </w:p>
        </w:tc>
        <w:tc>
          <w:tcPr>
            <w:tcW w:w="2917" w:type="dxa"/>
            <w:tcBorders/>
            <w:vAlign w:val="center"/>
          </w:tcPr>
          <w:p>
            <w:pPr>
              <w:pStyle w:val="TableContents"/>
              <w:bidi w:val="0"/>
              <w:spacing w:before="0" w:after="283"/>
              <w:jc w:val="left"/>
              <w:rPr>
                <w:sz w:val="4"/>
                <w:szCs w:val="4"/>
              </w:rPr>
            </w:pPr>
            <w:r>
              <w:rPr>
                <w:sz w:val="4"/>
                <w:szCs w:val="4"/>
              </w:rPr>
            </w:r>
          </w:p>
        </w:tc>
        <w:tc>
          <w:tcPr>
            <w:tcW w:w="293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6b0fb93fca346b681fa51b22bb3bc4e_10">
              <w:r>
                <w:rPr>
                  <w:rStyle w:val="InternetLink"/>
                  <w:rFonts w:ascii="Roboto;sans-serif" w:hAnsi="Roboto;sans-serif"/>
                  <w:b/>
                  <w:strike w:val="false"/>
                  <w:dstrike w:val="false"/>
                  <w:color w:val="000000"/>
                  <w:sz w:val="20"/>
                  <w:u w:val="none"/>
                  <w:effect w:val="none"/>
                </w:rPr>
                <w:t>PART I. FINANCIAL INFORMATION</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color w:val="000000"/>
                <w:sz w:val="20"/>
                <w:u w:val="single"/>
              </w:rPr>
            </w:pPr>
            <w:r>
              <w:rPr>
                <w:rFonts w:ascii="Roboto;sans-serif" w:hAnsi="Roboto;sans-serif"/>
                <w:b/>
                <w:color w:val="000000"/>
                <w:sz w:val="20"/>
                <w:u w:val="single"/>
              </w:rPr>
              <w:t>PAGE No.</w:t>
            </w:r>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b0fb93fca346b681fa51b22bb3bc4e_13">
              <w:r>
                <w:rPr>
                  <w:rStyle w:val="InternetLink"/>
                  <w:rFonts w:ascii="Roboto;sans-serif" w:hAnsi="Roboto;sans-serif"/>
                  <w:b w:val="false"/>
                  <w:color w:val="0000FF"/>
                  <w:sz w:val="20"/>
                  <w:u w:val="single"/>
                </w:rPr>
                <w:t>Item 1. Financial Statements (unaudited):</w:t>
              </w:r>
            </w:hyperlink>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b0fb93fca346b681fa51b22bb3bc4e_16">
              <w:r>
                <w:rPr>
                  <w:rStyle w:val="InternetLink"/>
                  <w:rFonts w:ascii="Roboto;sans-serif" w:hAnsi="Roboto;sans-serif"/>
                  <w:b w:val="false"/>
                  <w:color w:val="000080"/>
                  <w:sz w:val="20"/>
                  <w:u w:val="single"/>
                </w:rPr>
                <w:t xml:space="preserve">Condensed Consolidated Balance Sheets as of </w:t>
              </w:r>
            </w:hyperlink>
            <w:hyperlink w:anchor="if6b0fb93fca346b681fa51b22bb3bc4e_16">
              <w:r>
                <w:rPr>
                  <w:rStyle w:val="InternetLink"/>
                  <w:rFonts w:ascii="Roboto;sans-serif" w:hAnsi="Roboto;sans-serif"/>
                  <w:b w:val="false"/>
                  <w:color w:val="000080"/>
                  <w:sz w:val="20"/>
                  <w:u w:val="single"/>
                </w:rPr>
                <w:t>June</w:t>
              </w:r>
            </w:hyperlink>
            <w:hyperlink w:anchor="if6b0fb93fca346b681fa51b22bb3bc4e_16">
              <w:r>
                <w:rPr>
                  <w:rStyle w:val="InternetLink"/>
                  <w:rFonts w:ascii="Roboto;sans-serif" w:hAnsi="Roboto;sans-serif"/>
                  <w:b w:val="false"/>
                  <w:color w:val="000080"/>
                  <w:sz w:val="20"/>
                  <w:u w:val="single"/>
                </w:rPr>
                <w:t xml:space="preserve"> 3</w:t>
              </w:r>
            </w:hyperlink>
            <w:hyperlink w:anchor="if6b0fb93fca346b681fa51b22bb3bc4e_16">
              <w:r>
                <w:rPr>
                  <w:rStyle w:val="InternetLink"/>
                  <w:rFonts w:ascii="Roboto;sans-serif" w:hAnsi="Roboto;sans-serif"/>
                  <w:b w:val="false"/>
                  <w:color w:val="000080"/>
                  <w:sz w:val="20"/>
                  <w:u w:val="single"/>
                </w:rPr>
                <w:t>0</w:t>
              </w:r>
            </w:hyperlink>
            <w:hyperlink w:anchor="if6b0fb93fca346b681fa51b22bb3bc4e_16">
              <w:r>
                <w:rPr>
                  <w:rStyle w:val="InternetLink"/>
                  <w:rFonts w:ascii="Roboto;sans-serif" w:hAnsi="Roboto;sans-serif"/>
                  <w:b w:val="false"/>
                  <w:color w:val="000080"/>
                  <w:sz w:val="20"/>
                  <w:u w:val="single"/>
                </w:rPr>
                <w:t>, 2024 and December 31, 2023</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b0fb93fca346b681fa51b22bb3bc4e_16">
              <w:r>
                <w:rPr>
                  <w:rStyle w:val="InternetLink"/>
                  <w:rFonts w:ascii="Roboto;sans-serif" w:hAnsi="Roboto;sans-serif"/>
                  <w:b w:val="false"/>
                  <w:strike w:val="false"/>
                  <w:dstrike w:val="false"/>
                  <w:color w:val="000000"/>
                  <w:sz w:val="20"/>
                  <w:u w:val="none"/>
                  <w:effect w:val="none"/>
                </w:rPr>
                <w:t>3</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b0fb93fca346b681fa51b22bb3bc4e_19">
              <w:r>
                <w:rPr>
                  <w:rStyle w:val="InternetLink"/>
                  <w:rFonts w:ascii="Roboto;sans-serif" w:hAnsi="Roboto;sans-serif"/>
                  <w:b w:val="false"/>
                  <w:color w:val="000080"/>
                  <w:sz w:val="20"/>
                  <w:u w:val="single"/>
                </w:rPr>
                <w:t xml:space="preserve">Condensed Consolidated Statements of Operations and Comprehensive Loss for the Three </w:t>
              </w:r>
            </w:hyperlink>
            <w:hyperlink w:anchor="if6b0fb93fca346b681fa51b22bb3bc4e_19">
              <w:r>
                <w:rPr>
                  <w:rStyle w:val="InternetLink"/>
                  <w:rFonts w:ascii="Roboto;sans-serif" w:hAnsi="Roboto;sans-serif"/>
                  <w:b w:val="false"/>
                  <w:color w:val="000080"/>
                  <w:sz w:val="20"/>
                  <w:u w:val="single"/>
                </w:rPr>
                <w:t xml:space="preserve">and Six </w:t>
              </w:r>
            </w:hyperlink>
            <w:hyperlink w:anchor="if6b0fb93fca346b681fa51b22bb3bc4e_19">
              <w:r>
                <w:rPr>
                  <w:rStyle w:val="InternetLink"/>
                  <w:rFonts w:ascii="Roboto;sans-serif" w:hAnsi="Roboto;sans-serif"/>
                  <w:b w:val="false"/>
                  <w:color w:val="000080"/>
                  <w:sz w:val="20"/>
                  <w:u w:val="single"/>
                </w:rPr>
                <w:t xml:space="preserve">Months Ended </w:t>
              </w:r>
            </w:hyperlink>
            <w:hyperlink w:anchor="if6b0fb93fca346b681fa51b22bb3bc4e_19">
              <w:r>
                <w:rPr>
                  <w:rStyle w:val="InternetLink"/>
                  <w:rFonts w:ascii="Roboto;sans-serif" w:hAnsi="Roboto;sans-serif"/>
                  <w:b w:val="false"/>
                  <w:color w:val="000080"/>
                  <w:sz w:val="20"/>
                  <w:u w:val="single"/>
                </w:rPr>
                <w:t>June</w:t>
              </w:r>
            </w:hyperlink>
            <w:hyperlink w:anchor="if6b0fb93fca346b681fa51b22bb3bc4e_19">
              <w:r>
                <w:rPr>
                  <w:rStyle w:val="InternetLink"/>
                  <w:rFonts w:ascii="Roboto;sans-serif" w:hAnsi="Roboto;sans-serif"/>
                  <w:b w:val="false"/>
                  <w:color w:val="000080"/>
                  <w:sz w:val="20"/>
                  <w:u w:val="single"/>
                </w:rPr>
                <w:t xml:space="preserve"> 3</w:t>
              </w:r>
            </w:hyperlink>
            <w:hyperlink w:anchor="if6b0fb93fca346b681fa51b22bb3bc4e_19">
              <w:r>
                <w:rPr>
                  <w:rStyle w:val="InternetLink"/>
                  <w:rFonts w:ascii="Roboto;sans-serif" w:hAnsi="Roboto;sans-serif"/>
                  <w:b w:val="false"/>
                  <w:color w:val="000080"/>
                  <w:sz w:val="20"/>
                  <w:u w:val="single"/>
                </w:rPr>
                <w:t>0</w:t>
              </w:r>
            </w:hyperlink>
            <w:hyperlink w:anchor="if6b0fb93fca346b681fa51b22bb3bc4e_19">
              <w:r>
                <w:rPr>
                  <w:rStyle w:val="InternetLink"/>
                  <w:rFonts w:ascii="Roboto;sans-serif" w:hAnsi="Roboto;sans-serif"/>
                  <w:b w:val="false"/>
                  <w:color w:val="000080"/>
                  <w:sz w:val="20"/>
                  <w:u w:val="single"/>
                </w:rPr>
                <w:t>, 2024 and 2023</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b0fb93fca346b681fa51b22bb3bc4e_19">
              <w:r>
                <w:rPr>
                  <w:rStyle w:val="InternetLink"/>
                  <w:rFonts w:ascii="Roboto;sans-serif" w:hAnsi="Roboto;sans-serif"/>
                  <w:b w:val="false"/>
                  <w:strike w:val="false"/>
                  <w:dstrike w:val="false"/>
                  <w:color w:val="000000"/>
                  <w:sz w:val="20"/>
                  <w:u w:val="none"/>
                  <w:effect w:val="none"/>
                </w:rPr>
                <w:t>4</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b0fb93fca346b681fa51b22bb3bc4e_22">
              <w:r>
                <w:rPr>
                  <w:rStyle w:val="InternetLink"/>
                  <w:rFonts w:ascii="Roboto;sans-serif" w:hAnsi="Roboto;sans-serif"/>
                  <w:b w:val="false"/>
                  <w:color w:val="000080"/>
                  <w:sz w:val="20"/>
                  <w:u w:val="single"/>
                </w:rPr>
                <w:t xml:space="preserve">Condensed Consolidated Statements of Stockholders’ Equity for the Three </w:t>
              </w:r>
            </w:hyperlink>
            <w:hyperlink w:anchor="if6b0fb93fca346b681fa51b22bb3bc4e_22">
              <w:r>
                <w:rPr>
                  <w:rStyle w:val="InternetLink"/>
                  <w:rFonts w:ascii="Roboto;sans-serif" w:hAnsi="Roboto;sans-serif"/>
                  <w:b w:val="false"/>
                  <w:color w:val="000080"/>
                  <w:sz w:val="20"/>
                  <w:u w:val="single"/>
                </w:rPr>
                <w:t xml:space="preserve">and Six </w:t>
              </w:r>
            </w:hyperlink>
            <w:hyperlink w:anchor="if6b0fb93fca346b681fa51b22bb3bc4e_22">
              <w:r>
                <w:rPr>
                  <w:rStyle w:val="InternetLink"/>
                  <w:rFonts w:ascii="Roboto;sans-serif" w:hAnsi="Roboto;sans-serif"/>
                  <w:b w:val="false"/>
                  <w:color w:val="000080"/>
                  <w:sz w:val="20"/>
                  <w:u w:val="single"/>
                </w:rPr>
                <w:t xml:space="preserve">Months Ended </w:t>
              </w:r>
            </w:hyperlink>
            <w:hyperlink w:anchor="if6b0fb93fca346b681fa51b22bb3bc4e_22">
              <w:r>
                <w:rPr>
                  <w:rStyle w:val="InternetLink"/>
                  <w:rFonts w:ascii="Roboto;sans-serif" w:hAnsi="Roboto;sans-serif"/>
                  <w:b w:val="false"/>
                  <w:color w:val="000080"/>
                  <w:sz w:val="20"/>
                  <w:u w:val="single"/>
                </w:rPr>
                <w:t>June</w:t>
              </w:r>
            </w:hyperlink>
            <w:hyperlink w:anchor="if6b0fb93fca346b681fa51b22bb3bc4e_22">
              <w:r>
                <w:rPr>
                  <w:rStyle w:val="InternetLink"/>
                  <w:rFonts w:ascii="Roboto;sans-serif" w:hAnsi="Roboto;sans-serif"/>
                  <w:b w:val="false"/>
                  <w:color w:val="000080"/>
                  <w:sz w:val="20"/>
                  <w:u w:val="single"/>
                </w:rPr>
                <w:t xml:space="preserve"> 3</w:t>
              </w:r>
            </w:hyperlink>
            <w:hyperlink w:anchor="if6b0fb93fca346b681fa51b22bb3bc4e_22">
              <w:r>
                <w:rPr>
                  <w:rStyle w:val="InternetLink"/>
                  <w:rFonts w:ascii="Roboto;sans-serif" w:hAnsi="Roboto;sans-serif"/>
                  <w:b w:val="false"/>
                  <w:color w:val="000080"/>
                  <w:sz w:val="20"/>
                  <w:u w:val="single"/>
                </w:rPr>
                <w:t>0</w:t>
              </w:r>
            </w:hyperlink>
            <w:hyperlink w:anchor="if6b0fb93fca346b681fa51b22bb3bc4e_22">
              <w:r>
                <w:rPr>
                  <w:rStyle w:val="InternetLink"/>
                  <w:rFonts w:ascii="Roboto;sans-serif" w:hAnsi="Roboto;sans-serif"/>
                  <w:b w:val="false"/>
                  <w:color w:val="000080"/>
                  <w:sz w:val="20"/>
                  <w:u w:val="single"/>
                </w:rPr>
                <w:t>, 2024 and 2023</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b0fb93fca346b681fa51b22bb3bc4e_22">
              <w:r>
                <w:rPr>
                  <w:rStyle w:val="InternetLink"/>
                  <w:rFonts w:ascii="Roboto;sans-serif" w:hAnsi="Roboto;sans-serif"/>
                  <w:b w:val="false"/>
                  <w:strike w:val="false"/>
                  <w:dstrike w:val="false"/>
                  <w:color w:val="000000"/>
                  <w:sz w:val="20"/>
                  <w:u w:val="none"/>
                  <w:effect w:val="none"/>
                </w:rPr>
                <w:t>5</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b0fb93fca346b681fa51b22bb3bc4e_25">
              <w:r>
                <w:rPr>
                  <w:rStyle w:val="InternetLink"/>
                  <w:rFonts w:ascii="Roboto;sans-serif" w:hAnsi="Roboto;sans-serif"/>
                  <w:b w:val="false"/>
                  <w:color w:val="000080"/>
                  <w:sz w:val="20"/>
                  <w:u w:val="single"/>
                </w:rPr>
                <w:t xml:space="preserve">Condensed Consolidated Statements of Cash Flows for the </w:t>
              </w:r>
            </w:hyperlink>
            <w:hyperlink w:anchor="if6b0fb93fca346b681fa51b22bb3bc4e_25">
              <w:r>
                <w:rPr>
                  <w:rStyle w:val="InternetLink"/>
                  <w:rFonts w:ascii="Roboto;sans-serif" w:hAnsi="Roboto;sans-serif"/>
                  <w:b w:val="false"/>
                  <w:color w:val="000080"/>
                  <w:sz w:val="20"/>
                  <w:u w:val="single"/>
                </w:rPr>
                <w:t>Six</w:t>
              </w:r>
            </w:hyperlink>
            <w:hyperlink w:anchor="if6b0fb93fca346b681fa51b22bb3bc4e_25">
              <w:r>
                <w:rPr>
                  <w:rStyle w:val="InternetLink"/>
                  <w:rFonts w:ascii="Roboto;sans-serif" w:hAnsi="Roboto;sans-serif"/>
                  <w:b w:val="false"/>
                  <w:color w:val="000080"/>
                  <w:sz w:val="20"/>
                  <w:u w:val="single"/>
                </w:rPr>
                <w:t xml:space="preserve"> Months Ended </w:t>
              </w:r>
            </w:hyperlink>
            <w:hyperlink w:anchor="if6b0fb93fca346b681fa51b22bb3bc4e_25">
              <w:r>
                <w:rPr>
                  <w:rStyle w:val="InternetLink"/>
                  <w:rFonts w:ascii="Roboto;sans-serif" w:hAnsi="Roboto;sans-serif"/>
                  <w:b w:val="false"/>
                  <w:color w:val="000080"/>
                  <w:sz w:val="20"/>
                  <w:u w:val="single"/>
                </w:rPr>
                <w:t>Ju</w:t>
              </w:r>
            </w:hyperlink>
            <w:hyperlink w:anchor="if6b0fb93fca346b681fa51b22bb3bc4e_25">
              <w:r>
                <w:rPr>
                  <w:rStyle w:val="InternetLink"/>
                  <w:rFonts w:ascii="Roboto;sans-serif" w:hAnsi="Roboto;sans-serif"/>
                  <w:b w:val="false"/>
                  <w:color w:val="000080"/>
                  <w:sz w:val="20"/>
                  <w:u w:val="single"/>
                </w:rPr>
                <w:t>ne</w:t>
              </w:r>
            </w:hyperlink>
            <w:hyperlink w:anchor="if6b0fb93fca346b681fa51b22bb3bc4e_25">
              <w:r>
                <w:rPr>
                  <w:rStyle w:val="InternetLink"/>
                  <w:rFonts w:ascii="Roboto;sans-serif" w:hAnsi="Roboto;sans-serif"/>
                  <w:b w:val="false"/>
                  <w:color w:val="000080"/>
                  <w:sz w:val="20"/>
                  <w:u w:val="single"/>
                </w:rPr>
                <w:t xml:space="preserve"> 3</w:t>
              </w:r>
            </w:hyperlink>
            <w:hyperlink w:anchor="if6b0fb93fca346b681fa51b22bb3bc4e_25">
              <w:r>
                <w:rPr>
                  <w:rStyle w:val="InternetLink"/>
                  <w:rFonts w:ascii="Roboto;sans-serif" w:hAnsi="Roboto;sans-serif"/>
                  <w:b w:val="false"/>
                  <w:color w:val="000080"/>
                  <w:sz w:val="20"/>
                  <w:u w:val="single"/>
                </w:rPr>
                <w:t>0</w:t>
              </w:r>
            </w:hyperlink>
            <w:hyperlink w:anchor="if6b0fb93fca346b681fa51b22bb3bc4e_25">
              <w:r>
                <w:rPr>
                  <w:rStyle w:val="InternetLink"/>
                  <w:rFonts w:ascii="Roboto;sans-serif" w:hAnsi="Roboto;sans-serif"/>
                  <w:b w:val="false"/>
                  <w:color w:val="000080"/>
                  <w:sz w:val="20"/>
                  <w:u w:val="single"/>
                </w:rPr>
                <w:t>, 2024 and 2023</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b0fb93fca346b681fa51b22bb3bc4e_25">
              <w:r>
                <w:rPr>
                  <w:rStyle w:val="InternetLink"/>
                  <w:rFonts w:ascii="Roboto;sans-serif" w:hAnsi="Roboto;sans-serif"/>
                  <w:b w:val="false"/>
                  <w:strike w:val="false"/>
                  <w:dstrike w:val="false"/>
                  <w:color w:val="000000"/>
                  <w:sz w:val="20"/>
                  <w:u w:val="none"/>
                  <w:effect w:val="none"/>
                </w:rPr>
                <w:t>6</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b0fb93fca346b681fa51b22bb3bc4e_28">
              <w:r>
                <w:rPr>
                  <w:rStyle w:val="InternetLink"/>
                  <w:rFonts w:ascii="Roboto;sans-serif" w:hAnsi="Roboto;sans-serif"/>
                  <w:b w:val="false"/>
                  <w:color w:val="0000FF"/>
                  <w:sz w:val="20"/>
                  <w:u w:val="single"/>
                </w:rPr>
                <w:t xml:space="preserve">Notes to Condensed Consolidated Financial Statements </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b0fb93fca346b681fa51b22bb3bc4e_28">
              <w:r>
                <w:rPr>
                  <w:rStyle w:val="InternetLink"/>
                  <w:rFonts w:ascii="Roboto;sans-serif" w:hAnsi="Roboto;sans-serif"/>
                  <w:b w:val="false"/>
                  <w:strike w:val="false"/>
                  <w:dstrike w:val="false"/>
                  <w:color w:val="000000"/>
                  <w:sz w:val="20"/>
                  <w:u w:val="none"/>
                  <w:effect w:val="none"/>
                </w:rPr>
                <w:t>7</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b0fb93fca346b681fa51b22bb3bc4e_79">
              <w:r>
                <w:rPr>
                  <w:rStyle w:val="InternetLink"/>
                  <w:rFonts w:ascii="Roboto;sans-serif" w:hAnsi="Roboto;sans-serif"/>
                  <w:b w:val="false"/>
                  <w:color w:val="0000FF"/>
                  <w:sz w:val="20"/>
                  <w:u w:val="single"/>
                </w:rPr>
                <w:t>Item 2. Management’s Discussion and Analysis of Financial Condition and Results of Operations</w:t>
              </w:r>
            </w:hyperlink>
            <w:r>
              <w:rPr>
                <w:color w:val="000000"/>
              </w:rPr>
              <w:t xml:space="preserve"> </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b0fb93fca346b681fa51b22bb3bc4e_79">
              <w:r>
                <w:rPr>
                  <w:rStyle w:val="InternetLink"/>
                  <w:rFonts w:ascii="Roboto;sans-serif" w:hAnsi="Roboto;sans-serif"/>
                  <w:b w:val="false"/>
                  <w:strike w:val="false"/>
                  <w:dstrike w:val="false"/>
                  <w:color w:val="000000"/>
                  <w:sz w:val="20"/>
                  <w:u w:val="none"/>
                  <w:effect w:val="none"/>
                </w:rPr>
                <w:t>24</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b0fb93fca346b681fa51b22bb3bc4e_100">
              <w:r>
                <w:rPr>
                  <w:rStyle w:val="InternetLink"/>
                  <w:rFonts w:ascii="Roboto;sans-serif" w:hAnsi="Roboto;sans-serif"/>
                  <w:b w:val="false"/>
                  <w:color w:val="0000FF"/>
                  <w:sz w:val="20"/>
                  <w:u w:val="single"/>
                </w:rPr>
                <w:t>Item 3. Quantitative and Qualitative Disclosures About Market Risk</w:t>
              </w:r>
            </w:hyperlink>
            <w:r>
              <w:rPr>
                <w:color w:val="000000"/>
              </w:rPr>
              <w:t xml:space="preserve"> </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b0fb93fca346b681fa51b22bb3bc4e_100">
              <w:r>
                <w:rPr>
                  <w:rStyle w:val="InternetLink"/>
                  <w:rFonts w:ascii="Roboto;sans-serif" w:hAnsi="Roboto;sans-serif"/>
                  <w:b w:val="false"/>
                  <w:strike w:val="false"/>
                  <w:dstrike w:val="false"/>
                  <w:color w:val="000000"/>
                  <w:sz w:val="20"/>
                  <w:u w:val="none"/>
                  <w:effect w:val="none"/>
                </w:rPr>
                <w:t>35</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b0fb93fca346b681fa51b22bb3bc4e_103">
              <w:r>
                <w:rPr>
                  <w:rStyle w:val="InternetLink"/>
                  <w:rFonts w:ascii="Roboto;sans-serif" w:hAnsi="Roboto;sans-serif"/>
                  <w:b w:val="false"/>
                  <w:color w:val="0000FF"/>
                  <w:sz w:val="20"/>
                  <w:u w:val="single"/>
                </w:rPr>
                <w:t>Item 4. Controls and Procedures</w:t>
              </w:r>
            </w:hyperlink>
            <w:r>
              <w:rPr>
                <w:color w:val="000000"/>
              </w:rPr>
              <w:t xml:space="preserve"> </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b0fb93fca346b681fa51b22bb3bc4e_103">
              <w:r>
                <w:rPr>
                  <w:rStyle w:val="InternetLink"/>
                  <w:rFonts w:ascii="Roboto;sans-serif" w:hAnsi="Roboto;sans-serif"/>
                  <w:b w:val="false"/>
                  <w:strike w:val="false"/>
                  <w:dstrike w:val="false"/>
                  <w:color w:val="000000"/>
                  <w:sz w:val="20"/>
                  <w:u w:val="none"/>
                  <w:effect w:val="none"/>
                </w:rPr>
                <w:t>36</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f6b0fb93fca346b681fa51b22bb3bc4e_106">
              <w:r>
                <w:rPr>
                  <w:rStyle w:val="InternetLink"/>
                  <w:rFonts w:ascii="Roboto;sans-serif" w:hAnsi="Roboto;sans-serif"/>
                  <w:b/>
                  <w:strike w:val="false"/>
                  <w:dstrike w:val="false"/>
                  <w:color w:val="000000"/>
                  <w:sz w:val="20"/>
                  <w:u w:val="none"/>
                  <w:effect w:val="none"/>
                </w:rPr>
                <w:t>PART II. OTHER INFORMATION</w:t>
              </w:r>
            </w:hyperlink>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b0fb93fca346b681fa51b22bb3bc4e_109">
              <w:r>
                <w:rPr>
                  <w:rStyle w:val="InternetLink"/>
                  <w:rFonts w:ascii="Roboto;sans-serif" w:hAnsi="Roboto;sans-serif"/>
                  <w:b w:val="false"/>
                  <w:color w:val="0000FF"/>
                  <w:sz w:val="20"/>
                  <w:u w:val="single"/>
                </w:rPr>
                <w:t>Item 1. Legal Proceedings</w:t>
              </w:r>
            </w:hyperlink>
            <w:r>
              <w:rPr>
                <w:color w:val="000000"/>
              </w:rPr>
              <w:t xml:space="preserve"> </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b0fb93fca346b681fa51b22bb3bc4e_109">
              <w:r>
                <w:rPr>
                  <w:rStyle w:val="InternetLink"/>
                  <w:rFonts w:ascii="Roboto;sans-serif" w:hAnsi="Roboto;sans-serif"/>
                  <w:b w:val="false"/>
                  <w:strike w:val="false"/>
                  <w:dstrike w:val="false"/>
                  <w:color w:val="000000"/>
                  <w:sz w:val="20"/>
                  <w:u w:val="none"/>
                  <w:effect w:val="none"/>
                </w:rPr>
                <w:t>37</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b0fb93fca346b681fa51b22bb3bc4e_112">
              <w:r>
                <w:rPr>
                  <w:rStyle w:val="InternetLink"/>
                  <w:rFonts w:ascii="Roboto;sans-serif" w:hAnsi="Roboto;sans-serif"/>
                  <w:b w:val="false"/>
                  <w:color w:val="0000FF"/>
                  <w:sz w:val="20"/>
                  <w:u w:val="single"/>
                </w:rPr>
                <w:t xml:space="preserve">Item 1A. Risk Factors </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b0fb93fca346b681fa51b22bb3bc4e_112">
              <w:r>
                <w:rPr>
                  <w:rStyle w:val="InternetLink"/>
                  <w:rFonts w:ascii="Roboto;sans-serif" w:hAnsi="Roboto;sans-serif"/>
                  <w:b w:val="false"/>
                  <w:strike w:val="false"/>
                  <w:dstrike w:val="false"/>
                  <w:color w:val="000000"/>
                  <w:sz w:val="20"/>
                  <w:u w:val="none"/>
                  <w:effect w:val="none"/>
                </w:rPr>
                <w:t>38</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b0fb93fca346b681fa51b22bb3bc4e_115">
              <w:r>
                <w:rPr>
                  <w:rStyle w:val="InternetLink"/>
                  <w:rFonts w:ascii="Roboto;sans-serif" w:hAnsi="Roboto;sans-serif"/>
                  <w:b w:val="false"/>
                  <w:color w:val="0000FF"/>
                  <w:sz w:val="20"/>
                  <w:u w:val="single"/>
                </w:rPr>
                <w:t>Item 2. Unregistered Sales of Equity Securities and Use of Proceeds</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b0fb93fca346b681fa51b22bb3bc4e_115">
              <w:r>
                <w:rPr>
                  <w:rStyle w:val="InternetLink"/>
                  <w:rFonts w:ascii="Roboto;sans-serif" w:hAnsi="Roboto;sans-serif"/>
                  <w:b w:val="false"/>
                  <w:strike w:val="false"/>
                  <w:dstrike w:val="false"/>
                  <w:color w:val="000000"/>
                  <w:sz w:val="20"/>
                  <w:u w:val="none"/>
                  <w:effect w:val="none"/>
                </w:rPr>
                <w:t>77</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b0fb93fca346b681fa51b22bb3bc4e_118">
              <w:r>
                <w:rPr>
                  <w:rStyle w:val="InternetLink"/>
                  <w:rFonts w:ascii="Roboto;sans-serif" w:hAnsi="Roboto;sans-serif"/>
                  <w:b w:val="false"/>
                  <w:color w:val="0000FF"/>
                  <w:sz w:val="20"/>
                  <w:u w:val="single"/>
                </w:rPr>
                <w:t xml:space="preserve">Item 3. Defaults Upon Senior Securities </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b0fb93fca346b681fa51b22bb3bc4e_118">
              <w:r>
                <w:rPr>
                  <w:rStyle w:val="InternetLink"/>
                  <w:rFonts w:ascii="Roboto;sans-serif" w:hAnsi="Roboto;sans-serif"/>
                  <w:b w:val="false"/>
                  <w:strike w:val="false"/>
                  <w:dstrike w:val="false"/>
                  <w:color w:val="000000"/>
                  <w:sz w:val="20"/>
                  <w:u w:val="none"/>
                  <w:effect w:val="none"/>
                </w:rPr>
                <w:t>77</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b0fb93fca346b681fa51b22bb3bc4e_121">
              <w:r>
                <w:rPr>
                  <w:rStyle w:val="InternetLink"/>
                  <w:rFonts w:ascii="Roboto;sans-serif" w:hAnsi="Roboto;sans-serif"/>
                  <w:b w:val="false"/>
                  <w:color w:val="0000FF"/>
                  <w:sz w:val="20"/>
                  <w:u w:val="single"/>
                </w:rPr>
                <w:t xml:space="preserve">Item 4. Mine Safety Disclosures </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b0fb93fca346b681fa51b22bb3bc4e_121">
              <w:r>
                <w:rPr>
                  <w:rStyle w:val="InternetLink"/>
                  <w:rFonts w:ascii="Roboto;sans-serif" w:hAnsi="Roboto;sans-serif"/>
                  <w:b w:val="false"/>
                  <w:strike w:val="false"/>
                  <w:dstrike w:val="false"/>
                  <w:color w:val="000000"/>
                  <w:sz w:val="20"/>
                  <w:u w:val="none"/>
                  <w:effect w:val="none"/>
                </w:rPr>
                <w:t>77</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b0fb93fca346b681fa51b22bb3bc4e_124">
              <w:r>
                <w:rPr>
                  <w:rStyle w:val="InternetLink"/>
                  <w:rFonts w:ascii="Roboto;sans-serif" w:hAnsi="Roboto;sans-serif"/>
                  <w:b w:val="false"/>
                  <w:color w:val="0000FF"/>
                  <w:sz w:val="20"/>
                  <w:u w:val="single"/>
                </w:rPr>
                <w:t>Item 5. Other Information</w:t>
              </w:r>
            </w:hyperlink>
            <w:r>
              <w:rPr>
                <w:color w:val="000000"/>
              </w:rPr>
              <w:t xml:space="preserve"> </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b0fb93fca346b681fa51b22bb3bc4e_124">
              <w:r>
                <w:rPr>
                  <w:rStyle w:val="InternetLink"/>
                  <w:rFonts w:ascii="Roboto;sans-serif" w:hAnsi="Roboto;sans-serif"/>
                  <w:b w:val="false"/>
                  <w:strike w:val="false"/>
                  <w:dstrike w:val="false"/>
                  <w:color w:val="000000"/>
                  <w:sz w:val="20"/>
                  <w:u w:val="none"/>
                  <w:effect w:val="none"/>
                </w:rPr>
                <w:t>77</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b0fb93fca346b681fa51b22bb3bc4e_130">
              <w:r>
                <w:rPr>
                  <w:rStyle w:val="InternetLink"/>
                  <w:rFonts w:ascii="Roboto;sans-serif" w:hAnsi="Roboto;sans-serif"/>
                  <w:b w:val="false"/>
                  <w:color w:val="0000FF"/>
                  <w:sz w:val="20"/>
                  <w:u w:val="single"/>
                </w:rPr>
                <w:t>Item 6. Exhibits</w:t>
              </w:r>
            </w:hyperlink>
            <w:r>
              <w:rPr>
                <w:color w:val="000000"/>
              </w:rPr>
              <w:t xml:space="preserve"> </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b0fb93fca346b681fa51b22bb3bc4e_130">
              <w:r>
                <w:rPr>
                  <w:rStyle w:val="InternetLink"/>
                  <w:rFonts w:ascii="Roboto;sans-serif" w:hAnsi="Roboto;sans-serif"/>
                  <w:b w:val="false"/>
                  <w:strike w:val="false"/>
                  <w:dstrike w:val="false"/>
                  <w:color w:val="000000"/>
                  <w:sz w:val="20"/>
                  <w:u w:val="none"/>
                  <w:effect w:val="none"/>
                </w:rPr>
                <w:t>78</w:t>
              </w:r>
            </w:hyperlink>
          </w:p>
        </w:tc>
      </w:tr>
      <w:tr>
        <w:trPr/>
        <w:tc>
          <w:tcPr>
            <w:tcW w:w="9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b0fb93fca346b681fa51b22bb3bc4e_133">
              <w:r>
                <w:rPr>
                  <w:rStyle w:val="InternetLink"/>
                  <w:rFonts w:ascii="Roboto;sans-serif" w:hAnsi="Roboto;sans-serif"/>
                  <w:b w:val="false"/>
                  <w:color w:val="0000FF"/>
                  <w:sz w:val="20"/>
                  <w:u w:val="single"/>
                </w:rPr>
                <w:t>Signatures</w:t>
              </w:r>
            </w:hyperlink>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b0fb93fca346b681fa51b22bb3bc4e_133">
              <w:r>
                <w:rPr>
                  <w:rStyle w:val="InternetLink"/>
                  <w:rFonts w:ascii="Roboto;sans-serif" w:hAnsi="Roboto;sans-serif"/>
                  <w:b w:val="false"/>
                  <w:strike w:val="false"/>
                  <w:dstrike w:val="false"/>
                  <w:color w:val="000000"/>
                  <w:sz w:val="20"/>
                  <w:u w:val="none"/>
                  <w:effect w:val="none"/>
                </w:rPr>
                <w:t>79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Roboto;sans-serif" w:hAnsi="Roboto;sans-serif"/>
          <w:b/>
          <w:color w:val="000000"/>
          <w:sz w:val="20"/>
        </w:rPr>
      </w:pPr>
      <w:r>
        <w:rPr>
          <w:rFonts w:ascii="Roboto;sans-serif" w:hAnsi="Roboto;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bidi w:val="0"/>
        <w:spacing w:lineRule="auto" w:line="288" w:before="120" w:after="283"/>
        <w:jc w:val="center"/>
        <w:rPr>
          <w:rFonts w:ascii="Roboto;sans-serif" w:hAnsi="Roboto;sans-serif"/>
          <w:b/>
          <w:color w:val="000000"/>
          <w:sz w:val="20"/>
        </w:rPr>
      </w:pPr>
      <w:bookmarkStart w:id="0" w:name="i79f95ef337a84eb98a094deb21f32aff_172"/>
      <w:bookmarkEnd w:id="0"/>
      <w:r>
        <w:rPr>
          <w:rFonts w:ascii="Roboto;sans-serif" w:hAnsi="Roboto;sans-serif"/>
          <w:b/>
          <w:color w:val="000000"/>
          <w:sz w:val="20"/>
        </w:rPr>
        <w:t>Condensed Consolidated Balance Sheets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68"/>
        <w:gridCol w:w="2117"/>
        <w:gridCol w:w="2124"/>
        <w:gridCol w:w="226"/>
        <w:gridCol w:w="1126"/>
        <w:gridCol w:w="109"/>
        <w:gridCol w:w="109"/>
        <w:gridCol w:w="109"/>
        <w:gridCol w:w="109"/>
        <w:gridCol w:w="226"/>
        <w:gridCol w:w="1126"/>
        <w:gridCol w:w="156"/>
      </w:tblGrid>
      <w:tr>
        <w:trPr/>
        <w:tc>
          <w:tcPr>
            <w:tcW w:w="2668"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21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 except per share amounts)</w:t>
            </w:r>
          </w:p>
        </w:tc>
        <w:tc>
          <w:tcPr>
            <w:tcW w:w="14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December 31,</w:t>
              <w:br/>
              <w:t>2023</w:t>
            </w:r>
          </w:p>
        </w:tc>
      </w:tr>
      <w:tr>
        <w:trPr/>
        <w:tc>
          <w:tcPr>
            <w:tcW w:w="6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Assets</w:t>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Current assets </w:t>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Cash and cash equivalents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99,526 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179,911 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Investments </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410,276 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451,505 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Accounts receivable, net</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36,615 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Inventory, net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68,594 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56,676 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Prepaid expenses and other current assets </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17,040 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Short-term restricted cash</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current assets </w:t>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628,139 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742,047 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Property and equipment, net </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36,432 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lease right-of-use assets, net </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32,593 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Long-term restricted cash</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Intangible assets, net</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443,278 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456,984 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Goodwill</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369,061 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462,261 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long-term assets </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13,274 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assets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1,509,491 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1,746,013 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8"/>
              </w:rPr>
            </w:pPr>
            <w:r>
              <w:rPr>
                <w:rFonts w:ascii="Roboto;sans-serif" w:hAnsi="Roboto;sans-serif"/>
                <w:b/>
                <w:color w:val="000000"/>
                <w:sz w:val="18"/>
              </w:rPr>
              <w:t xml:space="preserve">Liabilities and Stockholders’ Equity </w:t>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Current liabilities</w:t>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Accounts payable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15,062 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Accrued expenses </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45,708 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Deferred revenue, current </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16,342 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lease liabilities, current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9,591 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liabilities, current </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8,326 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current liabilities </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78,390 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95,029 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Deferred revenue, non-current </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5,530 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Contingent consideration liability, non-current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19,550 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lease liabilities, non-current </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31,606 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Convertible senior notes, net, non-current</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892,243 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liabilities, non-current </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liabilities </w:t>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1,016,791 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1,044,709 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Commitments and contingencies </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Stockholders’ equity</w:t>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Preferred stock, $0.001 par value:</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 xml:space="preserve">Authorized 50,000 shares; No shares issued or outstanding </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Common stock, $0.001 par value:</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 xml:space="preserve">Authorized 1,000,000 shares; issued and outstanding 272,491 and 267,744 shares at June 30, 2024 and December 31, 2023, respectively </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Additional paid-in capital </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2,583,523 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2,539,892 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Accumulated other comprehensive (loss) income</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Accumulated deficit </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(2,090,572)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(1,839,075)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stockholders’ equity </w:t>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492,700 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701,304 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liabilities and stockholders’ equity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1,509,491 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1,746,013 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Roboto;sans-serif" w:hAnsi="Roboto;sans-serif"/>
          <w:b w:val="false"/>
          <w:color w:val="000000"/>
          <w:sz w:val="20"/>
        </w:rPr>
        <w:t xml:space="preserve">See accompanying </w:t>
      </w:r>
      <w:hyperlink w:anchor="if6b0fb93fca346b681fa51b22bb3bc4e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36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bidi w:val="0"/>
        <w:spacing w:lineRule="auto" w:line="288" w:before="120" w:after="283"/>
        <w:jc w:val="center"/>
        <w:rPr>
          <w:rFonts w:ascii="Roboto;sans-serif" w:hAnsi="Roboto;sans-serif"/>
          <w:b/>
          <w:color w:val="000000"/>
          <w:sz w:val="20"/>
        </w:rPr>
      </w:pPr>
      <w:r>
        <w:rPr>
          <w:rFonts w:ascii="Roboto;sans-serif" w:hAnsi="Roboto;sans-serif"/>
          <w:b/>
          <w:color w:val="000000"/>
          <w:sz w:val="20"/>
        </w:rPr>
        <w:t>Condensed Consolidated Statements of Operations and Comprehensive Loss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23"/>
        <w:gridCol w:w="1178"/>
        <w:gridCol w:w="1180"/>
        <w:gridCol w:w="226"/>
        <w:gridCol w:w="994"/>
        <w:gridCol w:w="109"/>
        <w:gridCol w:w="109"/>
        <w:gridCol w:w="109"/>
        <w:gridCol w:w="109"/>
        <w:gridCol w:w="226"/>
        <w:gridCol w:w="874"/>
        <w:gridCol w:w="109"/>
        <w:gridCol w:w="109"/>
        <w:gridCol w:w="109"/>
        <w:gridCol w:w="109"/>
        <w:gridCol w:w="226"/>
        <w:gridCol w:w="994"/>
        <w:gridCol w:w="109"/>
        <w:gridCol w:w="109"/>
        <w:gridCol w:w="109"/>
        <w:gridCol w:w="109"/>
        <w:gridCol w:w="226"/>
        <w:gridCol w:w="994"/>
        <w:gridCol w:w="156"/>
      </w:tblGrid>
      <w:tr>
        <w:trPr/>
        <w:tc>
          <w:tcPr>
            <w:tcW w:w="162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Six Months Ended June 30,</w:t>
            </w:r>
          </w:p>
        </w:tc>
      </w:tr>
      <w:tr>
        <w:trPr/>
        <w:tc>
          <w:tcPr>
            <w:tcW w:w="3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 except per share amounts)</w:t>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2023</w:t>
            </w:r>
          </w:p>
        </w:tc>
      </w:tr>
      <w:tr>
        <w:trPr/>
        <w:tc>
          <w:tcPr>
            <w:tcW w:w="3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Product revenue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66,755 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78,309 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Service and other revenue </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8,164 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revenue </w:t>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86,473 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product revenue </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53,596 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service and other revenue </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7,204 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Loss on purchase commitment</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cost of revenue </w:t>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30,075 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57,603 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61,166 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Gross profit </w:t>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25,307 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Expense:</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95,112 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Sales, general and administrative </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80,391 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Goodwill impairment</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14,231 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operating expense </w:t>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181,784 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88,721 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274,428 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189,734 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loss </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(175,846)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(73,175)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(257,208)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(164,427)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Loss on extinguishment of debt</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Interest expense </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(7,184)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15,796 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Loss before benefit from income taxes</w:t>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(173,319)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(69,833)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(251,497)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(157,848)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Benefit from income taxes</w:t>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(173,319)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(69,833)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(251,497)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(157,848)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Other comprehensive (loss) income:</w:t>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Unrealized (loss) gain on investments </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Comprehensive loss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(173,536)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(70,595)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(252,239)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(155,769)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 per share:</w:t>
            </w:r>
          </w:p>
        </w:tc>
        <w:tc>
          <w:tcPr>
            <w:tcW w:w="13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Basic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Diluted </w:t>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(0.64)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(0.28)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(0.93)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9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(0.64)</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shares outstanding used in calculating net loss per share:</w:t>
            </w:r>
          </w:p>
        </w:tc>
        <w:tc>
          <w:tcPr>
            <w:tcW w:w="13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Basic </w:t>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272,385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250,070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270,982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246,074</w:t>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Diluted </w:t>
            </w:r>
          </w:p>
        </w:tc>
        <w:tc>
          <w:tcPr>
            <w:tcW w:w="132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272,385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250,070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270,982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246,074</w:t>
            </w:r>
          </w:p>
        </w:tc>
      </w:tr>
    </w:tbl>
    <w:p>
      <w:pPr>
        <w:pStyle w:val="TextBody"/>
        <w:bidi w:val="0"/>
        <w:spacing w:lineRule="auto" w:line="288" w:before="200" w:after="283"/>
        <w:jc w:val="center"/>
        <w:rPr/>
      </w:pPr>
      <w:r>
        <w:rPr>
          <w:rFonts w:ascii="Roboto;sans-serif" w:hAnsi="Roboto;sans-serif"/>
          <w:b w:val="false"/>
          <w:color w:val="000000"/>
          <w:sz w:val="20"/>
        </w:rPr>
        <w:t xml:space="preserve">See accompanying </w:t>
      </w:r>
      <w:hyperlink w:anchor="if6b0fb93fca346b681fa51b22bb3bc4e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 xml:space="preserve">to the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36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bidi w:val="0"/>
        <w:spacing w:lineRule="auto" w:line="288" w:before="120" w:after="283"/>
        <w:jc w:val="center"/>
        <w:rPr>
          <w:rFonts w:ascii="Roboto;sans-serif" w:hAnsi="Roboto;sans-serif"/>
          <w:b/>
          <w:color w:val="000000"/>
          <w:sz w:val="20"/>
        </w:rPr>
      </w:pPr>
      <w:r>
        <w:rPr>
          <w:rFonts w:ascii="Roboto;sans-serif" w:hAnsi="Roboto;sans-serif"/>
          <w:b/>
          <w:color w:val="000000"/>
          <w:sz w:val="20"/>
        </w:rPr>
        <w:t>Condensed Consolidated Statements of Stockholders’ Equity</w:t>
      </w:r>
    </w:p>
    <w:p>
      <w:pPr>
        <w:pStyle w:val="TextBody"/>
        <w:bidi w:val="0"/>
        <w:spacing w:lineRule="auto" w:line="288" w:before="0" w:after="120"/>
        <w:jc w:val="center"/>
        <w:rPr>
          <w:rFonts w:ascii="Roboto;sans-serif" w:hAnsi="Roboto;sans-serif"/>
          <w:b/>
          <w:color w:val="000000"/>
          <w:sz w:val="20"/>
        </w:rPr>
      </w:pPr>
      <w:r>
        <w:rPr>
          <w:rFonts w:ascii="Roboto;sans-serif" w:hAnsi="Roboto;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98"/>
        <w:gridCol w:w="686"/>
        <w:gridCol w:w="691"/>
        <w:gridCol w:w="229"/>
        <w:gridCol w:w="229"/>
        <w:gridCol w:w="233"/>
        <w:gridCol w:w="109"/>
        <w:gridCol w:w="109"/>
        <w:gridCol w:w="109"/>
        <w:gridCol w:w="196"/>
        <w:gridCol w:w="421"/>
        <w:gridCol w:w="109"/>
        <w:gridCol w:w="109"/>
        <w:gridCol w:w="109"/>
        <w:gridCol w:w="109"/>
        <w:gridCol w:w="196"/>
        <w:gridCol w:w="871"/>
        <w:gridCol w:w="109"/>
        <w:gridCol w:w="109"/>
        <w:gridCol w:w="109"/>
        <w:gridCol w:w="109"/>
        <w:gridCol w:w="329"/>
        <w:gridCol w:w="733"/>
        <w:gridCol w:w="184"/>
        <w:gridCol w:w="109"/>
        <w:gridCol w:w="109"/>
        <w:gridCol w:w="109"/>
        <w:gridCol w:w="196"/>
        <w:gridCol w:w="908"/>
        <w:gridCol w:w="109"/>
        <w:gridCol w:w="109"/>
        <w:gridCol w:w="109"/>
        <w:gridCol w:w="109"/>
        <w:gridCol w:w="205"/>
        <w:gridCol w:w="773"/>
        <w:gridCol w:w="165"/>
      </w:tblGrid>
      <w:tr>
        <w:trPr/>
        <w:tc>
          <w:tcPr>
            <w:tcW w:w="99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Three Months Ended June 30, 2024</w:t>
            </w:r>
          </w:p>
        </w:tc>
      </w:tr>
      <w:tr>
        <w:trPr/>
        <w:tc>
          <w:tcPr>
            <w:tcW w:w="2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Additional </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Accumulated</w:t>
              <w:br/>
              <w:t>Other</w:t>
              <w:br/>
              <w:t>Comprehensive</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Total</w:t>
              <w:br/>
              <w:t>Stockholders'</w:t>
              <w:br/>
              <w:t>Equity</w:t>
            </w:r>
          </w:p>
        </w:tc>
      </w:tr>
      <w:tr>
        <w:trPr/>
        <w:tc>
          <w:tcPr>
            <w:tcW w:w="2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4"/>
              </w:rPr>
            </w:pPr>
            <w:r>
              <w:rPr>
                <w:rFonts w:ascii="Roboto;sans-serif" w:hAnsi="Roboto;sans-serif"/>
                <w:b w:val="false"/>
                <w:i/>
                <w:color w:val="000000"/>
                <w:sz w:val="14"/>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Balance at March 31, 2024</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272,280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2,566,304 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(306)</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(1,917,253)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649,017 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Net loss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(173,319)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(173,319)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Other comprehensive loss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(217)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(217)</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Issuance of common stock in conjunction with equity plans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Share-based compensation expense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17,219 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17,219 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Balance at June 30, 2024</w:t>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272,491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2,583,523 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(523)</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(2,090,572)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492,700 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97"/>
        <w:gridCol w:w="686"/>
        <w:gridCol w:w="692"/>
        <w:gridCol w:w="229"/>
        <w:gridCol w:w="229"/>
        <w:gridCol w:w="233"/>
        <w:gridCol w:w="109"/>
        <w:gridCol w:w="109"/>
        <w:gridCol w:w="109"/>
        <w:gridCol w:w="196"/>
        <w:gridCol w:w="421"/>
        <w:gridCol w:w="109"/>
        <w:gridCol w:w="109"/>
        <w:gridCol w:w="109"/>
        <w:gridCol w:w="109"/>
        <w:gridCol w:w="196"/>
        <w:gridCol w:w="871"/>
        <w:gridCol w:w="109"/>
        <w:gridCol w:w="109"/>
        <w:gridCol w:w="109"/>
        <w:gridCol w:w="109"/>
        <w:gridCol w:w="329"/>
        <w:gridCol w:w="733"/>
        <w:gridCol w:w="184"/>
        <w:gridCol w:w="109"/>
        <w:gridCol w:w="109"/>
        <w:gridCol w:w="109"/>
        <w:gridCol w:w="196"/>
        <w:gridCol w:w="908"/>
        <w:gridCol w:w="109"/>
        <w:gridCol w:w="109"/>
        <w:gridCol w:w="109"/>
        <w:gridCol w:w="109"/>
        <w:gridCol w:w="205"/>
        <w:gridCol w:w="773"/>
        <w:gridCol w:w="165"/>
      </w:tblGrid>
      <w:tr>
        <w:trPr/>
        <w:tc>
          <w:tcPr>
            <w:tcW w:w="99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0"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Six Months Ended June 30, 2024</w:t>
            </w:r>
          </w:p>
        </w:tc>
      </w:tr>
      <w:tr>
        <w:trPr/>
        <w:tc>
          <w:tcPr>
            <w:tcW w:w="2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Additional </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Accumulated</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Other</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Comprehensive</w:t>
            </w:r>
          </w:p>
          <w:p>
            <w:pPr>
              <w:pStyle w:val="TableContents"/>
              <w:bidi w:val="0"/>
              <w:spacing w:lineRule="auto" w:line="288" w:before="0" w:after="0"/>
              <w:jc w:val="center"/>
              <w:rPr>
                <w:rFonts w:ascii="Roboto;sans-serif" w:hAnsi="Roboto;sans-serif"/>
                <w:b/>
                <w:color w:val="000000"/>
                <w:sz w:val="14"/>
              </w:rPr>
            </w:pPr>
            <w:r>
              <w:rPr>
                <w:rFonts w:ascii="Roboto;sans-serif" w:hAnsi="Roboto;sans-serif"/>
                <w:b/>
                <w:color w:val="000000"/>
                <w:sz w:val="14"/>
              </w:rPr>
              <w:t>Income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Total</w:t>
              <w:br/>
              <w:t>Stockholders'</w:t>
              <w:br/>
              <w:t>Equity</w:t>
            </w:r>
          </w:p>
        </w:tc>
      </w:tr>
      <w:tr>
        <w:trPr/>
        <w:tc>
          <w:tcPr>
            <w:tcW w:w="2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4"/>
              </w:rPr>
            </w:pPr>
            <w:r>
              <w:rPr>
                <w:rFonts w:ascii="Roboto;sans-serif" w:hAnsi="Roboto;sans-serif"/>
                <w:b w:val="false"/>
                <w:i/>
                <w:color w:val="000000"/>
                <w:sz w:val="14"/>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Balance at December 31, 2023</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267,744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2,539,892 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219 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(1,839,075)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701,304 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Net loss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(251,497)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(251,497)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Other comprehensive loss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(742)</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(742)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Issuance of common stock in conjunction with equity plans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4,747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6,891 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Share-based compensation expense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36,744 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36,744 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Balance at June 30, 2024</w:t>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272,491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2,583,523 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(523)</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(2,090,572)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492,700 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62"/>
        <w:gridCol w:w="643"/>
        <w:gridCol w:w="648"/>
        <w:gridCol w:w="229"/>
        <w:gridCol w:w="229"/>
        <w:gridCol w:w="233"/>
        <w:gridCol w:w="109"/>
        <w:gridCol w:w="109"/>
        <w:gridCol w:w="109"/>
        <w:gridCol w:w="196"/>
        <w:gridCol w:w="421"/>
        <w:gridCol w:w="109"/>
        <w:gridCol w:w="109"/>
        <w:gridCol w:w="109"/>
        <w:gridCol w:w="109"/>
        <w:gridCol w:w="196"/>
        <w:gridCol w:w="871"/>
        <w:gridCol w:w="109"/>
        <w:gridCol w:w="109"/>
        <w:gridCol w:w="109"/>
        <w:gridCol w:w="109"/>
        <w:gridCol w:w="305"/>
        <w:gridCol w:w="892"/>
        <w:gridCol w:w="171"/>
        <w:gridCol w:w="109"/>
        <w:gridCol w:w="109"/>
        <w:gridCol w:w="109"/>
        <w:gridCol w:w="196"/>
        <w:gridCol w:w="905"/>
        <w:gridCol w:w="109"/>
        <w:gridCol w:w="109"/>
        <w:gridCol w:w="109"/>
        <w:gridCol w:w="109"/>
        <w:gridCol w:w="205"/>
        <w:gridCol w:w="773"/>
        <w:gridCol w:w="168"/>
      </w:tblGrid>
      <w:tr>
        <w:trPr/>
        <w:tc>
          <w:tcPr>
            <w:tcW w:w="96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Three Months Ended June 30, 2023</w:t>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Additional </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Total</w:t>
              <w:br/>
              <w:t>Stockholders'</w:t>
              <w:br/>
              <w:t>Equity</w:t>
            </w:r>
          </w:p>
        </w:tc>
      </w:tr>
      <w:tr>
        <w:trPr/>
        <w:tc>
          <w:tcPr>
            <w:tcW w:w="2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4"/>
              </w:rPr>
            </w:pPr>
            <w:r>
              <w:rPr>
                <w:rFonts w:ascii="Roboto;sans-serif" w:hAnsi="Roboto;sans-serif"/>
                <w:b w:val="false"/>
                <w:i/>
                <w:color w:val="000000"/>
                <w:sz w:val="14"/>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Balance at March 31, 2023</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249,803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2,314,146 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(1,924)</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(1,620,355)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692,117 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Net loss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(69,833)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(69,833)</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Other comprehensive loss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(762)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(762)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Issuance of common stock in conjunction with equity plans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2,586 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Share-based compensation expense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17,891 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17,891 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Balance at June 30, 2023</w:t>
            </w:r>
          </w:p>
        </w:tc>
        <w:tc>
          <w:tcPr>
            <w:tcW w:w="6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250,473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2,334,623 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(2,686)</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(1,690,188)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641,999 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10"/>
        <w:gridCol w:w="647"/>
        <w:gridCol w:w="652"/>
        <w:gridCol w:w="229"/>
        <w:gridCol w:w="229"/>
        <w:gridCol w:w="233"/>
        <w:gridCol w:w="109"/>
        <w:gridCol w:w="109"/>
        <w:gridCol w:w="109"/>
        <w:gridCol w:w="196"/>
        <w:gridCol w:w="421"/>
        <w:gridCol w:w="109"/>
        <w:gridCol w:w="109"/>
        <w:gridCol w:w="109"/>
        <w:gridCol w:w="109"/>
        <w:gridCol w:w="196"/>
        <w:gridCol w:w="871"/>
        <w:gridCol w:w="109"/>
        <w:gridCol w:w="109"/>
        <w:gridCol w:w="109"/>
        <w:gridCol w:w="109"/>
        <w:gridCol w:w="295"/>
        <w:gridCol w:w="862"/>
        <w:gridCol w:w="165"/>
        <w:gridCol w:w="109"/>
        <w:gridCol w:w="109"/>
        <w:gridCol w:w="109"/>
        <w:gridCol w:w="196"/>
        <w:gridCol w:w="898"/>
        <w:gridCol w:w="109"/>
        <w:gridCol w:w="109"/>
        <w:gridCol w:w="109"/>
        <w:gridCol w:w="109"/>
        <w:gridCol w:w="205"/>
        <w:gridCol w:w="773"/>
        <w:gridCol w:w="165"/>
      </w:tblGrid>
      <w:tr>
        <w:trPr/>
        <w:tc>
          <w:tcPr>
            <w:tcW w:w="101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Six Months Ended June 30, 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Additional </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Accumulated</w:t>
              <w:br/>
              <w:t>Other</w:t>
              <w:br/>
              <w:t>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Total</w:t>
              <w:br/>
              <w:t>Stockholders'</w:t>
              <w:br/>
              <w:t>Equity</w:t>
            </w:r>
          </w:p>
        </w:tc>
      </w:tr>
      <w:tr>
        <w:trPr/>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4"/>
              </w:rPr>
            </w:pPr>
            <w:r>
              <w:rPr>
                <w:rFonts w:ascii="Roboto;sans-serif" w:hAnsi="Roboto;sans-serif"/>
                <w:b w:val="false"/>
                <w:i/>
                <w:color w:val="000000"/>
                <w:sz w:val="14"/>
              </w:rPr>
              <w:t>(in thousands)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Balance at December 31, 2022</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226,505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2,099,782 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(4,765)</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(1,532,340)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562,904 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Net loss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(157,848)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(157,848)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Other comprehensive income</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2,079 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2,079 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Issuance of common stock from Underwritten Public Equity Offering, net of issuance costs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20,125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189,180 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189,200 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Issuance of common stock in conjunction with equity plans</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3,843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9,818 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9,821 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Share-based compensation expense</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35,843 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35,843 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Balance at June 30, 2023</w:t>
            </w:r>
          </w:p>
        </w:tc>
        <w:tc>
          <w:tcPr>
            <w:tcW w:w="6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250,473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2,334,623 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(2,686)</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(1,690,188)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641,999 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center"/>
        <w:rPr/>
      </w:pPr>
      <w:r>
        <w:rPr>
          <w:rFonts w:ascii="Roboto;sans-serif" w:hAnsi="Roboto;sans-serif"/>
          <w:b w:val="false"/>
          <w:color w:val="000000"/>
          <w:sz w:val="20"/>
        </w:rPr>
        <w:t xml:space="preserve">See accompanying </w:t>
      </w:r>
      <w:hyperlink w:anchor="if6b0fb93fca346b681fa51b22bb3bc4e_28">
        <w:r>
          <w:rPr>
            <w:rStyle w:val="InternetLink"/>
            <w:rFonts w:ascii="Roboto;sans-serif" w:hAnsi="Roboto;sans-serif"/>
            <w:b w:val="false"/>
            <w:color w:val="0000FF"/>
            <w:sz w:val="20"/>
            <w:u w:val="single"/>
          </w:rPr>
          <w:t>notes</w:t>
        </w:r>
      </w:hyperlink>
      <w:r>
        <w:rPr>
          <w:color w:val="000000"/>
        </w:rPr>
        <w:t xml:space="preserve"> </w:t>
      </w:r>
      <w:r>
        <w:rPr>
          <w:rFonts w:ascii="Roboto;sans-serif" w:hAnsi="Roboto;sans-serif"/>
          <w:b w:val="false"/>
          <w:color w:val="000000"/>
          <w:sz w:val="20"/>
        </w:rPr>
        <w:t>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before="360" w:after="283"/>
        <w:ind w:left="0" w:right="0" w:firstLine="720"/>
        <w:jc w:val="center"/>
        <w:rPr/>
      </w:pPr>
      <w:r>
        <w:rPr/>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bidi w:val="0"/>
        <w:spacing w:lineRule="auto" w:line="288" w:before="120" w:after="283"/>
        <w:jc w:val="center"/>
        <w:rPr>
          <w:rFonts w:ascii="Roboto;sans-serif" w:hAnsi="Roboto;sans-serif"/>
          <w:b/>
          <w:color w:val="000000"/>
          <w:sz w:val="20"/>
        </w:rPr>
      </w:pPr>
      <w:r>
        <w:rPr>
          <w:rFonts w:ascii="Roboto;sans-serif" w:hAnsi="Roboto;sans-serif"/>
          <w:b/>
          <w:color w:val="000000"/>
          <w:sz w:val="20"/>
        </w:rPr>
        <w:t>Condensed Consolidated Statements of Cash Flows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tbl>
      <w:tblPr>
        <w:tblW w:w="8919" w:type="dxa"/>
        <w:jc w:val="center"/>
        <w:tblInd w:w="0" w:type="dxa"/>
        <w:tblLayout w:type="fixed"/>
        <w:tblCellMar>
          <w:top w:w="28" w:type="dxa"/>
          <w:left w:w="28" w:type="dxa"/>
          <w:bottom w:w="28" w:type="dxa"/>
          <w:right w:w="28" w:type="dxa"/>
        </w:tblCellMar>
      </w:tblPr>
      <w:tblGrid>
        <w:gridCol w:w="2284"/>
        <w:gridCol w:w="2008"/>
        <w:gridCol w:w="2023"/>
        <w:gridCol w:w="196"/>
        <w:gridCol w:w="811"/>
        <w:gridCol w:w="109"/>
        <w:gridCol w:w="109"/>
        <w:gridCol w:w="109"/>
        <w:gridCol w:w="109"/>
        <w:gridCol w:w="196"/>
        <w:gridCol w:w="811"/>
        <w:gridCol w:w="154"/>
      </w:tblGrid>
      <w:tr>
        <w:trPr/>
        <w:tc>
          <w:tcPr>
            <w:tcW w:w="2284"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Six Months Ended June 30,</w:t>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4"/>
              </w:rPr>
            </w:pPr>
            <w:r>
              <w:rPr>
                <w:rFonts w:ascii="Roboto;sans-serif" w:hAnsi="Roboto;sans-serif"/>
                <w:b w:val="false"/>
                <w:i/>
                <w:color w:val="000000"/>
                <w:sz w:val="14"/>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4"/>
              </w:rPr>
            </w:pPr>
            <w:r>
              <w:rPr>
                <w:rFonts w:ascii="Roboto;sans-serif" w:hAnsi="Roboto;sans-serif"/>
                <w:b/>
                <w:color w:val="000000"/>
                <w:sz w:val="14"/>
              </w:rPr>
              <w:t>2023</w:t>
            </w:r>
          </w:p>
        </w:tc>
      </w:tr>
      <w:tr>
        <w:trPr/>
        <w:tc>
          <w:tcPr>
            <w:tcW w:w="63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Cash flows from operating activities</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bookmarkStart w:id="1" w:name="if736ebbf5ba8415cae7c0b6df6018094_3-1-1-"/>
            <w:bookmarkEnd w:id="1"/>
            <w:r>
              <w:rPr>
                <w:rFonts w:ascii="Roboto;sans-serif" w:hAnsi="Roboto;sans-serif"/>
                <w:b w:val="false"/>
                <w:color w:val="000000"/>
                <w:sz w:val="14"/>
              </w:rPr>
              <w:t>(251,497)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(157,848)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Adjustments to reconcile net loss to net cash used in operating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Depreciation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Amortization of acquired intangible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Amortization of right-of-use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Share-based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36,744 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35,843 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Goodwill 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93,200 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Accretion of discount and amortization of premium on marketable securities,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(7,572)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Change in the estimated fair value of contingent consideration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14,231 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Loss on extinguishment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Inventory provision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Changes in assets and liabilities </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Accounts receivable,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Inventory,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(16,767)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(19,703)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Prepaid expenses and other assets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(6,085)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Accounts payable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Accrued expenses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(23,250)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(5,956)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Deferred revenue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(2,317)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(4,748)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Other liabilities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Net cash used in operating activities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(129,945)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(136,432)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Purchase of property and equipment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(5,989)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Purchases of investments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(303,564)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(476,879)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Sales of investments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Maturities of investments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351,623 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311,129 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Net cash provided by (used in) investing activities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42,701 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(171,144)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color w:val="000000"/>
                <w:sz w:val="14"/>
              </w:rPr>
            </w:pPr>
            <w:r>
              <w:rPr>
                <w:rFonts w:ascii="Roboto;sans-serif" w:hAnsi="Roboto;sans-serif"/>
                <w:b/>
                <w:color w:val="000000"/>
                <w:sz w:val="14"/>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Proceeds from issuance of common stock under equity offerings, net of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189,200 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Proceeds from issuance of common stock from equity plans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9,821 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Payment of debt issuance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(6,836)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Notes payable principal payoff</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(911)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Net cash provided by financing activities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6,401 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191,274 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Net decrease in cash, cash equivalents, and restricted cash</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(80,843)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(116,302)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Cash, cash equivalents, and restricted cash at beginning of period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182,633 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328,311 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Cash, cash equivalents, and restricted cash at end of period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101,790 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212,009 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Cash and cash equivalents at end of period </w:t>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99,526 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209,287 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Restricted cash at end of period </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2,722 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 xml:space="preserve">Cash, cash equivalents, and restricted cash at end of period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101,790 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4"/>
              </w:rPr>
            </w:pPr>
            <w:r>
              <w:rPr>
                <w:rFonts w:ascii="Roboto;sans-serif" w:hAnsi="Roboto;sans-serif"/>
                <w:b w:val="false"/>
                <w:color w:val="000000"/>
                <w:sz w:val="14"/>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4"/>
              </w:rPr>
            </w:pPr>
            <w:r>
              <w:rPr>
                <w:rFonts w:ascii="Roboto;sans-serif" w:hAnsi="Roboto;sans-serif"/>
                <w:b w:val="false"/>
                <w:color w:val="000000"/>
                <w:sz w:val="14"/>
              </w:rPr>
              <w:t>212,009 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pPr>
      <w:r>
        <w:rPr>
          <w:rFonts w:ascii="Roboto;sans-serif" w:hAnsi="Roboto;sans-serif"/>
          <w:b w:val="false"/>
          <w:color w:val="000000"/>
          <w:sz w:val="16"/>
        </w:rPr>
        <w:t xml:space="preserve">See accompanying </w:t>
      </w:r>
      <w:hyperlink w:anchor="if6b0fb93fca346b681fa51b22bb3bc4e_28">
        <w:r>
          <w:rPr>
            <w:rStyle w:val="InternetLink"/>
            <w:rFonts w:ascii="Roboto;sans-serif" w:hAnsi="Roboto;sans-serif"/>
            <w:b w:val="false"/>
            <w:color w:val="0000FF"/>
            <w:sz w:val="16"/>
            <w:u w:val="single"/>
          </w:rPr>
          <w:t>notes</w:t>
        </w:r>
      </w:hyperlink>
      <w:r>
        <w:rPr>
          <w:color w:val="000000"/>
        </w:rPr>
        <w:t xml:space="preserve"> </w:t>
      </w:r>
      <w:r>
        <w:rPr>
          <w:rFonts w:ascii="Roboto;sans-serif" w:hAnsi="Roboto;sans-serif"/>
          <w:b w:val="false"/>
          <w:color w:val="000000"/>
          <w:sz w:val="16"/>
        </w:rPr>
        <w:t>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360" w:after="283"/>
        <w:jc w:val="center"/>
        <w:rPr>
          <w:rFonts w:ascii="Roboto;sans-serif" w:hAnsi="Roboto;sans-serif"/>
          <w:b/>
          <w:color w:val="000000"/>
          <w:sz w:val="20"/>
        </w:rPr>
      </w:pPr>
      <w:r>
        <w:rPr>
          <w:rFonts w:ascii="Roboto;sans-serif" w:hAnsi="Roboto;sans-serif"/>
          <w:b/>
          <w:color w:val="000000"/>
          <w:sz w:val="20"/>
        </w:rPr>
        <w:t>PACIFIC BIOSCIENCES OF CALIFORNIA, INC.</w:t>
      </w:r>
    </w:p>
    <w:p>
      <w:pPr>
        <w:pStyle w:val="TextBody"/>
        <w:bidi w:val="0"/>
        <w:spacing w:lineRule="auto" w:line="288" w:before="120" w:after="283"/>
        <w:jc w:val="center"/>
        <w:rPr>
          <w:rFonts w:ascii="Roboto;sans-serif" w:hAnsi="Roboto;sans-serif"/>
          <w:b/>
          <w:color w:val="000000"/>
          <w:sz w:val="20"/>
        </w:rPr>
      </w:pPr>
      <w:r>
        <w:rPr>
          <w:rFonts w:ascii="Roboto;sans-serif" w:hAnsi="Roboto;sans-serif"/>
          <w:b/>
          <w:color w:val="000000"/>
          <w:sz w:val="20"/>
        </w:rPr>
        <w:t>Notes to Condensed Consolidated Financial Statements</w:t>
      </w:r>
    </w:p>
    <w:p>
      <w:pPr>
        <w:pStyle w:val="TextBody"/>
        <w:bidi w:val="0"/>
        <w:spacing w:lineRule="auto" w:line="288" w:before="0" w:after="0"/>
        <w:jc w:val="center"/>
        <w:rPr>
          <w:rFonts w:ascii="Roboto;sans-serif" w:hAnsi="Roboto;sans-serif"/>
          <w:b/>
          <w:color w:val="000000"/>
          <w:sz w:val="20"/>
        </w:rPr>
      </w:pPr>
      <w:r>
        <w:rPr>
          <w:rFonts w:ascii="Roboto;sans-serif" w:hAnsi="Roboto;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NOTE 1. ORGANIZATION AND SIGNIFICANT ACCOUNTING POLICIES</w:t>
      </w:r>
    </w:p>
    <w:p>
      <w:pPr>
        <w:pStyle w:val="TextBody"/>
        <w:bidi w:val="0"/>
        <w:spacing w:lineRule="auto" w:line="288" w:before="120" w:after="283"/>
        <w:jc w:val="both"/>
        <w:rPr/>
      </w:pPr>
      <w:r>
        <w:rPr>
          <w:rFonts w:ascii="Roboto;sans-serif" w:hAnsi="Roboto;sans-serif"/>
          <w:b w:val="false"/>
          <w:color w:val="000000"/>
          <w:sz w:val="20"/>
        </w:rPr>
        <w:t>We are a life science technology company that is designing, developing, and manufacturing advanced sequencing solutions that enable scientists and clinical researchers to improve their understanding of the genome and ultimately, resolve genetically complex problems. Our products and technology under development stem from two highly differentiated core technologies focused on accuracy, quality, and completeness, which include our HiFi long-read sequencing technology and our Sequencing by Binding (SBB</w:t>
      </w:r>
      <w:r>
        <w:rPr>
          <w:rFonts w:ascii="Roboto;sans-serif" w:hAnsi="Roboto;sans-serif"/>
          <w:b w:val="false"/>
          <w:color w:val="000000"/>
          <w:sz w:val="13"/>
        </w:rPr>
        <w:t>TM</w:t>
      </w:r>
      <w:r>
        <w:rPr>
          <w:rFonts w:ascii="Roboto;sans-serif" w:hAnsi="Roboto;sans-serif"/>
          <w:b w:val="false"/>
          <w:color w:val="000000"/>
          <w:sz w:val="20"/>
        </w:rPr>
        <w:t>) short-read sequencing technology. Our products address solutions across a broad set of applications including human genetics, plant and animal sciences, infectious disease and microbiology, oncology, and other emerging applications. Our focus is on creating some of the world's most advanced sequencing systems to provide our customers with the most complete and accurate view of genomes, transcriptomes, and epigenomes. Our customers include academic and governmental research institutions, commercial testing and service laboratories, genome centers, public health labs, hospitals and clinical research institutes, contract research organizations (CROs), pharmaceutical companies, and agricultural companies.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References in this report to “PacBio,” “we,” “us,” the “Company,” and “our” refer to Pacific Biosciences of California, Inc. and its consolidated subsidiaries.</w:t>
      </w:r>
    </w:p>
    <w:p>
      <w:pPr>
        <w:pStyle w:val="TextBody"/>
        <w:bidi w:val="0"/>
        <w:spacing w:lineRule="auto" w:line="288" w:before="300" w:after="283"/>
        <w:jc w:val="both"/>
        <w:rPr/>
      </w:pPr>
      <w:r>
        <w:rPr>
          <w:rFonts w:ascii="Roboto;sans-serif" w:hAnsi="Roboto;sans-serif"/>
          <w:b/>
          <w:i/>
          <w:color w:val="000000"/>
          <w:sz w:val="20"/>
        </w:rPr>
        <w:t>Basis of Presentation and Consolidation</w:t>
      </w:r>
      <w:r>
        <w:rPr>
          <w:color w:val="000000"/>
        </w:rPr>
        <w:t xml:space="preserv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unaudited condensed consolidated financial statements have been prepared in conformity with accounting principles generally accepted in the United States, or U.S. GAAP, as set forth in the Financial Accounting Standards Board, or FASB, Accounting Standards Codification, or ASC. The unaudited condensed consolidated financial statements include the accounts of Pacific Biosciences and our wholly owned subsidiaries. Certain information and footnote disclosures typically included in our audited financial statements have been condensed or omitted. The accompanying unaudited condensed consolidated financial statements have been prepared on a consistent basis with the December 31, 2023 audited consolidated financial statements and include all adjustments, consisting of only normal recurring adjustments, necessary to fairly state our financial position, results of operations, comprehensive loss, and cash flows for the period, but are not necessarily indicative of the results to be expected for the entire year or any future periods. All intercompany transactions and balances have been eliminated. Certain prior period amounts have been reclassified to conform to current period presentation.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financial statements should be read in conjunction with the audited consolidated financial statements and notes included in our Annual Report on Form 10-K for the year ended December 31, 2023.</w:t>
      </w:r>
    </w:p>
    <w:p>
      <w:pPr>
        <w:pStyle w:val="TextBody"/>
        <w:bidi w:val="0"/>
        <w:spacing w:lineRule="auto" w:line="288" w:before="300" w:after="283"/>
        <w:jc w:val="both"/>
        <w:rPr/>
      </w:pPr>
      <w:r>
        <w:rPr>
          <w:rFonts w:ascii="Roboto;sans-serif" w:hAnsi="Roboto;sans-serif"/>
          <w:b/>
          <w:i/>
          <w:color w:val="000000"/>
          <w:sz w:val="20"/>
        </w:rPr>
        <w:t>Use of Estimates</w:t>
      </w:r>
      <w:r>
        <w:rPr>
          <w:color w:val="000000"/>
        </w:rPr>
        <w:t xml:space="preserv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preparation of financial statements in conformity with GAAP requires us to make estimates and assumptions that affect the amounts reported in the financial statements and accompanying notes to the financial statements. On an ongoing basis, we evaluate our significant estimates, including those relating to the valuation of inventory, fair value of contingent consideration, valuation of acquired intangible assets, useful lives assigned to finite-lived assets, asset impairment assessments, computation of provisions for income taxes, and valuations related to our convertible senior notes. While the extent of the potential impact of current macroeconomic conditions on our business is highly uncertain, we considered information available related to assumptions and estimates used to determine the results reported and asset valuations as of June 30, 2024. Actual results could differ materially from these estimates.</w:t>
      </w:r>
    </w:p>
    <w:p>
      <w:pPr>
        <w:pStyle w:val="TextBody"/>
        <w:bidi w:val="0"/>
        <w:spacing w:lineRule="auto" w:line="288" w:before="300" w:after="283"/>
        <w:jc w:val="both"/>
        <w:rPr/>
      </w:pPr>
      <w:r>
        <w:rPr>
          <w:rFonts w:ascii="Roboto;sans-serif" w:hAnsi="Roboto;sans-serif"/>
          <w:b/>
          <w:i/>
          <w:color w:val="000000"/>
          <w:sz w:val="20"/>
        </w:rPr>
        <w:t>Cash, Cash Equivalents, Restricted Cash and Investments</w:t>
      </w:r>
      <w:r>
        <w:rPr>
          <w:color w:val="000000"/>
        </w:rPr>
        <w:t xml:space="preserv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consider all highly liquid investments purchased with an original maturity of 90 days or less to be cash equivalents. Cash equivalents may be comprised of money market funds, certificates of deposit, commercial paper, corporate bonds and notes, and government agencies’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classify our investments in debt securities as available-for sale and report the investments at fair value in current assets. We evaluate our available-for-sale investments in unrealized loss positions and assess whether the unrealized loss is credit-related. Unrealized gains and losses that are not credit-related are recognized in accumulated other comprehensive loss in stockholders’ equity. Realized gains and losses, expected credit losses, as well as interest income, on available-for-sale securities are also reported in other income (expense), net. The cost used in the determination of gains and losses of securities sold is based on the specific identification method. The cost of marketable securities is adjusted for the amortization of premiums and discounts to expected maturity. Premium and discount amortization is recorded in other income (expense), net. We have the ability to hold, and do not intend to sell investments in unrealized loss positions before the recovery of their amortized cost bases.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investment portfolio at any point in time contains investments in cash deposits, money market funds, commercial paper, corporate debt securities and U.S. government and agency securities with high credit ratings. We have established guidelines regarding diversification and maturities of investments with the objectives of maintaining safety and liquidity, while maximizing yield.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Restricted cash includes cash that is not readily available for use in the Company’s operating activities. Restricted cash is primarily comprised of cash pledged under letters of credit.</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Concentration and Other Risks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For the three months ended June 30, 2024, no customer exceeded 10% of total revenue during the period. For the three months ended June 30, 2023, one customer accounted for approximately 10% of total revenue during the period. For the six months ended June 30, 2024 and June 30, 2023, no customer exceeded 10% of total revenue during the respective periods.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June 30, 2024, 49% of our accounts receivable were from domestic customers, compared to 49% as of December 31, 2023. As of June 30, 2024, one customer represented approximately 11% of our net accounts receivable, while one customer represented approximately 10% of our net accounts receivable as of December 31, 2023.</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 xml:space="preserve">Recent Accounting Pronouncements </w:t>
      </w:r>
    </w:p>
    <w:p>
      <w:pPr>
        <w:pStyle w:val="TextBody"/>
        <w:bidi w:val="0"/>
        <w:spacing w:lineRule="auto" w:line="288" w:before="120" w:after="283"/>
        <w:jc w:val="both"/>
        <w:rPr>
          <w:rFonts w:ascii="Roboto;sans-serif" w:hAnsi="Roboto;sans-serif"/>
          <w:b w:val="false"/>
          <w:i/>
          <w:color w:val="000000"/>
          <w:sz w:val="20"/>
        </w:rPr>
      </w:pPr>
      <w:r>
        <w:rPr>
          <w:rFonts w:ascii="Roboto;sans-serif" w:hAnsi="Roboto;sans-serif"/>
          <w:b w:val="false"/>
          <w:i/>
          <w:color w:val="000000"/>
          <w:sz w:val="20"/>
        </w:rPr>
        <w:t>Accounting Pronouncements Pending Adoption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December 2023, the FASB issued ASU 2023-09, Income Taxes (Topic 740): Improvements to Income Tax Disclosures. This ASU requires entities to expand its existing income tax disclosures, specifically related to the rate reconciliation and income taxes paid. This authoritative guidance will be effective for us in fiscal year 2025, with early adoption permitted. The Company is currently evaluating the impact of the ASU but does not expect any material impact upon adoption.</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Significant Accounting Policies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changes to our significant accounting policies as disclosed in the Annual Report on Form 10-K for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NOTE 2. BUSINESS ACQUISITIONS</w:t>
      </w:r>
    </w:p>
    <w:p>
      <w:pPr>
        <w:pStyle w:val="TextBody"/>
        <w:bidi w:val="0"/>
        <w:spacing w:lineRule="auto" w:line="288" w:before="120" w:after="283"/>
        <w:jc w:val="both"/>
        <w:rPr>
          <w:rFonts w:ascii="Roboto;sans-serif" w:hAnsi="Roboto;sans-serif"/>
          <w:b/>
          <w:i/>
          <w:color w:val="000000"/>
          <w:sz w:val="20"/>
        </w:rPr>
      </w:pPr>
      <w:r>
        <w:rPr>
          <w:rFonts w:ascii="Roboto;sans-serif" w:hAnsi="Roboto;sans-serif"/>
          <w:b/>
          <w:i/>
          <w:color w:val="000000"/>
          <w:sz w:val="20"/>
        </w:rPr>
        <w:t>Apton Biosystems</w:t>
      </w:r>
    </w:p>
    <w:p>
      <w:pPr>
        <w:pStyle w:val="TextBody"/>
        <w:bidi w:val="0"/>
        <w:spacing w:lineRule="auto" w:line="288" w:before="12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 xml:space="preserve">On August 2, 2023, we acquired Apton Biosystems, Inc. (“Apton”), a California-based genomics company focused on developing a high throughput short-read sequencer using highly differentiated optics and image processing, paired with novel clustering and chemistry (the “Apton acquisition”). </w:t>
      </w:r>
    </w:p>
    <w:p>
      <w:pPr>
        <w:pStyle w:val="TextBody"/>
        <w:bidi w:val="0"/>
        <w:spacing w:lineRule="auto" w:line="288" w:before="120" w:after="283"/>
        <w:jc w:val="both"/>
        <w:rPr/>
      </w:pPr>
      <w:r>
        <w:rPr>
          <w:rFonts w:ascii="Roboto;sans-serif" w:hAnsi="Roboto;sans-serif"/>
          <w:b w:val="false"/>
          <w:color w:val="000000"/>
          <w:sz w:val="20"/>
          <w:shd w:fill="FFFFFF" w:val="clear"/>
        </w:rPr>
        <w:t>In connection with the Apton acquisition, all outstanding equity securities of Apton were cancelled in exchange for</w:t>
      </w:r>
      <w:r>
        <w:rPr>
          <w:color w:val="000000"/>
        </w:rPr>
        <w:t xml:space="preserve"> </w:t>
      </w:r>
      <w:r>
        <w:rPr>
          <w:rFonts w:ascii="Roboto;sans-serif" w:hAnsi="Roboto;sans-serif"/>
          <w:b w:val="false"/>
          <w:color w:val="000000"/>
          <w:sz w:val="20"/>
        </w:rPr>
        <w:t>s</w:t>
      </w:r>
      <w:r>
        <w:rPr>
          <w:rFonts w:ascii="Roboto;sans-serif" w:hAnsi="Roboto;sans-serif"/>
          <w:b w:val="false"/>
          <w:color w:val="000000"/>
          <w:sz w:val="20"/>
          <w:shd w:fill="FFFFFF" w:val="clear"/>
        </w:rPr>
        <w:t xml:space="preserve">hares of our common stock with a fair value of </w:t>
      </w:r>
      <w:r>
        <w:rPr>
          <w:rFonts w:ascii="Roboto;sans-serif" w:hAnsi="Roboto;sans-serif"/>
          <w:b w:val="false"/>
          <w:color w:val="000000"/>
          <w:sz w:val="20"/>
        </w:rPr>
        <w:t>$76.6 million</w:t>
      </w:r>
      <w:r>
        <w:rPr>
          <w:rFonts w:ascii="Roboto;sans-serif" w:hAnsi="Roboto;sans-serif"/>
          <w:b w:val="false"/>
          <w:color w:val="000000"/>
          <w:sz w:val="20"/>
          <w:shd w:fill="FFFFFF" w:val="clear"/>
        </w:rPr>
        <w:t xml:space="preserve">, cash of </w:t>
      </w:r>
      <w:r>
        <w:rPr>
          <w:rFonts w:ascii="Roboto;sans-serif" w:hAnsi="Roboto;sans-serif"/>
          <w:b w:val="false"/>
          <w:color w:val="000000"/>
          <w:sz w:val="20"/>
        </w:rPr>
        <w:t>$0.2 million</w:t>
      </w:r>
      <w:r>
        <w:rPr>
          <w:rFonts w:ascii="Roboto;sans-serif" w:hAnsi="Roboto;sans-serif"/>
          <w:b w:val="false"/>
          <w:color w:val="000000"/>
          <w:sz w:val="20"/>
          <w:shd w:fill="FFFFFF" w:val="clear"/>
        </w:rPr>
        <w:t xml:space="preserve">, and contingent consideration with an estimated fair value of </w:t>
      </w:r>
      <w:r>
        <w:rPr>
          <w:rFonts w:ascii="Roboto;sans-serif" w:hAnsi="Roboto;sans-serif"/>
          <w:b w:val="false"/>
          <w:color w:val="000000"/>
          <w:sz w:val="20"/>
        </w:rPr>
        <w:t>$18.5 million</w:t>
      </w:r>
      <w:r>
        <w:rPr>
          <w:rFonts w:ascii="Roboto;sans-serif" w:hAnsi="Roboto;sans-serif"/>
          <w:b w:val="false"/>
          <w:color w:val="000000"/>
          <w:sz w:val="20"/>
          <w:shd w:fill="FFFFFF" w:val="clear"/>
        </w:rPr>
        <w:t xml:space="preserve">. Excluded from consideration transferred was </w:t>
      </w:r>
      <w:r>
        <w:rPr>
          <w:rFonts w:ascii="Roboto;sans-serif" w:hAnsi="Roboto;sans-serif"/>
          <w:b w:val="false"/>
          <w:color w:val="000000"/>
          <w:sz w:val="20"/>
        </w:rPr>
        <w:t>$1.3 million</w:t>
      </w:r>
      <w:r>
        <w:rPr>
          <w:color w:val="000000"/>
          <w:shd w:fill="FFFFFF" w:val="clear"/>
        </w:rPr>
        <w:t xml:space="preserve"> </w:t>
      </w:r>
      <w:r>
        <w:rPr>
          <w:rFonts w:ascii="Roboto;sans-serif" w:hAnsi="Roboto;sans-serif"/>
          <w:b w:val="false"/>
          <w:color w:val="000000"/>
          <w:sz w:val="20"/>
          <w:shd w:fill="FFFFFF" w:val="clear"/>
        </w:rPr>
        <w:t xml:space="preserve">attributable to accelerated share-based compensation expense. The fair value of the 6,121,571 common shares issued was determined based on the closing market price of our common stock on the acquisition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connection with the Apton acquisition, contingent consideration of $25.0 million, which we may elect to pay in cash, shares of our common stock or a combination of cash and shares of our common stock, is due upon the achievement of a milestone, defined as the achievement of $50.0 million in revenue associated with Apton's technology, provided that the milestone event occurs prior to the five-year anniversary of the closing date of the acquisition. At this time, the number of shares, if any, to be issued in connection with the achievement of the specified milestone is not known and will be calculated based on the daily volume-weighted average price of our common stock for the twenty trading days ending on and including the fifth trading day immediately prior to the occurrence of the specified milestone. Upon achievement of the milestone, we may pay cash in lieu of our common stock to ensure that the issuance of our common stock does not exceed 19.9% of our outstanding shares of common stock then outstanding.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contingent consideration is accounted for as a liability at fair value, with changes during each reporting period recognized in our Consolidated Statements of Operations and Comprehensive Loss. The fair value of the contingent consideration liability is calculated, with the assistance from a third-party valuation firm, using a Monte Carlo Simulation to estimate the volatility and systematic relative risk of revenues subject to sales milestone payments and discounting the associated cash payment amounts to their present values using a credit-risk-adjusted interest rate.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acquisition was accounted for as a business combination and, accordingly, the total fair value of the consideration transferred was allocated to the tangible and intangible assets acquired and liabilities assumed based on their fair values on the acquisition date. As of December 31, 2023, the major classes of assets and liabilities to which we have allocated the total fair value of the consideration transferred were as follows (in thousands):</w:t>
      </w:r>
    </w:p>
    <w:tbl>
      <w:tblPr>
        <w:tblW w:w="4746" w:type="dxa"/>
        <w:jc w:val="left"/>
        <w:tblInd w:w="0" w:type="dxa"/>
        <w:tblLayout w:type="fixed"/>
        <w:tblCellMar>
          <w:top w:w="28" w:type="dxa"/>
          <w:left w:w="28" w:type="dxa"/>
          <w:bottom w:w="28" w:type="dxa"/>
          <w:right w:w="28" w:type="dxa"/>
        </w:tblCellMar>
      </w:tblPr>
      <w:tblGrid>
        <w:gridCol w:w="1283"/>
        <w:gridCol w:w="1127"/>
        <w:gridCol w:w="1130"/>
        <w:gridCol w:w="226"/>
        <w:gridCol w:w="826"/>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In-process research and development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Goodwill</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52,287 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Other assets, current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Deferred income tax liability</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(11,338)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Liabilities assumed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(2,191)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consideration transferred</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94,008 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Roboto;sans-serif" w:hAnsi="Roboto;sans-serif"/>
          <w:b w:val="false"/>
          <w:color w:val="000000"/>
          <w:sz w:val="20"/>
          <w:shd w:fill="FFFFFF" w:val="clear"/>
        </w:rPr>
        <w:t xml:space="preserve">We have finalized the purchase price allocation for the </w:t>
      </w:r>
      <w:r>
        <w:rPr>
          <w:rFonts w:ascii="Roboto;sans-serif" w:hAnsi="Roboto;sans-serif"/>
          <w:b w:val="false"/>
          <w:color w:val="000000"/>
          <w:sz w:val="20"/>
        </w:rPr>
        <w:t>Apton acquisition. There</w:t>
      </w:r>
      <w:r>
        <w:rPr>
          <w:color w:val="000000"/>
          <w:shd w:fill="FFFFFF" w:val="clear"/>
        </w:rPr>
        <w:t xml:space="preserve"> </w:t>
      </w:r>
      <w:r>
        <w:rPr>
          <w:rFonts w:ascii="Roboto;sans-serif" w:hAnsi="Roboto;sans-serif"/>
          <w:b w:val="false"/>
          <w:color w:val="000000"/>
          <w:sz w:val="20"/>
          <w:shd w:fill="FFFFFF" w:val="clear"/>
        </w:rPr>
        <w:t>were no material adjustments from those amounts disclosed in our Annual Report on Form 10-K for the year ended December 31, 2023.</w:t>
      </w:r>
    </w:p>
    <w:p>
      <w:pPr>
        <w:pStyle w:val="TextBody"/>
        <w:bidi w:val="0"/>
        <w:spacing w:lineRule="auto" w:line="288" w:before="120" w:after="283"/>
        <w:jc w:val="both"/>
        <w:rPr/>
      </w:pPr>
      <w:r>
        <w:rPr>
          <w:rFonts w:ascii="Roboto;sans-serif" w:hAnsi="Roboto;sans-serif"/>
          <w:b w:val="false"/>
          <w:color w:val="000000"/>
          <w:sz w:val="20"/>
          <w:shd w:fill="FFFFFF" w:val="clear"/>
        </w:rPr>
        <w:t>We incurred costs related to the Apton acquisition of approxim</w:t>
      </w:r>
      <w:r>
        <w:rPr>
          <w:rFonts w:ascii="Roboto;sans-serif" w:hAnsi="Roboto;sans-serif"/>
          <w:b w:val="false"/>
          <w:color w:val="000000"/>
          <w:sz w:val="20"/>
        </w:rPr>
        <w:t>ately $9.0 million during the year ended December 31, 2023</w:t>
      </w:r>
      <w:r>
        <w:rPr>
          <w:rFonts w:ascii="Roboto;sans-serif" w:hAnsi="Roboto;sans-serif"/>
          <w:b w:val="false"/>
          <w:color w:val="000000"/>
          <w:sz w:val="20"/>
          <w:shd w:fill="FFFFFF" w:val="clear"/>
        </w:rPr>
        <w:t xml:space="preserve">. Merger-related expenses include </w:t>
      </w:r>
      <w:r>
        <w:rPr>
          <w:rFonts w:ascii="Roboto;sans-serif" w:hAnsi="Roboto;sans-serif"/>
          <w:b w:val="false"/>
          <w:color w:val="000000"/>
          <w:sz w:val="20"/>
        </w:rPr>
        <w:t xml:space="preserve">$2.8 million relating to a liquidity event bonus plan that was treated as a separate transaction and included the issuance of </w:t>
      </w:r>
      <w:r>
        <w:rPr>
          <w:rFonts w:ascii="Roboto;sans-serif" w:hAnsi="Roboto;sans-serif"/>
          <w:b w:val="false"/>
          <w:color w:val="000000"/>
          <w:sz w:val="20"/>
          <w:shd w:fill="FFFFFF" w:val="clear"/>
        </w:rPr>
        <w:t>168,621</w:t>
      </w:r>
      <w:r>
        <w:rPr>
          <w:color w:val="000000"/>
        </w:rPr>
        <w:t xml:space="preserve"> </w:t>
      </w:r>
      <w:r>
        <w:rPr>
          <w:rFonts w:ascii="Roboto;sans-serif" w:hAnsi="Roboto;sans-serif"/>
          <w:b w:val="false"/>
          <w:color w:val="000000"/>
          <w:sz w:val="20"/>
        </w:rPr>
        <w:t xml:space="preserve">shares of common stock that were issued with a fair value of $2.1 million based on the closing market price of our common stock on the acquisition date. As a result, the total shares issued in connection with the Apton acquisition were </w:t>
      </w:r>
      <w:r>
        <w:rPr>
          <w:rFonts w:ascii="Roboto;sans-serif" w:hAnsi="Roboto;sans-serif"/>
          <w:b w:val="false"/>
          <w:color w:val="000000"/>
          <w:sz w:val="20"/>
          <w:shd w:fill="FFFFFF" w:val="clear"/>
        </w:rPr>
        <w:t>6.3 million</w:t>
      </w:r>
      <w:r>
        <w:rPr>
          <w:color w:val="000000"/>
        </w:rPr>
        <w:t xml:space="preserve"> </w:t>
      </w:r>
      <w:r>
        <w:rPr>
          <w:rFonts w:ascii="Roboto;sans-serif" w:hAnsi="Roboto;sans-serif"/>
          <w:b w:val="false"/>
          <w:color w:val="000000"/>
          <w:sz w:val="20"/>
        </w:rPr>
        <w:t xml:space="preserve">shares of common stock.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excess of the value of consideration paid over the aggregate fair value of those net assets has been recorded as goodwill. We recognized goodwill of $52.3 million, which is primarily attributable to the synergies expected to occur from the integration of Apton and is not deductible for income tax purposes. We allocated $55.0 million of the purchase price to acquired in-process research and development ("IPR&amp;D"). The fair value of the IPR&amp;D was determined, with the assistance of a third-party valuation firm, using an income approach based on a forecast of expected future cash flows. Expected future cash flows utilize significant assumptions such as assumed revenue growth, discount rate and obsolescence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NOTE 3. FINANCIAL INSTRUMENTS</w:t>
      </w:r>
    </w:p>
    <w:p>
      <w:pPr>
        <w:pStyle w:val="TextBody"/>
        <w:bidi w:val="0"/>
        <w:spacing w:lineRule="auto" w:line="288" w:before="120" w:after="283"/>
        <w:jc w:val="both"/>
        <w:rPr>
          <w:rFonts w:ascii="Roboto;sans-serif" w:hAnsi="Roboto;sans-serif"/>
          <w:b/>
          <w:i/>
          <w:color w:val="000000"/>
          <w:sz w:val="20"/>
        </w:rPr>
      </w:pPr>
      <w:r>
        <w:rPr>
          <w:rFonts w:ascii="Roboto;sans-serif" w:hAnsi="Roboto;sans-serif"/>
          <w:b/>
          <w:i/>
          <w:color w:val="000000"/>
          <w:sz w:val="20"/>
        </w:rPr>
        <w:t>Fair Value of Financial Instruments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Fair value is the exchange price that would be received to sell an asset or paid to transfer a liability in an orderly transaction between market participants at the measurement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fair value hierarchy established under GAAP requires an entity to maximize the use of observable inputs and minimize the use of unobservable inputs when measuring fair value. The three levels of inputs that may be used to measure fair value are as follows: </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Level 1: quoted prices in active markets for identical assets or liabilities;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Level 3: unobservable inputs that are supported by little or no market activity and that are significant to the fair value of the assets or liabilities.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carrying amount of our accounts receivable, prepaid expenses, other current assets, accounts payable, accrued expenses and other liabilities, current, approximate fair value due to their short maturities.</w:t>
      </w:r>
    </w:p>
    <w:p>
      <w:pPr>
        <w:pStyle w:val="TextBody"/>
        <w:bidi w:val="0"/>
        <w:spacing w:lineRule="auto" w:line="288" w:before="240" w:after="283"/>
        <w:jc w:val="both"/>
        <w:rPr>
          <w:rFonts w:ascii="Roboto;sans-serif" w:hAnsi="Roboto;sans-serif"/>
          <w:b w:val="false"/>
          <w:i/>
          <w:color w:val="000000"/>
          <w:sz w:val="20"/>
        </w:rPr>
      </w:pPr>
      <w:r>
        <w:rPr>
          <w:rFonts w:ascii="Roboto;sans-serif" w:hAnsi="Roboto;sans-serif"/>
          <w:b w:val="false"/>
          <w:i/>
          <w:color w:val="000000"/>
          <w:sz w:val="20"/>
        </w:rPr>
        <w:t>Assets and Liabilities Measured at Fair Value on a Recurring Basis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sets forth the fair value of our financial assets and liabilities that were measured on a recurring basis:</w:t>
      </w:r>
    </w:p>
    <w:tbl>
      <w:tblPr>
        <w:tblW w:w="12343" w:type="dxa"/>
        <w:jc w:val="left"/>
        <w:tblInd w:w="0" w:type="dxa"/>
        <w:tblLayout w:type="fixed"/>
        <w:tblCellMar>
          <w:top w:w="28" w:type="dxa"/>
          <w:left w:w="28" w:type="dxa"/>
          <w:bottom w:w="28" w:type="dxa"/>
          <w:right w:w="28" w:type="dxa"/>
        </w:tblCellMar>
      </w:tblPr>
      <w:tblGrid>
        <w:gridCol w:w="629"/>
        <w:gridCol w:w="315"/>
        <w:gridCol w:w="317"/>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December 31, 2023</w:t>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6"/>
              </w:rPr>
            </w:pPr>
            <w:r>
              <w:rPr>
                <w:rFonts w:ascii="Roboto;sans-serif" w:hAnsi="Roboto;sans-serif"/>
                <w:b/>
                <w:color w:val="000000"/>
                <w:sz w:val="16"/>
              </w:rPr>
              <w:t>Total</w:t>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Cash and cash equivalents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63,173 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36,353 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99,526 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70,172 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109,739 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179,911 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Investments: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Commercial paper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9,947 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9,947 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Corporate debt securities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84,239 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84,239 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88,579 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88,579 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U.S. government &amp; agency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326,037 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326,037 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352,979 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352,979 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investments </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410,276 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410,276 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451,505 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451,505 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Short-term 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Long-term 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2,422 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assets measured at fair value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65,437 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446,629 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512,066 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72,894 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561,244 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634,138 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Liabilities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Contingent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 xml:space="preserve">Total liabilities measured at fair value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19,480 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19,550 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6"/>
              </w:rPr>
            </w:pPr>
            <w:r>
              <w:rPr>
                <w:rFonts w:ascii="Roboto;sans-serif" w:hAnsi="Robo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6"/>
              </w:rPr>
            </w:pPr>
            <w:r>
              <w:rPr>
                <w:rFonts w:ascii="Roboto;sans-serif" w:hAnsi="Roboto;sans-serif"/>
                <w:b w:val="false"/>
                <w:color w:val="000000"/>
                <w:sz w:val="16"/>
              </w:rPr>
              <w:t>19,550 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classify contingent consideration, which was incurred in connection with the acquisition of Apton, within Level 3, as factors used to develop the estimate of fair value include unobservable inputs that are not supported by market activity and are significant to the fair value. Estimates and assumptions used in the Monte Carlo simulation include risk-adjusted forecasted revenues for products and services leveraging Apton's technology and an estimated credit spread.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estimate the fair value of the contingent consideration liability based on the simulated revenue of the Company through the five-year anniversary of the closing date of the acquisition. As of June 30, 2024, the key input used in the determination of the fair value included projected revenues of the high-throughput short-read products and services leveraging Apton's technology. A decrease in the projected revenues would result in a decrease in the fair value of the liability. The discount rates used are the sum of the U.S. risk-free rate and the estimated subordinated credit spread for B- credit rating, which ranges from 7.5% to 8.1%. Changes in our estimated subordinated credit spread can result in changes in the fair value of the contingent consideration liability, where a lower credit spread may result in an increased liability valuation.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the estimated fair value of the contingent consideration liability for the six months ended June 30, 2024 were as follows:</w:t>
      </w:r>
    </w:p>
    <w:tbl>
      <w:tblPr>
        <w:tblW w:w="5375" w:type="dxa"/>
        <w:jc w:val="left"/>
        <w:tblInd w:w="0" w:type="dxa"/>
        <w:tblLayout w:type="fixed"/>
        <w:tblCellMar>
          <w:top w:w="28" w:type="dxa"/>
          <w:left w:w="28" w:type="dxa"/>
          <w:bottom w:w="28" w:type="dxa"/>
          <w:right w:w="28" w:type="dxa"/>
        </w:tblCellMar>
      </w:tblPr>
      <w:tblGrid>
        <w:gridCol w:w="1511"/>
        <w:gridCol w:w="1326"/>
        <w:gridCol w:w="1332"/>
        <w:gridCol w:w="226"/>
        <w:gridCol w:w="826"/>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Level 3</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Beginning balance as of December 31, 2023</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estimated fair value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Ending balance as of June 30, 2024</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19,480 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to the fair value are recorded as change in fair value of contingent consideration in the Condensed Consolidated Statement of Operations and Comprehensive Loss.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For the six months ended June 30, 2024, there were no transfers between Level 1, Level 2, or Level 3 assets or liabilities reported at fair value on a recurring basis, and our valuation techniques did not change compared to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tables summarize our cash, cash equivalents, restricted cash, and investments:</w:t>
      </w:r>
    </w:p>
    <w:tbl>
      <w:tblPr>
        <w:tblW w:w="9965" w:type="dxa"/>
        <w:jc w:val="left"/>
        <w:tblInd w:w="0" w:type="dxa"/>
        <w:tblLayout w:type="fixed"/>
        <w:tblCellMar>
          <w:top w:w="28" w:type="dxa"/>
          <w:left w:w="28" w:type="dxa"/>
          <w:bottom w:w="28" w:type="dxa"/>
          <w:right w:w="28" w:type="dxa"/>
        </w:tblCellMar>
      </w:tblPr>
      <w:tblGrid>
        <w:gridCol w:w="1561"/>
        <w:gridCol w:w="1368"/>
        <w:gridCol w:w="1376"/>
        <w:gridCol w:w="226"/>
        <w:gridCol w:w="946"/>
        <w:gridCol w:w="109"/>
        <w:gridCol w:w="109"/>
        <w:gridCol w:w="109"/>
        <w:gridCol w:w="109"/>
        <w:gridCol w:w="271"/>
        <w:gridCol w:w="632"/>
        <w:gridCol w:w="133"/>
        <w:gridCol w:w="109"/>
        <w:gridCol w:w="109"/>
        <w:gridCol w:w="109"/>
        <w:gridCol w:w="267"/>
        <w:gridCol w:w="639"/>
        <w:gridCol w:w="130"/>
        <w:gridCol w:w="109"/>
        <w:gridCol w:w="109"/>
        <w:gridCol w:w="109"/>
        <w:gridCol w:w="226"/>
        <w:gridCol w:w="946"/>
        <w:gridCol w:w="154"/>
      </w:tblGrid>
      <w:tr>
        <w:trPr/>
        <w:tc>
          <w:tcPr>
            <w:tcW w:w="156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As of June 30, 2024</w:t>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Amortized</w:t>
              <w:br/>
              <w:t xml:space="preserve">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Fair</w:t>
              <w:br/>
              <w:t>Value</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99,531 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99,526 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Investments: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6" w:type="dxa"/>
            <w:gridSpan w:val="3"/>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Corporate debt securities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84,239 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U.S. government &amp; agency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(446)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326,037 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investments </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410,794 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(592)</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410,276 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cash, cash equivalents and investments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510,325 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(597)</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509,802 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Short-term restricted cash</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Long-term restricted cash</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1,922 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As of December 31, 2023</w:t>
            </w:r>
          </w:p>
        </w:tc>
      </w:tr>
      <w:tr>
        <w:trPr/>
        <w:tc>
          <w:tcPr>
            <w:tcW w:w="43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Fair</w:t>
              <w:br/>
              <w:t>Value</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and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179,958 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(60)</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179,911 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Investments:</w:t>
            </w:r>
          </w:p>
        </w:tc>
        <w:tc>
          <w:tcPr>
            <w:tcW w:w="12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Commercial paper</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Corporate debt securities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88,263 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(57)</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88,579 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U.S. government &amp; agency securities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(528)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352,979 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investments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451,239 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851 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(585)</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451,505 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cash, cash equivalents and investments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631,197 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864 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(645)</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631,416 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Short-term restricted cash</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Long-term restricted cash</w:t>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2,422 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The following table summarizes the contractual maturities of our cash equivalents and available-for-sale investments, excluding money market funds, as of June 30, 2024:</w:t>
      </w:r>
    </w:p>
    <w:tbl>
      <w:tblPr>
        <w:tblW w:w="4910" w:type="dxa"/>
        <w:jc w:val="left"/>
        <w:tblInd w:w="0" w:type="dxa"/>
        <w:tblLayout w:type="fixed"/>
        <w:tblCellMar>
          <w:top w:w="28" w:type="dxa"/>
          <w:left w:w="28" w:type="dxa"/>
          <w:bottom w:w="28" w:type="dxa"/>
          <w:right w:w="28" w:type="dxa"/>
        </w:tblCellMar>
      </w:tblPr>
      <w:tblGrid>
        <w:gridCol w:w="1299"/>
        <w:gridCol w:w="1140"/>
        <w:gridCol w:w="1145"/>
        <w:gridCol w:w="226"/>
        <w:gridCol w:w="946"/>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Fair Value</w:t>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Due in one year or less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347,533 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Due after one year through five years </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99,096 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446,629 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Actual maturities may differ from contractual maturities because issuers may have the right to call or prepay obligations without call or prepayment penalties.</w:t>
      </w:r>
    </w:p>
    <w:p>
      <w:pPr>
        <w:pStyle w:val="TextBody"/>
        <w:bidi w:val="0"/>
        <w:spacing w:lineRule="auto" w:line="288" w:before="120" w:after="283"/>
        <w:jc w:val="both"/>
        <w:rPr/>
      </w:pPr>
      <w:r>
        <w:rPr>
          <w:rFonts w:ascii="Roboto;sans-serif" w:hAnsi="Roboto;sans-serif"/>
          <w:b w:val="false"/>
          <w:color w:val="000000"/>
          <w:sz w:val="20"/>
        </w:rPr>
        <w:t xml:space="preserve">Investment income included in other income, net </w:t>
      </w:r>
      <w:r>
        <w:rPr>
          <w:rFonts w:ascii="Roboto;sans-serif" w:hAnsi="Roboto;sans-serif"/>
          <w:b w:val="false"/>
          <w:color w:val="000000"/>
          <w:sz w:val="20"/>
          <w:shd w:fill="FFFFFF" w:val="clear"/>
        </w:rPr>
        <w:t xml:space="preserve">on the Condensed Consolidated Statement of Operations and Comprehensive Loss </w:t>
      </w:r>
      <w:r>
        <w:rPr>
          <w:rFonts w:ascii="Roboto;sans-serif" w:hAnsi="Roboto;sans-serif"/>
          <w:b w:val="false"/>
          <w:color w:val="000000"/>
          <w:sz w:val="20"/>
        </w:rPr>
        <w:t>was $6.5 million and $13.8 million for the three and six months ended June 30, 2024, respectively, and $9.0 million and $15.8 million for the three and six months ended June 30,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NOTE 4. BALANCE SHEET COMPONENTS</w:t>
      </w:r>
    </w:p>
    <w:p>
      <w:pPr>
        <w:pStyle w:val="TextBody"/>
        <w:bidi w:val="0"/>
        <w:spacing w:lineRule="auto" w:line="288" w:before="120" w:after="283"/>
        <w:jc w:val="both"/>
        <w:rPr>
          <w:rFonts w:ascii="Roboto;sans-serif" w:hAnsi="Roboto;sans-serif"/>
          <w:b/>
          <w:i/>
          <w:color w:val="000000"/>
          <w:sz w:val="20"/>
        </w:rPr>
      </w:pPr>
      <w:r>
        <w:rPr>
          <w:rFonts w:ascii="Roboto;sans-serif" w:hAnsi="Roboto;sans-serif"/>
          <w:b/>
          <w:i/>
          <w:color w:val="000000"/>
          <w:sz w:val="20"/>
        </w:rPr>
        <w:t>Inventory, net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inventory, net, consisted of the following components:</w:t>
      </w:r>
    </w:p>
    <w:tbl>
      <w:tblPr>
        <w:tblW w:w="4998" w:type="dxa"/>
        <w:jc w:val="left"/>
        <w:tblInd w:w="0" w:type="dxa"/>
        <w:tblLayout w:type="fixed"/>
        <w:tblCellMar>
          <w:top w:w="28" w:type="dxa"/>
          <w:left w:w="28" w:type="dxa"/>
          <w:bottom w:w="28" w:type="dxa"/>
          <w:right w:w="28" w:type="dxa"/>
        </w:tblCellMar>
      </w:tblPr>
      <w:tblGrid>
        <w:gridCol w:w="707"/>
        <w:gridCol w:w="620"/>
        <w:gridCol w:w="623"/>
        <w:gridCol w:w="226"/>
        <w:gridCol w:w="826"/>
        <w:gridCol w:w="109"/>
        <w:gridCol w:w="109"/>
        <w:gridCol w:w="109"/>
        <w:gridCol w:w="109"/>
        <w:gridCol w:w="292"/>
        <w:gridCol w:w="1069"/>
        <w:gridCol w:w="199"/>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December 31,</w:t>
              <w:br/>
              <w:t>2023</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Purchased materials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20,168 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Work in process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21,695 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23,436 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Finished goods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13,072 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Inventory, net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68,594 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56,676 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Goodwill and Intangible Assets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Goodwill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Goodwill is reviewed for impairment at least annually during the second quarter, or more frequently if an event occurs indicating the potential for impairment. We performed our annual assessment for goodwill impairment in the second quarter of 2024, as of the beginning of April 2024, noting no impairment. Based primarily on the sustained decrease in our stock price during the second quarter and overall market capitalization as of the end of the second quarter of 2024 as well as other factors, we concluded that there was an indicator that it was more likely than not that the fair value of the reporting unit was less than its carrying amount that required an interim impairment test be performed on goodwill. As a result of the interim impairment test, we concluded that the carrying amount of the entity-level reporting unit exceeded fair value and recorded a $93.2 million goodwill impairment charge for the three months ended June 30, 2024 in the Condensed Consolidated Statements of Operations and Comprehensive Loss.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decline in the fair value of the reporting unit below its carrying value resulted primarily from the decline in our stock price and changes in the timing of expected future cash flows as compared to our initial long-term plan due to continued impact of longer than expected median sales cycles resulting from various factors. We performed our impairment test using a combination of an income and a market approach to determine the fair value of goodwill. The income approach utilized estimated discounted cash flows, while the market approach utilized comparable company information. Significant assumptions used in the income approach include revenue growth expectations and a selected discount rate of 12.0%. The discount rate is based on the weighted average cost of capital, determined using market, industry data, and related risk factors. The assessment is a level 3 measurement due to its reliance on certain unobservable inputs and significant management judgment. The assumptions used are inherently subject to uncertainty and small changes in these assumptions could have a significant impact on the concluded value. An increase of 100 basis points to the discount rate used in our assessment would have resulted in additional goodwill impairment of approximately $85 million. The assessed fair value was deemed reasonable based on a market capitalization reconciliation and a supportable control premium.</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a result of the impairment, the carrying value of goodwill now approximates fair value. Changes in our future operating results, cash flows, share price, market capitalization or discount rates used when conducting future goodwill impairment tests could affect the estimated fair value of goodwill and may result in additional impairment charges in the future.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to goodwill during six months ended June 30, 2024 were as follows:</w:t>
      </w:r>
    </w:p>
    <w:tbl>
      <w:tblPr>
        <w:tblW w:w="4848" w:type="dxa"/>
        <w:jc w:val="left"/>
        <w:tblInd w:w="0" w:type="dxa"/>
        <w:tblLayout w:type="fixed"/>
        <w:tblCellMar>
          <w:top w:w="28" w:type="dxa"/>
          <w:left w:w="28" w:type="dxa"/>
          <w:bottom w:w="28" w:type="dxa"/>
          <w:right w:w="28" w:type="dxa"/>
        </w:tblCellMar>
      </w:tblPr>
      <w:tblGrid>
        <w:gridCol w:w="1158"/>
        <w:gridCol w:w="1016"/>
        <w:gridCol w:w="1021"/>
        <w:gridCol w:w="109"/>
        <w:gridCol w:w="109"/>
        <w:gridCol w:w="109"/>
        <w:gridCol w:w="226"/>
        <w:gridCol w:w="946"/>
        <w:gridCol w:w="154"/>
      </w:tblGrid>
      <w:tr>
        <w:trPr/>
        <w:tc>
          <w:tcPr>
            <w:tcW w:w="115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462,261 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(93,200)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369,061 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Intangible Assets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Intangible assets include acquired IPR&amp;D of $55.0 million as a result of the Apton acquisition in August 2023. The IPR&amp;D will remain on our Consolidated Balance Sheet as an indefinite-lived intangible asset until the completion or abandonment of the associated research and development activities. During the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period following the acquisition, IPR&amp;D is not amortized, but instead is tested for impairment annually and more frequently if events or changes in circumstances indicate that it is more likely than not that the asset is impaired. Upon completion of the development, we will amortize the asset over the life of the product or record an impairment charge if the asset is determined to be impaired. We performed our annual assessment of IPR&amp;D in the third quarter of 2023 in connection with the completion of the IPR&amp;D acquired through the acquisition of Omniome, noting no impairment.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to IPR&amp;D, finite-lived intangible assets included the following:</w:t>
      </w:r>
    </w:p>
    <w:tbl>
      <w:tblPr>
        <w:tblW w:w="12415" w:type="dxa"/>
        <w:jc w:val="left"/>
        <w:tblInd w:w="0" w:type="dxa"/>
        <w:tblLayout w:type="fixed"/>
        <w:tblCellMar>
          <w:top w:w="28" w:type="dxa"/>
          <w:left w:w="28" w:type="dxa"/>
          <w:bottom w:w="28" w:type="dxa"/>
          <w:right w:w="28" w:type="dxa"/>
        </w:tblCellMar>
      </w:tblPr>
      <w:tblGrid>
        <w:gridCol w:w="600"/>
        <w:gridCol w:w="330"/>
        <w:gridCol w:w="331"/>
        <w:gridCol w:w="380"/>
        <w:gridCol w:w="380"/>
        <w:gridCol w:w="381"/>
        <w:gridCol w:w="109"/>
        <w:gridCol w:w="109"/>
        <w:gridCol w:w="109"/>
        <w:gridCol w:w="226"/>
        <w:gridCol w:w="946"/>
        <w:gridCol w:w="109"/>
        <w:gridCol w:w="109"/>
        <w:gridCol w:w="109"/>
        <w:gridCol w:w="109"/>
        <w:gridCol w:w="276"/>
        <w:gridCol w:w="1030"/>
        <w:gridCol w:w="135"/>
        <w:gridCol w:w="109"/>
        <w:gridCol w:w="109"/>
        <w:gridCol w:w="109"/>
        <w:gridCol w:w="226"/>
        <w:gridCol w:w="946"/>
        <w:gridCol w:w="109"/>
        <w:gridCol w:w="109"/>
        <w:gridCol w:w="109"/>
        <w:gridCol w:w="109"/>
        <w:gridCol w:w="226"/>
        <w:gridCol w:w="946"/>
        <w:gridCol w:w="109"/>
        <w:gridCol w:w="109"/>
        <w:gridCol w:w="109"/>
        <w:gridCol w:w="109"/>
        <w:gridCol w:w="308"/>
        <w:gridCol w:w="983"/>
        <w:gridCol w:w="150"/>
        <w:gridCol w:w="109"/>
        <w:gridCol w:w="109"/>
        <w:gridCol w:w="109"/>
        <w:gridCol w:w="226"/>
        <w:gridCol w:w="946"/>
        <w:gridCol w:w="154"/>
      </w:tblGrid>
      <w:tr>
        <w:trPr/>
        <w:tc>
          <w:tcPr>
            <w:tcW w:w="60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As of December 31, 2023</w:t>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 except years)</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Estimated</w:t>
              <w:br/>
              <w:t>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Net</w:t>
              <w:b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Net</w:t>
              <w:br/>
              <w:t>Carrying</w:t>
              <w:br/>
              <w:t>Amount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Developed technology</w:t>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411,179 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(22,901)</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388,278 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411,179 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(9,195)</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401,984 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Customer relationships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411,539 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(23,261)</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388,278 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411,539 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(9,555)</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401,984 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The estimated future amortization expense of intangible assets with definite lives is as follows:</w:t>
      </w:r>
    </w:p>
    <w:tbl>
      <w:tblPr>
        <w:tblW w:w="3291" w:type="dxa"/>
        <w:jc w:val="left"/>
        <w:tblInd w:w="0" w:type="dxa"/>
        <w:tblLayout w:type="fixed"/>
        <w:tblCellMar>
          <w:top w:w="28" w:type="dxa"/>
          <w:left w:w="28" w:type="dxa"/>
          <w:bottom w:w="28" w:type="dxa"/>
          <w:right w:w="28" w:type="dxa"/>
        </w:tblCellMar>
      </w:tblPr>
      <w:tblGrid>
        <w:gridCol w:w="712"/>
        <w:gridCol w:w="625"/>
        <w:gridCol w:w="628"/>
        <w:gridCol w:w="226"/>
        <w:gridCol w:w="946"/>
        <w:gridCol w:w="154"/>
      </w:tblGrid>
      <w:tr>
        <w:trPr/>
        <w:tc>
          <w:tcPr>
            <w:tcW w:w="71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Remainder of 2024</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2025</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2026</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2027</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2028</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2029 and thereafter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264,924 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388,278 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Amortization of acquired intangible assets is included within our cost of revenue if the costs and expenses related to the intangible assets are attributable to revenue generating activities. Amortization expense for intangible assets that are not directly related to sales generating activities are amortized to operating expenses. For developed technology intangible assets that are utilized in both revenue generating activities and in research and development activities, we allocate the amortization expense between cost of revenue and operating expenses. The finite-lived intangible assets are amortized using the straight-line method over their estimated useful lives.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review finite-lived intangible assets for impairment when indication of potential impairment exists, such as a significant reduction in cash flows associated with the assets.</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Deferred Revenue</w:t>
      </w:r>
    </w:p>
    <w:p>
      <w:pPr>
        <w:pStyle w:val="TextBody"/>
        <w:bidi w:val="0"/>
        <w:spacing w:lineRule="auto" w:line="288" w:before="120" w:after="283"/>
        <w:jc w:val="both"/>
        <w:rPr/>
      </w:pPr>
      <w:r>
        <w:rPr>
          <w:rFonts w:ascii="Roboto;sans-serif" w:hAnsi="Roboto;sans-serif"/>
          <w:b w:val="false"/>
          <w:color w:val="000000"/>
          <w:sz w:val="20"/>
        </w:rPr>
        <w:t xml:space="preserve">As of June 30, 2024, we had a total of $24.9 million of deferred revenue, $19.2 million of which was recorded as deferred revenue, current, and primarily relates to deferred service contract revenues and future performance obligations under the Amended and Restated Agreement with Invitae Corporation ("Invitae"). Refer to </w:t>
      </w:r>
      <w:r>
        <w:rPr>
          <w:rFonts w:ascii="Roboto;sans-serif" w:hAnsi="Roboto;sans-serif"/>
          <w:b w:val="false"/>
          <w:i/>
          <w:color w:val="000000"/>
          <w:sz w:val="20"/>
        </w:rPr>
        <w:t>Note 3 – Invitae Collaboration</w:t>
      </w:r>
      <w:r>
        <w:rPr>
          <w:rFonts w:ascii="Roboto;sans-serif" w:hAnsi="Roboto;sans-serif"/>
          <w:b w:val="false"/>
          <w:color w:val="000000"/>
          <w:sz w:val="20"/>
        </w:rPr>
        <w:t>, in Part II, Item 8 of the Annual Report on Form 10-K for the year ended December 31, 2023 for more information</w:t>
      </w:r>
      <w:r>
        <w:rPr>
          <w:rFonts w:ascii="Roboto;sans-serif" w:hAnsi="Roboto;sans-serif"/>
          <w:b w:val="false"/>
          <w:color w:val="000000"/>
          <w:sz w:val="20"/>
          <w:shd w:fill="FFFFFF" w:val="clear"/>
        </w:rPr>
        <w:t xml:space="preserve">. </w:t>
      </w:r>
      <w:r>
        <w:rPr>
          <w:rFonts w:ascii="Roboto;sans-serif" w:hAnsi="Roboto;sans-serif"/>
          <w:b w:val="false"/>
          <w:color w:val="000000"/>
          <w:sz w:val="20"/>
        </w:rPr>
        <w:t xml:space="preserve">The deferred revenue, non-current balance of $5.7 million primarily relates to deferred service contract revenues and is scheduled to be recognized in the next five years. Revenue recorded in the three and six months ended June 30, 2024 includes $2.3 million and $5.5 million, respectively, that was included in deferred revenue as of December 31, 2023. </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Product Warranties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generally provide a one-year warranty on instruments. In addition, we provide a limited warranty on consumables. At the time revenue is recognized, an accrual is established for estimated warranty costs based on historical experience as well as anticipated product performance. We periodically review the warranty reserve for adequacy and adjust the warranty accrual, if necessary, based on actual experience and estimated costs to be incurred. Warranties are recorded as part of accrued expenses on the Condensed Consolidated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Balance Sheets and warranty expense is recorded as a component of cost of product revenue in the Condensed Consolidated Statements of Operations and Comprehensive Loss. There were no material changes in estimates for the periods presented below.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Changes in the reserve for product warranties were as follows for the periods indicated:</w:t>
      </w:r>
    </w:p>
    <w:tbl>
      <w:tblPr>
        <w:tblW w:w="10205" w:type="dxa"/>
        <w:jc w:val="left"/>
        <w:tblInd w:w="0" w:type="dxa"/>
        <w:tblLayout w:type="fixed"/>
        <w:tblCellMar>
          <w:top w:w="28" w:type="dxa"/>
          <w:left w:w="28" w:type="dxa"/>
          <w:bottom w:w="28" w:type="dxa"/>
          <w:right w:w="28" w:type="dxa"/>
        </w:tblCellMar>
      </w:tblPr>
      <w:tblGrid>
        <w:gridCol w:w="1468"/>
        <w:gridCol w:w="1260"/>
        <w:gridCol w:w="1267"/>
        <w:gridCol w:w="285"/>
        <w:gridCol w:w="892"/>
        <w:gridCol w:w="137"/>
        <w:gridCol w:w="137"/>
        <w:gridCol w:w="137"/>
        <w:gridCol w:w="137"/>
        <w:gridCol w:w="285"/>
        <w:gridCol w:w="892"/>
        <w:gridCol w:w="137"/>
        <w:gridCol w:w="109"/>
        <w:gridCol w:w="109"/>
        <w:gridCol w:w="109"/>
        <w:gridCol w:w="261"/>
        <w:gridCol w:w="817"/>
        <w:gridCol w:w="125"/>
        <w:gridCol w:w="125"/>
        <w:gridCol w:w="125"/>
        <w:gridCol w:w="125"/>
        <w:gridCol w:w="261"/>
        <w:gridCol w:w="817"/>
        <w:gridCol w:w="188"/>
      </w:tblGrid>
      <w:tr>
        <w:trPr/>
        <w:tc>
          <w:tcPr>
            <w:tcW w:w="1468"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3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Balance at beginning of period</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4,120 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1,624 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4,681 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1,651 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Additions charged to cost of product revenue</w:t>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1,773 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2,247 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3,373 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2,851 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Repairs and replacements</w:t>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(2,431)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(4,592)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(1,640)</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Balance at end of period</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3,462 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2,862 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3,462 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2,862 </w:t>
            </w:r>
          </w:p>
        </w:tc>
        <w:tc>
          <w:tcPr>
            <w:tcW w:w="1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Term loans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connection with the acquisition of Omniome, we acquired $1.3 million in short-term debt and $3.0 million in long-term debt relating to a term loan facility that Omniome obtained in April 2020. As of June 30, 2024, no amounts were outstanding on the term loans. Interest expense was not material for the three and six months ended June 30, 2024, and was included as part of interest expense in the Condensed Consolidated Statement of Operations and Comprehensive Loss.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 xml:space="preserve">NOTE 5. CONVERTIBLE SENIOR NOTES </w:t>
      </w:r>
    </w:p>
    <w:p>
      <w:pPr>
        <w:pStyle w:val="TextBody"/>
        <w:bidi w:val="0"/>
        <w:spacing w:lineRule="auto" w:line="288" w:before="120" w:after="283"/>
        <w:jc w:val="both"/>
        <w:rPr>
          <w:rFonts w:ascii="Roboto;sans-serif" w:hAnsi="Roboto;sans-serif"/>
          <w:b/>
          <w:i/>
          <w:color w:val="000000"/>
          <w:sz w:val="20"/>
        </w:rPr>
      </w:pPr>
      <w:r>
        <w:rPr>
          <w:rFonts w:ascii="Roboto;sans-serif" w:hAnsi="Roboto;sans-serif"/>
          <w:b/>
          <w:i/>
          <w:color w:val="000000"/>
          <w:sz w:val="20"/>
        </w:rPr>
        <w:t>2030 Convertible Senior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June 2023, we entered into a privately negotiated exchange agreement with a holder of our outstanding 1.50% Convertible Senior Notes due 2028 (the “2028 Notes”), pursuant to which we issued $441.0 million in aggregate principal amount of our 1.375% Convertible Senior Notes due 2030 (the “2030 Notes”) in exchange for $441.0 million principal amount of the 2028 Notes (the “Exchange Transaction”), pursuant to exemptions from registration under the Securities Act of 1933, as amended, and the rules and regulations thereunder. The 2030 Notes were issued on June 30, 2023.</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Notes are governed by an indenture (the “2030 Indenture”) between the Company and U.S. Bank Trust Company, National Association, as trustee. The 2030 Notes bear interest at a rate of 1.375% per annum. Interest on the 2030 Notes is payable semi-annually in arrears on June 15 and December 15, commencing on December 15, 2023. The 2030 Notes will mature on December 15, 2030, subject to earlier conversion, redemption or repurchase.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Notes are convertible at the option of the holder at any time until the second scheduled trading day prior to the maturity date, including in connection with a redemption by the Company. The 2030 Notes are convertible into shares of our common stock based on an initial conversion rate of 46.5116 shares of common stock per $1,000 principal amount of the 2030 Notes (which is equal to an initial conversion price of $21.50 per share of common stock), in each case subject to customary anti-dilution and other adjustments as a result of certain extraordinary transactions. Upon conversion of the 2030 Notes, we may elect to settle such conversion obligation in shares of our common stock, cash or a combination of shares of our common stock and cash.</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or after June 20, 2028, the 2030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2030 Notes, plus accrued and unpaid interest up to, but excluding, the redemption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Upon the occurrence of a Fundamental Change (as defined in the 2030 Indenture), the holders of the 2030 Notes may require that we repurchase all or part of the principal amount of the 2030 Notes at a purchase price equal to 100% of the principal amount of the notes to be repurchased, plus any accrued and unpaid interest up to, but excluding, the fundamental change repurchase date, and all unpaid interest from the fundamental change repurchase date thereon, but excluding, the maturity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Indenture includes customary “events of default,” which may result in the acceleration of the maturity of the 2030 Notes under the 2030 Indenture. The 2030 Indenture also includes customary covenants for convertible notes of this type.</w:t>
      </w:r>
    </w:p>
    <w:p>
      <w:pPr>
        <w:pStyle w:val="TextBody"/>
        <w:bidi w:val="0"/>
        <w:spacing w:lineRule="auto" w:line="288" w:before="120" w:after="283"/>
        <w:jc w:val="both"/>
        <w:rPr/>
      </w:pPr>
      <w:r>
        <w:rPr>
          <w:rFonts w:ascii="Roboto;sans-serif" w:hAnsi="Roboto;sans-serif"/>
          <w:b w:val="false"/>
          <w:color w:val="000000"/>
          <w:sz w:val="20"/>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2030 Notes at a rate equal to (i) 0.25% per annum of the principal amount of the 2030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2030 Notes outstanding for each day from, and including, the 181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calendar day to, and including, the 360</w:t>
      </w:r>
      <w:r>
        <w:rPr>
          <w:rFonts w:ascii="Roboto;sans-serif" w:hAnsi="Roboto;sans-serif"/>
          <w:b w:val="false"/>
          <w:color w:val="000000"/>
          <w:sz w:val="13"/>
        </w:rPr>
        <w:t>th</w:t>
      </w:r>
      <w:r>
        <w:rPr>
          <w:color w:val="000000"/>
        </w:rPr>
        <w:t xml:space="preserve"> </w:t>
      </w:r>
      <w:r>
        <w:rPr>
          <w:rFonts w:ascii="Roboto;sans-serif" w:hAnsi="Roboto;sans-serif"/>
          <w:b w:val="false"/>
          <w:color w:val="000000"/>
          <w:sz w:val="20"/>
        </w:rPr>
        <w:t>calendar day after the occurrence of such an event of default during which such event of default is continuing (or, if earlier, the date on which such event of default is cured or waived as provided for in the 2030 Indenture). On the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after such event of default (if the event of default relating to our failure to comply with its obligations is not cured or waived prior to such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the 2030 Notes shall be subject to acceleration as provided for in the 2030 Indenture.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2030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2030 Notes is not accounted for as an embedded derivative because it is considered to be indexed to our common stock, and the 2030 Notes were not issued at a substantial premium; therefore, the 2030 Notes are accounted for in their entirety as a liability. Because we may elect to settle any conversions entirely in shares, and because settlement in shares is the default settlement method, the liability is classified as non-current.</w:t>
      </w:r>
    </w:p>
    <w:p>
      <w:pPr>
        <w:pStyle w:val="TextBody"/>
        <w:bidi w:val="0"/>
        <w:spacing w:lineRule="auto" w:line="288" w:before="120" w:after="283"/>
        <w:jc w:val="both"/>
        <w:rPr/>
      </w:pPr>
      <w:r>
        <w:rPr>
          <w:rFonts w:ascii="Roboto;sans-serif" w:hAnsi="Roboto;sans-serif"/>
          <w:b w:val="false"/>
          <w:color w:val="000000"/>
          <w:sz w:val="20"/>
        </w:rPr>
        <w:t xml:space="preserve">The requirement to repurchase the 2030 Notes, including unpaid interest to the maturity date in the event of a Fundamental Change, is considered a put option for certain periods requiring bifurcation under ASC 815 – </w:t>
      </w:r>
      <w:r>
        <w:rPr>
          <w:rFonts w:ascii="Roboto;sans-serif" w:hAnsi="Roboto;sans-serif"/>
          <w:b w:val="false"/>
          <w:i/>
          <w:color w:val="000000"/>
          <w:sz w:val="20"/>
        </w:rPr>
        <w:t>Derivatives and Hedging.</w:t>
      </w:r>
      <w:r>
        <w:rPr>
          <w:color w:val="000000"/>
        </w:rPr>
        <w:t xml:space="preserve"> </w:t>
      </w:r>
      <w:r>
        <w:rPr>
          <w:rFonts w:ascii="Roboto;sans-serif" w:hAnsi="Roboto;sans-serif"/>
          <w:b w:val="false"/>
          <w:color w:val="000000"/>
          <w:sz w:val="20"/>
        </w:rPr>
        <w:t>However, given the low probability of such a Fundamental Change occurring during the applicable periods,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Exchange Transaction was accounted for as an extinguishment driven by the change in fair value of the embedded conversion option. We recorded a loss on extinguishment of debt of approximately $2.0 million in connection with the Exchange Transaction during the year ended December 31, 2023, which represents the difference between the fair value and the principal amount of the 2030 Notes of the debt at the modification date, plus unamortized debt issuance costs of $1.5 million related to the respective portion of the 2028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incurred issuance costs related to the 2030 Notes of approximately $7.3 million, which were recorded as debt issuance costs and are presented as a reduction to the 2030 Notes on our Consolidated Balance Sheets. The debt issuance costs are amortized to interest expense using the effective interest method over the term of the 2030 Notes, resulting in an effective interest rate of 1.6%. We also paid accrued but unpaid interest of $2.5 million on the 2028 Notes in connection with the Exchange Transaction on June 30, 2023.</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did not receive any cash proceeds from the Exchange Transaction. In exchange for issuing the 2030 Notes pursuant to the Exchange Transaction, we received and cancelled the exchanged 2028 Notes. Following the closing of the Exchange Transaction, $459.0 million in aggregate principal amount of 2028 Notes remained outstanding with terms unchanged.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net carrying amount of the liability for the 2030 Notes is included as convertible senior notes, net, non-current in the Condensed Consolidated Balance Sheets as follows:</w:t>
      </w:r>
    </w:p>
    <w:tbl>
      <w:tblPr>
        <w:tblW w:w="6288" w:type="dxa"/>
        <w:jc w:val="left"/>
        <w:tblInd w:w="0" w:type="dxa"/>
        <w:tblLayout w:type="fixed"/>
        <w:tblCellMar>
          <w:top w:w="28" w:type="dxa"/>
          <w:left w:w="28" w:type="dxa"/>
          <w:bottom w:w="28" w:type="dxa"/>
          <w:right w:w="28" w:type="dxa"/>
        </w:tblCellMar>
      </w:tblPr>
      <w:tblGrid>
        <w:gridCol w:w="1131"/>
        <w:gridCol w:w="993"/>
        <w:gridCol w:w="996"/>
        <w:gridCol w:w="226"/>
        <w:gridCol w:w="946"/>
        <w:gridCol w:w="109"/>
        <w:gridCol w:w="109"/>
        <w:gridCol w:w="109"/>
        <w:gridCol w:w="109"/>
        <w:gridCol w:w="266"/>
        <w:gridCol w:w="1113"/>
        <w:gridCol w:w="181"/>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December 31,</w:t>
              <w:br/>
              <w:t>2023</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Principal amount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441,000 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441,000 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Unamortized debt premium</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524 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(6,907)</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435,055 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434,617 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Interest expense for the 2030 Notes was not material for the three and six months ended June 30, 2023. Interest expense for the 2030 Notes for the three and six months ended June 30, 2024 was as follows:</w:t>
      </w:r>
    </w:p>
    <w:tbl>
      <w:tblPr>
        <w:tblW w:w="10205" w:type="dxa"/>
        <w:jc w:val="left"/>
        <w:tblInd w:w="0" w:type="dxa"/>
        <w:tblLayout w:type="fixed"/>
        <w:tblCellMar>
          <w:top w:w="28" w:type="dxa"/>
          <w:left w:w="28" w:type="dxa"/>
          <w:bottom w:w="28" w:type="dxa"/>
          <w:right w:w="28" w:type="dxa"/>
        </w:tblCellMar>
      </w:tblPr>
      <w:tblGrid>
        <w:gridCol w:w="1037"/>
        <w:gridCol w:w="880"/>
        <w:gridCol w:w="867"/>
        <w:gridCol w:w="642"/>
        <w:gridCol w:w="2008"/>
        <w:gridCol w:w="309"/>
        <w:gridCol w:w="109"/>
        <w:gridCol w:w="2718"/>
        <w:gridCol w:w="109"/>
        <w:gridCol w:w="109"/>
        <w:gridCol w:w="109"/>
        <w:gridCol w:w="226"/>
        <w:gridCol w:w="706"/>
        <w:gridCol w:w="109"/>
        <w:gridCol w:w="109"/>
        <w:gridCol w:w="158"/>
      </w:tblGrid>
      <w:tr>
        <w:trPr/>
        <w:tc>
          <w:tcPr>
            <w:tcW w:w="1037"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29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 2024</w:t>
            </w:r>
          </w:p>
        </w:tc>
        <w:tc>
          <w:tcPr>
            <w:tcW w:w="1635" w:type="dxa"/>
            <w:gridSpan w:val="8"/>
            <w:tcBorders/>
          </w:tcPr>
          <w:p>
            <w:pPr>
              <w:pStyle w:val="TableContents"/>
              <w:bidi w:val="0"/>
              <w:spacing w:before="0" w:after="283"/>
              <w:jc w:val="left"/>
              <w:rPr>
                <w:sz w:val="4"/>
                <w:szCs w:val="4"/>
              </w:rPr>
            </w:pPr>
            <w:r>
              <w:rPr>
                <w:sz w:val="4"/>
                <w:szCs w:val="4"/>
              </w:rPr>
            </w:r>
          </w:p>
        </w:tc>
      </w:tr>
      <w:tr>
        <w:trPr/>
        <w:tc>
          <w:tcPr>
            <w:tcW w:w="2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Contractual interest expense</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1,516 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26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236 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interest expense</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20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1,752 </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As of June 30, 2024, the estimated fair value (Level 2) of the 2030 Notes was $326.4 million. The fair value of the 2030 Notes is estimated using a binomial lattice model that is primarily affected by the trading price of our common stock, market interest rates and volatility.</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2028 Convertible Senior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February 9, 2021, we entered into an investment agreement (the “Investment Agreement”) with SB Northstar LP (the “Purchaser”), a subsidiary of SoftBank Group Corp., relating to the issuance and sale to the Purchaser of $900.0 million in aggregate principal amount of the 2028 Notes. The 2028 Notes were issued on February 16, 2021. As discussed above, in June 2023 we completed an exchange of $441.0 million in aggregate principal amount of our 2028 Notes for $441.0 million aggregate principal amount of the 2030 Notes, leaving approximately $459.0 million in aggregate principal amount of 2028 Notes outstanding.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2028 Notes are governed by an indenture (the “2028 Indenture”) between the Company and U.S. Bank National Association, as trustee. The 2028 Notes bear interest at a rate of 1.50% per annum. Interest on the 2028 Notes is payable semi-annually in arrears on February 15 and August 15 and commenced on August 15, 2021. The 2028 Notes will mature on February 15, 2028, subject to earlier conversion, redemption or repurchase.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2028 Notes are convertible at the option of the holder at any time until the second scheduled trading day prior to the maturity date, including in connection with a redemption by the Company. The 2028 Notes are convertible into shares of our common stock based on an initial conversion rate of 22.9885 shares of common stock per $1,000 principal amount of the 2028 Notes (which is equal to an initial conversion price of $43.50 per share of common stock), in each case subject to customary anti-dilution and other adjustments as a result of certain extraordinary transactions. Upon conversion of the 2028 Notes, we may elect to settle such conversion obligation in shares of our common stock, cash or a combination of shares of our common stock and cash.</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or after February 20, 2026, the 2028 Notes will be redeemable by the Company in the event that the closing sale price of our common stock has been at least 150% of the conversion price then in effect for at least 20 trading days (whether or not consecutive) during any 30 consecutive trading day period (including the last trading day of such period) ending on, and including, the trading day immediately preceding the date on which we provide the redemption notice at a redemption price of 100% of the principal amount of such 2028 Notes, plus accrued and unpaid interest up to, but excluding, the redemption date.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Upon the occurrence of a Fundamental Change (as defined in the 2028 Indenture), the holders of the 2028 Notes may require that we repurchase all or part of the principal amount of the 2028 Notes at a purchase price of par plus unpaid interest up to, but excluding, the maturity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2028 Indenture includes customary “events of default,” which may result in the acceleration of the maturity of the 2028 Notes under the 2028 Indenture. The 2028 Indenture also includes customary covenants for convertible notes of this type.</w:t>
      </w:r>
    </w:p>
    <w:p>
      <w:pPr>
        <w:pStyle w:val="TextBody"/>
        <w:bidi w:val="0"/>
        <w:spacing w:lineRule="auto" w:line="288" w:before="120" w:after="283"/>
        <w:jc w:val="both"/>
        <w:rPr/>
      </w:pPr>
      <w:r>
        <w:rPr>
          <w:rFonts w:ascii="Roboto;sans-serif" w:hAnsi="Roboto;sans-serif"/>
          <w:b w:val="false"/>
          <w:color w:val="000000"/>
          <w:sz w:val="20"/>
        </w:rPr>
        <w:t>To the extent we elect, the sole remedy for an event of default relating to our failure to comply with certain of our reporting obligations shall, for the first 360 calendar days after the occurrence of such an event of default, consist exclusively of the right to receive additional interest on the 2028 Notes at a rate equal to (i) 0.25% per annum of the principal amount of the 2028 Notes outstanding for each day during the first 180 calendar days of the 360-day period after the occurrence of such an event of default during which such event of default is continuing (or, if earlier, the date on which such event of default is cured or waived) and (ii) 0.50% per annum of the principal amount of the 2028 Notes outstanding for each day from, and including, the 181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calendar day to, and including, the 360</w:t>
      </w:r>
      <w:r>
        <w:rPr>
          <w:rFonts w:ascii="Roboto;sans-serif" w:hAnsi="Roboto;sans-serif"/>
          <w:b w:val="false"/>
          <w:color w:val="000000"/>
          <w:sz w:val="13"/>
        </w:rPr>
        <w:t>th</w:t>
      </w:r>
      <w:r>
        <w:rPr>
          <w:color w:val="000000"/>
        </w:rPr>
        <w:t xml:space="preserve"> </w:t>
      </w:r>
      <w:r>
        <w:rPr>
          <w:rFonts w:ascii="Roboto;sans-serif" w:hAnsi="Roboto;sans-serif"/>
          <w:b w:val="false"/>
          <w:color w:val="000000"/>
          <w:sz w:val="20"/>
        </w:rPr>
        <w:t>calendar day after the occurrence of such an event of default during which such event of default is continuing (or, if earlier, the date on which such event of default is cured or waived as provided for in the 2028 Indenture). On the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after such event of default (if the event of default relating to our failure to comply with its obligations is not cured or waived prior to such 361</w:t>
      </w:r>
      <w:r>
        <w:rPr>
          <w:rFonts w:ascii="Roboto;sans-serif" w:hAnsi="Roboto;sans-serif"/>
          <w:b w:val="false"/>
          <w:color w:val="000000"/>
          <w:sz w:val="13"/>
        </w:rPr>
        <w:t>st</w:t>
      </w:r>
      <w:r>
        <w:rPr>
          <w:color w:val="000000"/>
        </w:rPr>
        <w:t xml:space="preserve"> </w:t>
      </w:r>
      <w:r>
        <w:rPr>
          <w:rFonts w:ascii="Roboto;sans-serif" w:hAnsi="Roboto;sans-serif"/>
          <w:b w:val="false"/>
          <w:color w:val="000000"/>
          <w:sz w:val="20"/>
        </w:rPr>
        <w:t>day), the 2028 Notes shall be subject to acceleration as provided for in the 2028 Indenture.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2028 Notes are accounted for in accordance with the authoritative guidance for convertible debt instruments that may be settled in cash upon conversion. Under ASU 2020-06, the guidance requires that debt with an embedded conversion feature is accounted for in its entirety as a liability and no portion of the proceeds from the issuance of the convertible debt instrument is accounted for as attributable to the conversion feature unless the conversion feature is required to be accounted for separately as an embedded derivative or the conversion feature results in a substantial premium. The conversion feature of the 2028 Notes is not accounted for as an embedded derivative because it is considered to be indexed to our common stock, and the 2028 Notes were not issued at a premium; therefore, the 2028 Notes are accounted for in their entirety as a liability. Because we may elect to settle any conversions entirely in shares, and because settlement in shares is the default settlement method, the liability is classified as non-current. </w:t>
      </w:r>
    </w:p>
    <w:p>
      <w:pPr>
        <w:pStyle w:val="TextBody"/>
        <w:bidi w:val="0"/>
        <w:spacing w:lineRule="auto" w:line="288" w:before="120" w:after="283"/>
        <w:jc w:val="both"/>
        <w:rPr/>
      </w:pPr>
      <w:r>
        <w:rPr>
          <w:rFonts w:ascii="Roboto;sans-serif" w:hAnsi="Roboto;sans-serif"/>
          <w:b w:val="false"/>
          <w:color w:val="000000"/>
          <w:sz w:val="20"/>
        </w:rPr>
        <w:t xml:space="preserve">The requirement to repurchase the 2028 Notes, including unpaid interest to the maturity date in the event of a Fundamental Change, is considered a put option for certain periods requiring bifurcation under ASC 815 – </w:t>
      </w:r>
      <w:r>
        <w:rPr>
          <w:rFonts w:ascii="Roboto;sans-serif" w:hAnsi="Roboto;sans-serif"/>
          <w:b w:val="false"/>
          <w:i/>
          <w:color w:val="000000"/>
          <w:sz w:val="20"/>
        </w:rPr>
        <w:t>Derivatives and Hedging.</w:t>
      </w:r>
      <w:r>
        <w:rPr>
          <w:color w:val="000000"/>
        </w:rPr>
        <w:t xml:space="preserve"> </w:t>
      </w:r>
      <w:r>
        <w:rPr>
          <w:rFonts w:ascii="Roboto;sans-serif" w:hAnsi="Roboto;sans-serif"/>
          <w:b w:val="false"/>
          <w:color w:val="000000"/>
          <w:sz w:val="20"/>
        </w:rPr>
        <w:t>However, given the low probability of such a Fundamental Change occurring during the applicable periods,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additional interest feature in the event of our failure to comply with certain reporting obligations is also considered an embedded derivative requiring bifurcation under ASC 815. However, due to the nature and terms of the reporting obligations, the value of the embedded derivative is immaterial.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incurred issuance costs related to the 2028 Notes of approximately $4.5 million, which were recorded as debt issuance costs and are presented as a reduction to the 2028 Notes on our Consolidated Balance Sheets. The debt issuance costs are amortized to interest expense using the effective interest method over the term of the 2028 Notes, resulting in an effective interest rate of 1.6%.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net carrying amount of the liability for the 2028 Notes is included as convertible senior notes, net, non-current in the Condensed Consolidated Balance Sheets as follows:</w:t>
      </w:r>
    </w:p>
    <w:tbl>
      <w:tblPr>
        <w:tblW w:w="6288" w:type="dxa"/>
        <w:jc w:val="left"/>
        <w:tblInd w:w="0" w:type="dxa"/>
        <w:tblLayout w:type="fixed"/>
        <w:tblCellMar>
          <w:top w:w="28" w:type="dxa"/>
          <w:left w:w="28" w:type="dxa"/>
          <w:bottom w:w="28" w:type="dxa"/>
          <w:right w:w="28" w:type="dxa"/>
        </w:tblCellMar>
      </w:tblPr>
      <w:tblGrid>
        <w:gridCol w:w="1131"/>
        <w:gridCol w:w="993"/>
        <w:gridCol w:w="996"/>
        <w:gridCol w:w="226"/>
        <w:gridCol w:w="946"/>
        <w:gridCol w:w="109"/>
        <w:gridCol w:w="109"/>
        <w:gridCol w:w="109"/>
        <w:gridCol w:w="109"/>
        <w:gridCol w:w="266"/>
        <w:gridCol w:w="1113"/>
        <w:gridCol w:w="181"/>
      </w:tblGrid>
      <w:tr>
        <w:trPr/>
        <w:tc>
          <w:tcPr>
            <w:tcW w:w="113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2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December 31,</w:t>
              <w:br/>
              <w:t>2023</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Principal amount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459,000 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Unamortized debt issuance costs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carrying amount</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457,789 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457,626 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Interest expense for the 2028 Notes was as follows:</w:t>
      </w:r>
    </w:p>
    <w:tbl>
      <w:tblPr>
        <w:tblW w:w="9633" w:type="dxa"/>
        <w:jc w:val="left"/>
        <w:tblInd w:w="0" w:type="dxa"/>
        <w:tblLayout w:type="fixed"/>
        <w:tblCellMar>
          <w:top w:w="28" w:type="dxa"/>
          <w:left w:w="28" w:type="dxa"/>
          <w:bottom w:w="28" w:type="dxa"/>
          <w:right w:w="28" w:type="dxa"/>
        </w:tblCellMar>
      </w:tblPr>
      <w:tblGrid>
        <w:gridCol w:w="1207"/>
        <w:gridCol w:w="1059"/>
        <w:gridCol w:w="1064"/>
        <w:gridCol w:w="291"/>
        <w:gridCol w:w="910"/>
        <w:gridCol w:w="140"/>
        <w:gridCol w:w="140"/>
        <w:gridCol w:w="140"/>
        <w:gridCol w:w="140"/>
        <w:gridCol w:w="291"/>
        <w:gridCol w:w="910"/>
        <w:gridCol w:w="140"/>
        <w:gridCol w:w="109"/>
        <w:gridCol w:w="109"/>
        <w:gridCol w:w="109"/>
        <w:gridCol w:w="265"/>
        <w:gridCol w:w="828"/>
        <w:gridCol w:w="127"/>
        <w:gridCol w:w="127"/>
        <w:gridCol w:w="127"/>
        <w:gridCol w:w="127"/>
        <w:gridCol w:w="265"/>
        <w:gridCol w:w="828"/>
        <w:gridCol w:w="180"/>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33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Contractual interest expense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1,721 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3,319 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3,442 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6,694 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debt issuance costs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interest expense</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1,802 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3,474 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3,604 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7,005 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As of June 30, 2024, the estimated fair value (Level 2) of the 2028 Notes was $384.8 million. The fair value of the 2028 Notes is estimated using a binomial lattice model that is primarily affected by the trading price of our common stock, market interest rates and volatility.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NOTE 6. RESTRUCTURING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three months ended June 30, 2024, we initiated expense reduction initiatives that include workforce reductions, the closing of our San Diego office, and other actions to reduce annualized run-rate operating expenses.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the pre-tax restructuring charges are as follows:</w:t>
      </w:r>
    </w:p>
    <w:tbl>
      <w:tblPr>
        <w:tblW w:w="10205" w:type="dxa"/>
        <w:jc w:val="left"/>
        <w:tblInd w:w="0" w:type="dxa"/>
        <w:tblLayout w:type="fixed"/>
        <w:tblCellMar>
          <w:top w:w="28" w:type="dxa"/>
          <w:left w:w="28" w:type="dxa"/>
          <w:bottom w:w="28" w:type="dxa"/>
          <w:right w:w="28" w:type="dxa"/>
        </w:tblCellMar>
      </w:tblPr>
      <w:tblGrid>
        <w:gridCol w:w="994"/>
        <w:gridCol w:w="826"/>
        <w:gridCol w:w="819"/>
        <w:gridCol w:w="613"/>
        <w:gridCol w:w="2242"/>
        <w:gridCol w:w="295"/>
        <w:gridCol w:w="109"/>
        <w:gridCol w:w="109"/>
        <w:gridCol w:w="109"/>
        <w:gridCol w:w="764"/>
        <w:gridCol w:w="2796"/>
        <w:gridCol w:w="529"/>
      </w:tblGrid>
      <w:tr>
        <w:trPr/>
        <w:tc>
          <w:tcPr>
            <w:tcW w:w="99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79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8"/>
              </w:rPr>
            </w:pPr>
            <w:r>
              <w:rPr>
                <w:rFonts w:ascii="Roboto;sans-serif" w:hAnsi="Roboto;sans-serif"/>
                <w:b/>
                <w:color w:val="000000"/>
                <w:sz w:val="18"/>
              </w:rPr>
              <w:t>Cumulative charges recorded since inception</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Employee separation costs</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2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10,051 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2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10,051 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Other costs</w:t>
            </w:r>
          </w:p>
        </w:tc>
        <w:tc>
          <w:tcPr>
            <w:tcW w:w="2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7,977 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7,977 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Roboto;sans-serif" w:hAnsi="Roboto;sans-serif"/>
                <w:b w:val="false"/>
                <w:color w:val="000000"/>
                <w:sz w:val="20"/>
              </w:rPr>
              <w:t>Total restructuring charges</w:t>
            </w:r>
            <w:r>
              <w:rPr>
                <w:rFonts w:ascii="Roboto;sans-serif" w:hAnsi="Roboto;sans-serif"/>
                <w:b w:val="false"/>
                <w:color w:val="000000"/>
                <w:sz w:val="13"/>
              </w:rPr>
              <w:t>(1)</w:t>
            </w:r>
          </w:p>
        </w:tc>
        <w:tc>
          <w:tcPr>
            <w:tcW w:w="6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2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18,028 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2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18,028 </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Roboto;sans-serif" w:hAnsi="Roboto;sans-serif"/>
          <w:b w:val="false"/>
          <w:color w:val="000000"/>
          <w:sz w:val="10"/>
        </w:rPr>
        <w:t>(1)</w:t>
      </w:r>
      <w:r>
        <w:rPr>
          <w:color w:val="000000"/>
        </w:rPr>
        <w:t xml:space="preserve"> </w:t>
      </w:r>
      <w:r>
        <w:rPr>
          <w:rFonts w:ascii="Roboto;sans-serif" w:hAnsi="Roboto;sans-serif"/>
          <w:b w:val="false"/>
          <w:color w:val="000000"/>
          <w:sz w:val="16"/>
        </w:rPr>
        <w:t>$7.5 million was recorded in sales, general and administrative expense; $5.9 million in research and development expense; and $4.6 million in cost of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Charges included in employee separation costs include approximately $5.5 million related to salaries, wages and other employee benefits paid to terminated employees pursuant to the Worker Adjustment and Retraining Notification (WARN) Act and approximately $4.5 million of severance costs.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Charges included in other costs are primarily related to accelerated amortization and depreciation of $3.0 million for the right-of-use asset, leasehold improvements, and furniture and fixtures relating to the planned abandonment of the San Diego office, as well as charges for excess inventory of $3.8 million primarily relating to a decrease in internal demand resulting from the expense reduction initiatives which were recognized in cost of product revenues. The accelerated amortization and depreciation, which was recognized in sales, general and administrative expense, was determined as a result of the Company's change in estimate pertaining to its remaining useful life of the San Diego office utilizing the estimated date on which it plans to abandon the San Diego office. The lease liability pertaining to the San Diego office was also remeasured during the three months ended June 30, 2024 resulting in a reduction in the operating lease liability balance of $4.4 million, which was offset against the right-of-use asset on the Condensed Consolidated Balance Sheets. As of June 30, 2024, we had approximately $5.1 million assets related to our San Diego office, consisting primarily of unamortized right-of-use assets and leasehold improvements, the balance of which will be recognized over the remaining estimated useful life.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the liabilities related to the restructuring is as follows:</w:t>
      </w:r>
    </w:p>
    <w:tbl>
      <w:tblPr>
        <w:tblW w:w="10205" w:type="dxa"/>
        <w:jc w:val="left"/>
        <w:tblInd w:w="0" w:type="dxa"/>
        <w:tblLayout w:type="fixed"/>
        <w:tblCellMar>
          <w:top w:w="28" w:type="dxa"/>
          <w:left w:w="28" w:type="dxa"/>
          <w:bottom w:w="28" w:type="dxa"/>
          <w:right w:w="28" w:type="dxa"/>
        </w:tblCellMar>
      </w:tblPr>
      <w:tblGrid>
        <w:gridCol w:w="1662"/>
        <w:gridCol w:w="1360"/>
        <w:gridCol w:w="1367"/>
        <w:gridCol w:w="109"/>
        <w:gridCol w:w="109"/>
        <w:gridCol w:w="109"/>
        <w:gridCol w:w="466"/>
        <w:gridCol w:w="1706"/>
        <w:gridCol w:w="228"/>
        <w:gridCol w:w="109"/>
        <w:gridCol w:w="109"/>
        <w:gridCol w:w="109"/>
        <w:gridCol w:w="266"/>
        <w:gridCol w:w="831"/>
        <w:gridCol w:w="127"/>
        <w:gridCol w:w="109"/>
        <w:gridCol w:w="109"/>
        <w:gridCol w:w="109"/>
        <w:gridCol w:w="226"/>
        <w:gridCol w:w="826"/>
        <w:gridCol w:w="159"/>
      </w:tblGrid>
      <w:tr>
        <w:trPr/>
        <w:tc>
          <w:tcPr>
            <w:tcW w:w="1662"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8"/>
              </w:rPr>
            </w:pPr>
            <w:r>
              <w:rPr>
                <w:rFonts w:ascii="Roboto;sans-serif" w:hAnsi="Roboto;sans-serif"/>
                <w:b/>
                <w:color w:val="000000"/>
                <w:sz w:val="18"/>
              </w:rPr>
              <w:t>Employee Separation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8"/>
              </w:rPr>
            </w:pPr>
            <w:r>
              <w:rPr>
                <w:rFonts w:ascii="Roboto;sans-serif" w:hAnsi="Roboto;sans-serif"/>
                <w:b/>
                <w:color w:val="000000"/>
                <w:sz w:val="18"/>
              </w:rPr>
              <w:t>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color w:val="000000"/>
                <w:sz w:val="18"/>
              </w:rPr>
            </w:pPr>
            <w:r>
              <w:rPr>
                <w:rFonts w:ascii="Roboto;sans-serif" w:hAnsi="Roboto;sans-serif"/>
                <w:b/>
                <w:color w:val="000000"/>
                <w:sz w:val="18"/>
              </w:rPr>
              <w:t>Total</w:t>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Expense recorded in Q2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10,051 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1,143 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11,194 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Cash paid during Q2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(6,088)</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(709)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(6,797)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Amount recorded in current liabilities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3,963 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434 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4,397 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Estimated total restructuring costs to still be incurred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17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8,332 </w:t>
            </w:r>
          </w:p>
        </w:tc>
        <w:tc>
          <w:tcPr>
            <w:tcW w:w="12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20"/>
              </w:rPr>
            </w:pPr>
            <w:r>
              <w:rPr>
                <w:rFonts w:ascii="Roboto;sans-serif" w:hAnsi="Roboto;sans-serif"/>
                <w:b w:val="false"/>
                <w:color w:val="000000"/>
                <w:sz w:val="20"/>
              </w:rPr>
              <w:t>8,332 </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The table above excludes noncash activities and amounts incurred relating to the San Diego office lease liability. The ending balance of the San Diego office lease liability as of June 30, 2024 is $6.3 million, and is included in operating lease liabilities, current on the Condensed Consolidated Balance Sheets.</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Most employee separation costs are expected to be incurred and paid by the end of 2024. We also plan to exit our San Diego office by September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 xml:space="preserve">NOTE 7. COMMITMENTS AND CONTINGENCIES </w:t>
      </w:r>
    </w:p>
    <w:p>
      <w:pPr>
        <w:pStyle w:val="TextBody"/>
        <w:bidi w:val="0"/>
        <w:spacing w:lineRule="auto" w:line="288" w:before="120" w:after="283"/>
        <w:jc w:val="both"/>
        <w:rPr/>
      </w:pPr>
      <w:r>
        <w:rPr>
          <w:rFonts w:ascii="Roboto;sans-serif" w:hAnsi="Roboto;sans-serif"/>
          <w:b w:val="false"/>
          <w:color w:val="000000"/>
          <w:sz w:val="20"/>
        </w:rPr>
        <w:t xml:space="preserve">The Company has entered into various operating lease agreements, primarily relating to our corporate offices. See </w:t>
      </w:r>
      <w:r>
        <w:rPr>
          <w:rFonts w:ascii="Roboto;sans-serif" w:hAnsi="Roboto;sans-serif"/>
          <w:b w:val="false"/>
          <w:i/>
          <w:color w:val="000000"/>
          <w:sz w:val="20"/>
        </w:rPr>
        <w:t>Note 8 – Commitments and Contingencies</w:t>
      </w:r>
      <w:r>
        <w:rPr>
          <w:rFonts w:ascii="Roboto;sans-serif" w:hAnsi="Roboto;sans-serif"/>
          <w:b w:val="false"/>
          <w:color w:val="000000"/>
          <w:sz w:val="20"/>
        </w:rPr>
        <w:t>, subsection titled “Leases”, in Part II, Item 8 of the Annual Report on Form 10-K for the year ended December 31, 2023 for information regarding the Company’s maturity of lease liabilities under its lease agreements.</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 xml:space="preserve">Contingencies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do not believe that the ultimate outcome of any such pending matters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pStyle w:val="TextBody"/>
        <w:bidi w:val="0"/>
        <w:spacing w:lineRule="auto" w:line="288" w:before="120" w:after="283"/>
        <w:jc w:val="both"/>
        <w:rPr/>
      </w:pPr>
      <w:r>
        <w:rPr>
          <w:rFonts w:ascii="Roboto;sans-serif" w:hAnsi="Roboto;sans-serif"/>
          <w:b w:val="false"/>
          <w:color w:val="000000"/>
          <w:sz w:val="20"/>
        </w:rPr>
        <w:t xml:space="preserve">Please see subsection titled </w:t>
      </w:r>
      <w:hyperlink w:anchor="if6b0fb93fca346b681fa51b22bb3bc4e_109">
        <w:r>
          <w:rPr>
            <w:rStyle w:val="InternetLink"/>
            <w:rFonts w:ascii="Roboto;sans-serif" w:hAnsi="Roboto;sans-serif"/>
            <w:b w:val="false"/>
            <w:color w:val="0000FF"/>
            <w:sz w:val="20"/>
            <w:u w:val="single"/>
          </w:rPr>
          <w:t>Legal Proceedings, in Part II, Item 1</w:t>
        </w:r>
      </w:hyperlink>
      <w:r>
        <w:rPr>
          <w:color w:val="000000"/>
        </w:rPr>
        <w:t xml:space="preserve"> </w:t>
      </w:r>
      <w:r>
        <w:rPr>
          <w:rFonts w:ascii="Roboto;sans-serif" w:hAnsi="Roboto;sans-serif"/>
          <w:b w:val="false"/>
          <w:color w:val="000000"/>
          <w:sz w:val="20"/>
        </w:rPr>
        <w:t>of this Quarterly Report on Form 10-Q.</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Indemnification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our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June 30,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pPr>
      <w:r>
        <w:rPr>
          <w:rFonts w:ascii="Roboto;sans-serif" w:hAnsi="Roboto;sans-serif"/>
          <w:b w:val="false"/>
          <w:color w:val="000000"/>
          <w:sz w:val="20"/>
        </w:rPr>
        <w:t>N</w:t>
      </w:r>
      <w:r>
        <w:rPr>
          <w:rFonts w:ascii="Roboto;sans-serif" w:hAnsi="Roboto;sans-serif"/>
          <w:b/>
          <w:color w:val="000000"/>
          <w:sz w:val="20"/>
        </w:rPr>
        <w:t>OTE 8. STOCKHOLDERS’ EQUITY</w:t>
      </w:r>
    </w:p>
    <w:p>
      <w:pPr>
        <w:pStyle w:val="TextBody"/>
        <w:bidi w:val="0"/>
        <w:spacing w:lineRule="auto" w:line="288" w:before="120" w:after="283"/>
        <w:jc w:val="both"/>
        <w:rPr>
          <w:rFonts w:ascii="Roboto;sans-serif" w:hAnsi="Roboto;sans-serif"/>
          <w:b/>
          <w:i/>
          <w:color w:val="000000"/>
          <w:sz w:val="20"/>
        </w:rPr>
      </w:pPr>
      <w:r>
        <w:rPr>
          <w:rFonts w:ascii="Roboto;sans-serif" w:hAnsi="Roboto;sans-serif"/>
          <w:b/>
          <w:i/>
          <w:color w:val="000000"/>
          <w:sz w:val="20"/>
        </w:rPr>
        <w:t xml:space="preserve">Equity Plans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As of June 30, 2024, the Company had share-based compensation awards outstanding under the 2020 Equity Incentive Plan (the “2020 Plan”), the 2020 Inducement Equity Incentive Plan (the “Inducement Plan”), the 2021 adopted Omniome Equity Incentive Plan of Pacific Biosciences of California, Inc. (the “Omniome Plan”) and the 2010 Employee Stock Purchase Plan, from which we issued equity awards and employee stock.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June 18, 2024, stockholders approved an amendment to the 2020 Plan, and we reserved an additional 20 million shares of our common stock for issuance pursuant to equity awards granted under the 2020 Plan.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June 30, 2024, we had 24.9 million shares remaining and available for future issuance under the 2020 Plan, Inducement Plan, and the Omniome Plan. Shares remaining and available for future issuance reflect shares that may become eligible to vest upon the achievement of maximum targets for certain equity awards.</w:t>
      </w:r>
    </w:p>
    <w:p>
      <w:pPr>
        <w:pStyle w:val="TextBody"/>
        <w:bidi w:val="0"/>
        <w:spacing w:lineRule="auto" w:line="288" w:before="120" w:after="283"/>
        <w:jc w:val="both"/>
        <w:rPr/>
      </w:pPr>
      <w:r>
        <w:rPr>
          <w:rFonts w:ascii="Roboto;sans-serif" w:hAnsi="Roboto;sans-serif"/>
          <w:b w:val="false"/>
          <w:color w:val="000000"/>
          <w:sz w:val="20"/>
        </w:rPr>
        <w:t xml:space="preserve">Refer to </w:t>
      </w:r>
      <w:r>
        <w:rPr>
          <w:rFonts w:ascii="Roboto;sans-serif" w:hAnsi="Roboto;sans-serif"/>
          <w:b w:val="false"/>
          <w:i/>
          <w:color w:val="000000"/>
          <w:sz w:val="20"/>
        </w:rPr>
        <w:t>Note 10 – Stockholders' Equity</w:t>
      </w:r>
      <w:r>
        <w:rPr>
          <w:rFonts w:ascii="Roboto;sans-serif" w:hAnsi="Roboto;sans-serif"/>
          <w:b w:val="false"/>
          <w:color w:val="000000"/>
          <w:sz w:val="20"/>
        </w:rPr>
        <w:t>, in Part II, Item 8 of the Annual Report on Form 10-K for the year ended December 31, 2023 for more information on the Company's equity plans</w:t>
      </w:r>
      <w:r>
        <w:rPr>
          <w:rFonts w:ascii="Roboto;sans-serif" w:hAnsi="Roboto;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Stock Options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summarizes stock option activity for time-based awards:</w:t>
      </w:r>
    </w:p>
    <w:tbl>
      <w:tblPr>
        <w:tblW w:w="6513" w:type="dxa"/>
        <w:jc w:val="left"/>
        <w:tblInd w:w="0" w:type="dxa"/>
        <w:tblLayout w:type="fixed"/>
        <w:tblCellMar>
          <w:top w:w="28" w:type="dxa"/>
          <w:left w:w="28" w:type="dxa"/>
          <w:bottom w:w="28" w:type="dxa"/>
          <w:right w:w="28" w:type="dxa"/>
        </w:tblCellMar>
      </w:tblPr>
      <w:tblGrid>
        <w:gridCol w:w="1222"/>
        <w:gridCol w:w="1073"/>
        <w:gridCol w:w="1079"/>
        <w:gridCol w:w="344"/>
        <w:gridCol w:w="344"/>
        <w:gridCol w:w="346"/>
        <w:gridCol w:w="109"/>
        <w:gridCol w:w="109"/>
        <w:gridCol w:w="109"/>
        <w:gridCol w:w="109"/>
        <w:gridCol w:w="109"/>
        <w:gridCol w:w="324"/>
        <w:gridCol w:w="1013"/>
        <w:gridCol w:w="223"/>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8"/>
              </w:rPr>
            </w:pPr>
            <w:r>
              <w:rPr>
                <w:rFonts w:ascii="Roboto;sans-serif" w:hAnsi="Roboto;sans-serif"/>
                <w:b w:val="false"/>
                <w:i/>
                <w:color w:val="000000"/>
                <w:sz w:val="18"/>
              </w:rPr>
              <w:t>(shares in thousands)</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Number</w:t>
              <w:br/>
              <w:t>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Weighted</w:t>
              <w:br/>
              <w:t>average</w:t>
              <w:br/>
              <w:t>exercise price</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Outstanding at December 31, 2023</w:t>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13,011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10.63 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Granted </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Exercised </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Canceled</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11.36 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Expired</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6.18 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Outstanding at June 30, 2024</w:t>
            </w:r>
          </w:p>
        </w:tc>
        <w:tc>
          <w:tcPr>
            <w:tcW w:w="10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12,157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10.69 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 xml:space="preserve">Restricted Stock Units (“RSU”) and Performance Stock Units ("PSU")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issue RSUs for which the respective shares vest when the requisite service period is achieved. We issue PSUs for which the number of shares issuable is based on performance relative to specified revenue targets and continued employment through the vesting period. These PSU shares are issuable following the third year of the performance period. Maximum achievement of the revenue goal under the PSUs will result in up to 200% of the target number of shares subject to the PSUs to become eligible to vest, while not meeting the minimum achievement of the revenue goal under the PSUs will result in no shares subject to the PSUs becoming eligible to vest. The following table summarizes the time-based RSUs and PSUs activity: </w:t>
      </w:r>
    </w:p>
    <w:tbl>
      <w:tblPr>
        <w:tblW w:w="10205" w:type="dxa"/>
        <w:jc w:val="left"/>
        <w:tblInd w:w="0" w:type="dxa"/>
        <w:tblLayout w:type="fixed"/>
        <w:tblCellMar>
          <w:top w:w="28" w:type="dxa"/>
          <w:left w:w="28" w:type="dxa"/>
          <w:bottom w:w="28" w:type="dxa"/>
          <w:right w:w="28" w:type="dxa"/>
        </w:tblCellMar>
      </w:tblPr>
      <w:tblGrid>
        <w:gridCol w:w="897"/>
        <w:gridCol w:w="709"/>
        <w:gridCol w:w="713"/>
        <w:gridCol w:w="725"/>
        <w:gridCol w:w="697"/>
        <w:gridCol w:w="699"/>
        <w:gridCol w:w="109"/>
        <w:gridCol w:w="109"/>
        <w:gridCol w:w="109"/>
        <w:gridCol w:w="782"/>
        <w:gridCol w:w="782"/>
        <w:gridCol w:w="783"/>
        <w:gridCol w:w="109"/>
        <w:gridCol w:w="109"/>
        <w:gridCol w:w="109"/>
        <w:gridCol w:w="267"/>
        <w:gridCol w:w="835"/>
        <w:gridCol w:w="128"/>
        <w:gridCol w:w="128"/>
        <w:gridCol w:w="128"/>
        <w:gridCol w:w="128"/>
        <w:gridCol w:w="267"/>
        <w:gridCol w:w="693"/>
        <w:gridCol w:w="190"/>
      </w:tblGrid>
      <w:tr>
        <w:trPr/>
        <w:tc>
          <w:tcPr>
            <w:tcW w:w="89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Restricted Stock Units (RSU)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Performance Stock Units (PSU)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Weighted average grant date</w:t>
              <w:br/>
              <w:t>fair value</w:t>
            </w:r>
          </w:p>
        </w:tc>
      </w:tr>
      <w:tr>
        <w:trPr/>
        <w:tc>
          <w:tcPr>
            <w:tcW w:w="23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8"/>
              </w:rPr>
            </w:pPr>
            <w:r>
              <w:rPr>
                <w:rFonts w:ascii="Roboto;sans-serif" w:hAnsi="Roboto;sans-serif"/>
                <w:b w:val="false"/>
                <w:i/>
                <w:color w:val="000000"/>
                <w:sz w:val="18"/>
              </w:rPr>
              <w:t>(shares in thousands)</w:t>
            </w:r>
          </w:p>
        </w:tc>
        <w:tc>
          <w:tcPr>
            <w:tcW w:w="21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RSU</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PSU</w:t>
            </w:r>
          </w:p>
        </w:tc>
      </w:tr>
      <w:tr>
        <w:trPr/>
        <w:tc>
          <w:tcPr>
            <w:tcW w:w="2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Outstanding at December 31, 2023</w:t>
            </w:r>
          </w:p>
        </w:tc>
        <w:tc>
          <w:tcPr>
            <w:tcW w:w="14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11,308 </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541 </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12.06 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9.43 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Granted</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12,501 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5.07 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Vested</w:t>
            </w:r>
          </w:p>
        </w:tc>
        <w:tc>
          <w:tcPr>
            <w:tcW w:w="14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(3,038)</w:t>
            </w:r>
          </w:p>
        </w:tc>
        <w:tc>
          <w:tcPr>
            <w:tcW w:w="6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12.98 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Forfeited</w:t>
            </w:r>
          </w:p>
        </w:tc>
        <w:tc>
          <w:tcPr>
            <w:tcW w:w="14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(4,118)</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9.43 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Outstanding at June 30, 2024</w:t>
            </w:r>
          </w:p>
        </w:tc>
        <w:tc>
          <w:tcPr>
            <w:tcW w:w="142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16,653 </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502 </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6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9.43 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Employee Stock Purchase Plan (“ESPP”)</w:t>
      </w:r>
    </w:p>
    <w:p>
      <w:pPr>
        <w:pStyle w:val="TextBody"/>
        <w:bidi w:val="0"/>
        <w:spacing w:lineRule="auto" w:line="288" w:before="120" w:after="283"/>
        <w:jc w:val="both"/>
        <w:rPr/>
      </w:pPr>
      <w:r>
        <w:rPr>
          <w:rFonts w:ascii="Roboto;sans-serif" w:hAnsi="Roboto;sans-serif"/>
          <w:b w:val="false"/>
          <w:color w:val="000000"/>
          <w:sz w:val="20"/>
          <w:shd w:fill="FFFFFF" w:val="clear"/>
        </w:rPr>
        <w:t>Shares issued under our ESPP wer</w:t>
      </w:r>
      <w:r>
        <w:rPr>
          <w:rFonts w:ascii="Roboto;sans-serif" w:hAnsi="Roboto;sans-serif"/>
          <w:b w:val="false"/>
          <w:color w:val="000000"/>
          <w:sz w:val="20"/>
        </w:rPr>
        <w:t>e 1,194,436 and 1,052,908</w:t>
      </w:r>
      <w:r>
        <w:rPr>
          <w:color w:val="000000"/>
          <w:shd w:fill="FFFFFF" w:val="clear"/>
        </w:rPr>
        <w:t xml:space="preserve"> </w:t>
      </w:r>
      <w:r>
        <w:rPr>
          <w:rFonts w:ascii="Roboto;sans-serif" w:hAnsi="Roboto;sans-serif"/>
          <w:b w:val="false"/>
          <w:color w:val="000000"/>
          <w:sz w:val="20"/>
          <w:shd w:fill="FFFFFF" w:val="clear"/>
        </w:rPr>
        <w:t>durin</w:t>
      </w:r>
      <w:r>
        <w:rPr>
          <w:rFonts w:ascii="Roboto;sans-serif" w:hAnsi="Roboto;sans-serif"/>
          <w:b w:val="false"/>
          <w:color w:val="000000"/>
          <w:sz w:val="20"/>
        </w:rPr>
        <w:t>g the six months ended June 30, 2024 and 2023, respectively. In the first quarter of 2024, an additional 4.0 million shares were reserved under the ESPP. As of June 30, 2024, 15.0 million shares of our common stock remain avai</w:t>
      </w:r>
      <w:r>
        <w:rPr>
          <w:rFonts w:ascii="Roboto;sans-serif" w:hAnsi="Roboto;sans-serif"/>
          <w:b w:val="false"/>
          <w:color w:val="000000"/>
          <w:sz w:val="20"/>
          <w:shd w:fill="FFFFFF" w:val="clear"/>
        </w:rPr>
        <w:t>lable for issuance under our ESPP.</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Share-Based Compensation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summarizes share-based compensation expense:</w:t>
      </w:r>
    </w:p>
    <w:tbl>
      <w:tblPr>
        <w:tblW w:w="10156" w:type="dxa"/>
        <w:jc w:val="left"/>
        <w:tblInd w:w="0" w:type="dxa"/>
        <w:tblLayout w:type="fixed"/>
        <w:tblCellMar>
          <w:top w:w="28" w:type="dxa"/>
          <w:left w:w="28" w:type="dxa"/>
          <w:bottom w:w="28" w:type="dxa"/>
          <w:right w:w="28" w:type="dxa"/>
        </w:tblCellMar>
      </w:tblPr>
      <w:tblGrid>
        <w:gridCol w:w="1397"/>
        <w:gridCol w:w="1225"/>
        <w:gridCol w:w="1232"/>
        <w:gridCol w:w="264"/>
        <w:gridCol w:w="968"/>
        <w:gridCol w:w="127"/>
        <w:gridCol w:w="127"/>
        <w:gridCol w:w="127"/>
        <w:gridCol w:w="127"/>
        <w:gridCol w:w="264"/>
        <w:gridCol w:w="968"/>
        <w:gridCol w:w="127"/>
        <w:gridCol w:w="109"/>
        <w:gridCol w:w="109"/>
        <w:gridCol w:w="109"/>
        <w:gridCol w:w="241"/>
        <w:gridCol w:w="883"/>
        <w:gridCol w:w="116"/>
        <w:gridCol w:w="116"/>
        <w:gridCol w:w="116"/>
        <w:gridCol w:w="116"/>
        <w:gridCol w:w="241"/>
        <w:gridCol w:w="883"/>
        <w:gridCol w:w="164"/>
      </w:tblGrid>
      <w:tr>
        <w:trPr/>
        <w:tc>
          <w:tcPr>
            <w:tcW w:w="139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3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1,131 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1,177 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3,237 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3,126 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5,423 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10,379 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12,128 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Sales, general and administrative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11,497 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11,291 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23,128 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20,589 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share-based compensation expense</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17,219 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17,891 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36,744 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35,843 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Determining Fair Value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estimate the fair value of stock options granted using the Black-Scholes valuation method and a single option award approach. When determining the current share prices underlying the stock options for calculating the grant-date fair value, we reference the observable market prices of our stock. This fair value is then amortized on a straight-line basis over the requisite service periods of the awards, which is generally the vesting period. The fair market value of RSUs and PSUs granted is the closing price of our shares on the date of grant and is generally recognized as compensation expense on a straight-line basis over the respective vesting period. For shares purchased under our ESPP, we estimate the grant-date fair value, and the resulting share-based compensation expense, using the Black-Scholes option-pricing model. We estimate forfeitures of stock options, RSUs and shares purchased under our ESPP which is utilized to determine the compensation expense to be recorded over the requisite service period.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Expected Term - The expected term used in the Black-Scholes valuation method represents the period that the stock options are expected to be outstanding and is determined based on historical experience of similar awards, considering the contractual terms of the stock options and vesting schedules.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Expected Volatility - The expected volatility used in the Black-Scholes valuation method is derived from the implied volatility related to our share price over the expected term.</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Expected Dividend - We have never paid dividends on our shares and, accordingly, the dividend yield percentage is zero for all periods.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Risk-Free Interest Rate - The risk-free interest rate used in the Black-Scholes valuation method is the implied yield currently available on U.S. Treasury constant maturities issued with a term equivalent to the expected terms.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fair value of employee stock options was estimated using the following assumptions:</w:t>
      </w:r>
    </w:p>
    <w:tbl>
      <w:tblPr>
        <w:tblW w:w="8702" w:type="dxa"/>
        <w:jc w:val="left"/>
        <w:tblInd w:w="0" w:type="dxa"/>
        <w:tblLayout w:type="fixed"/>
        <w:tblCellMar>
          <w:top w:w="28" w:type="dxa"/>
          <w:left w:w="28" w:type="dxa"/>
          <w:bottom w:w="28" w:type="dxa"/>
          <w:right w:w="28" w:type="dxa"/>
        </w:tblCellMar>
      </w:tblPr>
      <w:tblGrid>
        <w:gridCol w:w="1660"/>
        <w:gridCol w:w="1463"/>
        <w:gridCol w:w="1467"/>
        <w:gridCol w:w="109"/>
        <w:gridCol w:w="109"/>
        <w:gridCol w:w="566"/>
        <w:gridCol w:w="566"/>
        <w:gridCol w:w="566"/>
        <w:gridCol w:w="566"/>
        <w:gridCol w:w="569"/>
        <w:gridCol w:w="109"/>
        <w:gridCol w:w="109"/>
        <w:gridCol w:w="109"/>
        <w:gridCol w:w="214"/>
        <w:gridCol w:w="214"/>
        <w:gridCol w:w="306"/>
      </w:tblGrid>
      <w:tr>
        <w:trPr/>
        <w:tc>
          <w:tcPr>
            <w:tcW w:w="166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c>
          <w:tcPr>
            <w:tcW w:w="1061" w:type="dxa"/>
            <w:gridSpan w:val="6"/>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4.9</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Expected volatility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Roboto;sans-serif" w:hAnsi="Roboto;sans-serif"/>
                <w:b w:val="false"/>
                <w:color w:val="000000"/>
                <w:sz w:val="18"/>
              </w:rPr>
              <w:t>81% - 89%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78%</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Risk-free interest 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Roboto;sans-serif" w:hAnsi="Roboto;sans-serif"/>
                <w:b w:val="false"/>
                <w:color w:val="000000"/>
                <w:sz w:val="18"/>
              </w:rPr>
              <w:t>4.20% - 4.32%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3.73%</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Dividend yield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$7.76</w:t>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The fair value of shares to be issued under the ESPP was estimated using the following assumptions:</w:t>
      </w:r>
    </w:p>
    <w:tbl>
      <w:tblPr>
        <w:tblW w:w="9588" w:type="dxa"/>
        <w:jc w:val="left"/>
        <w:tblInd w:w="0" w:type="dxa"/>
        <w:tblLayout w:type="fixed"/>
        <w:tblCellMar>
          <w:top w:w="28" w:type="dxa"/>
          <w:left w:w="28" w:type="dxa"/>
          <w:bottom w:w="28" w:type="dxa"/>
          <w:right w:w="28" w:type="dxa"/>
        </w:tblCellMar>
      </w:tblPr>
      <w:tblGrid>
        <w:gridCol w:w="1660"/>
        <w:gridCol w:w="1463"/>
        <w:gridCol w:w="1467"/>
        <w:gridCol w:w="109"/>
        <w:gridCol w:w="109"/>
        <w:gridCol w:w="566"/>
        <w:gridCol w:w="566"/>
        <w:gridCol w:w="566"/>
        <w:gridCol w:w="566"/>
        <w:gridCol w:w="569"/>
        <w:gridCol w:w="109"/>
        <w:gridCol w:w="109"/>
        <w:gridCol w:w="109"/>
        <w:gridCol w:w="471"/>
        <w:gridCol w:w="471"/>
        <w:gridCol w:w="678"/>
      </w:tblGrid>
      <w:tr>
        <w:trPr/>
        <w:tc>
          <w:tcPr>
            <w:tcW w:w="1660"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3"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c>
          <w:tcPr>
            <w:tcW w:w="1947" w:type="dxa"/>
            <w:gridSpan w:val="6"/>
            <w:tcBorders/>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Expected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0.5 —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0.5 — 2.0</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Expected volatility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97%</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Risk-free interest rate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4.54% — 5.27%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4.89% — 5.20%</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Dividend yield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grant date fair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7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$5.00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NOTE 9. NET LOSS PER SHARE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Basic net loss per share is computed by dividing net loss by the weighted average number of shares of common stock outstanding during the period. Diluted net loss per share is computed using the weighted-average number of shares of common stock outstanding and potential shares assuming the dilutive effect of the convertible senior notes, using the if-converted method, and outstanding equity awards using the treasury stock method.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table presents the calculation of the basic and diluted net loss per share amounts presented in the Condensed Consolidated Statements of Operations and Comprehensive Loss:</w:t>
      </w:r>
    </w:p>
    <w:tbl>
      <w:tblPr>
        <w:tblW w:w="10205" w:type="dxa"/>
        <w:jc w:val="left"/>
        <w:tblInd w:w="0" w:type="dxa"/>
        <w:tblLayout w:type="fixed"/>
        <w:tblCellMar>
          <w:top w:w="28" w:type="dxa"/>
          <w:left w:w="28" w:type="dxa"/>
          <w:bottom w:w="28" w:type="dxa"/>
          <w:right w:w="28" w:type="dxa"/>
        </w:tblCellMar>
      </w:tblPr>
      <w:tblGrid>
        <w:gridCol w:w="1376"/>
        <w:gridCol w:w="1176"/>
        <w:gridCol w:w="1180"/>
        <w:gridCol w:w="236"/>
        <w:gridCol w:w="1070"/>
        <w:gridCol w:w="113"/>
        <w:gridCol w:w="113"/>
        <w:gridCol w:w="113"/>
        <w:gridCol w:w="113"/>
        <w:gridCol w:w="236"/>
        <w:gridCol w:w="944"/>
        <w:gridCol w:w="113"/>
        <w:gridCol w:w="109"/>
        <w:gridCol w:w="109"/>
        <w:gridCol w:w="109"/>
        <w:gridCol w:w="226"/>
        <w:gridCol w:w="1024"/>
        <w:gridCol w:w="109"/>
        <w:gridCol w:w="109"/>
        <w:gridCol w:w="109"/>
        <w:gridCol w:w="109"/>
        <w:gridCol w:w="226"/>
        <w:gridCol w:w="1024"/>
        <w:gridCol w:w="159"/>
      </w:tblGrid>
      <w:tr>
        <w:trPr/>
        <w:tc>
          <w:tcPr>
            <w:tcW w:w="13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37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i/>
                <w:color w:val="000000"/>
                <w:sz w:val="16"/>
              </w:rPr>
            </w:pPr>
            <w:r>
              <w:rPr>
                <w:rFonts w:ascii="Roboto;sans-serif" w:hAnsi="Roboto;sans-serif"/>
                <w:b w:val="false"/>
                <w:i/>
                <w:color w:val="000000"/>
                <w:sz w:val="16"/>
              </w:rPr>
              <w:t>(in thousands, except per share amounts)</w:t>
            </w:r>
          </w:p>
        </w:tc>
        <w:tc>
          <w:tcPr>
            <w:tcW w:w="1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37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Numerator:</w:t>
            </w:r>
          </w:p>
        </w:tc>
        <w:tc>
          <w:tcPr>
            <w:tcW w:w="14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(173,319)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(69,833)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(251,497)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(157,848)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Denominator:</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Basic</w:t>
            </w:r>
          </w:p>
        </w:tc>
        <w:tc>
          <w:tcPr>
            <w:tcW w:w="14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shares used in computing</w:t>
              <w:br/>
              <w:t>basic net loss per share</w:t>
            </w:r>
          </w:p>
        </w:tc>
        <w:tc>
          <w:tcPr>
            <w:tcW w:w="1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272,385</w:t>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250,070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270,982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246,074</w:t>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Basic net loss per share</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(0.64)</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(0.28)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(0.64)</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Diluted</w:t>
            </w:r>
          </w:p>
        </w:tc>
        <w:tc>
          <w:tcPr>
            <w:tcW w:w="1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2"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732"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732"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732" w:type="dxa"/>
            <w:gridSpan w:val="3"/>
            <w:tcBorders/>
            <w:vAlign w:val="center"/>
          </w:tcPr>
          <w:p>
            <w:pPr>
              <w:pStyle w:val="TableContents"/>
              <w:bidi w:val="0"/>
              <w:spacing w:before="0" w:after="283"/>
              <w:jc w:val="left"/>
              <w:rPr>
                <w:sz w:val="4"/>
                <w:szCs w:val="4"/>
              </w:rPr>
            </w:pPr>
            <w:r>
              <w:rPr>
                <w:sz w:val="4"/>
                <w:szCs w:val="4"/>
              </w:rPr>
            </w:r>
          </w:p>
        </w:tc>
        <w:tc>
          <w:tcPr>
            <w:tcW w:w="141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37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Weighted average shares used in computing</w:t>
              <w:br/>
              <w:t>diluted net loss per share</w:t>
            </w:r>
          </w:p>
        </w:tc>
        <w:tc>
          <w:tcPr>
            <w:tcW w:w="14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272,385</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250,070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270,982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246,074</w:t>
            </w:r>
          </w:p>
        </w:tc>
      </w:tr>
      <w:tr>
        <w:trPr/>
        <w:tc>
          <w:tcPr>
            <w:tcW w:w="37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Diluted net loss per share</w:t>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(0.64)</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(0.28)</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(0.64)</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both"/>
        <w:rPr>
          <w:rFonts w:ascii="Roboto;sans-serif" w:hAnsi="Roboto;sans-serif"/>
          <w:b w:val="false"/>
          <w:color w:val="000000"/>
          <w:sz w:val="20"/>
        </w:rPr>
      </w:pPr>
      <w:r>
        <w:rPr>
          <w:rFonts w:ascii="Roboto;sans-serif" w:hAnsi="Roboto;sans-serif"/>
          <w:b w:val="false"/>
          <w:color w:val="000000"/>
          <w:sz w:val="20"/>
        </w:rPr>
        <w:t>The following shares issuable upon conversion of the convertible senior notes and outstanding equity awards were excluded from the computation of diluted net loss per share for the periods presented because the effect of including such shares would have been antidilutive:</w:t>
      </w:r>
    </w:p>
    <w:tbl>
      <w:tblPr>
        <w:tblW w:w="9611" w:type="dxa"/>
        <w:jc w:val="left"/>
        <w:tblInd w:w="0" w:type="dxa"/>
        <w:tblLayout w:type="fixed"/>
        <w:tblCellMar>
          <w:top w:w="28" w:type="dxa"/>
          <w:left w:w="28" w:type="dxa"/>
          <w:bottom w:w="28" w:type="dxa"/>
          <w:right w:w="28" w:type="dxa"/>
        </w:tblCellMar>
      </w:tblPr>
      <w:tblGrid>
        <w:gridCol w:w="1196"/>
        <w:gridCol w:w="1049"/>
        <w:gridCol w:w="1054"/>
        <w:gridCol w:w="345"/>
        <w:gridCol w:w="345"/>
        <w:gridCol w:w="345"/>
        <w:gridCol w:w="345"/>
        <w:gridCol w:w="345"/>
        <w:gridCol w:w="345"/>
        <w:gridCol w:w="345"/>
        <w:gridCol w:w="345"/>
        <w:gridCol w:w="345"/>
        <w:gridCol w:w="109"/>
        <w:gridCol w:w="109"/>
        <w:gridCol w:w="109"/>
        <w:gridCol w:w="306"/>
        <w:gridCol w:w="306"/>
        <w:gridCol w:w="306"/>
        <w:gridCol w:w="306"/>
        <w:gridCol w:w="306"/>
        <w:gridCol w:w="306"/>
        <w:gridCol w:w="306"/>
        <w:gridCol w:w="306"/>
        <w:gridCol w:w="432"/>
      </w:tblGrid>
      <w:tr>
        <w:trPr/>
        <w:tc>
          <w:tcPr>
            <w:tcW w:w="119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10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9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Shares issuable upon conversion of</w:t>
              <w:br/>
              <w:t>convertible senior notes</w:t>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31,063</w:t>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31,063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31,063</w:t>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31,063</w:t>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Equity Awards</w:t>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33,370</w:t>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29,773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33,370</w:t>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29,773</w:t>
            </w:r>
          </w:p>
        </w:tc>
      </w:tr>
    </w:tbl>
    <w:p>
      <w:pPr>
        <w:pStyle w:val="TextBody"/>
        <w:bidi w:val="0"/>
        <w:spacing w:lineRule="auto" w:line="288" w:before="180" w:after="283"/>
        <w:jc w:val="both"/>
        <w:rPr/>
      </w:pPr>
      <w:r>
        <w:rPr>
          <w:rFonts w:ascii="Roboto;sans-serif" w:hAnsi="Roboto;sans-serif"/>
          <w:b w:val="false"/>
          <w:color w:val="000000"/>
          <w:sz w:val="20"/>
        </w:rPr>
        <w:t xml:space="preserve">See </w:t>
      </w:r>
      <w:hyperlink w:anchor="if6b0fb93fca346b681fa51b22bb3bc4e_34">
        <w:r>
          <w:rPr>
            <w:rStyle w:val="InternetLink"/>
            <w:rFonts w:ascii="Roboto;sans-serif" w:hAnsi="Roboto;sans-serif"/>
            <w:b w:val="false"/>
            <w:i/>
            <w:color w:val="0000FF"/>
            <w:sz w:val="20"/>
            <w:u w:val="single"/>
          </w:rPr>
          <w:t>Note 2. Business Acquisitions</w:t>
        </w:r>
      </w:hyperlink>
      <w:r>
        <w:rPr>
          <w:color w:val="000000"/>
        </w:rPr>
        <w:t xml:space="preserve"> </w:t>
      </w:r>
      <w:r>
        <w:rPr>
          <w:rFonts w:ascii="Roboto;sans-serif" w:hAnsi="Roboto;sans-serif"/>
          <w:b w:val="false"/>
          <w:color w:val="000000"/>
          <w:sz w:val="20"/>
        </w:rPr>
        <w:t xml:space="preserve">for detailed information on contingently issuable shares due upon achievement of a milestone. See </w:t>
      </w:r>
      <w:hyperlink w:anchor="if6b0fb93fca346b681fa51b22bb3bc4e_55">
        <w:r>
          <w:rPr>
            <w:rStyle w:val="InternetLink"/>
            <w:rFonts w:ascii="Roboto;sans-serif" w:hAnsi="Roboto;sans-serif"/>
            <w:b w:val="false"/>
            <w:i/>
            <w:color w:val="0000FF"/>
            <w:sz w:val="20"/>
            <w:u w:val="single"/>
          </w:rPr>
          <w:t>Note 8. Stockholders’ Equity</w:t>
        </w:r>
      </w:hyperlink>
      <w:r>
        <w:rPr>
          <w:color w:val="000000"/>
        </w:rPr>
        <w:t xml:space="preserve"> </w:t>
      </w:r>
      <w:r>
        <w:rPr>
          <w:rFonts w:ascii="Roboto;sans-serif" w:hAnsi="Roboto;sans-serif"/>
          <w:b w:val="false"/>
          <w:color w:val="000000"/>
          <w:sz w:val="20"/>
        </w:rPr>
        <w:t>for detailed information on equity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NOTE 10.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summary of our revenue by geographic location is as follows:</w:t>
      </w:r>
    </w:p>
    <w:tbl>
      <w:tblPr>
        <w:tblW w:w="9196" w:type="dxa"/>
        <w:jc w:val="left"/>
        <w:tblInd w:w="0" w:type="dxa"/>
        <w:tblLayout w:type="fixed"/>
        <w:tblCellMar>
          <w:top w:w="28" w:type="dxa"/>
          <w:left w:w="28" w:type="dxa"/>
          <w:bottom w:w="28" w:type="dxa"/>
          <w:right w:w="28" w:type="dxa"/>
        </w:tblCellMar>
      </w:tblPr>
      <w:tblGrid>
        <w:gridCol w:w="1049"/>
        <w:gridCol w:w="920"/>
        <w:gridCol w:w="925"/>
        <w:gridCol w:w="264"/>
        <w:gridCol w:w="968"/>
        <w:gridCol w:w="127"/>
        <w:gridCol w:w="127"/>
        <w:gridCol w:w="127"/>
        <w:gridCol w:w="127"/>
        <w:gridCol w:w="264"/>
        <w:gridCol w:w="968"/>
        <w:gridCol w:w="127"/>
        <w:gridCol w:w="109"/>
        <w:gridCol w:w="109"/>
        <w:gridCol w:w="109"/>
        <w:gridCol w:w="241"/>
        <w:gridCol w:w="883"/>
        <w:gridCol w:w="116"/>
        <w:gridCol w:w="116"/>
        <w:gridCol w:w="116"/>
        <w:gridCol w:w="116"/>
        <w:gridCol w:w="241"/>
        <w:gridCol w:w="883"/>
        <w:gridCol w:w="164"/>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28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Americas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20,757 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23,960 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38,435 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43,031 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Europe, Middle East and Africa</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7,022 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10,730 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15,378 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18,600 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Asia-Pacific</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8,234 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12,883 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21,010 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24,842 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36,013 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47,573 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74,823 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86,473 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 xml:space="preserve">A summary of our revenue by category is as follows: </w:t>
      </w:r>
    </w:p>
    <w:tbl>
      <w:tblPr>
        <w:tblW w:w="8821" w:type="dxa"/>
        <w:jc w:val="left"/>
        <w:tblInd w:w="0" w:type="dxa"/>
        <w:tblLayout w:type="fixed"/>
        <w:tblCellMar>
          <w:top w:w="28" w:type="dxa"/>
          <w:left w:w="28" w:type="dxa"/>
          <w:bottom w:w="28" w:type="dxa"/>
          <w:right w:w="28" w:type="dxa"/>
        </w:tblCellMar>
      </w:tblPr>
      <w:tblGrid>
        <w:gridCol w:w="913"/>
        <w:gridCol w:w="801"/>
        <w:gridCol w:w="805"/>
        <w:gridCol w:w="264"/>
        <w:gridCol w:w="968"/>
        <w:gridCol w:w="127"/>
        <w:gridCol w:w="127"/>
        <w:gridCol w:w="127"/>
        <w:gridCol w:w="127"/>
        <w:gridCol w:w="264"/>
        <w:gridCol w:w="968"/>
        <w:gridCol w:w="127"/>
        <w:gridCol w:w="109"/>
        <w:gridCol w:w="109"/>
        <w:gridCol w:w="109"/>
        <w:gridCol w:w="241"/>
        <w:gridCol w:w="883"/>
        <w:gridCol w:w="116"/>
        <w:gridCol w:w="116"/>
        <w:gridCol w:w="116"/>
        <w:gridCol w:w="116"/>
        <w:gridCol w:w="241"/>
        <w:gridCol w:w="883"/>
        <w:gridCol w:w="164"/>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25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6"/>
              </w:rPr>
            </w:pPr>
            <w:r>
              <w:rPr>
                <w:rFonts w:ascii="Roboto;sans-serif" w:hAnsi="Roboto;sans-serif"/>
                <w:b w:val="false"/>
                <w:i/>
                <w:color w:val="000000"/>
                <w:sz w:val="16"/>
              </w:rPr>
              <w:t>(in thousands)</w:t>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Instrument revenue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14,678 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29,923 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33,703 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50,623 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Consumable revenue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17,068 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13,732 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33,052 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27,686 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Product revenue</w:t>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31,746 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43,655 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66,755 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78,309 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Service and other revenue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4,267 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3,918 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8,068 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8,164 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Total revenue</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36,013 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47,573 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74,823 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86,473 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0" w:after="0"/>
        <w:jc w:val="both"/>
        <w:rPr>
          <w:rFonts w:ascii="Roboto;sans-serif" w:hAnsi="Roboto;sans-serif"/>
          <w:b/>
          <w:color w:val="000000"/>
          <w:sz w:val="20"/>
        </w:rPr>
      </w:pPr>
      <w:r>
        <w:rPr>
          <w:rFonts w:ascii="Roboto;sans-serif" w:hAnsi="Roboto;sans-serif"/>
          <w:b/>
          <w:color w:val="000000"/>
          <w:sz w:val="20"/>
        </w:rPr>
        <w:t>Item 2.    Management’s Discussion and Analysis of Financial Condition and Results of Operations</w:t>
      </w:r>
    </w:p>
    <w:p>
      <w:pPr>
        <w:pStyle w:val="TextBody"/>
        <w:bidi w:val="0"/>
        <w:spacing w:lineRule="auto" w:line="288" w:before="120" w:after="283"/>
        <w:jc w:val="both"/>
        <w:rPr>
          <w:rFonts w:ascii="Roboto;sans-serif" w:hAnsi="Roboto;sans-serif"/>
          <w:b w:val="false"/>
          <w:i/>
          <w:color w:val="000000"/>
          <w:sz w:val="20"/>
        </w:rPr>
      </w:pPr>
      <w:r>
        <w:rPr>
          <w:rFonts w:ascii="Roboto;sans-serif" w:hAnsi="Roboto;sans-serif"/>
          <w:b w:val="false"/>
          <w:i/>
          <w:color w:val="000000"/>
          <w:sz w:val="20"/>
        </w:rPr>
        <w:t>You should read the following discussion and analysis of our financial condition and results of operations together with the (i) unaudited condensed consolidated financial statements and related notes that are included elsewhere in this Quarterly Report on Form 10-Q and (ii) our Annual Report on Form 10-K for the fiscal year ended December 31, 2023 filed with the U.S. Securities and Exchange Commission, or the SEC, on February 28, 2024. This discussion contains forward-looking statements based upon current plans, expectations and beliefs that involve risks and uncertainties.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Our actual results may differ materially from those anticipated in these forward-looking statements as a result of various factors, including, but not limited to, those discussed in the section entitled “Risk Factors” and elsewhere in this Quarterly Report on Form 10-Q, and you should not place undue reliance on our forward-looking statements. We do not assume any obligation to update any forward-looking statements. In preparing this MD&amp;A, we presume that readers have access to and have read the MD&amp;A in our Annual Report on Form 10-K, pursuant to Instruction 2 to paragraph (b) of Item 303 of Regulation S-K.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Management’s Discussion and Analysis (MD&amp;A) is organized into the following sections: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 xml:space="preserve">Overview and Outlook </w:t>
      </w:r>
    </w:p>
    <w:p>
      <w:pPr>
        <w:pStyle w:val="TextBody"/>
        <w:bidi w:val="0"/>
        <w:spacing w:lineRule="auto" w:line="288" w:before="60" w:after="283"/>
        <w:ind w:left="0" w:right="0" w:hanging="360"/>
        <w:jc w:val="both"/>
        <w:rPr/>
      </w:pPr>
      <w:r>
        <w:rPr>
          <w:color w:val="000000"/>
        </w:rPr>
        <w:t>•</w:t>
      </w:r>
      <w:r>
        <w:rPr>
          <w:rFonts w:ascii="Roboto;sans-serif" w:hAnsi="Roboto;sans-serif"/>
          <w:b w:val="false"/>
          <w:color w:val="000000"/>
          <w:sz w:val="20"/>
        </w:rPr>
        <w:t xml:space="preserve">Results of Operations </w:t>
      </w:r>
    </w:p>
    <w:p>
      <w:pPr>
        <w:pStyle w:val="TextBody"/>
        <w:bidi w:val="0"/>
        <w:spacing w:lineRule="auto" w:line="288" w:before="60" w:after="283"/>
        <w:ind w:left="0" w:right="0" w:hanging="360"/>
        <w:jc w:val="both"/>
        <w:rPr/>
      </w:pPr>
      <w:r>
        <w:rPr>
          <w:color w:val="000000"/>
        </w:rPr>
        <w:t>•</w:t>
      </w:r>
      <w:r>
        <w:rPr>
          <w:rFonts w:ascii="Roboto;sans-serif" w:hAnsi="Roboto;sans-serif"/>
          <w:b w:val="false"/>
          <w:color w:val="000000"/>
          <w:sz w:val="20"/>
        </w:rPr>
        <w:t xml:space="preserve">Liquidity and Capital Resources </w:t>
      </w:r>
    </w:p>
    <w:p>
      <w:pPr>
        <w:pStyle w:val="TextBody"/>
        <w:bidi w:val="0"/>
        <w:spacing w:lineRule="auto" w:line="288" w:before="60" w:after="283"/>
        <w:ind w:left="0" w:right="0" w:hanging="360"/>
        <w:jc w:val="both"/>
        <w:rPr/>
      </w:pPr>
      <w:r>
        <w:rPr>
          <w:color w:val="000000"/>
        </w:rPr>
        <w:t>•</w:t>
      </w:r>
      <w:r>
        <w:rPr>
          <w:rFonts w:ascii="Roboto;sans-serif" w:hAnsi="Roboto;sans-serif"/>
          <w:b w:val="false"/>
          <w:color w:val="000000"/>
          <w:sz w:val="20"/>
        </w:rPr>
        <w:t>Critical Accounting Policies and Estimates</w:t>
      </w:r>
    </w:p>
    <w:p>
      <w:pPr>
        <w:pStyle w:val="TextBody"/>
        <w:bidi w:val="0"/>
        <w:spacing w:lineRule="auto" w:line="288" w:before="60" w:after="283"/>
        <w:ind w:left="0" w:right="0" w:hanging="360"/>
        <w:jc w:val="both"/>
        <w:rPr/>
      </w:pPr>
      <w:r>
        <w:rPr>
          <w:color w:val="000000"/>
        </w:rPr>
        <w:t>•</w:t>
      </w:r>
      <w:r>
        <w:rPr>
          <w:rFonts w:ascii="Roboto;sans-serif" w:hAnsi="Roboto;sans-serif"/>
          <w:b w:val="false"/>
          <w:color w:val="000000"/>
          <w:sz w:val="20"/>
        </w:rPr>
        <w:t>Recent Accounting Pronouncements</w:t>
      </w:r>
    </w:p>
    <w:p>
      <w:pPr>
        <w:pStyle w:val="TextBody"/>
        <w:bidi w:val="0"/>
        <w:spacing w:lineRule="auto" w:line="288" w:before="60" w:after="283"/>
        <w:ind w:left="0" w:right="0" w:hanging="360"/>
        <w:jc w:val="both"/>
        <w:rPr/>
      </w:pPr>
      <w:r>
        <w:rPr>
          <w:color w:val="000000"/>
        </w:rPr>
        <w:t>•</w:t>
      </w:r>
      <w:r>
        <w:rPr>
          <w:rFonts w:ascii="Roboto;sans-serif" w:hAnsi="Roboto;sans-serif"/>
          <w:b w:val="false"/>
          <w:color w:val="000000"/>
          <w:sz w:val="20"/>
        </w:rPr>
        <w:t>Off 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Overview and Outlook</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About PacBio</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are a premier life science technology company that is designing, developing, and manufacturing advanced sequencing solutions that enable scientists and clinical researchers to improve their understanding of the genome and ultimately, resolve genetically complex problems. </w:t>
      </w:r>
    </w:p>
    <w:p>
      <w:pPr>
        <w:pStyle w:val="TextBody"/>
        <w:bidi w:val="0"/>
        <w:spacing w:lineRule="auto" w:line="288" w:before="120" w:after="283"/>
        <w:jc w:val="both"/>
        <w:rPr/>
      </w:pPr>
      <w:r>
        <w:rPr>
          <w:rFonts w:ascii="Roboto;sans-serif" w:hAnsi="Roboto;sans-serif"/>
          <w:b w:val="false"/>
          <w:color w:val="000000"/>
          <w:sz w:val="20"/>
        </w:rPr>
        <w:t>Our products and technology under development stem from two highly differentiated core technologies focused on accuracy, quality, and completeness, which include our HiFi long-read sequencing technology and our Sequencing by Binding (SBB</w:t>
      </w:r>
      <w:r>
        <w:rPr>
          <w:rFonts w:ascii="Roboto;sans-serif" w:hAnsi="Roboto;sans-serif"/>
          <w:b w:val="false"/>
          <w:color w:val="000000"/>
          <w:sz w:val="13"/>
        </w:rPr>
        <w:t>®</w:t>
      </w:r>
      <w:r>
        <w:rPr>
          <w:rFonts w:ascii="Roboto;sans-serif" w:hAnsi="Roboto;sans-serif"/>
          <w:b w:val="false"/>
          <w:color w:val="000000"/>
          <w:sz w:val="20"/>
        </w:rPr>
        <w:t>) short-read sequencing technology. Our products address solutions across a broad set of applications including human genetics, plant and animal sciences, infectious disease and microbiology, oncology, and other emerging applications. Long-read sequencing was recognized by the journal Nature Methods as its “method of the year” for 2022 for its contributions to biological understanding and future potential.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focus is on creating some of the world's most advanced sequencing systems to provide our customers the most complete and accurate view of genomes, transcriptomes, and epigenomes.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customers include academic and governmental research institutions, commercial testing and service laboratories, genome centers, public health labs, hospitals and clinical research institutes, contract research organizations (CROs), pharmaceutical companies, and agricultural companies. </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Strategic Objectives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2024 strategic objectives are to: </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Improve commercial execution to drive adoption of both the Revio and Onso platforms;</w:t>
      </w:r>
    </w:p>
    <w:p>
      <w:pPr>
        <w:pStyle w:val="TextBody"/>
        <w:bidi w:val="0"/>
        <w:spacing w:lineRule="auto" w:line="288" w:before="60" w:after="283"/>
        <w:ind w:left="0" w:right="0" w:hanging="360"/>
        <w:jc w:val="both"/>
        <w:rPr/>
      </w:pPr>
      <w:r>
        <w:rPr>
          <w:color w:val="000000"/>
        </w:rPr>
        <w:t>•</w:t>
      </w:r>
      <w:r>
        <w:rPr>
          <w:rFonts w:ascii="Roboto;sans-serif" w:hAnsi="Roboto;sans-serif"/>
          <w:b w:val="false"/>
          <w:color w:val="000000"/>
          <w:sz w:val="20"/>
        </w:rPr>
        <w:t>Continue the development of our benchtop long read and high throughput short-read platforms;</w:t>
      </w:r>
    </w:p>
    <w:p>
      <w:pPr>
        <w:pStyle w:val="TextBody"/>
        <w:bidi w:val="0"/>
        <w:spacing w:lineRule="auto" w:line="288" w:before="60" w:after="283"/>
        <w:ind w:left="0" w:right="0" w:hanging="360"/>
        <w:jc w:val="both"/>
        <w:rPr/>
      </w:pPr>
      <w:r>
        <w:rPr>
          <w:color w:val="000000"/>
        </w:rPr>
        <w:t>•</w:t>
      </w:r>
      <w:r>
        <w:rPr>
          <w:rFonts w:ascii="Roboto;sans-serif" w:hAnsi="Roboto;sans-serif"/>
          <w:b w:val="false"/>
          <w:color w:val="000000"/>
          <w:sz w:val="20"/>
        </w:rPr>
        <w:t>Improve our gross margin and drive manufacturing efficiencies;</w:t>
      </w:r>
    </w:p>
    <w:p>
      <w:pPr>
        <w:pStyle w:val="TextBody"/>
        <w:bidi w:val="0"/>
        <w:spacing w:lineRule="auto" w:line="288" w:before="60" w:after="283"/>
        <w:ind w:left="0" w:right="0" w:hanging="360"/>
        <w:jc w:val="both"/>
        <w:rPr/>
      </w:pPr>
      <w:r>
        <w:rPr>
          <w:color w:val="000000"/>
        </w:rPr>
        <w:t>•</w:t>
      </w:r>
      <w:r>
        <w:rPr>
          <w:rFonts w:ascii="Roboto;sans-serif" w:hAnsi="Roboto;sans-serif"/>
          <w:b w:val="false"/>
          <w:color w:val="000000"/>
          <w:sz w:val="20"/>
        </w:rPr>
        <w:t>Reduce annualized run-rate operating expenses.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will continue to leverage our commercial organization and significantly improve our products' efficiency and usability to seek to reach a broader customer base. We believe the commercial investments we have recently made will further help drive growth in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To increase the adoption of HiFi sequencing, we have various development programs in progress to expand our product portfolio, increase the throughput, and improve the usability of our existing sequencing solutions. We continue to focus on programs to accelerate new platform launches in the near to mid-term as well as increase applications for our technologies. We commenced commercial shipments of Revio, our new HiFi long-read sequencing system, in the first quarter of 2023. To address the oncology research markets with a highly differentiated alternative to existing third-party short-read sequencing products already on the market, we commenced customer shipments of the Onso short-read sequencing instrument in August 2023. </w:t>
      </w:r>
    </w:p>
    <w:p>
      <w:pPr>
        <w:pStyle w:val="TextBody"/>
        <w:bidi w:val="0"/>
        <w:spacing w:lineRule="auto" w:line="288" w:before="120" w:after="283"/>
        <w:jc w:val="both"/>
        <w:rPr/>
      </w:pPr>
      <w:r>
        <w:rPr>
          <w:rFonts w:ascii="Roboto;sans-serif" w:hAnsi="Roboto;sans-serif"/>
          <w:b w:val="false"/>
          <w:color w:val="000000"/>
          <w:sz w:val="20"/>
        </w:rPr>
        <w:t>We continue to believe that with the capabilities of our HiFi chemistry and SMRT</w:t>
      </w:r>
      <w:r>
        <w:rPr>
          <w:rFonts w:ascii="Roboto;sans-serif" w:hAnsi="Roboto;sans-serif"/>
          <w:b w:val="false"/>
          <w:color w:val="000000"/>
          <w:sz w:val="13"/>
        </w:rPr>
        <w:t>TM</w:t>
      </w:r>
      <w:r>
        <w:rPr>
          <w:color w:val="000000"/>
        </w:rPr>
        <w:t xml:space="preserve"> </w:t>
      </w:r>
      <w:r>
        <w:rPr>
          <w:rFonts w:ascii="Roboto;sans-serif" w:hAnsi="Roboto;sans-serif"/>
          <w:b w:val="false"/>
          <w:color w:val="000000"/>
          <w:sz w:val="20"/>
        </w:rPr>
        <w:t>technology, we can be a market leader in whole-genome clinical sequencing. Leading institutions have adopted our products to study rare and inherited disease. We believe the market opportunity for clinical sequencing is significant and could drive substantial revenue growth for us. We plan to continue to pursue collaborations where the technologies being developed or applications being considered extend beyond whole-genome clinical sequencing. Collaborative arrangements add to the awareness of our products and service offerings and may drive new applications for use of our technology.</w:t>
      </w:r>
    </w:p>
    <w:p>
      <w:pPr>
        <w:pStyle w:val="TextBody"/>
        <w:bidi w:val="0"/>
        <w:spacing w:lineRule="auto" w:line="288" w:before="120" w:after="283"/>
        <w:jc w:val="both"/>
        <w:rPr/>
      </w:pPr>
      <w:r>
        <w:rPr>
          <w:rFonts w:ascii="Roboto;sans-serif" w:hAnsi="Roboto;sans-serif"/>
          <w:b w:val="false"/>
          <w:color w:val="000000"/>
          <w:sz w:val="20"/>
        </w:rPr>
        <w:t xml:space="preserve">During the second quarter of 2024, we announced plans to reduce annualized run-rate operating expenses by the end of 2024, with the intent of better aligning our organizational structure and resources with our strategic initiatives. Our planned and ongoing expense reduction initiatives comprise, among other things, workforce reductions, facilities downsizing and a refined pipeline of development activities, with the majority of the expense reduction activities already initiated during the three months ended June 30, 2024. For the three months ended June 30, 2024, we incurred approximately $18.0 million of restructuring charges primarily related to employee separation costs, accelerated amortization and depreciation for right-of-use assets, leasehold improvements, and furniture and fixtures relating to the planned abandonment of the San Diego office, as well as charges for excess inventory due to a decrease in internal demand relating to the expense reduction initiatives. We also anticipate incurring approximately $8.3 million in additional costs over the remainder of 2024. See </w:t>
      </w:r>
      <w:hyperlink w:anchor="if6b0fb93fca346b681fa51b22bb3bc4e_453">
        <w:r>
          <w:rPr>
            <w:rStyle w:val="InternetLink"/>
            <w:rFonts w:ascii="Roboto;sans-serif" w:hAnsi="Roboto;sans-serif"/>
            <w:b w:val="false"/>
            <w:i/>
            <w:color w:val="0000FF"/>
            <w:sz w:val="20"/>
            <w:u w:val="single"/>
          </w:rPr>
          <w:t>Note 6. Restructuring</w:t>
        </w:r>
      </w:hyperlink>
      <w:r>
        <w:rPr>
          <w:color w:val="000000"/>
        </w:rPr>
        <w:t xml:space="preserve"> </w:t>
      </w:r>
      <w:r>
        <w:rPr>
          <w:rFonts w:ascii="Roboto;sans-serif" w:hAnsi="Roboto;sans-serif"/>
          <w:b w:val="false"/>
          <w:color w:val="000000"/>
          <w:sz w:val="20"/>
        </w:rPr>
        <w:t>in Part I, Item 1 of this Quarterly Report on Form 10-Q for further information.</w:t>
      </w:r>
    </w:p>
    <w:p>
      <w:pPr>
        <w:pStyle w:val="TextBody"/>
        <w:bidi w:val="0"/>
        <w:spacing w:lineRule="auto" w:line="288" w:before="300" w:after="283"/>
        <w:jc w:val="both"/>
        <w:rPr>
          <w:rFonts w:ascii="Roboto;sans-serif" w:hAnsi="Roboto;sans-serif"/>
          <w:b/>
          <w:i/>
          <w:color w:val="000000"/>
          <w:sz w:val="20"/>
          <w:shd w:fill="FFFFFF" w:val="clear"/>
        </w:rPr>
      </w:pPr>
      <w:r>
        <w:rPr>
          <w:rFonts w:ascii="Roboto;sans-serif" w:hAnsi="Roboto;sans-serif"/>
          <w:b/>
          <w:i/>
          <w:color w:val="000000"/>
          <w:sz w:val="20"/>
          <w:shd w:fill="FFFFFF" w:val="clear"/>
        </w:rPr>
        <w:t>Financial Overview</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Key highlights of the six months ended June 30, 2024 consolidated financial results include the following:</w:t>
      </w:r>
    </w:p>
    <w:p>
      <w:pPr>
        <w:pStyle w:val="TextBody"/>
        <w:bidi w:val="0"/>
        <w:spacing w:lineRule="auto" w:line="288" w:before="180" w:after="283"/>
        <w:ind w:left="0" w:right="0" w:hanging="360"/>
        <w:jc w:val="both"/>
        <w:rPr/>
      </w:pPr>
      <w:r>
        <w:rPr>
          <w:color w:val="000000"/>
        </w:rPr>
        <w:t>•</w:t>
      </w:r>
      <w:r>
        <w:rPr>
          <w:rFonts w:ascii="Roboto;sans-serif" w:hAnsi="Roboto;sans-serif"/>
          <w:b w:val="false"/>
          <w:color w:val="000000"/>
          <w:sz w:val="20"/>
        </w:rPr>
        <w:t>Revenue decreased to $74.8 million for the six months ended June 30, 2024, as compared to $86.5 million for the six months ended June 30, 2023. Revenue was comprised of $33.7 million in instrument revenue, $33.0 million in consumables revenue and $8.1 million in service and other revenue for the six months ended June 30, 2024. Revenue was comprised of $50.6 million in instrument revenue, $27.7 million in consumables revenue and $8.2 million in service and other revenue for the six months ended June 30, 2023. The decrease was primarily due to lower Revio unit sales, which was partially offset by higher consumable sales.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Gross profit as a percentage of revenue (gross margin) was 23% for the six months ended June 30, 2024, compared to 29% for the six months ended June 30, 2023. Gross margin decreased for the six months ended June 30, 2024 primarily due to the decrease in revenue described above, $4.6 million of restructuring charges, and an increase of $3.6 million in amortization of acquired intangible assets, partially offset by adjustments in the first quarter of 2023 of approximately $3.5 million relating to excess consumables inventory.</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Loss from operations increased $92.8 million to $257.2 million for the six months ended June 30, 2024, as compared to $164.4 million for the six months ended June 30, 2023, primarily driven by an increase in operating expenses and the decrease in revenue described above, partially offset by a decrease in cost of revenue. Operating expenses increased $84.7 million primarily driven by a $93.2 million goodwill impairment charge, $13.4 million of restructuring charges, and a $9.7 million increase in amortization of acquired intangible assets, partially offset by a $14.3 million decrease in the change in the fair value of the contingent consideration and a decrease in research and development expenses. We anticipate research and development expense and sales, general and administrative expense to continue to decrease for the remainder of 2024 as compared to the prior year driven by our expense reduction initiatives.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Cash, cash equivalents, and short-term investments were $509.8 million at June 30, 2024, which represents a 19% decrease compared to the balance at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The median sales cycle for Revio instrument purchases continues to be longer than expected during 2024. We believe this has been caused by, among other reasons, the uncertainty surrounding the funding for new capital equipment, particularly in the U.S. and China; procurement delays, particularly in the Asia-Pacific and Europe regions; small-to-mid-size existing customers yet to increase their sample volumes to drive an upgrade to Revio; new customers, which have shown they have longer sales cycles compared to existing PacBio customers; and sample volumes materializing slower than expected for some potential Revio customers.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believe our consumables revenue was also impacted primarily by, among other reasons, slower-than-expected ramp-up in sequencing by our small- to mid-sized customers, many of whom are new to PacBio; sample delays impacting sequencing volume at certain large customers; and some service providers in China operating at lower utilization as a result of the difficult funding environment.</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Macroeconomic dynamics impacting the Company in the future may include rising inflation, geopolitical tensions, volatile capital markets, and fluctuating exchange rates. These factors could continue to impact our revenues and results of operations in future periods; however, the magnitude and duration of these impacts is uncertain and inherently unpredictable.</w:t>
      </w:r>
    </w:p>
    <w:p>
      <w:pPr>
        <w:pStyle w:val="TextBody"/>
        <w:bidi w:val="0"/>
        <w:spacing w:lineRule="auto" w:line="288" w:before="120" w:after="283"/>
        <w:jc w:val="both"/>
        <w:rPr/>
      </w:pPr>
      <w:r>
        <w:rPr>
          <w:rFonts w:ascii="Roboto;sans-serif" w:hAnsi="Roboto;sans-serif"/>
          <w:b w:val="false"/>
          <w:color w:val="000000"/>
          <w:sz w:val="20"/>
        </w:rPr>
        <w:t xml:space="preserve">On an ongoing basis, we evaluate our significant estimates, including those related to the valuation of indefinite-lived and finite-lived assets. However, these estimates could change in future periods based on events or changes in circumstances, which could result in material impairment charges. We recorded a $93.2 million goodwill impairment charge for the three months ended June 30, 2024. See additional discussion below in Results of Operations, as well as </w:t>
      </w:r>
      <w:hyperlink w:anchor="if6b0fb93fca346b681fa51b22bb3bc4e_40">
        <w:r>
          <w:rPr>
            <w:rStyle w:val="InternetLink"/>
          </w:rPr>
          <w:t xml:space="preserve">Note </w:t>
        </w:r>
      </w:hyperlink>
      <w:hyperlink w:anchor="if6b0fb93fca346b681fa51b22bb3bc4e_40">
        <w:r>
          <w:rPr>
            <w:rStyle w:val="InternetLink"/>
          </w:rPr>
          <w:t>4</w:t>
        </w:r>
      </w:hyperlink>
      <w:hyperlink w:anchor="if6b0fb93fca346b681fa51b22bb3bc4e_40">
        <w:r>
          <w:rPr>
            <w:rStyle w:val="InternetLink"/>
          </w:rPr>
          <w:t xml:space="preserve">. </w:t>
        </w:r>
      </w:hyperlink>
      <w:hyperlink w:anchor="if6b0fb93fca346b681fa51b22bb3bc4e_40">
        <w:r>
          <w:rPr>
            <w:rStyle w:val="InternetLink"/>
          </w:rPr>
          <w:t>Bal</w:t>
        </w:r>
      </w:hyperlink>
      <w:hyperlink w:anchor="if6b0fb93fca346b681fa51b22bb3bc4e_40">
        <w:r>
          <w:rPr>
            <w:rStyle w:val="InternetLink"/>
          </w:rPr>
          <w:t>ance Sheet Components</w:t>
        </w:r>
      </w:hyperlink>
      <w:r>
        <w:rPr>
          <w:color w:val="000000"/>
        </w:rPr>
        <w:t xml:space="preserve"> </w:t>
      </w:r>
      <w:r>
        <w:rPr>
          <w:rFonts w:ascii="Roboto;sans-serif" w:hAnsi="Roboto;sans-serif"/>
          <w:b w:val="false"/>
          <w:color w:val="000000"/>
          <w:sz w:val="20"/>
        </w:rPr>
        <w:t>in Part I, Item 1 of this Quarterly Report on Form 10-Q for further information. Additionally, refer to the Critical Accounting Policies and Estimates section of our Annual Report on Form 10-K for the year ended December 31, 2023 for further discussion on the Company's asset impairment assessments.</w:t>
      </w:r>
    </w:p>
    <w:p>
      <w:pPr>
        <w:pStyle w:val="TextBody"/>
        <w:bidi w:val="0"/>
        <w:spacing w:lineRule="auto" w:line="288" w:before="120" w:after="283"/>
        <w:jc w:val="both"/>
        <w:rPr/>
      </w:pPr>
      <w:r>
        <w:rPr>
          <w:rFonts w:ascii="Roboto;sans-serif" w:hAnsi="Roboto;sans-serif"/>
          <w:b w:val="false"/>
          <w:color w:val="000000"/>
          <w:sz w:val="20"/>
        </w:rPr>
        <w:t xml:space="preserve">See the </w:t>
      </w:r>
      <w:hyperlink w:anchor="if6b0fb93fca346b681fa51b22bb3bc4e_112">
        <w:r>
          <w:rPr>
            <w:rStyle w:val="InternetLink"/>
            <w:rFonts w:ascii="Roboto;sans-serif" w:hAnsi="Roboto;sans-serif"/>
            <w:b w:val="false"/>
            <w:i/>
            <w:color w:val="0000FF"/>
            <w:sz w:val="20"/>
            <w:u w:val="single"/>
          </w:rPr>
          <w:t>Risk Factors</w:t>
        </w:r>
      </w:hyperlink>
      <w:r>
        <w:rPr>
          <w:color w:val="000000"/>
        </w:rPr>
        <w:t xml:space="preserve"> </w:t>
      </w:r>
      <w:r>
        <w:rPr>
          <w:rFonts w:ascii="Roboto;sans-serif" w:hAnsi="Roboto;sans-serif"/>
          <w:b w:val="false"/>
          <w:color w:val="000000"/>
          <w:sz w:val="20"/>
        </w:rPr>
        <w:t>section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 xml:space="preserve">Results of Operations </w:t>
      </w:r>
    </w:p>
    <w:p>
      <w:pPr>
        <w:pStyle w:val="TextBody"/>
        <w:bidi w:val="0"/>
        <w:spacing w:lineRule="auto" w:line="288" w:before="120" w:after="283"/>
        <w:jc w:val="both"/>
        <w:rPr>
          <w:rFonts w:ascii="Roboto;sans-serif" w:hAnsi="Roboto;sans-serif"/>
          <w:b/>
          <w:i/>
          <w:color w:val="000000"/>
          <w:sz w:val="20"/>
        </w:rPr>
      </w:pPr>
      <w:r>
        <w:rPr>
          <w:rFonts w:ascii="Roboto;sans-serif" w:hAnsi="Roboto;sans-serif"/>
          <w:b/>
          <w:i/>
          <w:color w:val="000000"/>
          <w:sz w:val="20"/>
        </w:rPr>
        <w:t>Comparison of the Three Months Ended June 30, 2024 and 2023</w:t>
      </w:r>
    </w:p>
    <w:tbl>
      <w:tblPr>
        <w:tblW w:w="10205" w:type="dxa"/>
        <w:jc w:val="left"/>
        <w:tblInd w:w="0" w:type="dxa"/>
        <w:tblLayout w:type="fixed"/>
        <w:tblCellMar>
          <w:top w:w="28" w:type="dxa"/>
          <w:left w:w="28" w:type="dxa"/>
          <w:bottom w:w="28" w:type="dxa"/>
          <w:right w:w="28" w:type="dxa"/>
        </w:tblCellMar>
      </w:tblPr>
      <w:tblGrid>
        <w:gridCol w:w="1426"/>
        <w:gridCol w:w="1197"/>
        <w:gridCol w:w="1199"/>
        <w:gridCol w:w="235"/>
        <w:gridCol w:w="1062"/>
        <w:gridCol w:w="112"/>
        <w:gridCol w:w="112"/>
        <w:gridCol w:w="112"/>
        <w:gridCol w:w="112"/>
        <w:gridCol w:w="235"/>
        <w:gridCol w:w="936"/>
        <w:gridCol w:w="112"/>
        <w:gridCol w:w="109"/>
        <w:gridCol w:w="109"/>
        <w:gridCol w:w="109"/>
        <w:gridCol w:w="226"/>
        <w:gridCol w:w="1019"/>
        <w:gridCol w:w="109"/>
        <w:gridCol w:w="109"/>
        <w:gridCol w:w="109"/>
        <w:gridCol w:w="109"/>
        <w:gridCol w:w="322"/>
        <w:gridCol w:w="324"/>
        <w:gridCol w:w="701"/>
      </w:tblGrid>
      <w:tr>
        <w:trPr/>
        <w:tc>
          <w:tcPr>
            <w:tcW w:w="14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8"/>
              </w:rPr>
            </w:pPr>
            <w:r>
              <w:rPr>
                <w:rFonts w:ascii="Roboto;sans-serif" w:hAnsi="Roboto;sans-serif"/>
                <w:b w:val="false"/>
                <w:i/>
                <w:color w:val="000000"/>
                <w:sz w:val="18"/>
              </w:rPr>
              <w:t>(in thousands, except percentages)</w:t>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3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Product revenue </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31,746 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43,655 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(27 </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Service and other revenue </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4,267 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9 </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revenue </w:t>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36,013 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47,573 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(11,560)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(24 </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product revenue </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23,083 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28,432 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service and other revenue </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3,366 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3,412 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(1 </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2,628 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1336 </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Loss on purchase commitment</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cost of revenue </w:t>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30,075 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32,027 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(6 </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Gross profit </w:t>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5,938 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15,546 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(9,608)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(62 </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Expense:</w:t>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38,485 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46,173 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Sales, general and administrative </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45,877 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40,573 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13 </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Goodwill impairment</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93,200 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4,222 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operating expense </w:t>
            </w:r>
          </w:p>
        </w:tc>
        <w:tc>
          <w:tcPr>
            <w:tcW w:w="12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181,784 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88,721 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93,063 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105 </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loss </w:t>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(175,846)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(73,175)</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(102,671)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140 </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Loss on extinguishment of debt</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(2,033)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Interest expense </w:t>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(3,542)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(3,554)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8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6,069 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(32 </w:t>
            </w:r>
          </w:p>
        </w:tc>
        <w:tc>
          <w:tcPr>
            <w:tcW w:w="70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3822"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rPr/>
        <w:tc>
          <w:tcPr>
            <w:tcW w:w="38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(173,319)</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(69,833)</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(103,486)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148 </w:t>
            </w:r>
          </w:p>
        </w:tc>
        <w:tc>
          <w:tcPr>
            <w:tcW w:w="7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r>
    </w:tbl>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Revenue decreased $11.6 million, or 24% to $36.0 million for the three months ended June 30, 2024, as compared to $47.6 million for the three months ended June 30, 2023.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Instrument revenue decreased $15.2 million, or 51%, to $14.7 million for the three months ended June 30, 2024, as compared to $29.9 million for the three months ended June 30, 2023, primarily due to the sale of 24 Revio systems during the three months ended June 30, 2024 compared to 45 Revio systems during the three months ended June 30, 2023.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Consumables revenue increased $3.3 million, or 24%, to $17.0 million for the three months ended June 30, 2024, as compared to $13.7 million for the three months ended June 30, 2023. The increase in consumable sales was primarily due to higher Revio consumables sales attributable to the growth in the Revio instrument installed base, partially offset by a decline in Sequel II and IIe consumables as customers transition to Revio. We expect Revio consumable sales to increase as the installed base grows. While we expect to see a decline in Sequel II and IIe consumable sales resulting from the product transition, there is uncertainty as to the rate at which these sales will decline.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Service and other revenue increased $0.3 million, or 9%, to $4.3 million for the three months ended June 30, 2024, as compared to $3.9 million for the three months ended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Cost of Revenue, Gross Profit and Gross Margin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Cost of product revenue decreased $5.3 million, or 19%, for the three months ended June 30, 2024, compared to the three months ended June 30, 2023 primarily driven by the decrease in revenue described above, partially offset by restructuring charges of $4.6 million, including charges for excess inventory due to a decrease in internal demand relating to the expense reduction initiatives during the three months ended June 30, 2024. Cost of revenue included amortization attributable to acquired intangible assets of $2.6 million that are related to sales generating activities. Cost of revenue included share-based compensation expense of $1.1 million and $1.2 million during the three months ended June 30, 2024 and 2023, respectively.</w:t>
      </w:r>
    </w:p>
    <w:p>
      <w:pPr>
        <w:pStyle w:val="TextBody"/>
        <w:bidi w:val="0"/>
        <w:spacing w:lineRule="auto" w:line="288" w:before="60" w:after="283"/>
        <w:jc w:val="both"/>
        <w:rPr>
          <w:rFonts w:ascii="Roboto;sans-serif" w:hAnsi="Roboto;sans-serif"/>
          <w:b w:val="false"/>
          <w:color w:val="000000"/>
          <w:sz w:val="20"/>
        </w:rPr>
      </w:pPr>
      <w:r>
        <w:rPr>
          <w:rFonts w:ascii="Roboto;sans-serif" w:hAnsi="Roboto;sans-serif"/>
          <w:b w:val="false"/>
          <w:color w:val="000000"/>
          <w:sz w:val="20"/>
        </w:rPr>
        <w:t>Gross profit decreased $9.6 million, or 62%, to $5.9 million for the three months ended June 30, 2024, compared to $15.5 million for the three months ended June 30, 2023. Gross margin was 16% for the three months ended June 30, 2024, compared to gross margin of 33% for the three months ended June 30, 2023. The decrease was primarily due to the decrease in revenue described above, restructuring charges, and an increase of $2.4 million in amortization of acquired intangible assets. We anticipate higher gross margins from ongoing cost reductions on the Revio instrument and consumable yield improvements, but fluctuations may occur based on implementation timing and consumable volume changes. Gross margins may also be affected by product mix, manufacturing efficiencies, warranty cost improvements, and average selling price fluctuations.</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Research and Development Expense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Research and development expense decreased by $7.7 million, or 17%, to $38.5 million for the three months ended June 30, 2024, compared to $46.2 million for the three months ended June 30, 2023. The decrease was primarily driven by a decrease in personnel expenses due to restructuring activities and the transition of recently launched products from development to commercialization. We incurred restructuring charges of $5.9 million, primarily related to employee separation benefits during the three months ended June 30, 2024. Research and development expense included share-based compensation expense of $4.6 million and $5.4 million during the three months ended June 30, 2024 and 2023, respectively.</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Sales, General and Administrative Expense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general and administrative expense increased by $5.3 million, or 13%, to $45.9 million for the three months ended June 30, 2024, compared to $40.6 million for the three months ended June 30, 2023. The increase was primarily driven by restructuring charges partially offset by lower personnel expense. We incurred restructuring charges of $7.5 million, primarily related to employee separation benefits and lease-related costs during the three months ended June 30, 2024. Sales, general, and administrative expense included share-based compensation expense of $11.5 million and $11.3 million during the three months ended June 30, 2024 and 2023, respectively. We expect to incur an additional $8.3 million of remaining estimated restructuring costs during the remainder of 2024.</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Goodwill Impairment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Based primarily on the sustained decrease in our stock price during the second quarter and overall market capitalization as of the end of the second quarter of 2024, as well as other factors, we concluded that there was an indication that the fair value of the reporting unit might be less than it’s carrying amount and performed an interim impairment test on goodwill. The interim impairment test showed the reporting unit's carrying amount exceeded fair value. As a result, we recorded a $93.2 million goodwill impairment charge for the three months ended June 30, 2024, mainly due to the decline in the stock price and changes in the timing of expected future cash flows as compared to our initial long-term plan due to continued impact of longer than expected median sales cycles resulting from various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Change in Fair Value of Contingent Consideration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 in fair value of contingent consideration of $2.0 million during the three months ended June 30, 2023, represents the remeasurement impact of the Omniome contingent consideration liability of approximately $200 million that was due upon the achievement of a milestone.</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Amortization of Acquired Intangible Assets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Amortization of acquired intangible assets included in operating expenses of $4.2 million during the three months ended June 30, 2024 consists of amortization expense attributable to acquired intangible assets that are not directly related to sales generating activities.</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Loss on Extinguishment of Debt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Loss on extinguishment of debt of $2.0 million during the three months ended June 30, 2023, represents the loss resulting from the difference in the fair value of the 2030 Notes and the principal, in addition to the write-off of the unamortized debt issuance costs on the portion of the 2028 Notes that were exchanged as part of the debt modification during the three months ended June 30, 2023.</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Interest Expense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Interest expense for the three months ended June 30, 2024, was $3.5 million compared to $3.6 million for the three months ended June 30, 2023 and was primarily comprised of interest on the convertible senior notes.</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Other Income, Net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income, net for the three months ended June 30, 2024, was $6.1 million compared to $8.9 million for the three months ended June 30, 2023. The decrease was primarily driven by lower investment income due to lower cash and investment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200" w:after="283"/>
        <w:jc w:val="both"/>
        <w:rPr>
          <w:rFonts w:ascii="Roboto;sans-serif" w:hAnsi="Roboto;sans-serif"/>
          <w:b/>
          <w:i/>
          <w:color w:val="000000"/>
          <w:sz w:val="20"/>
        </w:rPr>
      </w:pPr>
      <w:r>
        <w:rPr>
          <w:rFonts w:ascii="Roboto;sans-serif" w:hAnsi="Roboto;sans-serif"/>
          <w:b/>
          <w:i/>
          <w:color w:val="000000"/>
          <w:sz w:val="20"/>
        </w:rPr>
        <w:t xml:space="preserve">Comparison of the Six Months Ended June 30, 2024 and 2023 </w:t>
      </w:r>
    </w:p>
    <w:tbl>
      <w:tblPr>
        <w:tblW w:w="10205" w:type="dxa"/>
        <w:jc w:val="left"/>
        <w:tblInd w:w="0" w:type="dxa"/>
        <w:tblLayout w:type="fixed"/>
        <w:tblCellMar>
          <w:top w:w="28" w:type="dxa"/>
          <w:left w:w="28" w:type="dxa"/>
          <w:bottom w:w="28" w:type="dxa"/>
          <w:right w:w="28" w:type="dxa"/>
        </w:tblCellMar>
      </w:tblPr>
      <w:tblGrid>
        <w:gridCol w:w="1471"/>
        <w:gridCol w:w="1249"/>
        <w:gridCol w:w="1252"/>
        <w:gridCol w:w="226"/>
        <w:gridCol w:w="1023"/>
        <w:gridCol w:w="109"/>
        <w:gridCol w:w="109"/>
        <w:gridCol w:w="109"/>
        <w:gridCol w:w="109"/>
        <w:gridCol w:w="226"/>
        <w:gridCol w:w="1023"/>
        <w:gridCol w:w="109"/>
        <w:gridCol w:w="109"/>
        <w:gridCol w:w="109"/>
        <w:gridCol w:w="109"/>
        <w:gridCol w:w="226"/>
        <w:gridCol w:w="903"/>
        <w:gridCol w:w="109"/>
        <w:gridCol w:w="109"/>
        <w:gridCol w:w="109"/>
        <w:gridCol w:w="109"/>
        <w:gridCol w:w="300"/>
        <w:gridCol w:w="301"/>
        <w:gridCol w:w="697"/>
      </w:tblGrid>
      <w:tr>
        <w:trPr/>
        <w:tc>
          <w:tcPr>
            <w:tcW w:w="147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r>
      <w:tr>
        <w:trPr/>
        <w:tc>
          <w:tcPr>
            <w:tcW w:w="3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8"/>
              </w:rPr>
            </w:pPr>
            <w:r>
              <w:rPr>
                <w:rFonts w:ascii="Roboto;sans-serif" w:hAnsi="Roboto;sans-serif"/>
                <w:b w:val="false"/>
                <w:i/>
                <w:color w:val="000000"/>
                <w:sz w:val="18"/>
              </w:rPr>
              <w:t>(in thousands, except percentages)</w:t>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 Change</w:t>
            </w:r>
          </w:p>
        </w:tc>
      </w:tr>
      <w:tr>
        <w:trPr/>
        <w:tc>
          <w:tcPr>
            <w:tcW w:w="39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Revenue:</w:t>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Product revenue </w:t>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66,755 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Service and other revenue </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revenue </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74,823 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86,473 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Cost of Revenue:</w:t>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product revenue </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53,596 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Cost of service and other revenue </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985 </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9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18"/>
              </w:rPr>
            </w:pPr>
            <w:r>
              <w:rPr>
                <w:rFonts w:ascii="Roboto;sans-serif" w:hAnsi="Roboto;sans-serif"/>
                <w:b w:val="false"/>
                <w:color w:val="000000"/>
                <w:sz w:val="18"/>
              </w:rPr>
              <w:t>Loss on purchase commitment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cost of revenue </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57,603 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61,166 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(3,563)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Gross profit </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(8,087)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(32)</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Operating Expense:</w:t>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Research and development </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81,940 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95,112 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Sales, general and administrative </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89,630 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80,391 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11 </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Goodwill impairment</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93,200 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Amortization of acquired intangible assets</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Change in fair value of contingent consideration</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(14,301)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Total operating expense </w:t>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274,428 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189,734 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84,694 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45 </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Operating loss </w:t>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(257,208)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(164,427)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(92,781)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56 </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Loss on extinguishment of debt</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(100)</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Interest expense </w:t>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(7,184)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9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 xml:space="preserve">Other income, net </w:t>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w:t>
            </w:r>
          </w:p>
        </w:tc>
        <w:tc>
          <w:tcPr>
            <w:tcW w:w="6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r>
        <w:trPr/>
        <w:tc>
          <w:tcPr>
            <w:tcW w:w="3972"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3972"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8" w:type="dxa"/>
            <w:gridSpan w:val="3"/>
            <w:tcBorders/>
            <w:vAlign w:val="center"/>
          </w:tcPr>
          <w:p>
            <w:pPr>
              <w:pStyle w:val="TableContents"/>
              <w:bidi w:val="0"/>
              <w:spacing w:before="0" w:after="283"/>
              <w:jc w:val="left"/>
              <w:rPr>
                <w:sz w:val="4"/>
                <w:szCs w:val="4"/>
              </w:rPr>
            </w:pPr>
            <w:r>
              <w:rPr>
                <w:sz w:val="4"/>
                <w:szCs w:val="4"/>
              </w:rPr>
            </w:r>
          </w:p>
        </w:tc>
      </w:tr>
      <w:tr>
        <w:trPr/>
        <w:tc>
          <w:tcPr>
            <w:tcW w:w="39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loss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(251,497)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(157,848)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(93,649)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59 </w:t>
            </w:r>
          </w:p>
        </w:tc>
        <w:tc>
          <w:tcPr>
            <w:tcW w:w="6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w:t>
            </w:r>
          </w:p>
        </w:tc>
      </w:tr>
    </w:tbl>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 xml:space="preserve">Revenue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Revenue decreased $11.7 million, or 13%, to $74.8 million for the six months ended June 30, 2024, as compared to $86.5 million for the six months ended June 30, 2023.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Instrument revenue decreased $16.9 million, or 33%, to $33.7 million for the six months ended June 30, 2024, as compared to $50.6 million for the six months ended June 30, 2023, primarily due to the sale of 52 Revio systems during the six months ended June 30, 2024 compared to 77 Revio systems during the six months ended June 30, 2023.</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Consumables revenue increased $5.4 million, or 19%, to $33.0 million for the six months ended June 30, 2024, as compared to $27.7 million for the six months ended June 30, 2023. The increase in consumable sales was primarily due to higher Revio consumables sales attributable to the growth in the Revio instrument installed base, partially offset by a decline in Sequel II and IIe consumables as customers transition to Revio. We expect Revio consumable sales to increase as the installed base grows. While we expect to see a decline in Sequel II and IIe consumable sales resulting from the product transition, there is uncertainty as to the rate at which these sales will decline.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Service and other revenue of $8.1 million for the six months ended June 30, 2024 was relatively flat as compared the six months ended June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Cost of Revenue, Gross Profit and Gross Margin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Cost of product revenue decreased $8.1 million, or 15%, for the six months ended June 30, 2024, compared to the six months ended June 30, 2023 primarily driven by the decrease in revenue described above, partially offset by restructuring charges of $4.6 million, including charges for excess inventory due to a decrease in internal demand relating to the expense reduction initiatives during the six months ended June 30, 2024. Cost of product revenue for the six months ended June 30, 2023 included adjustments of approximately $3.5 million primarily relating to excess consumables inventory due to the product transition to Revio we recognized during the first quarter of 2023. Cost of revenue included amortization attributable to acquired intangible assets of $4.0 million that are related to sales generating activities. Cost of revenue included share-based compensation expense of $3.2 million and $3.1 million during the six months ended June 30, 2024 and 2023, respectively.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Gross profit decreased $8.1 million, or 32%, to $17.2 million for the six months ended June 30, 2024, compared to $25.3 million for the six months ended June 30, 2023. Gross margin was 23% for the six months ended June 30, 2024, compared to gross margin of 29% for the six months ended June 30, 2023. The decrease was primarily due to the decrease in revenue described above, restructuring charges, and an increase of $3.6 million in amortization of acquired intangible assets. We anticipate higher gross margins from ongoing cost reductions on the Revio instrument and consumable yield improvements, but fluctuations may occur based on implementation timing and consumable volume changes. Gross margins may also be affected by product mix, manufacturing efficiencies, warranty cost improvements, and average selling price fluctuations.</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Research and Development Expense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Research and development expense decreased by $13.2 million, or 14%, to $81.9 million for the six months ended June 30, 2024, compared to $95.1 million for the six months ended June 30, 2023. The decrease was primarily driven by a decrease in personnel expenses due to restructuring activities and the transition of recently launched products from development to commercialization. We incurred restructuring charges of $5.9 million, primarily related to employee separation benefits during the six months ended June 30, 2024. Research and development expense included share-based compensation expense of $10.4 million and $12.1 million during the six months ended June 30, 2024 and 2023, respectively.</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Sales, General and Administrative Expense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general and administrative expense increased by $9.2 million, or 11%, to $89.6 million for the six months ended June 30, 2024, compared to $80.4 million for the six months ended June 30, 2023. The increase was primarily driven by restructuring charges and higher personnel costs. We incurred restructuring charges of $7.5 million, primarily related to employee separation benefits and lease-related costs during the six months ended June 30, 2024. Sales, general, and administrative expense included share-based compensation expense of $23.1 million and $20.6 million during the six months ended June 30, 2024 and 2023, respectively. We expect to incur an additional $8.3 million of remaining estimated restructuring costs during the remainder of 2024.</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Goodwill Impairment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Based primarily on the sustained decrease in our stock price during the second quarter and overall market capitalization as of the end of the second quarter of 2024, as well as other factors, we concluded that there was an indication that the fair value of the reporting unit might be less than it’s carrying amount and performed an interim impairment test on goodwill. The interim impairment test showed the reporting unit's carrying amount exceeded fair value. As a result, we recorded a $93.2 million goodwill impairment charge for the three months ended June 30, 2024, mainly due to the decline in the stock price and changes in the timing of expected future cash flows as compared to our initial long-term plan due to continued impact of longer than expected median sales cycles resulting from various factors.</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Amortization of Acquired Intangible Assets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Amortization of acquired intangible assets included in operating expenses of $9.7 million during the six months ended June 30, 2024 consists of amortization expense attributable to acquired intangible assets that are not directly related to sales generating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Change in Fair Value of Contingent Consideration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Change in fair value of contingent consideration during the six months ended June 30, 2024, represents the remeasurement impact of the Apton contingent consideration due upon the achievement of the milestone.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Change in fair value of contingent consideration of $14.3 million during the six months ended June 30, 2023, represents the remeasurement impact of the Omniome contingent consideration liability of approximately $200 million that was due upon the achievement of a milestone.</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Loss on Extinguishment of Debt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Loss on extinguishment of debt of $2.0 million during the six months ended June 30, 2023, represents the loss resulting from the difference in the fair value of the 2030 Notes and the principal, in addition to the write-off of the unamortized debt issuance costs on the portion of the 2028 Notes that were exchanged as part of the debt modification during the six months ended June 30, 2023.</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Interest Expense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Interest expense for the six months ended June 30, 2024, was $7.1 million compared to $7.2 million for the six months ended June 30, 2023 and was primarily comprised of interest on the convertible senior notes.</w:t>
      </w:r>
    </w:p>
    <w:p>
      <w:pPr>
        <w:pStyle w:val="TextBody"/>
        <w:bidi w:val="0"/>
        <w:spacing w:lineRule="auto" w:line="288" w:before="240" w:after="283"/>
        <w:jc w:val="both"/>
        <w:rPr>
          <w:rFonts w:ascii="Roboto;sans-serif" w:hAnsi="Roboto;sans-serif"/>
          <w:b/>
          <w:i/>
          <w:color w:val="000000"/>
          <w:sz w:val="20"/>
        </w:rPr>
      </w:pPr>
      <w:r>
        <w:rPr>
          <w:rFonts w:ascii="Roboto;sans-serif" w:hAnsi="Roboto;sans-serif"/>
          <w:b/>
          <w:i/>
          <w:color w:val="000000"/>
          <w:sz w:val="20"/>
        </w:rPr>
        <w:t>Other Income, Net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income, net for the six months ended June 30, 2024, was $12.8 million compared to $15.8 million for the six months ended June 30, 2023. The decrease was primarily driven by lower investment income due to lower cash and investment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Liquidity and Capital Resources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June 30, 2024, we had cash, cash equivalents and investments of $509.8 million compared to $631.4 million as of December 31, 2023. We believe that our existing cash, cash equivalents and investments will be sufficient to fund our projected operating requirements beyond the next 12 months from the date of filing of this Quarterly Report on Form 10-Q for the quarter ended June 30, 2024.</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primary sources of liquidity, other than our holdings of cash, cash equivalents, and investments, have primarily been through the issuance of debt or equity securities, together with cash flow from operating activities. We have historically incurred, and expect to continue to incur, operating losses and generate negative cash flows from operations on an annual basis, and as a result, we may require additional capital resources to execute our strategic initiatives to grow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approved and began implementing certain efficiency and expense reduction initiatives in the second quarter of 2024. These expense reduction initiatives include workforce reductions, facilities downsizing and a refined pipeline of development activities and are expected to reduce annualized run-rate operating expenses by the end of 2024.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Factors that may affect our capital needs include, but are not limited to, the pace of adoption of our products, which affects the sales of our products and services; our ability to efficiently manage our operations; the effectiveness of our expense reduction initiatives; our ability to obtain new collaboration and customer arrangements and maintain existing collaborations and arrangements; the progress of our research and development programs; initiation, expansion, or funding of research programs and collaborations; the purchase of patent licenses; the impact of product quality; litigation costs, including the costs involved in preparing, filing, prosecuting, defending and enforcing intellectual property rights; costs of developing new and enhanced products; acquisitions of complementary businesses, technologies or assets; achievement of milestones in connection with acquisitions; and other factors. There can be no assurance that funds will be available on favorable terms, or at all.</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Contingent Consideration</w:t>
      </w:r>
    </w:p>
    <w:p>
      <w:pPr>
        <w:pStyle w:val="TextBody"/>
        <w:bidi w:val="0"/>
        <w:spacing w:lineRule="auto" w:line="288" w:before="120" w:after="120"/>
        <w:jc w:val="both"/>
        <w:rPr/>
      </w:pPr>
      <w:r>
        <w:rPr>
          <w:rFonts w:ascii="Roboto;sans-serif" w:hAnsi="Roboto;sans-serif"/>
          <w:b w:val="false"/>
          <w:color w:val="000000"/>
          <w:sz w:val="20"/>
        </w:rPr>
        <w:t xml:space="preserve">In connection with the acquisition of Apton, we entered into an arrangement where we are obligated to pay former holders of Apton's outstanding equity interests $25.0 million upon the achievement of $50.0 million in revenue associated with a high throughput sequencer using Apton's technology, provided that the milestone event occurs prior to the five-year anniversary of the closing date of the acquisition, which we may elect to pay in cash, shares of our common stock or a combination of cash and shares of our common stock. </w:t>
      </w:r>
      <w:hyperlink w:anchor="if6b0fb93fca346b681fa51b22bb3bc4e_34">
        <w:r>
          <w:rPr>
            <w:rStyle w:val="InternetLink"/>
            <w:rFonts w:ascii="Roboto;sans-serif" w:hAnsi="Roboto;sans-serif"/>
            <w:b w:val="false"/>
            <w:color w:val="0000FF"/>
            <w:sz w:val="20"/>
            <w:u w:val="single"/>
          </w:rPr>
          <w:t xml:space="preserve">See </w:t>
        </w:r>
      </w:hyperlink>
      <w:hyperlink w:anchor="if6b0fb93fca346b681fa51b22bb3bc4e_34">
        <w:r>
          <w:rPr>
            <w:rStyle w:val="InternetLink"/>
            <w:rFonts w:ascii="Roboto;sans-serif" w:hAnsi="Roboto;sans-serif"/>
            <w:b w:val="false"/>
            <w:i/>
            <w:color w:val="0000FF"/>
            <w:sz w:val="20"/>
            <w:u w:val="single"/>
          </w:rPr>
          <w:t>Note 2. Business Acquisitions</w:t>
        </w:r>
      </w:hyperlink>
      <w:r>
        <w:rPr>
          <w:color w:val="000000"/>
        </w:rPr>
        <w:t xml:space="preserve"> </w:t>
      </w:r>
      <w:r>
        <w:rPr>
          <w:rFonts w:ascii="Roboto;sans-serif" w:hAnsi="Roboto;sans-serif"/>
          <w:b w:val="false"/>
          <w:color w:val="000000"/>
          <w:sz w:val="20"/>
        </w:rPr>
        <w:t>in Part I, Item 1 of this Quarterly Report on Form 10-Q for further information.</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Summary of Cash Flows</w:t>
      </w:r>
    </w:p>
    <w:tbl>
      <w:tblPr>
        <w:tblW w:w="8573" w:type="dxa"/>
        <w:jc w:val="left"/>
        <w:tblInd w:w="0" w:type="dxa"/>
        <w:tblLayout w:type="fixed"/>
        <w:tblCellMar>
          <w:top w:w="28" w:type="dxa"/>
          <w:left w:w="28" w:type="dxa"/>
          <w:bottom w:w="28" w:type="dxa"/>
          <w:right w:w="28" w:type="dxa"/>
        </w:tblCellMar>
      </w:tblPr>
      <w:tblGrid>
        <w:gridCol w:w="1977"/>
        <w:gridCol w:w="1737"/>
        <w:gridCol w:w="1745"/>
        <w:gridCol w:w="226"/>
        <w:gridCol w:w="1036"/>
        <w:gridCol w:w="109"/>
        <w:gridCol w:w="109"/>
        <w:gridCol w:w="109"/>
        <w:gridCol w:w="109"/>
        <w:gridCol w:w="226"/>
        <w:gridCol w:w="1036"/>
        <w:gridCol w:w="154"/>
      </w:tblGrid>
      <w:tr>
        <w:trPr/>
        <w:tc>
          <w:tcPr>
            <w:tcW w:w="197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Six Months Ended June 30,</w:t>
            </w:r>
          </w:p>
        </w:tc>
      </w:tr>
      <w:tr>
        <w:trPr/>
        <w:tc>
          <w:tcPr>
            <w:tcW w:w="54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i/>
                <w:color w:val="000000"/>
                <w:sz w:val="18"/>
              </w:rPr>
            </w:pPr>
            <w:r>
              <w:rPr>
                <w:rFonts w:ascii="Roboto;sans-serif" w:hAnsi="Roboto;sans-serif"/>
                <w:b w:val="false"/>
                <w:i/>
                <w:color w:val="000000"/>
                <w:sz w:val="18"/>
              </w:rPr>
              <w:t>(in thousands)</w:t>
            </w:r>
          </w:p>
        </w:tc>
        <w:tc>
          <w:tcPr>
            <w:tcW w:w="13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18"/>
              </w:rPr>
            </w:pPr>
            <w:r>
              <w:rPr>
                <w:rFonts w:ascii="Roboto;sans-serif" w:hAnsi="Roboto;sans-serif"/>
                <w:b/>
                <w:color w:val="000000"/>
                <w:sz w:val="18"/>
              </w:rPr>
              <w:t>2023</w:t>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used in operating activities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(129,945)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(136,432)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provided by (used in) investing activities</w:t>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42,701 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(171,144)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Cash provided by financing activities</w:t>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191,274 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Net decrease in cash, cash equivalents and restricted cash</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(80,843)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Roboto;sans-serif" w:hAnsi="Roboto;sans-serif"/>
                <w:b w:val="false"/>
                <w:color w:val="000000"/>
                <w:sz w:val="18"/>
              </w:rPr>
            </w:pPr>
            <w:r>
              <w:rPr>
                <w:rFonts w:ascii="Roboto;sans-serif" w:hAnsi="Roboto;sans-serif"/>
                <w:b w:val="false"/>
                <w:color w:val="000000"/>
                <w:sz w:val="18"/>
              </w:rPr>
              <w:t>(116,302)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Roboto;sans-serif" w:hAnsi="Roboto;sans-serif"/>
          <w:b w:val="false"/>
          <w:i/>
          <w:color w:val="000000"/>
          <w:sz w:val="20"/>
        </w:rPr>
      </w:pPr>
      <w:r>
        <w:rPr>
          <w:rFonts w:ascii="Roboto;sans-serif" w:hAnsi="Roboto;sans-serif"/>
          <w:b w:val="false"/>
          <w:i/>
          <w:color w:val="000000"/>
          <w:sz w:val="20"/>
        </w:rPr>
        <w:t>Operating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primary uses of cash in operating activities include the development of future products and product enhancements, manufacturing, and support functions related to our sales, general and administrative activities. </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used in operating activities for the six months ended June 30, 2024 of $129.9 million was due primarily to a $251.5 million net loss that included non-cash items such as a goodwill impairment charge of $93.2 million, share-based compensation of $36.7 million, amortization of acquired intangible assets of $13.7 million, depreciation expense of $6.7 million and amortization of right-of-use assets of $5.9 million. This was offset by the accretion of discount and amortization of premium on marketable securities, net of $7.6 million and $31.7 million in net changes to operating assets and liabilities. Cash flow impact from changes in net operating assets and liabilities was primarily driven by an increase in inventory, as well as decreases in accrued expenses and operating lease liabilities. These uses of cash were partially offset by decreases in accounts receivable and prepaid expenses and other assets and increases in accounts payable and deferred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used in operating activities for the six months ended June 30, 2023 of $136.4 million was due primarily to a $157.8 million net loss that included non-cash items such as share-based compensation of $35.8 million, change in estimated fair value of contingent consideration of $14.2 million, depreciation expense of $5.6 million, inventory provisions of $4.3 million, amortization of right-of-use assets of $3.3 million, and loss on extinguishment of debt of $2.0 million. This was offset by the accretion of discount and amortization of premium on marketable securities, net of $6.1 million and $38.6 million in net changes to operating assets and liabilities. Cash flow impact from changes in net operating assets and liabilities was primarily driven by increases in inventory, accounts receivable and prepaid and other assets, as well as decreases in accrued expenses, operating lease liabilities and deferred revenue. These uses of cash were partially offset by an increase in accounts payable.</w:t>
      </w:r>
    </w:p>
    <w:p>
      <w:pPr>
        <w:pStyle w:val="TextBody"/>
        <w:bidi w:val="0"/>
        <w:spacing w:lineRule="auto" w:line="288" w:before="300" w:after="283"/>
        <w:jc w:val="both"/>
        <w:rPr>
          <w:rFonts w:ascii="Roboto;sans-serif" w:hAnsi="Roboto;sans-serif"/>
          <w:b w:val="false"/>
          <w:i/>
          <w:color w:val="000000"/>
          <w:sz w:val="20"/>
        </w:rPr>
      </w:pPr>
      <w:r>
        <w:rPr>
          <w:rFonts w:ascii="Roboto;sans-serif" w:hAnsi="Roboto;sans-serif"/>
          <w:b w:val="false"/>
          <w:i/>
          <w:color w:val="000000"/>
          <w:sz w:val="20"/>
        </w:rPr>
        <w:t>Investing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investing activities consist primarily of capital expenditures and investment purchases, sales, and maturities.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investing activities for the six months ended June 30, 2024, was primarily from $351.6 million of maturities of investments partially offset by $303.6 million in purchases of investments and $5.4 million in purchases of property and equipment.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used in investing activities for the six months ended June 30, 2023, was due to $311.7 million of maturities and sales of investments offset by $476.9 million in purchases of investments, and $6.0 million in purchases of property and equipment.</w:t>
      </w:r>
    </w:p>
    <w:p>
      <w:pPr>
        <w:pStyle w:val="TextBody"/>
        <w:bidi w:val="0"/>
        <w:spacing w:lineRule="auto" w:line="288" w:before="300" w:after="283"/>
        <w:jc w:val="both"/>
        <w:rPr>
          <w:rFonts w:ascii="Roboto;sans-serif" w:hAnsi="Roboto;sans-serif"/>
          <w:b w:val="false"/>
          <w:i/>
          <w:color w:val="000000"/>
          <w:sz w:val="20"/>
        </w:rPr>
      </w:pPr>
      <w:r>
        <w:rPr>
          <w:rFonts w:ascii="Roboto;sans-serif" w:hAnsi="Roboto;sans-serif"/>
          <w:b w:val="false"/>
          <w:i/>
          <w:color w:val="000000"/>
          <w:sz w:val="20"/>
        </w:rPr>
        <w:t>Financing Activities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financing activities during the six months ended June 30, 2024 resulted primarily from $6.9 million of proceeds from the issuance of common stock through our equity compensation plans.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Cash provided by financing activities during the six months ended June 30, 2023 primarily resulted from $189.2 million in net proceeds related to the issuance of common stock from the underwritten public equity offering and $9.8 million from the issuance of common stock through our equity compensation plans offset by $6.8 million from the payment of debt issuance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Contractual Obligations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presented our contractual obligations at December 31, 2023 in our Annual Report on Form 10-K for the year then ended. There were no material changes outside the ordinary course of business to our contractual obligations during the six months ended June 30, 2024.</w:t>
      </w: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 xml:space="preserve">Critical Accounting Policies and Estimates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discussion and analysis of our financial condition and results of operations are based upon our unaudited condensed consolidated financial statements, which have been prepared in accordance with the rules and regulations of the SEC. The preparation of these financial statements requires us to make estimates and judgments that affect the reported amounts of assets, liabilities, revenues and expenses. We evaluate our critical accounting policies and estimates on an ongoing basis.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changes to our significant accounting policies as disclosed in the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Recent Accounting Pronouncements</w:t>
      </w:r>
    </w:p>
    <w:p>
      <w:pPr>
        <w:pStyle w:val="TextBody"/>
        <w:bidi w:val="0"/>
        <w:spacing w:lineRule="auto" w:line="288" w:before="120" w:after="283"/>
        <w:jc w:val="both"/>
        <w:rPr/>
      </w:pPr>
      <w:r>
        <w:rPr>
          <w:rFonts w:ascii="Roboto;sans-serif" w:hAnsi="Roboto;sans-serif"/>
          <w:b w:val="false"/>
          <w:color w:val="000000"/>
          <w:sz w:val="20"/>
        </w:rPr>
        <w:t xml:space="preserve">Please see </w:t>
      </w:r>
      <w:hyperlink w:anchor="if6b0fb93fca346b681fa51b22bb3bc4e_31">
        <w:r>
          <w:rPr>
            <w:rStyle w:val="InternetLink"/>
            <w:rFonts w:ascii="Roboto;sans-serif" w:hAnsi="Roboto;sans-serif"/>
            <w:b w:val="false"/>
            <w:i/>
            <w:color w:val="0000FF"/>
            <w:sz w:val="20"/>
            <w:u w:val="single"/>
          </w:rPr>
          <w:t>Note 1. Organization and Significant Accounting Policies</w:t>
        </w:r>
      </w:hyperlink>
      <w:r>
        <w:rPr>
          <w:rFonts w:ascii="Roboto;sans-serif" w:hAnsi="Roboto;sans-serif"/>
          <w:b w:val="false"/>
          <w:color w:val="000000"/>
          <w:sz w:val="20"/>
        </w:rPr>
        <w:t xml:space="preserve">, subsection titled “Recent Accounting Pronouncements”, in Part I, Item 1 of this Quarterly Report on Form 10-Q for information regarding applicable recent accounting pronouncements. </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Off-Balance Sheet Arrangements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June 30, 2024, we did not have any off-balance sheet arrangements.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pStyle w:val="TextBody"/>
        <w:bidi w:val="0"/>
        <w:spacing w:lineRule="auto" w:line="288" w:before="120" w:after="283"/>
        <w:jc w:val="both"/>
        <w:rPr/>
      </w:pPr>
      <w:r>
        <w:rPr>
          <w:rFonts w:ascii="Roboto;sans-serif" w:hAnsi="Roboto;sans-serif"/>
          <w:b w:val="false"/>
          <w:color w:val="000000"/>
          <w:sz w:val="20"/>
        </w:rPr>
        <w:t xml:space="preserve">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w:t>
      </w:r>
      <w:hyperlink w:anchor="if6b0fb93fca346b681fa51b22bb3bc4e_52">
        <w:r>
          <w:rPr>
            <w:rStyle w:val="InternetLink"/>
            <w:rFonts w:ascii="Roboto;sans-serif" w:hAnsi="Roboto;sans-serif"/>
            <w:b w:val="false"/>
            <w:i/>
            <w:color w:val="0000FF"/>
            <w:sz w:val="20"/>
            <w:u w:val="single"/>
          </w:rPr>
          <w:t>Note 7. Commitments and Contingencies</w:t>
        </w:r>
      </w:hyperlink>
      <w:r>
        <w:rPr>
          <w:color w:val="000000"/>
        </w:rPr>
        <w:t xml:space="preserve"> </w:t>
      </w:r>
      <w:r>
        <w:rPr>
          <w:rFonts w:ascii="Roboto;sans-serif" w:hAnsi="Roboto;sans-serif"/>
          <w:b w:val="false"/>
          <w:color w:val="000000"/>
          <w:sz w:val="20"/>
        </w:rPr>
        <w:t>in Part I, Item 1 of this Quarterly Report on Form 10-Q, any associated expenses incurred are included within the related accrued litigation expense amounts. No additional liability associated with such indemnification agreements has been recorded as of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Item 3.    Quantitative and Qualitative Disclosures About Market Risk</w:t>
      </w:r>
    </w:p>
    <w:p>
      <w:pPr>
        <w:pStyle w:val="TextBody"/>
        <w:bidi w:val="0"/>
        <w:spacing w:lineRule="auto" w:line="288" w:before="180" w:after="283"/>
        <w:jc w:val="both"/>
        <w:rPr>
          <w:rFonts w:ascii="Roboto;sans-serif" w:hAnsi="Roboto;sans-serif"/>
          <w:b/>
          <w:color w:val="000000"/>
          <w:sz w:val="20"/>
        </w:rPr>
      </w:pPr>
      <w:r>
        <w:rPr>
          <w:rFonts w:ascii="Roboto;sans-serif" w:hAnsi="Roboto;sans-serif"/>
          <w:b/>
          <w:color w:val="000000"/>
          <w:sz w:val="20"/>
        </w:rPr>
        <w:t>Interest Rate and Market Risk</w:t>
      </w:r>
    </w:p>
    <w:p>
      <w:pPr>
        <w:pStyle w:val="TextBody"/>
        <w:bidi w:val="0"/>
        <w:spacing w:lineRule="auto" w:line="288" w:before="120" w:after="283"/>
        <w:jc w:val="both"/>
        <w:rPr/>
      </w:pPr>
      <w:r>
        <w:rPr>
          <w:rFonts w:ascii="Roboto;sans-serif" w:hAnsi="Roboto;sans-serif"/>
          <w:b w:val="false"/>
          <w:color w:val="000000"/>
          <w:sz w:val="20"/>
        </w:rPr>
        <w:t xml:space="preserve">The 2030 Notes and 2028 Notes have fixed annual interest rates of 1.375% and 1.50%, respectively, and accordingly we do not have any economic interest rate exposure or financial statement risk associated with changes in interest rates. The fair value of the notes, however, may fluctuate when interest rates and the market price of our stock changes. See </w:t>
      </w:r>
      <w:hyperlink w:anchor="if6b0fb93fca346b681fa51b22bb3bc4e_46">
        <w:r>
          <w:rPr>
            <w:rStyle w:val="InternetLink"/>
            <w:rFonts w:ascii="Roboto;sans-serif" w:hAnsi="Roboto;sans-serif"/>
            <w:b w:val="false"/>
            <w:i/>
            <w:color w:val="0000FF"/>
            <w:sz w:val="20"/>
            <w:u w:val="single"/>
          </w:rPr>
          <w:t>Note 5. Convertible Senior Notes</w:t>
        </w:r>
      </w:hyperlink>
      <w:r>
        <w:rPr>
          <w:color w:val="000000"/>
        </w:rPr>
        <w:t xml:space="preserve"> </w:t>
      </w:r>
      <w:r>
        <w:rPr>
          <w:rFonts w:ascii="Roboto;sans-serif" w:hAnsi="Roboto;sans-serif"/>
          <w:b w:val="false"/>
          <w:color w:val="000000"/>
          <w:sz w:val="20"/>
        </w:rPr>
        <w:t>in Part I, Item 1 of this Quarterly Report on Form 10-Q for additional information.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six months ended June 30, 2024, we invested in cash equivalents, U.S. government and agency securities, U.S. Treasury securities, and corporate debt securities which were designated as cash equivalents and available-for-sale investments. Our cash equivalents and available-for-sale securities as of June 30, 2024 was $509.8 million.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exposure to market risk for changes in interest rates relates primarily to our investment portfolio comprised of marketable securities. We invest in a number of securities including U.S. government and agency securities, U.S. Treasury securities, and corporate debt securities and money market funds. We attempt to ensure the safety and preservation of our invested principal funds by limiting default risk, market risk and reinvestment risk. We mitigate default risk by investing in high grade investment securities. The fair market value of our fixed rate securities may be adversely impacted by increases in interest rates while income earned may decline as a result of decreases in interest rates. A hypothetical 100 basis-point (one percentage point) increase or decrease in interest rates compared to rates at June 30, 2024 would have affected the fair value of our investment portfolio by approximately $2.6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have been no other material changes in market risk from the information provided in our Annual Report on Form 10-K for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Item 4.    Controls and Procedures</w:t>
      </w:r>
    </w:p>
    <w:p>
      <w:pPr>
        <w:pStyle w:val="TextBody"/>
        <w:bidi w:val="0"/>
        <w:spacing w:lineRule="auto" w:line="288" w:before="180" w:after="283"/>
        <w:jc w:val="both"/>
        <w:rPr>
          <w:rFonts w:ascii="Roboto;sans-serif" w:hAnsi="Roboto;sans-serif"/>
          <w:b/>
          <w:color w:val="000000"/>
          <w:sz w:val="20"/>
        </w:rPr>
      </w:pPr>
      <w:r>
        <w:rPr>
          <w:rFonts w:ascii="Roboto;sans-serif" w:hAnsi="Roboto;sans-serif"/>
          <w:b/>
          <w:color w:val="000000"/>
          <w:sz w:val="20"/>
        </w:rPr>
        <w:t>Disclosure Controls and Procedures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management, with the participation of our Chief Executive Officer, our Chief Financial Officer and our Chief Accounting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designing and evaluating the disclosure controls and procedures, management recognizes that any controls and procedures, no matter how well designed and operated, can provide only reasonable assurance of achieving the desired control objectives.</w:t>
      </w: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Changes in Internal Control Over Financial Reporting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An evaluation was performed under the supervision and with the participation of our management, including our Chief Executive Officer, Chief Financial Officer and Chief Accounting Officer to determine whether any change in our internal control over financial reporting occurred during the fiscal quarter ended June 30, 2024 that materially affected, or is reasonably likely to materially affect, our internal control over financial reporting. There were no material changes in our internal control over financial reporting during the fiscal quarter ended June 30, 2024, that have materially affected, or were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Item 1.    Legal Proceedings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U.S. District Court Proceedings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September 26, 2019, Personal Genomics of Taiwan, Inc. (“PGI”) filed a complaint in the U.S. District Court for the District of Delaware against us for patent infringement (C.A. No. 19-cv-1810) (the “PGI District Court matter”). The matter from this complaint is based on PGI’s U.S. Patent No. 7,767,441 (the “‘441 Patent”). The complaint alleges that our Sequel™ Systems and Sequel II Systems infringe the ‘441 Patent. The complaint seeks unspecified monetary damages and an order enjoining us from infringing the ’441 Patent. On November 20, 2019, we filed our answer to the complaint, denying infringement and seeking declaratory judgments of non-infringement and invalidity of the ‘441 Patent.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June 22, 2020, we filed a petition requesting institution of an inter-partes review ("IPR") to the Patent Trial and Appeals Board (the “Board”) at the United States Patent Office (IPR2020-01163) requesting the Board to find a set of claims in the ‘441 Patent invalid. On June 27, 2020, we filed a second petition (IPR2020-01200) requesting institution of an IPR requesting the Board to find another set of claims in the ‘441 Patent invalid. The two petitions (the “PacBio IPR Petitions”) together asserted that all of the claims relevant to the PGI complaint are invalid. On January 19, 2021, the Board ordered that both PacBio IPR Petitions be instituted on all grounds presented. On January 18, 2022, the Board issued decisions on the two IPRs. In one IPR, all challenged claims were found unpatentable, including PGI’s core device claims. In the second IPR, the Board did not find the disputed claims unpatentable. PGI and PacBio each appealed to the U.S. Court of Appeals for the Federal Circuit, which affirmed both IPR decisions on January 9, 2024.</w:t>
      </w:r>
    </w:p>
    <w:p>
      <w:pPr>
        <w:pStyle w:val="TextBody"/>
        <w:bidi w:val="0"/>
        <w:spacing w:lineRule="auto" w:line="288" w:before="120" w:after="283"/>
        <w:jc w:val="left"/>
        <w:rPr>
          <w:rFonts w:ascii="Roboto;sans-serif" w:hAnsi="Roboto;sans-serif"/>
          <w:b w:val="false"/>
          <w:color w:val="000000"/>
          <w:sz w:val="20"/>
        </w:rPr>
      </w:pPr>
      <w:r>
        <w:rPr>
          <w:rFonts w:ascii="Roboto;sans-serif" w:hAnsi="Roboto;sans-serif"/>
          <w:b w:val="false"/>
          <w:color w:val="000000"/>
          <w:sz w:val="20"/>
        </w:rPr>
        <w:t>On August 25, 2020, the court ordered a stay of the PGI District Court matter based on a joint stipulation by the parties pending a final written decision on the IPRs. Following the final written decisions on the IPRs described above, on February 2, 2022, the judge ordered that the PGI District Court matter be reopened. However, in a subsequent order dated September 15, 2022, the judge stayed the PGI District Court matter pending a final decision by the U.S. Court of Appeals for the Federal Circuit regarding the appeal described above. On February 26, 2024, we moved to transfer the case from the District of Delaware to the Northern District of California and that motion was granted on June 18, 2024. On March 18, 2024, the parties filed a joint status report in which PGI requested the Court set a revised scheduling order and we requested grant of our motion to transfer and proposed an alternate scheduling order. We plan to vigorously defend against the remaining claims.</w:t>
      </w:r>
    </w:p>
    <w:p>
      <w:pPr>
        <w:pStyle w:val="TextBody"/>
        <w:bidi w:val="0"/>
        <w:spacing w:lineRule="auto" w:line="288" w:before="120" w:after="283"/>
        <w:jc w:val="left"/>
        <w:rPr>
          <w:rFonts w:ascii="Roboto;sans-serif" w:hAnsi="Roboto;sans-serif"/>
          <w:b w:val="false"/>
          <w:color w:val="000000"/>
          <w:sz w:val="20"/>
        </w:rPr>
      </w:pPr>
      <w:r>
        <w:rPr>
          <w:rFonts w:ascii="Roboto;sans-serif" w:hAnsi="Roboto;sans-serif"/>
          <w:b w:val="false"/>
          <w:color w:val="000000"/>
          <w:sz w:val="20"/>
        </w:rPr>
        <w:t>On December 14, 2022, Take2 Technologies, Ltd. ("Take2") and the Chinese University of Hong Kong filed a complaint in the U.S. District Court for Delaware against us alleging infringement of U.S. Patent No. 11,091,794 (the “’794 Patent”) (C.A. No. 22- cv-01595) (the "Take2 District Court matter"). The complaint alleges that our Sequel™ II systems, Sequel IIe Systems, and Revio™ Systems that operate version 11.0 or later of the SMRT™ Link software, infringe the ‘794 Patent. The complaint seeks unspecified monetary damages and an order enjoining us from infringing the ’794 Patent. We filed a motion to dismiss on February 14, 2023, which was denied on March 25, 2024. We also filed a motion to transfer the case from the District of Delaware to the Northern District of California which was granted on August 2, 2023. The case was transferred on August 16, 2023 (C.A. No. 5:23-cv-04166). Take2 filed a motion to disqualify our in-house legal department from representing PacBio in the district court action on September 20, 2023. We opposed Take2’s disqualification motion on October 4, 2023. An oral hearing on the disqualification motion was held on October 26, 2023 and the court issued orders on November 6 and December 4 of 2023 partially granting the motion. While some members of the in-house legal department were disqualified, General Counsel for PacBio was not disqualified and continues to represent PacBio in the Take2 District Court matter. We filed a petition for inter partes review at the Board (IPR2024-00028) challenging the validity of all claims of the ’794 patent on October 17, 2023. The Chinese University of Hong Kong filed a preliminary response to the petition on January 26, 2024. On April 22, 2024, we filed our answer to the complaint, denying infringement and seeking declaratory judgments of non-infringement and invalidity of the ‘794 Patent. On April 24, 2024, the Board granted institution of IPR2024-00028 on the validity of all claims of the ’794 patent. On May 2, 2024, the parties filed a joint stipulation and proposed order to stay the Take2 District Court matter pending inter partes review. On May 3, 2024, the Court granted the motion to stay, and the case currently remains stayed. We intend to vigorously defend in this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Proceedings in China</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On May 12, 2020, PGI filed a complaint in the Wuhan Intermediate People’s Court in China alleging infringement of one or more claims of China patent No. CN101743321B (the “CN321 Patent”), which is related to the ‘441 Patent.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 A hearing in the invalidation proceeding at the CNIPA was held on April 29, 2021. On September 2, 2021, the CNIPA issued its decision on the Invalidation Petition and determined that all claims (1-61) of the CN321 patent were invalid. On December 1, 2021, PGI filed an appeal with the Beijing IP Court, contesting the CNIPA decision, and the hearing was held on August 9, 2023. The Beijing IP Court issued a ruling maintaining the CNIPA’s invalidation decision on November 19, 2023. PGI appealed to the Supreme People’s Court on December 25, 2023. We filed a petition with the Wuhan Intermediate People’s court requesting dismissal of the infringement action based on the CNIPA invalidation decision, and PGI filed a petition to withdraw its complaint. The Wuhan Intermediate People’s court granted PGI’s petition and dismissed the infringement action in May 2022.</w:t>
      </w:r>
    </w:p>
    <w:p>
      <w:pPr>
        <w:pStyle w:val="TextBody"/>
        <w:bidi w:val="0"/>
        <w:spacing w:lineRule="auto" w:line="288" w:before="300" w:after="283"/>
        <w:jc w:val="both"/>
        <w:rPr>
          <w:rFonts w:ascii="Roboto;sans-serif" w:hAnsi="Roboto;sans-serif"/>
          <w:b/>
          <w:i/>
          <w:color w:val="000000"/>
          <w:sz w:val="20"/>
        </w:rPr>
      </w:pPr>
      <w:r>
        <w:rPr>
          <w:rFonts w:ascii="Roboto;sans-serif" w:hAnsi="Roboto;sans-serif"/>
          <w:b/>
          <w:i/>
          <w:color w:val="000000"/>
          <w:sz w:val="20"/>
        </w:rPr>
        <w:t>Other Proceedings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Item 1A.    Risk Factors</w:t>
      </w:r>
    </w:p>
    <w:p>
      <w:pPr>
        <w:pStyle w:val="TextBody"/>
        <w:bidi w:val="0"/>
        <w:spacing w:lineRule="auto" w:line="288" w:before="120" w:after="283"/>
        <w:jc w:val="both"/>
        <w:rPr>
          <w:rFonts w:ascii="Roboto;sans-serif" w:hAnsi="Roboto;sans-serif"/>
          <w:b w:val="false"/>
          <w:i/>
          <w:color w:val="000000"/>
          <w:sz w:val="20"/>
        </w:rPr>
      </w:pPr>
      <w:r>
        <w:rPr>
          <w:rFonts w:ascii="Roboto;sans-serif" w:hAnsi="Roboto;sans-serif"/>
          <w:b w:val="false"/>
          <w:i/>
          <w:color w:val="000000"/>
          <w:sz w:val="20"/>
        </w:rPr>
        <w:t>You should carefully consider the risks and uncertainties described below, together with all of the other information in our public filings with the SEC,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 This situation is changing rapidly, and additional impacts may arise that we are not aware of currently.</w:t>
      </w: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Summary Risk Factors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following is a summary of the principal risks that could adversely affect our business, operations, and financial results. Such risks are discussed more fully below and include, but are not limited to, risks related to:</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ability to successfully market, commercialize, and sell current and future products and related maintenance services;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ability to achieve profitability for our business;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ability to implement our expense reduction initiatives;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ability to repay our debt and fund our long-term operations;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ability to successfully leverage and integrate our acquisitions and future acquisitions;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ability to successfully research, develop and timely manufacture our current and future products;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management of new product introductions and transitions, resultant costs, and ability of new products to generate promised performance;</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recent significant changes to our leadership team and resultant disruptions to our business;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retention, recruitment, and training of senior management, key personnel, scientists and engineers;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ability to further penetrate nucleic acid sequencing applications, as well as grow product demand;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reliance on outsourcing to other companies for manufacturing certain components and sub-assemblies, some of which are sole-sourced;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ability to consistently manufacture our instruments and consumables to meet customers’ specifications, quantity, cost, or performance requirements;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the high amount of competition we face in our industry;</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ability to attract customers and increase sales of current and future products;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reliance on a limited number of customers for a significant portion of our revenues, including academic, research and government institutions;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the complexity of our products giving rise to defects or errors;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unpredictable and lengthy sales cycles;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the possibility that our goodwill or intangible assets could become impaired;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adverse effects resulting from political and economic tensions between the United States and other countries, including China and Russia, and other geopolitical uncertainties;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securing and maintaining patent or other intellectual property protection for our products and related improvements;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current and future legal proceedings filed against us claiming intellectual property infringement;</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the potential adverse impact of health epidemics, including any resurgence of COVID-19 cases or other similar outbreaks;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governmental regulations that burden operations or narrow the market for our products;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evolving ethical, legal, privacy, social, and regulatory concerns regarding genetic testing;</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volatility of the price of our common stock; and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stock price falling as a result of future offerings or sales of securities.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risk factors are not guarantees that no such conditions exist as of the date hereof and should not be interpreted as an affirmative statement that such risks or conditions have not materialized, in whole or in part.</w:t>
      </w: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Risks Related to Our Business</w:t>
      </w:r>
    </w:p>
    <w:p>
      <w:pPr>
        <w:pStyle w:val="TextBody"/>
        <w:bidi w:val="0"/>
        <w:spacing w:lineRule="auto" w:line="288" w:before="120" w:after="283"/>
        <w:jc w:val="both"/>
        <w:rPr>
          <w:rFonts w:ascii="Roboto;sans-serif" w:hAnsi="Roboto;sans-serif"/>
          <w:b/>
          <w:i/>
          <w:color w:val="000000"/>
          <w:sz w:val="20"/>
        </w:rPr>
      </w:pPr>
      <w:r>
        <w:rPr>
          <w:rFonts w:ascii="Roboto;sans-serif" w:hAnsi="Roboto;sans-serif"/>
          <w:b/>
          <w:i/>
          <w:color w:val="000000"/>
          <w:sz w:val="20"/>
        </w:rPr>
        <w:t>The commercialization and sales of our current or future products may be unsuccessful or less successful than anticipated. While we plan to continue pursuing new products and expand into adjacent markets, we have limited experience in managing and selling multiple products and, as a result, may face challenges selling in new markets and fail to successfully carry out these initiatives, which may adversely impact our business, financial condition or results of operation.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made and expect to continue making substantial investments to develop new products and enhance our existing products through our acquisitions and research and development efforts. For example, we commenced commercial shipments of Revio, our new long-read sequencing system in the first quarter of 2023, and commenced commercial shipments of Onso, our new SBB short-read platform, in the third quarter of 2023. Our future success is substantially dependent on our ability to successfully develop and commercialize our products, including Revio and Onso, as well as acquired technologies, which are anticipated to be used in demanding scientific research that requires substantial levels of accuracy and precision. In addition, we may not be successful in transitioning our prior generation products to our Revio product, or transitioning users of other third party sequencing platforms to our portfolio of products, and could incur related obsolete inventory charges and losses on firm purchase commitments. Customers may also be slower than we anticipate in making new capital equipment acquisitions, especially in the current economic environment. Due to challenges we may experience in developing and marketing our existing products and launching new products, we may not be able to effectively:</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manage the timeliness of our new product introductions and the rate at which sales of our new products may cannibalize sales of our older products or manage sales and marketing of multiple sequencing platforms;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drive adoption of our current and future products, including the Sequel II/IIe, Revio and Onso systems, and products under development;</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maintain our competitive position by continuing to attract and retain customers for our products;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provide appropriate levels of customer training and support for our products;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implement an effective marketing strategy to promote awareness of our products;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develop and implement an effective sales and distribution strategy for our current and future products;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develop, manufacture and commercialize new products or achieve an acceptable return on our manufacturing or research and development efforts and expenses;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comply with regulatory requirements applicable to our products;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anticipate and adapt to changes in our market;</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accommodate customer expectations and demands with respect to our products, increase product adoption by our existing customers or develop new customer relationships;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deliver our beta systems to our external beta testing sites or complete our external beta testing program on our currently expected timelines;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overcome unexpected challenges discovered during beta testing;</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complete the scientific and technical validation of new products on our currently expected timeline or at all;</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deliver our future products in a timely manner to our customers;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grow our market share by marketing and selling our products for new and additional applications;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manage the significant burdens that expanding our existing or future products into current and new markets may impose on marketing, compliance, and other administrative and managerial resources;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maintain and develop strategic relationships with vendors, manufacturers, and other industry partners to acquire necessary materials for the production of, and to develop, manufacture and commercialize, our existing or future products;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adapt or scale our manufacturing activities to meet performance specifications and potential demand at a reasonable cost;</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avoid infringement and misappropriation of third-party intellectual property;</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obtain and maintain any necessary licenses to third-party intellectual property on commercially reasonable terms;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obtain valid and enforceable patents that give us a competitive advantage or enforce existing patents;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protect our proprietary technology; and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attract, retain, and motivate qualified personnel.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risks noted above, especially with respect to the marketing, sales, and commercialization of our products, may be heightened by the impact of current uncertain market and other conditions. In addition, a high percentage of our expenses is and will continue to be fixed. Accordingly, if we do not generate revenue as and when anticipated, we could suffer a material adverse effect on our business, financial conditions, results of operations and prospects.</w:t>
      </w:r>
    </w:p>
    <w:p>
      <w:pPr>
        <w:pStyle w:val="TextBody"/>
        <w:bidi w:val="0"/>
        <w:spacing w:lineRule="auto" w:line="288" w:before="120" w:after="283"/>
        <w:jc w:val="both"/>
        <w:rPr/>
      </w:pPr>
      <w:r>
        <w:rPr>
          <w:rFonts w:ascii="Roboto;sans-serif" w:hAnsi="Roboto;sans-serif"/>
          <w:b w:val="false"/>
          <w:color w:val="000000"/>
          <w:sz w:val="20"/>
        </w:rPr>
        <w:t xml:space="preserve">We evaluate goodwill for impairment annually during the second quarter, and whenever events or changes in circumstances indicate that it is more likely than not that the fair value is less than the carrying value. Events that would indicate impairment and trigger an interim impairment test include, but are not limited to, unexpected adverse business conditions, economic factors, unanticipated technological changes or competitive activities, loss of key personnel and acts by governments or courts. The occurrence of any of these events, may require us to record future goodwill impairment charges. For example, we recorded a $93.2 million goodwill impairment charge for the three months ended June 30, 2024 as described in additional detail in </w:t>
      </w:r>
      <w:hyperlink w:anchor="if6b0fb93fca346b681fa51b22bb3bc4e_40">
        <w:r>
          <w:rPr>
            <w:rStyle w:val="InternetLink"/>
          </w:rPr>
          <w:t xml:space="preserve">Note 4. </w:t>
        </w:r>
      </w:hyperlink>
      <w:hyperlink w:anchor="if6b0fb93fca346b681fa51b22bb3bc4e_40">
        <w:r>
          <w:rPr>
            <w:rStyle w:val="InternetLink"/>
          </w:rPr>
          <w:t>Balance Sheet Components</w:t>
        </w:r>
      </w:hyperlink>
      <w:r>
        <w:rPr>
          <w:color w:val="000000"/>
        </w:rPr>
        <w:t xml:space="preserve"> </w:t>
      </w:r>
      <w:r>
        <w:rPr>
          <w:rFonts w:ascii="Roboto;sans-serif" w:hAnsi="Roboto;sans-serif"/>
          <w:b w:val="false"/>
          <w:color w:val="000000"/>
          <w:sz w:val="20"/>
        </w:rPr>
        <w:t>in Part I, Item 1 of this Quarterly Report on Form 10-Q. Any such charges may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We have incurred losses to date, and we expect to continue to incur significant losses as we develop our business and may never achieve profitability.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generally incurred net losses each quarter since inception, and we cannot be certain if or when we will produce sufficient revenue from our operations to support our costs. Even if profitability is achieved in the future, we may not be able to sustain profitability on a consistent basis. We expect to continue to incur substantial losses and negative cash flow from operations for the foreseeable future. Although we announced and initiated expense reduction plans during the second quarter of 2024, we do not expect to be profitable in 2024, and there can be no assurance that these expense reduction initiatives will be successful in helping us achieve profitability.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net losses since inception and our expectation of incurring substantial losses and negative cash flow for the foreseeable future could: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make it more difficult for us to satisfy our obligations;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increase our vulnerability to general adverse economic and industry conditions;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limit our ability to fund future working capital, capital expenditures, research and development and other business opportunities;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increase the volatility of the price of our common stock;</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limit our flexibility to react to changes in our business and the industry in which we operate;</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place us at a disadvantage to other companies that offer nucleic acid sequencing equipment or consumables; and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limit our ability to borrow additional funds.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inflationary pressure, including as a result of supply shortages, has adversely impacted and could continue to adversely impact our financial results, and our operating costs may increase. We may not fully offset these cost increases by raising prices for our products and services, which could result in downward pressure on our margins. Further, our customers may choose to reduce their business with us if we increase our pricing.</w:t>
      </w:r>
    </w:p>
    <w:p>
      <w:pPr>
        <w:pStyle w:val="TextBody"/>
        <w:bidi w:val="0"/>
        <w:spacing w:lineRule="auto" w:line="288" w:before="120" w:after="283"/>
        <w:jc w:val="both"/>
        <w:rPr/>
      </w:pPr>
      <w:r>
        <w:rPr>
          <w:rFonts w:ascii="Roboto;sans-serif" w:hAnsi="Roboto;sans-serif"/>
          <w:b w:val="false"/>
          <w:color w:val="000000"/>
          <w:sz w:val="20"/>
        </w:rPr>
        <w:t xml:space="preserve">Any or all of the foregoing may have a material adverse effect on our business, operations, financial condition, and prospects. </w:t>
      </w:r>
      <w:r>
        <w:rPr>
          <w:rFonts w:ascii="Roboto;sans-serif" w:hAnsi="Roboto;sans-serif"/>
          <w:b w:val="false"/>
          <w:color w:val="000000"/>
          <w:sz w:val="20"/>
          <w:shd w:fill="FFFFFF" w:val="clear"/>
        </w:rPr>
        <w:t>An impairment in value of our tangible or intangible assets could also be recorded as a result of weaker economic conditions.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Our expense reduction initiatives could be disruptive to our operations and adversely affect our results of operations and financial condition, and we may not realize some or all of the anticipated benefits of these initiatives, whether in the time frame anticipated or at all.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the second quarter of 2024, we announced and initiated plans to reduce certain of our annualized run-rate operating expenses by the end of the year, with the intent of better aligning our organizational structure and resources with our strategic initiatives. Our expense reduction initiatives comprise, among other things, workforce reductions, facilities downsizing and a refined pipeline of development activities. The implementation of these expense reduction initiatives, including the impact of workforce reductions, could impair our ability to invest in developing, marketing and selling new and existing products, be disruptive to our operations, make it difficult to attract or retain employees, result in higher than anticipated charges, divert the attention of management, result in a loss of accumulated knowledge, impact our customer and supplier relationships, and otherwise adversely affect our results of operations and financial condition. In addition, our ability to complete our expense reduction initiatives and achieve the anticipated benefits within the expected time frame is subject to estimates and assumptions and may vary materially from our expectations, including as a result of factors that are beyond our control. Furthermore, our efforts to stabilize our business may not be successful.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We are not cash flow positive and may not have sufficient cash to make required payments under the terms of our debt or fund our long-term planned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operations have consumed substantial amounts of cash since inception, and we expect to continue to incur substantial losses and negative cash flow from operations for the foreseeable future. Additional funds may not be available on terms acceptable to us or at all. We have incurred significant debt, and we may incur additional debt, in the future. As of June 30, 2024, we had outstanding approximately $459.0 million aggregate principal amount of 1.50% convertible senior notes due 2028 (the “2028 Notes”) and $441.0 million aggregate principal amount of our 1.375% convertible senior notes due 2030 (the “2030 Notes” and, together with the 2028 Notes, the “Notes”). We may not have sufficient cash to make required payments under the terms of this debt, and should this occur, debt holders have rights senior to common stockholders to make claims on our assets. In addition, if we do not have sufficient cash to make the required payments at maturity, we may need to raise additional capital, which could result in dilution of our existing investors, or refinance or restructure our debt, which will depend on, among other things, the condition of the capital markets and our financial condition at such time, and which may be at higher interest rates.We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We may be required to seek equity financing at a time when the market price for our common stock is low, which will further contribute to dilution for existing holders.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believe that our growth will depend, in part, on our ability to fund our commercialization efforts and our efforts to develop new products, including any improvements to our existing products. To the extent our existing resources are not sufficient, it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launching of new products, or operations, or to increase or maintain the level of our research and development activities.</w:t>
      </w:r>
    </w:p>
    <w:p>
      <w:pPr>
        <w:pStyle w:val="TextBody"/>
        <w:bidi w:val="0"/>
        <w:spacing w:lineRule="auto" w:line="268" w:before="0" w:after="0"/>
        <w:jc w:val="both"/>
        <w:rPr>
          <w:rFonts w:ascii="Roboto;sans-serif" w:hAnsi="Roboto;sans-serif"/>
          <w:b w:val="false"/>
          <w:color w:val="000000"/>
          <w:sz w:val="20"/>
        </w:rPr>
      </w:pPr>
      <w:r>
        <w:rPr>
          <w:rFonts w:ascii="Roboto;sans-serif" w:hAnsi="Roboto;sans-serif"/>
          <w:b w:val="false"/>
          <w:color w:val="000000"/>
          <w:sz w:val="20"/>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and there can be no assurance that any of these actions would be successful. If our cash, cash equivalents and investments are insufficient to fund our projected operating requirements and we are unable to raise capital, it could have a material adverse effect on our business, financial condition and results of operations and prospects.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We have made acquisitions and, in the future, may continue to acquire businesses, technologies or assets, form joint ventures or make other strategic investments with companies that could adversely affect our operating results, dilute our stockholders’ ownership, or cause us to incur debt or significant expense.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part of our business strategy, we have acquired and expect to continue to pursue acquisitions of complementary businesses, technologies, or assets. We may also pursue technology license arrangements, strategic alliances or investments that complement our business as we have previously with our acquisitions of Circulomics, Omniome and Apton in July 2021, September 2021 and August 2023, respectively.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Acquisitions and strategic transactions involve numerous risks, any of which could harm our business and negatively affect our financial condition and results of operations, including:</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intense competition for suitable acquisition targets, which could increase prices and adversely affect our ability to consummate deals on favorable or acceptable terms;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failure or material delay in closing a transaction;</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transaction-related lawsuits or claims;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difficulties in integrating the technologies, operations, existing contracts, and personnel of an acquired company;</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difficulties in retaining key employees or business partners of an acquired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difficulties in retaining suppliers, partners, or customers of an acquired company;</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challenges with integrating the brand identity of an acquired company with our own;</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diversion of financial and management resources from existing operations or alternative acquisition opportunities;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failure to realize the anticipated benefits or synergies of a transaction;</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difficulties in developing technology post-acquisition;</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failure to identify the problems, liabilities, or other shortcomings or challenges of an acquired company or technology, including issues related to intellectual property, regulatory compliance practices, litigation, revenue recognition or other accounting practices, or employee or user issues;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risks that regulatory bodies may enact new laws or promulgate new regulations that are adverse to an acquired company or business;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risks that regulatory bodies do not approve our acquisitions or business combinations or delay such approvals;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theft of our trade secrets or confidential information that we share with potential acquisition candidates or other potential strategic partners;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risk that an acquired company or investment in new services cannibalizes a portion of our existing business; and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adverse market reaction to an acquisition or other strategic transaction.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To finance any acquisitions or other strategic investments, we may raise additional funds, which could adversely affect our existing stockholders and our business. If the price of our common stock is low or volatile, we may not be able to acquire other companies for stock. In addition, our stockholders may experience substantial dilution as a result of additional securities we may issue for acquisitions. Open market sales of substantial amounts of our common stock issued to stockholders of companies we acquire could also depress our stock price. Additional funds may not be available on terms that are favorable to us, or at all.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fail to address the foregoing risks or other problems encountered in connection with past or future acquisitions of businesses, new technologies, services, and other assets and strategic investments, or if we fail to successfully integrate such acquisitions or investments, our business, financial condition, and results of operations could be adversely affected, including potential impairments of goodwill and intangible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If we are unable to successfully develop and timely manufacture our current and future products, including with respect to SMRT Cells, Sequel II/IIe Systems, Revio, Onso, and other SMRT Cell, HiFi, and SBB products under development, and related products, our business may be adversely affected.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Considering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Sequel II/IIe, Revio and Onso Systems, and the products under development, including acquired technologies, depends on a number of factors, including performance and reliability of the systems,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SMRT Cells, reagents, Sequel II/IIe Systems, Revio, Onso, and other SMRT Cell, HiFi, and SBB products under development, including acquired technologies, 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We have designed SMRT Cells and other consumables specifically for the Sequel, Sequel II/IIe, and Revio Systems, and may need to develop in the future, other customized SMRT Cells and consumables for our future products. Our production of the SMRT Cells for the Sequel and Sequel II/IIe Systems has been and may in the future, including with respect to the Revio system, be below desired levels and yields, and we have experienced and may experience in the future manufacturing delays, product or quality defects, SMRT Cell variability, and other issues. The performance of our consumables is critical to our customers’ successful utilization of our products, and any defects or performance issues with our consumables would adversely affect our business. All of the foregoing could have a material adverse effect on our ability to sell our products or result in other material adverse effects on our business, operations, financial condition, operations and prospects.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including during external beta testing, we may be forced to undertake design and/or production changes, delay product shipments or the scaling of manufacturing or supply. The completion of the production and external testing of our beta systems may also take longer than currently planned, cost more than currently expected and the scientific and technical validation may not be completed on our currently expected timelines or at all. Such testing may also expose fundamental flaws in our products that may cause us to abandon the further development of such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the continued rollout of our current and future products, including with respect to the SMRT Cell, the Sequel II/IIe, Revio, and Onso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Sequel II/IIe Systems, Revio, and Onso, could materially and adversely affect our business,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dedicated significant resources to developing our current products, including sequencing systems and consumables based on our proprietary SMRT sequencing technology and our Sequel and Sequel II/IIe Systems. We are also engaged in substantial and complex research and development efforts, which, if successful, may result in the introduction of new products in the future, including in connection with the SMRT Cell, the Sequel II/IIe Systems, Revio and Onso, in addition to other products currently under development, including acquired technologies. Our research and development efforts are complex and require us to incur substantial expenses and we may not be able to develop, manufacture and commercialize new products or obtain regulatory approval if necessary. We may divert significant resources to research and development initiatives that do not result in commercialized products, and even if these efforts do result in commercialized products, there can be no assurance that such products will compete successfully in the market or achieve an acceptable return, if any, on our research and development efforts and expenses. Moreover, our joint research and development efforts with partners require significant management attention and operational resources. If we are unable to successfully manage such joint research and development efforts, our future results may be adversely impacted. Furthermore, we will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We must successfully manage new product introductions and transitions, including with respect to the Revio and Onso Systems and each of their related consumables, and the development of acquired technologies, and we may incur significant costs during these transitions and development, and these efforts may not result in the benefits we anticipate.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successfully execute on the commercialization of the Revio HiFi long-read sequencing system, and the Onso SBB short-read sequencing system, and each of their related consumables, and any future products that may be developed for research, medical and clinical uses, including acquired technologies, it could have a material adverse effect on our business, financial condition and results of operations. In addition, the introduction of future products, including with respect to future long-read and short-read products, and related consumables,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including the recent commercialization of our Revio and Onso systems,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Our experience in managing product transitions is limited, and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Revio and Onso Systems and each of their related consumables, and any future long-read and short-read products, our business, operations, financial condition, and prospects may be materially and adversely affected.</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Our business may be adversely affected by epidemics or other public health emergencies.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business could be adversely impacted by the effects of epidemics or other public health emergencies. These impacts could include, but are not necessarily limited to:</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shutdowns or business disruptions experienced by manufacturers, suppliers and other third parties with whom we conduct business;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disruptions or interruptions to our supply chains;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changes in applicable public health regulations that require us to modify our business practices and operations; and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disruption to customer demand for our products.</w:t>
      </w:r>
    </w:p>
    <w:p>
      <w:pPr>
        <w:pStyle w:val="TextBody"/>
        <w:bidi w:val="0"/>
        <w:spacing w:lineRule="auto" w:line="288" w:before="120" w:after="283"/>
        <w:jc w:val="both"/>
        <w:rPr/>
      </w:pPr>
      <w:r>
        <w:rPr>
          <w:rFonts w:ascii="Roboto;sans-serif" w:hAnsi="Roboto;sans-serif"/>
          <w:b w:val="false"/>
          <w:color w:val="000000"/>
          <w:sz w:val="20"/>
          <w:shd w:fill="FFFFFF" w:val="clear"/>
        </w:rPr>
        <w:t xml:space="preserve">The extent to which any epidemic or other public health emergency impacts our business and financial results inherently depends on future developments, which are highly uncertain and cannot be predicted, including new information which may emerge concerning the severity of a particular public health matter and the actions to contain it or treat its impact, among others. Even after an epidemic or public health emergency has subsided, </w:t>
      </w:r>
      <w:r>
        <w:rPr>
          <w:rFonts w:ascii="Roboto;sans-serif" w:hAnsi="Roboto;sans-serif"/>
          <w:b w:val="false"/>
          <w:color w:val="000000"/>
          <w:sz w:val="20"/>
        </w:rPr>
        <w:t>we may continue to experience an adverse impact to our business as a result of economic aftershocks, including recessionary effects and inflationary pressures.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Significant changes to our leadership team and the resulting management transitions might harm our future operating results.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experienced significant changes to our leadership team since 2020, including the appointment of our current President and Chief Executive Officer, Chief Financial Officer, Chief Operating Officer, Chief Commercial Officer, Vice President and Chief Accounting Officer, and Chair of the Board.</w:t>
      </w:r>
    </w:p>
    <w:p>
      <w:pPr>
        <w:pStyle w:val="TextBody"/>
        <w:bidi w:val="0"/>
        <w:spacing w:lineRule="auto" w:line="288" w:before="120" w:after="283"/>
        <w:jc w:val="both"/>
        <w:rPr/>
      </w:pPr>
      <w:r>
        <w:rPr>
          <w:rFonts w:ascii="Roboto;sans-serif" w:hAnsi="Roboto;sans-serif"/>
          <w:b w:val="false"/>
          <w:color w:val="000000"/>
          <w:sz w:val="20"/>
        </w:rPr>
        <w:t xml:space="preserve">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w:t>
      </w:r>
      <w:r>
        <w:rPr>
          <w:rFonts w:ascii="Roboto;sans-serif" w:hAnsi="Roboto;sans-serif"/>
          <w:b w:val="false"/>
          <w:color w:val="000000"/>
          <w:sz w:val="20"/>
          <w:shd w:fill="FFFFFF" w:val="clear"/>
        </w:rPr>
        <w:t>transition</w:t>
      </w:r>
      <w:r>
        <w:rPr>
          <w:color w:val="000000"/>
        </w:rPr>
        <w:t xml:space="preserve"> </w:t>
      </w:r>
      <w:r>
        <w:rPr>
          <w:rFonts w:ascii="Roboto;sans-serif" w:hAnsi="Roboto;sans-serif"/>
          <w:b w:val="false"/>
          <w:color w:val="000000"/>
          <w:sz w:val="20"/>
        </w:rPr>
        <w:t>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may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is characterized by high demand and intense competition for talent, and the turnover rate has been and may continue to be high. Our employees can leave our company with little to no prior notice and would be free to work for a competitor. We compete for qualified management and scientific personnel with other life science companies, academic institutions and research institutions, particularly those focusing on genomics. We also compete for qualified sales personnel to support the commercialization of our existing and new products. Workforce reductions, such as the workforce reduction we began implementing during the second quarter of 2024, and other expense reduction efforts may be negatively received by potential or current employees, and accordingly result in attrition or difficulty in recruiting desirable candidates. Additionally, we may face challenges in retaining and recruiting key personnel due to sustained declines in our stock price that could reduce the retentive value of stock options, restricted stock units and other equity awards we issue as compensation. We may not be able to provide adequate cash or other incentives to adequately counterbalance any negative perceptions about the value of our equity awards. Moreover, the value of any equity awards that we do grant to our personnel may be significantly affected by movements in our stock price that are beyond our control. The loss of qualified employees, or an inability to attract, retain, and motivate employees, could prevent us from pursuing collaborations and materially and adversely affect our support of existing products, product development and launches, business growth prospects,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Further,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we do not have “key person” life insurance policies covering any member of our management team or other key personnel.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research applications, including uses by academic, government and clinical laboratories, as well as pharmaceutical, diagnostic, biotechnology, and agriculture companies, among others. However, we may be unsuccessful in these efforts and the sale and commercialization of the SMRT Cell, Sequel II/IIe, Revio and Onso Systems, and related products may not grow sufficiently to cover our costs.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can be no assurance that we will be successful in adding new products or securing additional customers for our current and future products, including with respect to the SMRT Cell, Sequel II/IIe Systems, Revio and Onso. If we are unable to successfully develop acquired technologies and sell acquired technology products, we may fail to achieve our strategic commercial initiatives in connection with the planned release of new products and anticipated entry into new markets.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guarantee success in acquiring additional customers. Furthermore, we cannot guarantee that our products will be satisfactory to potential customers or that our products will perform in accordance with customer expectations.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Nucleic acid sequencing applications are new and dynamic, and there can be no assurance that they will develop as quickly as we anticipate, that they will reach their full potential or that our products will be appropriate or competitive for these applications.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We also need to maintain reliable supply chains for the various components in our new products and consumables to support large-scale commercial production.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base or do not realize the growth with existing customers that we are expecting, our current and future sales and revenue may be materially and adversely harmed, or we may recognize an impairment loss, and our business may not succeed.</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are complex and involve a large number of unique components, many of which require precise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We cannot assure you that product supplies will not be limited or interrupted, especially with respect to our sole source third-party manufacturing and supply collaborators, or that product supplies will be of satisfactory quality or continue to be available at acceptable prices. In particular, any replacement of our manufacturers could require significant effort and expertise because there may be a limited number of qualified replacements. We may be unable to negotiate binding agreements with our current and future sole source third-party manufacturing and supply collaborators or, in the event that such collaborators’ services become interrupted for any reason, find replacement manufacturers to support our development and commercial activities at commercially reasonable terms. We do not always have arrangements in place for a redundant or second-source supply for our sole source vendors in the event they cease to provide their products or services to us or fail to provide sufficient quantities in a timely manner. If we are required to purchase these components from alternative sources, it could take several months or longer to qualify the alternative sources. If we are unable to source these product components from sole-source third-party manufacturing and supply collaborators for any reason, including in connection with acts of terrorism, hostilities, military conflict and acts of war, including between China and Taiwan, or secure a sufficient supply of these product components on a timely basis, or if these components do not meet our expectations or specifications for quality and functionality, our operations and manufacturing would be materially and adversely affected, we could be unable to meet customer demand and our business and results of operations may be materially and adversely affected.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 operations of our third-party manufacturing partners and suppliers have had and may in the future be disrupted by conditions unrelated to our business or operations or that are beyond our control, including but not limited to international trade restrictions, inflation, supply chain disruptions, and conditions related to COVID-19 or other epidemics or pandemics.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For example, the global shortage of semiconductors, which has been reported since early 2021, has caused challenges for us in our supply chain and resulted in some cost increases that have and may continue to adversely impact margins. During these periods of shortages or delays, the price of components may increase, or the components may not be available at all. Our suppliers have raised their prices and may continue to raise prices that we may not be able to pass on to our customers, which could adversely affect our business, including our competitive position, market share, revenues, and profit margins in material ways. We may not be able to secure enough components at reasonable prices or of acceptable quality to build new products in a timely manner in the quantities or configurations needed. For example, the Chinese government may re-impose lockdowns or similar measures to combat the spread of COVID-19 or other similar outbreaks and these measures have had, and may continue to have in the future, a negative impact on manufacturing and/or supply chains, in addition to customer demand for our products and demand through certain distributors. If as a result of global economic or political instability, such as the political uncertainty in the Middle East associated with the Israel and Hamas conflict, an escalation of the war in Ukraine, potential uncertainty related to Taiwan and its relationship with China, other disease outbreaks, or supply issues, we or our contractors could experience shortages, business disruptions or delays for materials sourced or manufactured in the affected countries, and their ability to supply us with instruments or product components may be affected. From time to time, certain components of our systems and reagents may reach the end of their life cycles or become obsoleted by our suppliers, and we would have to procure alternative sources for these end-of-life products. If we encounter delays or difficulties in securing the quality and quantity of materials we require for our products, our supply chain would be interrupted, which would adversely affect sales. If any of these events occur, our business and operating results could be harmed. Accordingly, if any of the foregoing occurs, our ability to commercialize our products, revenue and gross margins could suffer until lockdowns from COVID-19 or other epidemics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pandemics infections are reduced, supply issues or business disruptions are resolved and/or other sources can be developed.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because our semiconductor suppliers are in regions that may have communities with low vaccination rates, any variants of COVID-19 that evolve in the future or other outbreaks could lead to increased infections among workers that could further disrupt the supply chain. Our current manufacturing process is characterized by long lead times between the placement of orders for and delivery of our products. If we do not accurately anticipate our needs or if we receive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and expand our product offerings, our business, operations, financial condition, and prospects could be materially and adversely harmed.</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We may be unable to consistently manufacture our instruments and consumables, including SMRT Cells and reagents, to the necessary specifications or in quantities necessary to meet demand at an acceptable cost or at an acceptable performance level.</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flow cells and of reagents for both our-long and short-read technologies, involve a long and complex manufacturing process and has been and may in the future be below desired yields and resulting output levels. We have experienced and may experience in the future manufacturing delays, product defects, variability in the performance of SMRT Cells, flow cells and other products, inadequate reserves for inventory, or other issues.</w:t>
      </w:r>
    </w:p>
    <w:p>
      <w:pPr>
        <w:pStyle w:val="TextBody"/>
        <w:bidi w:val="0"/>
        <w:spacing w:lineRule="auto" w:line="288" w:before="120" w:after="283"/>
        <w:jc w:val="both"/>
        <w:rPr/>
      </w:pPr>
      <w:r>
        <w:rPr>
          <w:rFonts w:ascii="Roboto;sans-serif" w:hAnsi="Roboto;sans-serif"/>
          <w:b w:val="false"/>
          <w:color w:val="000000"/>
          <w:sz w:val="20"/>
        </w:rPr>
        <w:t xml:space="preserve">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flow cells, or sub-performing reagent lots may have a material adverse </w:t>
      </w:r>
      <w:r>
        <w:rPr>
          <w:rFonts w:ascii="Roboto;sans-serif" w:hAnsi="Roboto;sans-serif"/>
          <w:b w:val="false"/>
          <w:color w:val="000000"/>
          <w:sz w:val="20"/>
          <w:shd w:fill="FFFFFF" w:val="clear"/>
        </w:rPr>
        <w:t>effect</w:t>
      </w:r>
      <w:r>
        <w:rPr>
          <w:color w:val="000000"/>
        </w:rPr>
        <w:t xml:space="preserve"> </w:t>
      </w:r>
      <w:r>
        <w:rPr>
          <w:rFonts w:ascii="Roboto;sans-serif" w:hAnsi="Roboto;sans-serif"/>
          <w:b w:val="false"/>
          <w:color w:val="000000"/>
          <w:sz w:val="20"/>
        </w:rPr>
        <w:t>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particularly if high rates of inflation continue,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while we are undertaking efforts to increase our manufacturing scale and capability, we may not be able to increase manufacturing to meet anticipated demand or may experience downtime in our manufacturing facilities, including, for example, if our suppliers are unable to meet our increased demand at a time when the supply chain is under duress due to potential dislocations and disruptions in product and employee availability (whether due to health epidemics or pandemics or otherwise). An inability to manufacture products and components that consistently meet specifications, in necessary quantities and at commercially acceptable costs, will have a negative impact, and may have a material adverse effect on our business, product development timelines,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Rapidly changing technology in life sciences and research diagnostics could make our products obsolete unless we continue to develop, manufacture and commercialize new and improved products and pursue new opportunities.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industry is characterized by rapid and significant technological changes, frequent new product introductions and enhancements and evolving industry standards. These new and evolving technologies may be superior to, impair, or render obsolete the products we currently offer or the technologies currently underlying our products.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Sequel II/IIe Systems, Revio and Onso, could diminish future demand for our products and may materially and adversely harm our future operating results.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The size of the markets for our products, including our Revio and Onso instruments, may be smaller than estimated, and new market opportunities may not develop as quickly as we expect, or at all, limiting our ability to successfully sell our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market for sequencing systems and consumables products is evolving, making it difficult to accurately predict the size of the markets for our current and future products, including our Revio and Onso instruments. Our estimates of the total addressable market for our current and future products are based on a number of internal and third-party estimates and assumptions that may be incorrect, including the assumptions that academic, governmental, corporate, or other sources of funding will continue to be available to life sciences researchers at times and in amounts necessary to allow them to purchase our products. In addition, sales of new products may take time to develop and mature and we cannot be certain that these market opportunities will develop as we expect.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and growth opportunities for our products may be incorrect.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future growth of the market for our current and future products depends on many factors beyond our control, including recognition and acceptance of our products by the research and scientific communities, the growth, prevalence and costs of competing products and solutions and the development of robust ecosystems supporting our products and their methodologies. For example, the market acceptance and growth of long-read sequencing technologies, like our Revio system, depends on a variety of factors, including the availability and cost-effectiveness of related tools for high quality sample collection and preparation and advanced bioinformatic tools to process results; as well as the perceived advantages and disadvantages of long-read sequencing compared to short-read or other sequencing technologies: consequently, if potential customers conclude the costs of adopting long-read sequencing technologies outweigh the benefits, the market for our Revio systems may be negatively impaired. There can be no assurance that our current or future products will gain traction in the market. If the markets for our current and future products are smaller than estimated or do not develop as we expect, our growth may be limited, and it could materially and adversely affect our business, operations, financial condition and prospects.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Increased market adoption of our products by customers may depend on the availability of sample preparation and informatics tools, some of which may be developed by third parties.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We operate in a highly competitive industry and if we are not able to compete effectively, our business and operating results will likely be harmed.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are a significant number of companies offering nucleic acid sequencing products and/or services, including Illumina, BGI Genomics (also known as MGI or Complete Genomics), Thermo, ONT Ltd., Roche, Bionano, and Qiagen. Other companies recently entering the market include Ultima, Element and Singular.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Oxford Nanopore Technologies, Inc.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that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We may be unable to successfully increase sales of our current products or market and sell our future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ability to achieve profitability depends, in part, on our ability to attract customers for our current and future products including Revio and Onso, and we may be unable to effectively market or sell our products or find appropriate partners to do so. To perform sales, marketing, distribution, and customer support functions successfully, we face a number of risks, including:</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ability to attract, retain and manage qualified sales, marketing, and service personnel necessary to expand market acceptance for our technologies;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the performance and commercial availability expectations of our existing and potential customers with respect to new and existing products;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availability of potential sales and distribution partners to sell our technologies, and our ability to attract and retain such sales and distribution partners;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the time and cost of maintaining and growing a specialized sales, marketing and service force for a particular application, which may be difficult to justify in light of the revenue generated; and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sales, marketing and service force may be unable to execute successful commercial activities.</w:t>
      </w:r>
    </w:p>
    <w:p>
      <w:pPr>
        <w:pStyle w:val="TextBody"/>
        <w:bidi w:val="0"/>
        <w:spacing w:lineRule="auto" w:line="288" w:before="180" w:after="283"/>
        <w:jc w:val="both"/>
        <w:rPr>
          <w:rFonts w:ascii="Roboto;sans-serif" w:hAnsi="Roboto;sans-serif"/>
          <w:b w:val="false"/>
          <w:color w:val="000000"/>
          <w:sz w:val="20"/>
        </w:rPr>
      </w:pPr>
      <w:r>
        <w:rPr>
          <w:rFonts w:ascii="Roboto;sans-serif" w:hAnsi="Roboto;sans-serif"/>
          <w:b w:val="false"/>
          <w:color w:val="000000"/>
          <w:sz w:val="20"/>
        </w:rPr>
        <w:t xml:space="preserve">We have, and may in the future, use promotional pricing and similar measures to attract purchases of our products. These measures may not be successful in attracting purchases and, even if successful, may negatively impact our gross margins.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enlisted and may continue to enlist third parties to assist with sales, equipment leasing,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receive a significant portion of our revenue from a limited number of customers. For example, for the years ended December 31, 2022 and 2021, one of our customers, who is our primary distributor in China, accounted for approximately 12% and 13% of our total revenue, respectively. For the year ended December 31, 2023, no single customer accounted for 10% or greater of our total revenue. Many of these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Our products are highly complex, have recurring support requirements and could have unknown defects or errors, which may give rise to claims against us or divert application of our resources from other purposes.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Products using our SMRT sequencing and SBB technology are highly complex and may develop or contain undetected defects or errors. Our customers have previously experienced reliability issues with our existing products, including the Sequel System and the Sequel II/IIe Systems. In addition, it is possible our customers could experience reliability issues with current or future products, including the Sequel II/IIe, Revio and Onso Systems. Despite internal and external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Revio and Onso, or enhancements to our existing products, including the SMRT Cell and Sequel II/IIe Systems,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has and could in the future cause our revenue and gross margins to be adversely affected. We provide a warranty for our sequencing instruments and consumables, which is generally limited to replacing, repairing, or at our option, giving credit for any sequencing instrument or consumable with defects in material or workmanship. Service contracts for our sequencing instruments may be separately purchased.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such defects or errors could lead to the filing of product liability claims against us or against third parties whom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A significant portion of our sales depends on customers’ spending budgets that may be subject to significant and unexpected variation which could have a negative effect on the demand for our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instruments represent significant capital expenditures for our customers in research applications.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 capital expenditures during economically uncertain periods and the potential impacts from health epidemics or pandemics.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We may not be able to convert our orders in backlog into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Many events can cause an order to be delayed or not completed at all, some of which may be out of our control, including the potential impacts from health epidemics or pandemics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Our sales cycles are unpredictable and lengthy, which makes it difficult to forecast revenue and may increase the magnitude of quarterly or annual fluctuations in our operating results.</w:t>
      </w:r>
    </w:p>
    <w:p>
      <w:pPr>
        <w:pStyle w:val="TextBody"/>
        <w:bidi w:val="0"/>
        <w:spacing w:lineRule="auto" w:line="288" w:before="120" w:after="283"/>
        <w:jc w:val="both"/>
        <w:rPr/>
      </w:pPr>
      <w:r>
        <w:rPr>
          <w:rFonts w:ascii="Roboto;sans-serif" w:hAnsi="Roboto;sans-serif"/>
          <w:b w:val="false"/>
          <w:color w:val="000000"/>
          <w:sz w:val="20"/>
        </w:rPr>
        <w:t>The sales cycles for our sequencing instruments are lengthy because they represent a major capital expenditure and generally require the approval of our customers’ senior management. This may contribute to substantial fluctuations in our quarterly or annual operating results, particularly during periods in which our sales volume is low.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including as a result of seasonal factors, as discussed below, and a potential customer may require an extended evaluation and testing period. Our sales cycles may also lengthen, and those sales cycles may result in lower units sold per cycle, as we continue to introduce our Revio and Onso instruments and their associated consumables to the market, as our customers may have additional administrative, technical or other requirements associated with transitioning to new products and technologies. In anticipation of product orders, we may incur substantial costs before the sales cycle is complete and before we receive any customer payments. As a result, if a sale is not completed or is canceled or delayed, we may have incurred substantial expenses, making it more difficult for us to become profitable or otherwise negatively impacting our financial results. Even if our selling efforts are successful, the realization of revenue may be substantially delayed, our ability to forecast our future revenue may be more limited and our revenue may fluctuate significantly from quarter to quarter and year over year. For more information on the impact of these fluctuations on our results and stock price, see “—</w:t>
      </w:r>
      <w:hyperlink w:anchor="i1b770f8d6bfe4d438a5f0aecb244db97_187891">
        <w:r>
          <w:rPr>
            <w:rStyle w:val="InternetLink"/>
            <w:rFonts w:ascii="Roboto;sans-serif" w:hAnsi="Roboto;sans-serif"/>
            <w:b w:val="false"/>
            <w:i/>
            <w:color w:val="0000FF"/>
            <w:sz w:val="20"/>
            <w:u w:val="single"/>
          </w:rPr>
          <w:t>Our operating results fluctuate from quarter to quarter and year over year, which makes our future results difficult to predict and could negatively impact the market price of our common stock</w:t>
        </w:r>
      </w:hyperlink>
      <w:r>
        <w:rPr>
          <w:rFonts w:ascii="Roboto;sans-serif" w:hAnsi="Roboto;sans-serif"/>
          <w:b w:val="false"/>
          <w:color w:val="000000"/>
          <w:sz w:val="20"/>
        </w:rPr>
        <w:t>,” below.</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Because some of our customers and suppliers are based in China, our business, financial condition and results of operations could be adversely affected by the political and economic tensions between the United States and China.</w:t>
      </w:r>
    </w:p>
    <w:p>
      <w:pPr>
        <w:pStyle w:val="TextBody"/>
        <w:bidi w:val="0"/>
        <w:spacing w:lineRule="auto" w:line="288" w:before="120" w:after="283"/>
        <w:jc w:val="both"/>
        <w:rPr/>
      </w:pPr>
      <w:r>
        <w:rPr>
          <w:rFonts w:ascii="Roboto;sans-serif" w:hAnsi="Roboto;sans-serif"/>
          <w:b w:val="false"/>
          <w:color w:val="000000"/>
          <w:sz w:val="20"/>
        </w:rPr>
        <w:t xml:space="preserve">We are subject to risks associated with political conflicts between the U.S. and China. A significant portion of our revenue is generated from China. </w:t>
      </w:r>
      <w:r>
        <w:rPr>
          <w:rFonts w:ascii="Roboto;sans-serif" w:hAnsi="Roboto;sans-serif"/>
          <w:b w:val="false"/>
          <w:color w:val="000000"/>
          <w:sz w:val="20"/>
          <w:shd w:fill="FFFFFF" w:val="clear"/>
        </w:rPr>
        <w:t xml:space="preserve">For example, for the years ended </w:t>
      </w:r>
      <w:r>
        <w:rPr>
          <w:rFonts w:ascii="Roboto;sans-serif" w:hAnsi="Roboto;sans-serif"/>
          <w:b w:val="false"/>
          <w:color w:val="000000"/>
          <w:sz w:val="20"/>
        </w:rPr>
        <w:t>December 31, 2022 and 2021, one of our customers, who is our primary distributor in China, accounted for approximately 12% and 13%</w:t>
      </w:r>
      <w:r>
        <w:rPr>
          <w:color w:val="000000"/>
          <w:shd w:fill="FFFFFF" w:val="clear"/>
        </w:rPr>
        <w:t xml:space="preserve"> </w:t>
      </w:r>
      <w:r>
        <w:rPr>
          <w:rFonts w:ascii="Roboto;sans-serif" w:hAnsi="Roboto;sans-serif"/>
          <w:b w:val="false"/>
          <w:color w:val="000000"/>
          <w:sz w:val="20"/>
          <w:shd w:fill="FFFFFF" w:val="clear"/>
        </w:rPr>
        <w:t xml:space="preserve">of our total revenue, respectively. </w:t>
      </w:r>
      <w:r>
        <w:rPr>
          <w:rFonts w:ascii="Roboto;sans-serif" w:hAnsi="Roboto;sans-serif"/>
          <w:b w:val="false"/>
          <w:color w:val="000000"/>
          <w:sz w:val="20"/>
        </w:rPr>
        <w:t xml:space="preserve">For the year ended December 31, 2023, no single customer accounted for 10% or greater of our total revenue. </w:t>
      </w:r>
      <w:r>
        <w:rPr>
          <w:rFonts w:ascii="Roboto;sans-serif" w:hAnsi="Roboto;sans-serif"/>
          <w:b w:val="false"/>
          <w:color w:val="000000"/>
          <w:sz w:val="20"/>
          <w:shd w:fill="FFFFFF" w:val="clear"/>
        </w:rPr>
        <w:t>In addition, certain c</w:t>
      </w:r>
      <w:r>
        <w:rPr>
          <w:rFonts w:ascii="Roboto;sans-serif" w:hAnsi="Roboto;sans-serif"/>
          <w:b w:val="false"/>
          <w:color w:val="000000"/>
          <w:sz w:val="20"/>
        </w:rPr>
        <w:t>omponents, some of which are critical components, of our products are manufactured in China. These components are either sourced directly from companies in China or indirectly from third parties that source from companies in China.</w:t>
      </w:r>
    </w:p>
    <w:p>
      <w:pPr>
        <w:pStyle w:val="TextBody"/>
        <w:bidi w:val="0"/>
        <w:spacing w:lineRule="auto" w:line="288" w:before="120" w:after="283"/>
        <w:jc w:val="both"/>
        <w:rPr/>
      </w:pPr>
      <w:r>
        <w:rPr>
          <w:rFonts w:ascii="Roboto;sans-serif" w:hAnsi="Roboto;sans-serif"/>
          <w:b w:val="false"/>
          <w:color w:val="000000"/>
          <w:sz w:val="20"/>
        </w:rPr>
        <w:t>Consequently, we are subject to significant risks associated with the trading relationship between the U.S. and China, which is currently characterized by significant uncertainty. Tariffs imposed by the U.S. and China have increased, and may continue to increase, our costs. Additionally, export restrictions imposed by the U.S. may impact our ability to export certain products to customers or distributors in China and restrict our ability to use certain integrated circuits in our products, and it is possible that additional restrictions will be put in place that could impact our ability to provide our products to customers or distributors in China or source components from China. Moreover, the Chinese government may retaliate against U.S. trade restrictions in ways that could impact our business. Given the relatively fluid regulatory environment in China and the United States and uncertainty how the U.S. or foreign governments will act with respect to export controls, tariffs, international trade agreements and policies, there could be additional import, export, tax, or other regulatory changes in the future. Any such changes could directly and adversely impact our financial results and results of operations. For more information, see “—</w:t>
      </w:r>
      <w:hyperlink w:anchor="i1b770f8d6bfe4d438a5f0aecb244db97_187892">
        <w:r>
          <w:rPr>
            <w:rStyle w:val="InternetLink"/>
            <w:rFonts w:ascii="Roboto;sans-serif" w:hAnsi="Roboto;sans-serif"/>
            <w:b w:val="false"/>
            <w:i/>
            <w:color w:val="0000FF"/>
            <w:sz w:val="20"/>
            <w:u w:val="single"/>
          </w:rPr>
          <w:t>Enhanced trade tariffs, import restrictions, export restrictions, Chinese regulations or other trade barriers may materially harm our business.</w:t>
        </w:r>
      </w:hyperlink>
      <w:r>
        <w:rPr>
          <w:color w:val="000000"/>
        </w:rPr>
        <w: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Other risks could include:</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interruptions to operations in China as a result of potential disease outbreaks, including any further COVID-19 related outbreaks, and natural catastrophic events, which have in the past and can result in the future in business closures, transportation restrictions, import and export complications and cause shortages in the supply of raw materials or disruptions in manufacturing;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product supply disruptions and increased costs as a result of heightened exposure to changes in the policies of the Chinese government, political unrest or unstable economic conditions in China; and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the nationalization or other expropriation of private enterprises or intellectual property by the Chinese government.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Difficulties in this relationship may require us to take actions adverse to our business to comply with governmental restrictions on business and trade with China.</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We face significant risks associated with doing business with Taiwanese suppliers and manufacturers due to the tense relationship between Taiwan and mainland China.</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Substantially all of our consumable chips are partly manufactured by a company based in Taiwan. Our supply of consumables chips and other critical components may be materially and adversely affected by diplomatic, geopolitical, military and other developments affecting the relationship between China and Taiwan. Recent military exercises in the Taiwan Strait have contributed to geopolitical uncertainty regarding the future of the relationship between China and Taiwan. Current or future diplomatic, geopolitical, military or other tensions between China and Taiwan may lead to circumstances that negatively affect the availability of such consumable chips and other critical components to us, which could limit or prohibit our ability to manufacture consumable chips and other critical components or lead to an increase in our supply costs if we cannot find a similar cost alternative supplier, which could materially and adversely impact our business, operations, prospects, financial condition and results, and results of operations.</w:t>
      </w:r>
    </w:p>
    <w:p>
      <w:pPr>
        <w:pStyle w:val="TextBody"/>
        <w:bidi w:val="0"/>
        <w:spacing w:lineRule="auto" w:line="288" w:before="180" w:after="283"/>
        <w:jc w:val="both"/>
        <w:rPr>
          <w:rFonts w:ascii="Roboto;sans-serif" w:hAnsi="Roboto;sans-serif"/>
          <w:b/>
          <w:i/>
          <w:color w:val="000000"/>
          <w:sz w:val="20"/>
        </w:rPr>
      </w:pPr>
      <w:bookmarkStart w:id="2" w:name="i1b770f8d6bfe4d438a5f0aecb244db97_187891"/>
      <w:bookmarkEnd w:id="2"/>
      <w:r>
        <w:rPr>
          <w:rFonts w:ascii="Roboto;sans-serif" w:hAnsi="Roboto;sans-serif"/>
          <w:b/>
          <w:i/>
          <w:color w:val="000000"/>
          <w:sz w:val="20"/>
        </w:rPr>
        <w:t>Our operating results fluctuate from quarter to quarter and year over year, which makes our future results difficult to predict and could negatively impact the market price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of our products, particularly our sequencing instruments, are subject to significant seasonality due to several factors, including the procurement and budgeting cycles of many of our customers, especially government-funded customers, which often coincide with government fiscal year ends, and significant holidays (such as Lunar New Year celebrations in Asia) disrupting business and sales activities in key markets. These factors have contributed, and in the future may contribute, to substantial fluctuations in our quarterly operating results.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operating results during any given period can also be impacted by numerous other factors, including the following:</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market acceptance for our products;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ability to attract new customers;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the length of our sales cycles, as discussed above;</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ability to achieve economies of scale and other manufacturing efficiencies at the rate we anticipate;</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publications of studies by us, our competitors or third parties;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the timing and success of new product introductions by us or our competitors or other changes in the competitive dynamics of our industry, such as consolidation;</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the amount and timing of our costs and expenses;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changes in our pricing policies or those of our competitors;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general economic, industry and market conditions;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the impact of catastrophic events, including health epidemics or pandemics and military or other armed conflicts;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the regulatory environment in which we operate;</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expenses associated with warranty obligations or unforeseen product quality issues;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the hiring, training, and retention of key employees, including our ability to grow our sales organization;</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litigation or other claims against us for intellectual property infringement or otherwise;</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ability to obtain additional financing as necessary; and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changes or trends in new technologies and industry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Consequently, it is possible that in some quarters our operating results will fall below the expectations of securities analysts or investors. If that happens, the market price of our common stock would likely decrease. These fluctuations, among other factors, also mean that our operating results in any particular period may not be relied upon as an indication of future performance. Additionally, any bankruptcy of a customer, such as Invitae, or other party with whom we do business, or the failure of any such party to make payments when due, or any breach or default by any such party, or the loss of any significant partnerships, could impact our revenue recognition or result in material losses to us, which may have a material adverse impact on our business. Seasonal or cyclical variations in our sales have in the past, and may in the future, become more or less pronounced over time, and have in the past materially affected, and may in the future materially affect, our business, financial condition, results of operations, and prospects.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Our ability to use net operating losses to offset future taxable income may be subject to substantial limitations, and changes to U.S. tax laws may cause us to make adjustments to our financial statements.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and as a result our existing NOLs are currently subject to limitation. Future changes in our stock ownership could result in additional ownership changes, including potentially material changes, under Section 382. Further, recently enacted California legislation limits the use of state NOLs for tax years beginning on or after January 1, 2024 and before January 1, 2027. As a result of this legislation or other unforeseen reasons, we may not be able to utilize some or all of our NOLs even if we attain profitability.</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Our facilities in California are located near earthquake faults, and the occurrence of an earthquake or other catastrophic disaster could cause damage to our facilities and equipment, which could require us to cease or curtail operations.</w:t>
      </w:r>
    </w:p>
    <w:p>
      <w:pPr>
        <w:pStyle w:val="TextBody"/>
        <w:bidi w:val="0"/>
        <w:spacing w:lineRule="auto" w:line="288" w:before="240" w:after="283"/>
        <w:jc w:val="both"/>
        <w:rPr>
          <w:rFonts w:ascii="Roboto;sans-serif" w:hAnsi="Roboto;sans-serif"/>
          <w:b w:val="false"/>
          <w:color w:val="000000"/>
          <w:sz w:val="20"/>
        </w:rPr>
      </w:pPr>
      <w:r>
        <w:rPr>
          <w:rFonts w:ascii="Roboto;sans-serif" w:hAnsi="Roboto;sans-serif"/>
          <w:b w:val="false"/>
          <w:color w:val="000000"/>
          <w:sz w:val="20"/>
        </w:rPr>
        <w:t>Our facilities in California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Risks Related to Our Intellectual Property</w:t>
      </w:r>
    </w:p>
    <w:p>
      <w:pPr>
        <w:pStyle w:val="TextBody"/>
        <w:bidi w:val="0"/>
        <w:spacing w:lineRule="auto" w:line="288" w:before="120" w:after="283"/>
        <w:jc w:val="both"/>
        <w:rPr>
          <w:rFonts w:ascii="Roboto;sans-serif" w:hAnsi="Roboto;sans-serif"/>
          <w:b/>
          <w:i/>
          <w:color w:val="000000"/>
          <w:sz w:val="20"/>
        </w:rPr>
      </w:pPr>
      <w:r>
        <w:rPr>
          <w:rFonts w:ascii="Roboto;sans-serif" w:hAnsi="Roboto;sans-serif"/>
          <w:b/>
          <w:i/>
          <w:color w:val="000000"/>
          <w:sz w:val="20"/>
        </w:rPr>
        <w:t>Failure to secure patent or other intellectual property protection for our products and improvements to our products may reduce our ability to maintain any technological or competitive advantage over our current and potential competitors.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we or our licensors might not have been the first to make the inventions covered by each of our pending patent applications or issued patents;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we or our licensors might not have been the first to file patent applications for these inventions;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it is possible that neither our pending patent applications nor the pending patent applications of our licensors will result in issued patents;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our enforcement of patents and proprietary rights in other countries may be problematic or unpredictable;</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we may not be able to prevent third parties from practicing our inventions in all countries outside the United States, or from selling or importing products made using our inventions in and into the United States or other jurisdictions;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we or our partners may not adequately protect our trade secrets;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we may not develop additional proprietary technologies that are patentable; or</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the patents of others may limit our freedom to operate and prevent us from commercializing our technology in accordance with our plans.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occurrence of any of these events could impair our ability to operate without infringing upon the proprietary rights of others or prevent us from establishing or maintaining a competitive advantage over our competitors.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Variability in intellectual property laws may adversely affect our intellectual property position.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Some of the intellectual property that is important to our business is owned by other companies or institutions and licensed to us, and changes to the rights we have licensed may adversely impact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an agreement we had entered into with Roche,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Our intellectual property may be subject to challenges in the United States or foreign jurisdictions that could adversely affect our intellectual property position.</w:t>
      </w:r>
    </w:p>
    <w:p>
      <w:pPr>
        <w:pStyle w:val="TextBody"/>
        <w:bidi w:val="0"/>
        <w:spacing w:lineRule="auto" w:line="288" w:before="120" w:after="283"/>
        <w:jc w:val="both"/>
        <w:rPr/>
      </w:pPr>
      <w:r>
        <w:rPr>
          <w:rFonts w:ascii="Roboto;sans-serif" w:hAnsi="Roboto;sans-serif"/>
          <w:b w:val="false"/>
          <w:color w:val="000000"/>
          <w:sz w:val="20"/>
        </w:rPr>
        <w:t xml:space="preserve">Our pending, issued and granted U.S. and foreign patents and patent applications have been, are and may in the future be, subject to challenges by ONT Ltd., ONT Inc. and Metrichor, Ltd. (“Metrichor” and, together with ONT Ltd. and ONT Inc., “ONT”) in addition to other parties asserting prior invention by others or invalidity on various grounds, through proceedings, such as </w:t>
      </w:r>
      <w:r>
        <w:rPr>
          <w:rFonts w:ascii="Roboto;sans-serif" w:hAnsi="Roboto;sans-serif"/>
          <w:b w:val="false"/>
          <w:color w:val="000000"/>
          <w:sz w:val="20"/>
          <w:shd w:fill="FFFFFF" w:val="clear"/>
        </w:rPr>
        <w:t>interferences</w:t>
      </w:r>
      <w:r>
        <w:rPr>
          <w:rFonts w:ascii="Roboto;sans-serif" w:hAnsi="Roboto;sans-serif"/>
          <w:b w:val="false"/>
          <w:color w:val="000000"/>
          <w:sz w:val="20"/>
        </w:rPr>
        <w:t xml:space="preserve">,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Roboto;sans-serif" w:hAnsi="Roboto;sans-serif"/>
          <w:b w:val="false"/>
          <w:i/>
          <w:color w:val="000000"/>
          <w:sz w:val="20"/>
        </w:rPr>
        <w:t>inter partes</w:t>
      </w:r>
      <w:r>
        <w:rPr>
          <w:color w:val="000000"/>
        </w:rPr>
        <w:t xml:space="preserve"> </w:t>
      </w:r>
      <w:r>
        <w:rPr>
          <w:rFonts w:ascii="Roboto;sans-serif" w:hAnsi="Roboto;sans-serif"/>
          <w:b w:val="false"/>
          <w:color w:val="000000"/>
          <w:sz w:val="20"/>
        </w:rPr>
        <w:t xml:space="preserve">reviews of certain patents that we have asserted against ONT Inc. and ONT Ltd. in litigation proceedings for patent infringement. While none of the </w:t>
      </w:r>
      <w:r>
        <w:rPr>
          <w:rFonts w:ascii="Roboto;sans-serif" w:hAnsi="Roboto;sans-serif"/>
          <w:b w:val="false"/>
          <w:i/>
          <w:color w:val="000000"/>
          <w:sz w:val="20"/>
        </w:rPr>
        <w:t>inter partes</w:t>
      </w:r>
      <w:r>
        <w:rPr>
          <w:color w:val="000000"/>
        </w:rPr>
        <w:t xml:space="preserve"> </w:t>
      </w:r>
      <w:r>
        <w:rPr>
          <w:rFonts w:ascii="Roboto;sans-serif" w:hAnsi="Roboto;sans-serif"/>
          <w:b w:val="false"/>
          <w:color w:val="000000"/>
          <w:sz w:val="20"/>
        </w:rPr>
        <w:t>reviews requested by ONT were instituted by the U.S. Patent and Trademark Office, challenges of this nature before the Patent Trial and Appeal Board (“PTAB”) in the future could result in determinations that our patents or pending patent applications are unpatentable to us, or are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 Similar mechanisms for challenging the validity and enforceability of a patent exist in foreign patent offices and courts and may result in the revocation, cancellation, or amendment of any foreign patents we hold now or in the future. The outcome following legal assertions of invalidity and unenforceability is unpredictable, and prior art could render our patents invalid. If a defendant were to prevail on a legal assertion of invalidity and/or unenforceability, we would lose at least part, and perhaps all, of the patent protection on such products. Such a loss of patent protection would have a material adverse impact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Some of our technology is subject to “march-in” rights by the U.S. government.</w:t>
      </w:r>
    </w:p>
    <w:p>
      <w:pPr>
        <w:pStyle w:val="TextBody"/>
        <w:bidi w:val="0"/>
        <w:spacing w:lineRule="auto" w:line="288" w:before="120" w:after="283"/>
        <w:jc w:val="both"/>
        <w:rPr/>
      </w:pPr>
      <w:r>
        <w:rPr>
          <w:rFonts w:ascii="Roboto;sans-serif" w:hAnsi="Roboto;sans-serif"/>
          <w:b w:val="false"/>
          <w:color w:val="000000"/>
          <w:sz w:val="20"/>
        </w:rPr>
        <w:t xml:space="preserve">Some of our patented technology was developed with U.S. federal government funding. When new technologies are </w:t>
      </w:r>
      <w:r>
        <w:rPr>
          <w:rFonts w:ascii="Roboto;sans-serif" w:hAnsi="Roboto;sans-serif"/>
          <w:b w:val="false"/>
          <w:color w:val="000000"/>
          <w:sz w:val="20"/>
          <w:shd w:fill="FFFFFF" w:val="clear"/>
        </w:rPr>
        <w:t>developed</w:t>
      </w:r>
      <w:r>
        <w:rPr>
          <w:color w:val="000000"/>
        </w:rPr>
        <w:t xml:space="preserve"> </w:t>
      </w:r>
      <w:r>
        <w:rPr>
          <w:rFonts w:ascii="Roboto;sans-serif" w:hAnsi="Roboto;sans-serif"/>
          <w:b w:val="false"/>
          <w:color w:val="000000"/>
          <w:sz w:val="20"/>
        </w:rPr>
        <w:t>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effect on our business.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We are involved in legal proceedings to enforce our intellectual property rights.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were previously involved in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We have been, are currently, and could in the future be, subject to legal proceedings with third parties who may claim that our products infringe or misappropriate their intellectual property rights.</w:t>
      </w:r>
    </w:p>
    <w:p>
      <w:pPr>
        <w:pStyle w:val="TextBody"/>
        <w:bidi w:val="0"/>
        <w:spacing w:lineRule="auto" w:line="288" w:before="120" w:after="283"/>
        <w:jc w:val="both"/>
        <w:rPr/>
      </w:pPr>
      <w:r>
        <w:rPr>
          <w:rFonts w:ascii="Roboto;sans-serif" w:hAnsi="Roboto;sans-serif"/>
          <w:b w:val="false"/>
          <w:color w:val="000000"/>
          <w:sz w:val="20"/>
        </w:rPr>
        <w:t xml:space="preserve">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w:t>
      </w:r>
      <w:r>
        <w:rPr>
          <w:rFonts w:ascii="Roboto;sans-serif" w:hAnsi="Roboto;sans-serif"/>
          <w:b w:val="false"/>
          <w:color w:val="000000"/>
          <w:sz w:val="20"/>
          <w:shd w:fill="FFFFFF" w:val="clear"/>
        </w:rPr>
        <w:t>infringe</w:t>
      </w:r>
      <w:r>
        <w:rPr>
          <w:color w:val="000000"/>
        </w:rPr>
        <w:t xml:space="preserve"> </w:t>
      </w:r>
      <w:r>
        <w:rPr>
          <w:rFonts w:ascii="Roboto;sans-serif" w:hAnsi="Roboto;sans-serif"/>
          <w:b w:val="false"/>
          <w:color w:val="000000"/>
          <w:sz w:val="20"/>
        </w:rPr>
        <w:t>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we are involved in legal proceedings for alleged patent infringement and related matters in the United States with Personal Genomics of Taiwan, Inc. (“PGI”), Take2 Technologies, Ltd., and the Chinese University of Hong Kong. In addition,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We have not yet registered some of our trademarks in all of our potential markets, and failure to secure those registrations could adversely affect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Our use of “open source” software could adversely affect our ability to sell our products and subject us to possible litigation.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Risks Related to Regulation</w:t>
      </w:r>
    </w:p>
    <w:p>
      <w:pPr>
        <w:pStyle w:val="TextBody"/>
        <w:bidi w:val="0"/>
        <w:spacing w:lineRule="auto" w:line="288" w:before="120" w:after="283"/>
        <w:jc w:val="both"/>
        <w:rPr>
          <w:rFonts w:ascii="Roboto;sans-serif" w:hAnsi="Roboto;sans-serif"/>
          <w:b/>
          <w:i/>
          <w:color w:val="000000"/>
          <w:sz w:val="20"/>
        </w:rPr>
      </w:pPr>
      <w:r>
        <w:rPr>
          <w:rFonts w:ascii="Roboto;sans-serif" w:hAnsi="Roboto;sans-serif"/>
          <w:b/>
          <w:i/>
          <w:color w:val="000000"/>
          <w:sz w:val="20"/>
        </w:rPr>
        <w:t>We are, and may become, subject to governmental regulations that may impose burdens on our operations, and the markets for our products may be narrowed.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subject, both directly and indirectly, to the adverse impact of government regulation of our operations and markets. For example, export of our instruments may be subject to strict regulatory control in a number of jurisdictions, and we could experience disruption in our supply chain as a result of certain geopolitical events and conflicts and any related political or economic responses and counter-responses or otherwise by various global actors. Following Russia’s invasion of Ukraine in February 2022, the United States and other countries imposed certain economic sanctions and severe export control restrictions against Russia and Belarus as well as certain Russian nationals and individuals and entities with ties to Russia, Belarus, and this conflict. These sanctions and restrictions have continued to increase as the conflict has further escalated and now cover the export of our products to Russia, and the United States and other countries could impose even wider sanctions and export restrictions and take other actions in the future that could further limit our ability to provide products in certain locations. Additionally, restrictions on the ability to send certain products and technology related to semiconductors, semiconductor manufacturing, and supercomputing to China without an export license may impact our ability to provide products to customers or distributors in China. We have expanded and are continuing to expand the international jurisdictions into which we supply products, which increases the risks surrounding governmental regulations relating to our business. The need to or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pStyle w:val="TextBody"/>
        <w:bidi w:val="0"/>
        <w:spacing w:lineRule="auto" w:line="288" w:before="120" w:after="283"/>
        <w:jc w:val="both"/>
        <w:rPr/>
      </w:pPr>
      <w:r>
        <w:rPr>
          <w:rFonts w:ascii="Roboto;sans-serif" w:hAnsi="Roboto;sans-serif"/>
          <w:b w:val="false"/>
          <w:color w:val="000000"/>
          <w:sz w:val="20"/>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Roboto;sans-serif" w:hAnsi="Roboto;sans-serif"/>
          <w:b w:val="false"/>
          <w:i/>
          <w:color w:val="000000"/>
          <w:sz w:val="20"/>
        </w:rPr>
        <w:t>in vitro</w:t>
      </w:r>
      <w:r>
        <w:rPr>
          <w:color w:val="000000"/>
        </w:rPr>
        <w:t xml:space="preserve"> </w:t>
      </w:r>
      <w:r>
        <w:rPr>
          <w:rFonts w:ascii="Roboto;sans-serif" w:hAnsi="Roboto;sans-serif"/>
          <w:b w:val="false"/>
          <w:color w:val="000000"/>
          <w:sz w:val="20"/>
        </w:rPr>
        <w:t>diagnostics or other regulations that negatively impact the research and development activities of our customers would adversely impact our commercialization of products on which we have expended significant research and development resources, which would in turn have a material adverse impact on our business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are currently labeled and promoted as research use only (“RUO”) products and are not currently designed, or intended to be used, for clinical diagnostic tests or as medical devices. However, in the future, certain of our products or related applications, such as those that may be developed for clinical uses, could be subject to regulation by the U.S. Food and Drug Administration (“FDA”),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the FDA’s guidance on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particular, in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 that we will be able to obtain or to maintain such approvals. Furthermore, any approvals that we may obtain can be revoked if safety or efficacy problems develop.</w:t>
      </w:r>
    </w:p>
    <w:p>
      <w:pPr>
        <w:pStyle w:val="TextBody"/>
        <w:bidi w:val="0"/>
        <w:spacing w:lineRule="auto" w:line="288" w:before="120" w:after="283"/>
        <w:jc w:val="both"/>
        <w:rPr/>
      </w:pPr>
      <w:r>
        <w:rPr>
          <w:rFonts w:ascii="Roboto;sans-serif" w:hAnsi="Roboto;sans-serif"/>
          <w:b w:val="false"/>
          <w:color w:val="000000"/>
          <w:sz w:val="20"/>
        </w:rPr>
        <w:t xml:space="preserve">The FDA has historically exercised enforcement discretion in not enforcing the medical device regulations against laboratories developing and offering LDTs. In May 2024, the FDA issued a final rule that phases out its enforcement discretion for LDTs, unless exempt, and amends the FDA’s regulations to make explicit that in vitro diagnostics are medical devices under the Federal Food, Drug, and Cosmetic Act, including when the manufacturer of the diagnostic product is a laboratory. The American Clinical Laboratory Association and a private laboratory have initiated litigation against the agency to challenge the implementation of this final rule. We will continue to evaluate the impact of this final rule, this litigation, as well as any future lawsuits brought against the FDA, and future legislative and administration actions on our business. Further, the U.S. Supreme Court recently overruled the </w:t>
      </w:r>
      <w:r>
        <w:rPr>
          <w:rFonts w:ascii="Roboto;sans-serif" w:hAnsi="Roboto;sans-serif"/>
          <w:b w:val="false"/>
          <w:i/>
          <w:color w:val="000000"/>
          <w:sz w:val="20"/>
        </w:rPr>
        <w:t xml:space="preserve">Chevron </w:t>
      </w:r>
      <w:r>
        <w:rPr>
          <w:rFonts w:ascii="Roboto;sans-serif" w:hAnsi="Roboto;sans-serif"/>
          <w:b w:val="false"/>
          <w:color w:val="000000"/>
          <w:sz w:val="20"/>
        </w:rPr>
        <w:t xml:space="preserve">doctrine, which gives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of the FDA, which could undermine the FDA’s authority and lead to uncertainties in the industry. We cannot predict the full impact of this decision on our business or that of our customers. </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Future legislative or administrative actions can impact the sales of our products and how customers use our products, and may require us to change our business model in order to maintain compliance with applicable laws. Changes to the current regulatory framework, including the imposition of additional or new regulations, could arise at any time during the development or marketing of our products, which may negatively affect our ability to obtain or maintain FDA or comparable regulatory approval of our products, if required. Further, sales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the FDA determines our products or related applications should be subject to additional regulation as in vitro diagnostic devices based upon customers’ use of our products for clinical diagnostic or therapeutic decision-making purposes, our ability to market and sell our products could be impeded and our business, prospects, results of operations and financial condition may be adversely affected. In addition, the FDA could consider our products to be misbranded or adulterated under the Federal Food, Drug, and Cosmetic Act and subject to recall and/or other enforcement action.</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To the extent we elect to label and promote any of our products as medical devices, we would be required to obtain prior approval or clearance by the FDA or comparable foreign regulatory authority, which could take significant time and expense and could fail to result in a marketing authorization for the intended uses we believe are commercially attractive. Obtaining marketing authorization in one jurisdiction does not mean that we will be successful in obtaining marketing authorization in other jurisdictions where we conduct business.</w:t>
      </w:r>
    </w:p>
    <w:p>
      <w:pPr>
        <w:pStyle w:val="TextBody"/>
        <w:bidi w:val="0"/>
        <w:spacing w:lineRule="auto" w:line="288" w:before="120" w:after="283"/>
        <w:jc w:val="both"/>
        <w:rPr/>
      </w:pPr>
      <w:r>
        <w:rPr>
          <w:rFonts w:ascii="Roboto;sans-serif" w:hAnsi="Roboto;sans-serif"/>
          <w:b w:val="false"/>
          <w:color w:val="000000"/>
          <w:sz w:val="20"/>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PMA or a </w:t>
      </w:r>
      <w:r>
        <w:rPr>
          <w:rFonts w:ascii="Roboto;sans-serif" w:hAnsi="Roboto;sans-serif"/>
          <w:b w:val="false"/>
          <w:i/>
          <w:color w:val="000000"/>
          <w:sz w:val="20"/>
        </w:rPr>
        <w:t>de novo</w:t>
      </w:r>
      <w:r>
        <w:rPr>
          <w:color w:val="000000"/>
        </w:rPr>
        <w:t xml:space="preserve"> </w:t>
      </w:r>
      <w:r>
        <w:rPr>
          <w:rFonts w:ascii="Roboto;sans-serif" w:hAnsi="Roboto;sans-serif"/>
          <w:b w:val="false"/>
          <w:color w:val="000000"/>
          <w:sz w:val="20"/>
        </w:rPr>
        <w:t>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obtain foreign regulatory approvals on a timely basis or at all. In Europe, we would need to comply with the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pStyle w:val="TextBody"/>
        <w:bidi w:val="0"/>
        <w:spacing w:lineRule="auto" w:line="288" w:before="180" w:after="283"/>
        <w:jc w:val="both"/>
        <w:rPr>
          <w:rFonts w:ascii="Roboto;sans-serif" w:hAnsi="Roboto;sans-serif"/>
          <w:b/>
          <w:i/>
          <w:color w:val="000000"/>
          <w:sz w:val="20"/>
        </w:rPr>
      </w:pPr>
      <w:bookmarkStart w:id="3" w:name="i1b770f8d6bfe4d438a5f0aecb244db97_187892"/>
      <w:bookmarkEnd w:id="3"/>
      <w:r>
        <w:rPr>
          <w:rFonts w:ascii="Roboto;sans-serif" w:hAnsi="Roboto;sans-serif"/>
          <w:b/>
          <w:i/>
          <w:color w:val="000000"/>
          <w:sz w:val="20"/>
        </w:rPr>
        <w:t>Enhanced trade tariffs, import restrictions, export restrictions, or other trade barriers may materially harm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continuing to expand our international operations as part of our growth strategy and have experienced an increasing concentration of sales in certain regions outside the United States, especially the Asia-Pacific region, as discussed above. There is currently significant uncertainty about the future relationship between the United States and various other countries, most significantly China, with respect to trade policies, treaties, government regulations and tariffs. Starting in September 2018, the U.S. Trade Representative (the “USTR”) enacted various tariffs of 7.5%, 10%, 15%, and 25% on the import of Chinese products, including non-U.S. components and materials that may be used in our products. Additionally, China also has imposed tariffs on imports into China from the United States. These tariffs have and could continue to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Further tariffs may be imposed that could cover imports of additional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Additionally, the U.S. government imposed controls restricting the ability to send certain products and technology related to semiconductors, semiconductor manufacturing, and supercomputing to China without an export license. These controls also apply to certain hardware containing these specified integrated circuits. In many cases, these licenses are subject to a policy of denial and will not be issued. It is possible that additional restrictions will be put in place. These existing and future controls may impact our ability to export certain products to customers or distributors in China or other locations and restrict our ability to use certain integrated circuits in our products. The U.S. government also continues to add additional entities in China to restricted party lists impacting the ability of U.S. companies to provide items to these entities. Moreover,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 Biden Administration has continued to provide updated lists of emerging technologies subject to national security consents. These lists continue to include biotechnologies including “[g]enome and protein engineering including design tools” and “[b]iomanufacturing and bioprocessing technologies.” Therefore, it is possible that our ability to export our products to customers or distributors may be further restricted in the future.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It is possible that the Chinese government will retaliate in response to existing or future U.S. export controls or trade restrictions in ways that could impact our business. It also is possible that additional restrictions will be put in place that could impact our ability to provide our products to customers or distributors in China or source components from China.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export controls, tariffs, international trade agreements and policies, there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could be additional tax or other regulatory changes in the future. Any such changes could directly and adversely impact our financial results and results of operations.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Our international business could expose us to business, regulatory, political, operational, financial, and economic risks associated with doing business outside of the United States.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Engaging in international business inherently involves a number of difficulties and risks, including:</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required compliance with U.S. laws such as the Foreign Corrupt Practices Act, and other U.S. federal laws and trade and economic sanctions and other regulations established by the Office of Foreign Asset Control;</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export requirements and import or trade restrictions;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laws and business practices favoring local companies;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restrictions on both inbound and outbound cross-border investment;</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foreign currency exchange, longer payment cycles and difficulties in enforcing agreements and collecting receivables through certain foreign legal systems;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 and ongoing geopolitical tensions related to the political uncertainty and military actions associated with the war in Ukraine, resulting sanctions imposed by the U.S. and other countries, and retaliatory actions taken by Russia in response to such sanctions;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potentially adverse tax consequences, tariffs, customs charges, bureaucratic requirements, and other trade barriers;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difficulties and costs of staffing and managing foreign operations; and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difficulties protecting, maintaining, enforcing, or procuring intellectual property rights and defending against intellectual property claims under the law and judicial systems of other countries.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Our operations involve the use of hazardous materials, and we must comply with environmental, health and safety laws, which can be expensive and may adversely affect our business, operating results and financial condition.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Ethical, legal, privacy, data protection and social concerns or governmental restrictions surrounding the use of genetic information could reduce demand for our technology.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any of which could have a material adverse effect on our business, financial condition, and results of operations.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Regulations related to conflict minerals has caused us to incur, and will continue to cause us to incur, additional expenses and could limit the supply and increase the costs of certain materials used in the manufacture of our products.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are subject to requirements under the Dodd-Frank Wall Street Reform and Consumer Protection Act of 2010 that require us to conduct diligence and report on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Risks Related to Owning Our Common Stock</w:t>
      </w:r>
    </w:p>
    <w:p>
      <w:pPr>
        <w:pStyle w:val="TextBody"/>
        <w:bidi w:val="0"/>
        <w:spacing w:lineRule="auto" w:line="288" w:before="120" w:after="283"/>
        <w:jc w:val="both"/>
        <w:rPr>
          <w:rFonts w:ascii="Roboto;sans-serif" w:hAnsi="Roboto;sans-serif"/>
          <w:b/>
          <w:i/>
          <w:color w:val="000000"/>
          <w:sz w:val="20"/>
        </w:rPr>
      </w:pPr>
      <w:r>
        <w:rPr>
          <w:rFonts w:ascii="Roboto;sans-serif" w:hAnsi="Roboto;sans-serif"/>
          <w:b/>
          <w:i/>
          <w:color w:val="000000"/>
          <w:sz w:val="20"/>
        </w:rPr>
        <w:t>The price of our common stock has been, is, and may continue to be, highly volatile, and you may be unable to sell your shares at or above the price you paid to acquire them.</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 market price of our common stock is highly volatile, and we expect it to continue to be volatile for the foreseeable future in response to many risk factors listed in this section, and others beyond our control, including:</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actual or anticipated fluctuations in our financial condition and operating results;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announcements of new products, technological innovations or strategic partnerships by us or our competitors;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announcements by us, our customers, partners, or suppliers relating directly or indirectly to our products, services or technologies;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overall conditions in our industry and market;</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addition or loss of significant customers;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changes in laws or regulations applicable to our products;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actual or anticipated changes in our growth rate relative to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announcements by us or our competitors of significant acquisitions, strategic partnerships, joint ventures, capital commitments or achievement of significant milestones;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additions or departures of key personnel;</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competition from existing products or new products that may emerge;</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issuance of new or updated research or reports by securities analysts;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fluctuations in the valuation of companies perceived by investors to be comparable to us;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disputes or other developments related to proprietary rights, including patents, litigation matters or our ability to obtain intellectual property protection for our technologies;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announcement or expectation of additional financing efforts;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sales of our common stock by us or our stockholders;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stock price and volume fluctuations attributable to inconsistent trading volume levels of our shares;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reports, guidance and ratings issued by securities or industry analysts;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operating results below the expectations of securities analysts or investors; and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general economic and market conditions, which could be impacted by various events including health epidemics or pandemics, interest rate fluctuations, increases in fuel prices, foreign currency fluctuations, international tariffs, acts of terrorism, hostilities or the perception that hostilities may be imminent, military conflict and acts of war, including further political uncertainty and military actions associated with the war in Ukraine and the related response, including sanctions or other restrictive actions, by the United States and/or other countries.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any of the forgoing occurs, it would cause our stock price or trading volume to decline. Stock markets in general and the market for companies in our industry in particular have experienced price and volume fluctuations; these fluctuations have been, and may continue to be, exacerbated by and current macroeconomic trends and geopolitical events.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if our stockholders sell, or indicate an intent to sell, a large number of shares of our common stock in the public market, it could cause our stock price to fall, particularly if such sales occur over a short period time (for example, following delivery of shares upon achievement of milestones in our acquisition agreements).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Concentration of ownership by our principal stockholders may result in control by such stockholders of the composition of our board of directors.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Our existing principal stockholders, executive officers, directors, and their affiliates beneficially own a significant number of our outstanding shares of common stock. In addition, such parties may acquire additional control by purchasing stock that we issue in connection with our future fundraising efforts. These parties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authorize our board of directors to issue, without further action by the stockholders, up to 50,000,000 shares of undesignated preferred stock and up to approximately 1,000,000,000 shares of authorized but unissued shares of common stock;</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specify that special meetings of our stockholders can be called only by our board of directors, the Chair of the Board, the Chief Executive Officer or the President;</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establish advance notice procedures for stockholder approvals to be brought before an annual meeting of our stockholders, including proposed nominations of persons for election to our board of directors;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establish that our board of directors is divided into three classes, Class I, Class II and Class III, with each class serving staggered terms;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provide that our directors may be removed only for cause; and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provide that vacancies on our board of directors may be filled only by a majority of directors then in office, even though less than a quorum.</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Our amended and restated bylaws designate a state or federal court located within the State of Delaware as the exclusive forum for certain stockholder litigation matters,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amended and restated bylaws provide that unless we consent in writing to the selection of an alternative forum,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current or former directors, stockholders, officers, or other employees to us or our stockholders; (iii) any action arising pursuant to any provision of the Delaware General Corporation Law; (iv) any action to interpret, apply, enforce or determine the validity of our amended and restated certificate of incorporation or our amended and restated bylaws; or (v) any action asserting a claim governed by the internal affairs doctrine, except as to each of (i) through (v) above, for any claim as to which such court determines that there is an indispensable party not subject to the jurisdiction of such court.</w:t>
      </w:r>
    </w:p>
    <w:p>
      <w:pPr>
        <w:pStyle w:val="TextBody"/>
        <w:bidi w:val="0"/>
        <w:spacing w:lineRule="auto" w:line="288" w:before="12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 xml:space="preserve">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America will be the exclusive forum for resolving any complaint asserting a cause of action arising under the Securities Act including, without limitation and for the avoidance of doubt, any auditor, underwriter, expert, control person or other defendant.</w:t>
      </w:r>
    </w:p>
    <w:p>
      <w:pPr>
        <w:pStyle w:val="TextBody"/>
        <w:bidi w:val="0"/>
        <w:spacing w:lineRule="auto" w:line="288" w:before="120" w:after="283"/>
        <w:jc w:val="both"/>
        <w:rPr>
          <w:rFonts w:ascii="Roboto;sans-serif" w:hAnsi="Roboto;sans-serif"/>
          <w:b w:val="false"/>
          <w:color w:val="000000"/>
          <w:sz w:val="20"/>
          <w:shd w:fill="FFFFFF" w:val="clear"/>
        </w:rPr>
      </w:pPr>
      <w:r>
        <w:rPr>
          <w:rFonts w:ascii="Roboto;sans-serif" w:hAnsi="Roboto;sans-serif"/>
          <w:b w:val="false"/>
          <w:color w:val="000000"/>
          <w:sz w:val="20"/>
          <w:shd w:fill="FFFFFF" w:val="clear"/>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stockholders, officers or other employees, which may discourage lawsuits with respect to such claims against us and our current and former directors, stockholders, officers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Our large number of authorized but unissued shares of common stock may potentially dilute existing stockholders’ stockholdings.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We do not intend to pay dividends for the foreseeable future.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Risks Related to Our Notes</w:t>
      </w:r>
    </w:p>
    <w:p>
      <w:pPr>
        <w:pStyle w:val="TextBody"/>
        <w:bidi w:val="0"/>
        <w:spacing w:lineRule="auto" w:line="288" w:before="120" w:after="283"/>
        <w:jc w:val="both"/>
        <w:rPr>
          <w:rFonts w:ascii="Roboto;sans-serif" w:hAnsi="Roboto;sans-serif"/>
          <w:b/>
          <w:i/>
          <w:color w:val="000000"/>
          <w:sz w:val="20"/>
        </w:rPr>
      </w:pPr>
      <w:r>
        <w:rPr>
          <w:rFonts w:ascii="Roboto;sans-serif" w:hAnsi="Roboto;sans-serif"/>
          <w:b/>
          <w:i/>
          <w:color w:val="000000"/>
          <w:sz w:val="20"/>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As of June 30, 2024, we had outstanding approximately $459.0 million aggregate principal amount of our 2028 Notes and $441.0 million aggregate principal amount of our 2030 Notes. The 2028 Notes will mature on February 15, 2028, subject to earlier conversion, redemption or repurchase, including upon a fundamental change. The 2030 Notes will mature on December 15, 2030, subject to earlier conversion, redemption or repurchase, including upon a fundamental change. The 2030 Notes and 2028 Notes are collectively referred to as the Notes.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Holders of the Notes will have the right to require us to repurchase all or a portion of their Notes upon the occurrence of a fundamental change before the maturity date at a repurchase price equal to 100% of the principal amount of the Notes to be repurchased, plus unpaid interest to, but excluding, the maturity date. In addition, upon conversion of the Notes, unless we elect to deliver solely shares of our common stock to settle such conversion (other than paying cash in lieu of delivering any fractional share), we will be required to settle a portion or all of our conversion obligation in cash in respect of the Notes being converted. Moreover, we will be required to repay the Notes in cash at their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In addition, our ability to repurchase Notes or to pay cash upon conversions of Notes or at their maturity may be limited by law, regulatory authority or agreements governing our future indebtedness. Our failure to repurchase Notes at a time when the repurchase is required by the indenture or to pay cash upon conversions of Notes or at their maturity as required by the indenture would constitute a default under the indenture. A default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indenture or the fundamental change itself could also lead to a default under agreements governing our future indebtedness. Moreover, the occurrence of a fundamental change under the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Notes.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If the Notes are converted, it may adversely affect our financial condition and operating results.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Holders of the Notes are entitled to convert their Notes at any time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 In addition, issuances of shares of common stock upon conversion of our Notes could depress the market price of our common stock and impair our ability to raise capital through the sale of additional equity securities. The existence of the Notes may encourage short selling by market participants because the conversion of the Notes could depress the price of our common stock. </w:t>
      </w:r>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General Risk Factors</w:t>
      </w:r>
    </w:p>
    <w:p>
      <w:pPr>
        <w:pStyle w:val="TextBody"/>
        <w:bidi w:val="0"/>
        <w:spacing w:lineRule="auto" w:line="288" w:before="120" w:after="283"/>
        <w:jc w:val="both"/>
        <w:rPr>
          <w:rFonts w:ascii="Roboto;sans-serif" w:hAnsi="Roboto;sans-serif"/>
          <w:b/>
          <w:i/>
          <w:color w:val="000000"/>
          <w:sz w:val="20"/>
        </w:rPr>
      </w:pPr>
      <w:r>
        <w:rPr>
          <w:rFonts w:ascii="Roboto;sans-serif" w:hAnsi="Roboto;sans-serif"/>
          <w:b/>
          <w:i/>
          <w:color w:val="000000"/>
          <w:sz w:val="20"/>
        </w:rPr>
        <w:t>Unfavorable global economic or political conditions could adversely affect our business, financial condition or results of operations.</w:t>
      </w:r>
    </w:p>
    <w:p>
      <w:pPr>
        <w:pStyle w:val="TextBody"/>
        <w:bidi w:val="0"/>
        <w:spacing w:lineRule="auto" w:line="288" w:before="120" w:after="283"/>
        <w:jc w:val="both"/>
        <w:rPr/>
      </w:pPr>
      <w:r>
        <w:rPr>
          <w:rFonts w:ascii="Roboto;sans-serif" w:hAnsi="Roboto;sans-serif"/>
          <w:b w:val="false"/>
          <w:color w:val="000000"/>
          <w:sz w:val="20"/>
        </w:rPr>
        <w:t xml:space="preserve">General conditions in the global economy and in the global financial markets could adversely affect our results of operations, including the potential effects from the COVID-19 pandemic or other similar outbreaks as discussed above, and the overall demand for nucleic acid sequencing products may be particularly vulnerable to unfavorable economic conditions. A global financial crisis, inflation or a global or regional political disruption, as well as acts of terrorism, hostilities, military conflict and acts of war, including any further political uncertainty and military actions in the Middle East associated with the Israel and Hamas conflict and the war in Ukraine, as well as the related responses,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w:t>
      </w:r>
      <w:r>
        <w:rPr>
          <w:rFonts w:ascii="Roboto;sans-serif" w:hAnsi="Roboto;sans-serif"/>
          <w:b w:val="false"/>
          <w:color w:val="000000"/>
          <w:sz w:val="20"/>
          <w:shd w:fill="FFFFFF" w:val="clear"/>
        </w:rPr>
        <w:t xml:space="preserve">An impairment in value of our tangible or intangible assets could also be recorded as a result of weaker economic conditions. </w:t>
      </w:r>
      <w:r>
        <w:rPr>
          <w:rFonts w:ascii="Roboto;sans-serif" w:hAnsi="Roboto;sans-serif"/>
          <w:b w:val="false"/>
          <w:color w:val="000000"/>
          <w:sz w:val="20"/>
        </w:rPr>
        <w:t>Any of the foregoing could harm our business and we cannot anticipate all of the ways in which the political or economic climate and financial market conditions could adversely impact our business.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Delivery of our products could be delayed or disrupted by factors beyond our control, and we could lose customers as a result.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Doing business internationally creates operational and financial risks for our business.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foreign jurisdictions may also subject us to significant liabilities and other penalties. International operations entail a variety of other risks, including, without limitation:</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challenges in staffing and managing foreign operations;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potentially longer sales cycles and more time required to engage and educate customers on the benefits of our platform outside of the United States;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the potential need for localized software and documentation;</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reduced protection for intellectual property rights in some countries and practical difficulties of enforcing intellectual property and contract rights abroad;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defending against intellectual property claims in other countries;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restrictions on both inbound and outbound cross-border investment, including enhanced oversight by the Committee on Foreign Investment in the United States (“CFIUS”) and substantial restrictions on investment from China;</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U.S. and foreign government trade restrictions, including those which may impose restrictions on the importation, exportation, re-exportation, sale, shipment or other transfer of programming, technology, components, and/or services to foreign persons;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changes in diplomatic and trade relationships, including new tariffs, trade protection measures, import or export licensing requirements, trade embargoes, sanctions, and other trade barriers;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tariffs imposed by the U.S. on goods from other countries and tariffs imposed by other countries on U.S. goods, including the tariffs by the U.S. government on various imports from China, Canada, Mexico, and the European Union (“E.U.”) and by the governments of these jurisdictions on certain U.S. goods, and any other possible tariffs that may be imposed on products such as ours, the scope and duration of which, if implemented, remains uncertain;</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deterioration of political relations between the U.S. and Russia, China, Japan, Korea, Canada, the United Kingdom (“U.K.”), and the E.U., which could have a material adverse effect on our sales and operations in these countries;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U.K. from the E.U.;</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difficulties in obtaining export licenses or in overcoming other trade barriers and restrictions resulting in delivery delays;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fluctuations in currency exchange rates and the related effect on our results of operations;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increased financial accounting and reporting burdens and complexities;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potential limits to travel as a result of COVID-19 or other epidemics or pandemics;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disruptions to global trade due to disease outbreaks or conflicts;</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potential increases on tariffs or restrictions on trade generally; and</w:t>
      </w:r>
    </w:p>
    <w:p>
      <w:pPr>
        <w:pStyle w:val="TextBody"/>
        <w:bidi w:val="0"/>
        <w:spacing w:lineRule="auto" w:line="288" w:before="120" w:after="283"/>
        <w:ind w:left="0" w:right="0" w:hanging="360"/>
        <w:jc w:val="both"/>
        <w:rPr/>
      </w:pPr>
      <w:r>
        <w:rPr>
          <w:color w:val="000000"/>
        </w:rPr>
        <w:t>•</w:t>
      </w:r>
      <w:r>
        <w:rPr>
          <w:rFonts w:ascii="Roboto;sans-serif" w:hAnsi="Roboto;sans-serif"/>
          <w:b w:val="false"/>
          <w:color w:val="000000"/>
          <w:sz w:val="20"/>
        </w:rPr>
        <w:t>significant taxes or other burdens of complying with a variety of foreign laws and regulations, including laws and regulations relating to privacy and data protection such as the E.U. General Data Protection Regulation which took effect in the E.U. in 2018.</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Moreover, changes in the value of the relevant currencies may affect the cost of certain items required in our operations.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If we fail to maintain proper and effective internal controls, our ability to produce accurate financial statements on a timely basis could be impaired, which would adversely affect our business and our stock price.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Our business could be negatively impacted by changes in the United States political environment.</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 xml:space="preserve">There is significant ongoing uncertainty with respect to potential legislation, regulation and government policy at the federal level, as well as the state and local levels.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Disruption of critical information technology systems or material breaches in the security of our systems could harm our business, customer relations and financial condition.</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Information technology (“IT”) helps us to operate efficiently, interface with customers, maintain financial accuracy and efficiently and accurately produce our financial statements. IT systems are used extensively in virtually all aspects of our business, including in our products, sales forecast, order fulfillment and billing, customer service, logistics, and management of data from running samples on our products. Our success depends, in part, on the continued and uninterrupted performance of our IT systems. Our IT systems, including those used in our products, may be vulnerable to damage from a variety of sources, including telecommunications or network failures, power loss, natural disasters, human acts, computer viruses, ransomware, computer denial-of-service attacks, unauthorized access to customer or employee data or company trade secrets, and other attempts to harm our systems. Furthermore, there may be a heightened risk of potential cybersecurity incidents and security breaches to which we could be vulnerable by state-sponsored or affiliated actors or others in connection with the political uncertainty and military actions in the Middle East associated with the Israel and Hamas conflict and the war in Ukraine.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If we do not allocate and effectively manage the resources necessary to build and sustain the proper IT infrastructure, including those used in our products, we could be subject to transaction errors, processing inefficiencies, loss of customers, business disruptions or loss of or damage to intellectual property.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Security breaches and other disruptions could compromise our information and expose us to liability, which would cause our business and reputation to suffer.</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ordinary course of our business, we collect and store sensitive data, including intellectual property, our proprietary business information and that of our customers, suppliers and business partners, and personal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ransomware,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or incident could compromise our systems and networks and the information stored or otherwise processed there could be accessed, publicly disclosed, lost, stolen or otherwise processed in an unauthorized manner. We engage third-party vendors and service providers to store and otherwise process some of our data, including sensitive and personal information. Our vendors and service providers may also be the targets of the risks described above, including cyber-attacks, malicious software, ransomware,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and disruption of our or third-party service providers’ systems. We and our third-party service providers may face difficulties in identifying, or promptly responding to, potential security breaches and other instances of unauthorized access to, or disclosure, other processing, or loss or unavailability of, information. Any hacking or other attack on our or our third-party service providers’ or vendors’ systems, and any unauthorized access to, or disclosure, other processing, or loss or unavailability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and data integrity issues,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and security incidents, which could cause us to incur significant additional expenses. Retaliatory acts by Russia in response to Western sanctions or otherwise in connection with the war in Ukraine could include cyber-attacks that could disrupt the economy generally or that may either directly or indirectly impact our operations specifically.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Our use of artificial intelligence and machine learning technologies may result in reputational harm or liability.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We have incorporated and may continue to incorporate additional artificial intelligence and machine learning, or AIML, technologies into our sequencing platforms, marketing programs, and analysis software, including Revio and otherwise within our business, and these solutions and features are advantageous to describing, enhancing, and maximizing the capabilities of our differentiated technologies and to our future growth over time. We rely and expect to rely on AIML technologies such as basecalling, variant calling, epigenetic analysis and tertiary analysis, but there can be no assurance that we will realize the desired or anticipated benefits from AIML or any at all. We may also fail to properly implement or utilize AIML technologies. Our competitors or other third parties may incorporate AIML into their products, platforms, software and services or otherwise within their business more quickly or more successfully than us, which could impair our ability to compete effectively and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 the ordinary course of our business, we currently, and in the future will, collect, store, transfer, use or process sensitive data, including personal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pPr>
      <w:r>
        <w:rPr>
          <w:rFonts w:ascii="Roboto;sans-serif" w:hAnsi="Roboto;sans-serif"/>
          <w:b w:val="false"/>
          <w:color w:val="000000"/>
          <w:sz w:val="20"/>
        </w:rPr>
        <w:t xml:space="preserve">In the United States, various federal and state regulators, including governmental agencies like the Consumer Financial Protection </w:t>
      </w:r>
      <w:r>
        <w:rPr>
          <w:rFonts w:ascii="Roboto;sans-serif" w:hAnsi="Roboto;sans-serif"/>
          <w:b w:val="false"/>
          <w:color w:val="000000"/>
          <w:sz w:val="20"/>
          <w:shd w:fill="FFFFFF" w:val="clear"/>
        </w:rPr>
        <w:t>Bureau</w:t>
      </w:r>
      <w:r>
        <w:rPr>
          <w:color w:val="000000"/>
        </w:rPr>
        <w:t xml:space="preserve"> </w:t>
      </w:r>
      <w:r>
        <w:rPr>
          <w:rFonts w:ascii="Roboto;sans-serif" w:hAnsi="Roboto;sans-serif"/>
          <w:b w:val="false"/>
          <w:color w:val="000000"/>
          <w:sz w:val="20"/>
        </w:rPr>
        <w:t>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or (“CPRA”), which significantly expanded the CCPA as of January 1, 2023, including by introducing additional obligations such as data minimization and storage limitations and granting additional rights to consumers, among others. The enactment of the CCPA has prompted similar legislative developments in other states, and numerous other states have proposed, and in certain cases enacted, legislation relating to privacy and data security, many of which are similar to the CCPA and CPRA. Similar laws are being considered by other state legislatures.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These and future laws and regulations may increase our compliance costs and potential liability.</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disrupted, breached or otherwise compromised due to employee error, malfeasance or other malicious or inadvertent disruptions. Any such breach or disruption could compromise our networks and the information stored there could be accessed, manipulated, publicly disclosed, lost, stolen, made unavailable, or otherwise processed without authorization. Any such disruption, access, breach, unavailability, theft, loss or other unauthorized processing of information, or the perception that any of these has occurred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While we have in place formal policies and procedures related to the storage, collection, and processing of information, and have conducted data privacy audits, we continue to evaluate our compliance needs, including the need to conduct additional internal and external data privacy audits or adopt additional policies and procedures,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pStyle w:val="TextBody"/>
        <w:bidi w:val="0"/>
        <w:spacing w:lineRule="auto" w:line="288" w:before="180" w:after="283"/>
        <w:jc w:val="both"/>
        <w:rPr>
          <w:rFonts w:ascii="Roboto;sans-serif" w:hAnsi="Roboto;sans-serif"/>
          <w:b/>
          <w:i/>
          <w:color w:val="000000"/>
          <w:sz w:val="20"/>
        </w:rPr>
      </w:pPr>
      <w:r>
        <w:rPr>
          <w:rFonts w:ascii="Roboto;sans-serif" w:hAnsi="Roboto;sans-serif"/>
          <w:b/>
          <w:i/>
          <w:color w:val="000000"/>
          <w:sz w:val="20"/>
        </w:rPr>
        <w:t>Increased scrutiny of our environmental, social or governance responsibilities may result in additional costs and risks, and may adversely impact our reputation, employee retention, and willingness of customers and suppliers to do business with us.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Investor advocacy groups, institutional investors, investment funds, proxy advisory services, stockholders, and customers are increasingly focused on environmental, social, and governance (“ESG”) practices of companies. Additionally, public interest and legislative pressure related to public companies’ ESG practices continues to grow. For example, the SEC has adopted final rules regarding climate-related disclosures in public companies’ periodic reporting. 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ESG reporting and disclosure may result in additional costs and require additional resources to monitor, report, and comply with our various ESG practices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Item 2.    Unregistered Sales of Equity Securities and Use of Proceeds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Item 3.    Defaults Upon Senior Securities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Item 4.    Mine Safety Disclosures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Roboto;sans-serif" w:hAnsi="Roboto;sans-serif"/>
          <w:b/>
          <w:color w:val="000000"/>
          <w:sz w:val="20"/>
        </w:rPr>
      </w:pPr>
      <w:r>
        <w:rPr>
          <w:rFonts w:ascii="Roboto;sans-serif" w:hAnsi="Roboto;sans-serif"/>
          <w:b/>
          <w:color w:val="000000"/>
          <w:sz w:val="20"/>
        </w:rPr>
        <w:t>Item 5.    Other Information</w:t>
      </w:r>
    </w:p>
    <w:p>
      <w:pPr>
        <w:pStyle w:val="TextBody"/>
        <w:bidi w:val="0"/>
        <w:spacing w:lineRule="auto" w:line="288" w:before="120" w:after="283"/>
        <w:jc w:val="left"/>
        <w:rPr>
          <w:rFonts w:ascii="Roboto;sans-serif" w:hAnsi="Roboto;sans-serif"/>
          <w:b/>
          <w:color w:val="000000"/>
          <w:sz w:val="20"/>
        </w:rPr>
      </w:pPr>
      <w:r>
        <w:rPr>
          <w:rFonts w:ascii="Roboto;sans-serif" w:hAnsi="Roboto;sans-serif"/>
          <w:b/>
          <w:color w:val="000000"/>
          <w:sz w:val="20"/>
        </w:rPr>
        <w:t>Securities Trading Plans of Directors and Executive Officers</w:t>
      </w:r>
    </w:p>
    <w:p>
      <w:pPr>
        <w:pStyle w:val="TextBody"/>
        <w:bidi w:val="0"/>
        <w:spacing w:lineRule="auto" w:line="288" w:before="120" w:after="283"/>
        <w:jc w:val="both"/>
        <w:rPr>
          <w:rFonts w:ascii="Roboto;sans-serif" w:hAnsi="Roboto;sans-serif"/>
          <w:b w:val="false"/>
          <w:color w:val="000000"/>
          <w:sz w:val="20"/>
        </w:rPr>
      </w:pPr>
      <w:r>
        <w:rPr>
          <w:rFonts w:ascii="Roboto;sans-serif" w:hAnsi="Roboto;sans-serif"/>
          <w:b w:val="false"/>
          <w:color w:val="000000"/>
          <w:sz w:val="20"/>
        </w:rPr>
        <w:t>During our last fiscal quarter, none of our directors or officers, as defined in Rule 16a-1(f), adopted and/or terminated a “Rule 10b5-1 trading arrangement” or a “non-Rule 10b5-1 trading arrangement,”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0" w:after="0"/>
        <w:jc w:val="left"/>
        <w:rPr>
          <w:rFonts w:ascii="Roboto;sans-serif" w:hAnsi="Roboto;sans-serif"/>
          <w:b/>
          <w:color w:val="000000"/>
          <w:sz w:val="20"/>
        </w:rPr>
      </w:pPr>
      <w:r>
        <w:rPr>
          <w:rFonts w:ascii="Roboto;sans-serif" w:hAnsi="Roboto;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7"/>
        <w:gridCol w:w="278"/>
        <w:gridCol w:w="280"/>
        <w:gridCol w:w="2197"/>
        <w:gridCol w:w="2080"/>
        <w:gridCol w:w="2099"/>
        <w:gridCol w:w="305"/>
        <w:gridCol w:w="207"/>
        <w:gridCol w:w="207"/>
        <w:gridCol w:w="344"/>
        <w:gridCol w:w="298"/>
        <w:gridCol w:w="218"/>
        <w:gridCol w:w="497"/>
        <w:gridCol w:w="462"/>
        <w:gridCol w:w="416"/>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97"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Incorporated by reference herein</w:t>
            </w:r>
          </w:p>
        </w:tc>
      </w:tr>
      <w:tr>
        <w:trPr/>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Exhibit No.</w:t>
            </w:r>
          </w:p>
        </w:tc>
        <w:tc>
          <w:tcPr>
            <w:tcW w:w="63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Description</w:t>
            </w:r>
          </w:p>
        </w:tc>
        <w:tc>
          <w:tcPr>
            <w:tcW w:w="7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Form</w:t>
            </w:r>
          </w:p>
        </w:tc>
        <w:tc>
          <w:tcPr>
            <w:tcW w:w="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Exhibit No.</w:t>
            </w:r>
          </w:p>
        </w:tc>
        <w:tc>
          <w:tcPr>
            <w:tcW w:w="1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Filing Date</w:t>
            </w:r>
          </w:p>
        </w:tc>
      </w:tr>
      <w:tr>
        <w:trPr/>
        <w:tc>
          <w:tcPr>
            <w:tcW w:w="875" w:type="dxa"/>
            <w:gridSpan w:val="3"/>
            <w:tcBorders/>
            <w:vAlign w:val="center"/>
          </w:tcPr>
          <w:p>
            <w:pPr>
              <w:pStyle w:val="TableContents"/>
              <w:bidi w:val="0"/>
              <w:spacing w:before="0" w:after="283"/>
              <w:jc w:val="left"/>
              <w:rPr>
                <w:sz w:val="4"/>
                <w:szCs w:val="4"/>
              </w:rPr>
            </w:pPr>
            <w:r>
              <w:rPr>
                <w:sz w:val="4"/>
                <w:szCs w:val="4"/>
              </w:rPr>
            </w:r>
          </w:p>
        </w:tc>
        <w:tc>
          <w:tcPr>
            <w:tcW w:w="6376"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1375" w:type="dxa"/>
            <w:gridSpan w:val="3"/>
            <w:tcBorders/>
            <w:vAlign w:val="center"/>
          </w:tcPr>
          <w:p>
            <w:pPr>
              <w:pStyle w:val="TableContents"/>
              <w:bidi w:val="0"/>
              <w:spacing w:before="0" w:after="283"/>
              <w:jc w:val="left"/>
              <w:rPr>
                <w:sz w:val="4"/>
                <w:szCs w:val="4"/>
              </w:rPr>
            </w:pPr>
            <w:r>
              <w:rPr>
                <w:sz w:val="4"/>
                <w:szCs w:val="4"/>
              </w:rPr>
            </w:r>
          </w:p>
        </w:tc>
      </w:tr>
      <w:tr>
        <w:trPr/>
        <w:tc>
          <w:tcPr>
            <w:tcW w:w="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Roboto;sans-serif" w:hAnsi="Roboto;sans-serif"/>
                  <w:b w:val="false"/>
                  <w:color w:val="0000FF"/>
                  <w:sz w:val="18"/>
                  <w:u w:val="single"/>
                </w:rPr>
                <w:t>3.1</w:t>
              </w:r>
            </w:hyperlink>
          </w:p>
        </w:tc>
        <w:tc>
          <w:tcPr>
            <w:tcW w:w="6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Roboto;sans-serif" w:hAnsi="Roboto;sans-serif"/>
                  <w:b w:val="false"/>
                  <w:color w:val="0000FF"/>
                  <w:sz w:val="18"/>
                  <w:u w:val="single"/>
                </w:rPr>
                <w:t>Amended and Restated Certificate of Incorporation of Pacific Biosciences of California, Inc.</w:t>
              </w:r>
            </w:hyperlink>
          </w:p>
        </w:tc>
        <w:tc>
          <w:tcPr>
            <w:tcW w:w="7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10-K</w:t>
            </w:r>
          </w:p>
        </w:tc>
        <w:tc>
          <w:tcPr>
            <w:tcW w:w="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1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March 23, 2011</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Roboto;sans-serif" w:hAnsi="Roboto;sans-serif"/>
                  <w:b w:val="false"/>
                  <w:color w:val="0000FF"/>
                  <w:sz w:val="18"/>
                  <w:u w:val="single"/>
                </w:rPr>
                <w:t>3.2</w:t>
              </w:r>
            </w:hyperlink>
          </w:p>
        </w:tc>
        <w:tc>
          <w:tcPr>
            <w:tcW w:w="6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Roboto;sans-serif" w:hAnsi="Roboto;sans-serif"/>
                  <w:b w:val="false"/>
                  <w:color w:val="0000FF"/>
                  <w:sz w:val="18"/>
                  <w:u w:val="single"/>
                </w:rPr>
                <w:t>Certificate of Amendment to the Amended and Restated Certificate of Incorporation of Pacific Biosciences of California, Inc. to declassify the Board</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8-K</w:t>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June 20, 2024</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Roboto;sans-serif" w:hAnsi="Roboto;sans-serif"/>
                  <w:b w:val="false"/>
                  <w:color w:val="0000FF"/>
                  <w:sz w:val="18"/>
                  <w:u w:val="single"/>
                </w:rPr>
                <w:t>3.3</w:t>
              </w:r>
            </w:hyperlink>
          </w:p>
        </w:tc>
        <w:tc>
          <w:tcPr>
            <w:tcW w:w="6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Roboto;sans-serif" w:hAnsi="Roboto;sans-serif"/>
                  <w:b w:val="false"/>
                  <w:color w:val="0000FF"/>
                  <w:sz w:val="18"/>
                  <w:u w:val="single"/>
                </w:rPr>
                <w:t>Certificate of Amendment to the Certificate of Incorporation of Pacific Biosciences of California, Inc. to limit the liability of officers</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8-K</w:t>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3.2</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June 20, 2024</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Roboto;sans-serif" w:hAnsi="Roboto;sans-serif"/>
                  <w:b w:val="false"/>
                  <w:color w:val="000080"/>
                  <w:sz w:val="18"/>
                  <w:u w:val="single"/>
                </w:rPr>
                <w:t>3.</w:t>
              </w:r>
            </w:hyperlink>
            <w:hyperlink r:id="rId10">
              <w:r>
                <w:rPr>
                  <w:rStyle w:val="InternetLink"/>
                  <w:rFonts w:ascii="Roboto;sans-serif" w:hAnsi="Roboto;sans-serif"/>
                  <w:b w:val="false"/>
                  <w:color w:val="000080"/>
                  <w:sz w:val="18"/>
                  <w:u w:val="single"/>
                </w:rPr>
                <w:t>4</w:t>
              </w:r>
            </w:hyperlink>
          </w:p>
        </w:tc>
        <w:tc>
          <w:tcPr>
            <w:tcW w:w="6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Roboto;sans-serif" w:hAnsi="Roboto;sans-serif"/>
                  <w:b w:val="false"/>
                  <w:color w:val="0000FF"/>
                  <w:sz w:val="18"/>
                  <w:u w:val="single"/>
                </w:rPr>
                <w:t>Third Amended and Restated Bylaws of Pacific Biosciences of California, Inc.</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3.1</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November 7, 2022</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Roboto;sans-serif" w:hAnsi="Roboto;sans-serif"/>
                  <w:b w:val="false"/>
                  <w:color w:val="000080"/>
                  <w:sz w:val="18"/>
                  <w:u w:val="single"/>
                </w:rPr>
                <w:t>10.1</w:t>
              </w:r>
            </w:hyperlink>
            <w:hyperlink r:id="rId13">
              <w:r>
                <w:rPr>
                  <w:rStyle w:val="InternetLink"/>
                  <w:rFonts w:ascii="Roboto;sans-serif" w:hAnsi="Roboto;sans-serif"/>
                  <w:b w:val="false"/>
                  <w:color w:val="000080"/>
                  <w:sz w:val="18"/>
                  <w:u w:val="single"/>
                </w:rPr>
                <w:t>+</w:t>
              </w:r>
            </w:hyperlink>
          </w:p>
        </w:tc>
        <w:tc>
          <w:tcPr>
            <w:tcW w:w="6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Roboto;sans-serif" w:hAnsi="Roboto;sans-serif"/>
                  <w:b w:val="false"/>
                  <w:color w:val="0000FF"/>
                  <w:sz w:val="18"/>
                  <w:u w:val="single"/>
                </w:rPr>
                <w:t>Pacific Biosciences of California, Inc. 2020 Equity Incentive Plan, as amended</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10.1</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June 20, 2024</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Roboto;sans-serif" w:hAnsi="Roboto;sans-serif"/>
                  <w:b w:val="false"/>
                  <w:color w:val="000080"/>
                  <w:sz w:val="18"/>
                  <w:u w:val="single"/>
                </w:rPr>
                <w:t>10.2</w:t>
              </w:r>
            </w:hyperlink>
            <w:hyperlink r:id="rId16">
              <w:r>
                <w:rPr>
                  <w:rStyle w:val="InternetLink"/>
                  <w:rFonts w:ascii="Roboto;sans-serif" w:hAnsi="Roboto;sans-serif"/>
                  <w:b w:val="false"/>
                  <w:color w:val="000080"/>
                  <w:sz w:val="18"/>
                  <w:u w:val="single"/>
                </w:rPr>
                <w:t>+</w:t>
              </w:r>
            </w:hyperlink>
          </w:p>
        </w:tc>
        <w:tc>
          <w:tcPr>
            <w:tcW w:w="6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Roboto;sans-serif" w:hAnsi="Roboto;sans-serif"/>
                  <w:b w:val="false"/>
                  <w:color w:val="0000FF"/>
                  <w:sz w:val="18"/>
                  <w:u w:val="single"/>
                </w:rPr>
                <w:t>Form of Global Stock Option Agreement under the Pacific Biosciences of California, Inc. 2020 Equity Incentive Plan, as amended</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10.2</w:t>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June 20, 2024</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Roboto;sans-serif" w:hAnsi="Roboto;sans-serif"/>
                  <w:b w:val="false"/>
                  <w:color w:val="000080"/>
                  <w:sz w:val="18"/>
                  <w:u w:val="single"/>
                </w:rPr>
                <w:t>10.3</w:t>
              </w:r>
            </w:hyperlink>
            <w:hyperlink r:id="rId19">
              <w:r>
                <w:rPr>
                  <w:rStyle w:val="InternetLink"/>
                  <w:rFonts w:ascii="Roboto;sans-serif" w:hAnsi="Roboto;sans-serif"/>
                  <w:b w:val="false"/>
                  <w:color w:val="000080"/>
                  <w:sz w:val="18"/>
                  <w:u w:val="single"/>
                </w:rPr>
                <w:t>+</w:t>
              </w:r>
            </w:hyperlink>
          </w:p>
        </w:tc>
        <w:tc>
          <w:tcPr>
            <w:tcW w:w="6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Roboto;sans-serif" w:hAnsi="Roboto;sans-serif"/>
                  <w:b w:val="false"/>
                  <w:color w:val="0000FF"/>
                  <w:sz w:val="18"/>
                  <w:u w:val="single"/>
                </w:rPr>
                <w:t>Form of Global Restricted Stock Unit Agreement under the Pacific Biosciences of California, Inc. 2020 Equity Incentive Plan, as amended</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8-K</w:t>
            </w:r>
          </w:p>
        </w:tc>
        <w:tc>
          <w:tcPr>
            <w:tcW w:w="8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10.3</w:t>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18"/>
              </w:rPr>
            </w:pPr>
            <w:r>
              <w:rPr>
                <w:rFonts w:ascii="Roboto;sans-serif" w:hAnsi="Roboto;sans-serif"/>
                <w:b w:val="false"/>
                <w:color w:val="000000"/>
                <w:sz w:val="18"/>
              </w:rPr>
              <w:t>June 20, 2024</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pacb-10qxexx311xq2x24.htm">
              <w:r>
                <w:rPr>
                  <w:rStyle w:val="InternetLink"/>
                  <w:rFonts w:ascii="Roboto;sans-serif" w:hAnsi="Roboto;sans-serif"/>
                  <w:b w:val="false"/>
                  <w:color w:val="000080"/>
                  <w:sz w:val="18"/>
                  <w:u w:val="single"/>
                </w:rPr>
                <w:t>31</w:t>
              </w:r>
            </w:hyperlink>
            <w:r>
              <w:rPr>
                <w:rFonts w:ascii="Roboto;sans-serif" w:hAnsi="Roboto;sans-serif"/>
                <w:b w:val="false"/>
                <w:color w:val="0000FF"/>
                <w:sz w:val="18"/>
                <w:u w:val="single"/>
              </w:rPr>
              <w:t>.1</w:t>
            </w:r>
          </w:p>
        </w:tc>
        <w:tc>
          <w:tcPr>
            <w:tcW w:w="6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pacb-10qxexx311xq2x24.htm">
              <w:r>
                <w:rPr>
                  <w:rStyle w:val="InternetLink"/>
                  <w:rFonts w:ascii="Roboto;sans-serif" w:hAnsi="Roboto;sans-serif"/>
                  <w:b w:val="false"/>
                  <w:color w:val="0000FF"/>
                  <w:sz w:val="18"/>
                  <w:u w:val="single"/>
                </w:rPr>
                <w:t>Certification of Chief Executive Officer pursuant to Exchange Act Rules 13a-14(a) and 15d-14(a), as adopted pursuant to Section 302 of the Sarbanes-Oxley Act of 2002</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pacb-10qxexx312xq2x24.htm">
              <w:r>
                <w:rPr>
                  <w:rStyle w:val="InternetLink"/>
                  <w:rFonts w:ascii="Roboto;sans-serif" w:hAnsi="Roboto;sans-serif"/>
                  <w:b w:val="false"/>
                  <w:color w:val="000080"/>
                  <w:sz w:val="18"/>
                  <w:u w:val="single"/>
                </w:rPr>
                <w:t>31</w:t>
              </w:r>
            </w:hyperlink>
            <w:r>
              <w:rPr>
                <w:rFonts w:ascii="Roboto;sans-serif" w:hAnsi="Roboto;sans-serif"/>
                <w:b w:val="false"/>
                <w:color w:val="0000FF"/>
                <w:sz w:val="18"/>
                <w:u w:val="single"/>
              </w:rPr>
              <w:t>.2</w:t>
            </w:r>
          </w:p>
        </w:tc>
        <w:tc>
          <w:tcPr>
            <w:tcW w:w="6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pacb-10qxexx312xq2x24.htm">
              <w:r>
                <w:rPr>
                  <w:rStyle w:val="InternetLink"/>
                  <w:rFonts w:ascii="Roboto;sans-serif" w:hAnsi="Roboto;sans-serif"/>
                  <w:b w:val="false"/>
                  <w:color w:val="0000FF"/>
                  <w:sz w:val="18"/>
                  <w:u w:val="single"/>
                </w:rPr>
                <w:t>Certification of Chief Financial Officer pursuant to Exchange Act Rules 13a-14(a) and 15d-14(a), as adopted pursuant to Section 302 of the Sarbanes-Oxley Act of 2002</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pacb-10qxexx321xq2x24.htm">
              <w:r>
                <w:rPr>
                  <w:rStyle w:val="InternetLink"/>
                  <w:rFonts w:ascii="Roboto;sans-serif" w:hAnsi="Roboto;sans-serif"/>
                  <w:b w:val="false"/>
                  <w:color w:val="0000FF"/>
                  <w:sz w:val="18"/>
                  <w:u w:val="single"/>
                </w:rPr>
                <w:t>32.1</w:t>
              </w:r>
            </w:hyperlink>
            <w:r>
              <w:rPr>
                <w:rFonts w:ascii="Roboto;sans-serif" w:hAnsi="Roboto;sans-serif"/>
                <w:b w:val="false"/>
                <w:color w:val="000000"/>
                <w:sz w:val="18"/>
              </w:rPr>
              <w:t>*</w:t>
            </w:r>
          </w:p>
        </w:tc>
        <w:tc>
          <w:tcPr>
            <w:tcW w:w="63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pacb-10qxexx321xq2x24.htm">
              <w:r>
                <w:rPr>
                  <w:rStyle w:val="InternetLink"/>
                  <w:rFonts w:ascii="Roboto;sans-serif" w:hAnsi="Roboto;sans-serif"/>
                  <w:b w:val="false"/>
                  <w:color w:val="0000FF"/>
                  <w:sz w:val="18"/>
                  <w:u w:val="single"/>
                </w:rPr>
                <w:t>Certification of Chief Executive Officer pursuant to 18 U.S.C. Section 1350, as adopted pursuant to Section 906 of the Sarbanes-Oxley Act of 2002</w:t>
              </w:r>
            </w:hyperlink>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Furnished herewith</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pacb-10qxexx322xq2x24.htm">
              <w:r>
                <w:rPr>
                  <w:rStyle w:val="InternetLink"/>
                  <w:rFonts w:ascii="Roboto;sans-serif" w:hAnsi="Roboto;sans-serif"/>
                  <w:b w:val="false"/>
                  <w:color w:val="0000FF"/>
                  <w:sz w:val="18"/>
                  <w:u w:val="single"/>
                </w:rPr>
                <w:t>32.2</w:t>
              </w:r>
            </w:hyperlink>
            <w:r>
              <w:rPr>
                <w:rFonts w:ascii="Roboto;sans-serif" w:hAnsi="Roboto;sans-serif"/>
                <w:b w:val="false"/>
                <w:color w:val="000000"/>
                <w:sz w:val="18"/>
              </w:rPr>
              <w:t>*</w:t>
            </w:r>
          </w:p>
        </w:tc>
        <w:tc>
          <w:tcPr>
            <w:tcW w:w="637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pacb-10qxexx322xq2x24.htm">
              <w:r>
                <w:rPr>
                  <w:rStyle w:val="InternetLink"/>
                  <w:rFonts w:ascii="Roboto;sans-serif" w:hAnsi="Roboto;sans-serif"/>
                  <w:b w:val="false"/>
                  <w:color w:val="0000FF"/>
                  <w:sz w:val="18"/>
                  <w:u w:val="single"/>
                </w:rPr>
                <w:t>Certification of Chief Financial Officer pursuant to 18 U.S.C. Section 1350, as adopted pursuant to Section 906 of the Sarbanes-Oxley Act of 2002</w:t>
              </w:r>
            </w:hyperlink>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Furnished herewith</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101.INS</w:t>
            </w:r>
          </w:p>
        </w:tc>
        <w:tc>
          <w:tcPr>
            <w:tcW w:w="6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XBRL Instance Document (the instance document does not appear in the Interactive Data File because its XBRL tags are embedded within the Inline XBRL document)</w:t>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101.SCH</w:t>
            </w:r>
          </w:p>
        </w:tc>
        <w:tc>
          <w:tcPr>
            <w:tcW w:w="6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Schema Document</w:t>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101.CAL</w:t>
            </w:r>
          </w:p>
        </w:tc>
        <w:tc>
          <w:tcPr>
            <w:tcW w:w="6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Calculation Linkbase Document</w:t>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101.DEF</w:t>
            </w:r>
          </w:p>
        </w:tc>
        <w:tc>
          <w:tcPr>
            <w:tcW w:w="6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Definition Linkbase Document</w:t>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101.LAB</w:t>
            </w:r>
          </w:p>
        </w:tc>
        <w:tc>
          <w:tcPr>
            <w:tcW w:w="6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Labels Linkbase Document</w:t>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101.PRE</w:t>
            </w:r>
          </w:p>
        </w:tc>
        <w:tc>
          <w:tcPr>
            <w:tcW w:w="63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Inline XBRL Taxonomy Extension Presentation Linkbase Document</w:t>
            </w:r>
          </w:p>
        </w:tc>
        <w:tc>
          <w:tcPr>
            <w:tcW w:w="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r>
        <w:trPr/>
        <w:tc>
          <w:tcPr>
            <w:tcW w:w="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104</w:t>
            </w:r>
          </w:p>
        </w:tc>
        <w:tc>
          <w:tcPr>
            <w:tcW w:w="63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18"/>
              </w:rPr>
            </w:pPr>
            <w:r>
              <w:rPr>
                <w:rFonts w:ascii="Roboto;sans-serif" w:hAnsi="Roboto;sans-serif"/>
                <w:b w:val="false"/>
                <w:color w:val="000000"/>
                <w:sz w:val="18"/>
              </w:rPr>
              <w:t>Cover Page Interactive File (formatted as inline XBRL and contained in Exhibit 101)</w:t>
            </w:r>
          </w:p>
        </w:tc>
        <w:tc>
          <w:tcPr>
            <w:tcW w:w="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val="false"/>
                <w:color w:val="000000"/>
                <w:sz w:val="18"/>
              </w:rPr>
            </w:pPr>
            <w:r>
              <w:rPr>
                <w:rFonts w:ascii="Roboto;sans-serif" w:hAnsi="Roboto;sans-serif"/>
                <w:b w:val="false"/>
                <w:color w:val="000000"/>
                <w:sz w:val="18"/>
              </w:rPr>
              <w:t>Filed herewith</w:t>
            </w:r>
          </w:p>
        </w:tc>
      </w:tr>
    </w:tbl>
    <w:p>
      <w:pPr>
        <w:pStyle w:val="TextBody"/>
        <w:bidi w:val="0"/>
        <w:spacing w:lineRule="auto" w:line="288" w:before="0" w:after="0"/>
        <w:ind w:left="0" w:right="0" w:hanging="360"/>
        <w:jc w:val="both"/>
        <w:rPr>
          <w:rFonts w:ascii="Roboto;sans-serif" w:hAnsi="Roboto;sans-serif"/>
          <w:b w:val="false"/>
          <w:color w:val="000000"/>
          <w:sz w:val="18"/>
        </w:rPr>
      </w:pPr>
      <w:r>
        <w:rPr>
          <w:rFonts w:ascii="Roboto;sans-serif" w:hAnsi="Roboto;sans-serif"/>
          <w:b w:val="false"/>
          <w:color w:val="000000"/>
          <w:sz w:val="18"/>
        </w:rPr>
        <w:t>______________________________________________________________________________</w:t>
      </w:r>
    </w:p>
    <w:p>
      <w:pPr>
        <w:pStyle w:val="TextBody"/>
        <w:bidi w:val="0"/>
        <w:spacing w:lineRule="auto" w:line="288" w:before="120" w:after="283"/>
        <w:ind w:left="0" w:right="0" w:hanging="360"/>
        <w:jc w:val="both"/>
        <w:rPr/>
      </w:pPr>
      <w:r>
        <w:rPr>
          <w:rFonts w:ascii="Roboto;sans-serif" w:hAnsi="Roboto;sans-serif"/>
          <w:b w:val="false"/>
          <w:color w:val="000000"/>
          <w:sz w:val="20"/>
        </w:rPr>
        <w:t>*The certification</w:t>
      </w:r>
      <w:r>
        <w:rPr>
          <w:rFonts w:ascii="Roboto;sans-serif" w:hAnsi="Roboto;sans-serif"/>
          <w:b w:val="false"/>
          <w:color w:val="000000"/>
          <w:sz w:val="20"/>
          <w:shd w:fill="FFFFFF" w:val="clear"/>
        </w:rPr>
        <w:t>s att</w:t>
      </w:r>
      <w:r>
        <w:rPr>
          <w:rFonts w:ascii="Roboto;sans-serif" w:hAnsi="Roboto;sans-serif"/>
          <w:b w:val="false"/>
          <w:color w:val="000000"/>
          <w:sz w:val="20"/>
        </w:rPr>
        <w: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lineRule="auto" w:line="288" w:before="180" w:after="283"/>
        <w:ind w:left="0" w:right="0" w:hanging="360"/>
        <w:jc w:val="both"/>
        <w:rPr>
          <w:rFonts w:ascii="Roboto;sans-serif" w:hAnsi="Roboto;sans-serif"/>
          <w:b w:val="false"/>
          <w:color w:val="000000"/>
          <w:sz w:val="20"/>
        </w:rPr>
      </w:pPr>
      <w:r>
        <w:rPr>
          <w:rFonts w:ascii="Roboto;sans-serif" w:hAnsi="Roboto;sans-serif"/>
          <w:b w:val="false"/>
          <w:color w:val="000000"/>
          <w:sz w:val="20"/>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f6b0fb93fca346b681fa51b22bb3bc4e_7">
        <w:r>
          <w:rPr>
            <w:rStyle w:val="InternetLink"/>
            <w:rFonts w:ascii="Roboto;sans-serif" w:hAnsi="Roboto;sans-serif"/>
            <w:b w:val="false"/>
            <w:color w:val="0000FF"/>
            <w:sz w:val="20"/>
            <w:u w:val="single"/>
          </w:rPr>
          <w:t>Table of Contents</w:t>
        </w:r>
      </w:hyperlink>
    </w:p>
    <w:p>
      <w:pPr>
        <w:pStyle w:val="TextBody"/>
        <w:bidi w:val="0"/>
        <w:spacing w:lineRule="auto" w:line="288" w:before="240" w:after="283"/>
        <w:jc w:val="both"/>
        <w:rPr>
          <w:rFonts w:ascii="Roboto;sans-serif" w:hAnsi="Roboto;sans-serif"/>
          <w:b/>
          <w:color w:val="000000"/>
          <w:sz w:val="20"/>
        </w:rPr>
      </w:pPr>
      <w:r>
        <w:rPr>
          <w:rFonts w:ascii="Roboto;sans-serif" w:hAnsi="Roboto;sans-serif"/>
          <w:b/>
          <w:color w:val="000000"/>
          <w:sz w:val="20"/>
        </w:rPr>
        <w:t>Signatures</w:t>
      </w:r>
    </w:p>
    <w:p>
      <w:pPr>
        <w:pStyle w:val="TextBody"/>
        <w:bidi w:val="0"/>
        <w:spacing w:lineRule="auto" w:line="288" w:before="120" w:after="283"/>
        <w:ind w:left="0" w:right="0" w:firstLine="360"/>
        <w:jc w:val="both"/>
        <w:rPr>
          <w:rFonts w:ascii="Roboto;sans-serif" w:hAnsi="Roboto;sans-serif"/>
          <w:b w:val="false"/>
          <w:color w:val="000000"/>
          <w:sz w:val="20"/>
        </w:rPr>
      </w:pPr>
      <w:r>
        <w:rPr>
          <w:rFonts w:ascii="Roboto;sans-serif" w:hAnsi="Roboto;sans-serif"/>
          <w:b w:val="false"/>
          <w:color w:val="000000"/>
          <w:sz w:val="20"/>
        </w:rPr>
        <w:t>Pursuant to the requirements of the Securities Exchange Act of 1934, the registrant has duly caused this report to be signed on its behalf by the undersigned thereunto duly authorized.</w:t>
      </w:r>
    </w:p>
    <w:tbl>
      <w:tblPr>
        <w:tblW w:w="7017" w:type="dxa"/>
        <w:jc w:val="left"/>
        <w:tblInd w:w="0" w:type="dxa"/>
        <w:tblLayout w:type="fixed"/>
        <w:tblCellMar>
          <w:top w:w="28" w:type="dxa"/>
          <w:left w:w="28" w:type="dxa"/>
          <w:bottom w:w="28" w:type="dxa"/>
          <w:right w:w="28" w:type="dxa"/>
        </w:tblCellMar>
      </w:tblPr>
      <w:tblGrid>
        <w:gridCol w:w="782"/>
        <w:gridCol w:w="685"/>
        <w:gridCol w:w="692"/>
        <w:gridCol w:w="139"/>
        <w:gridCol w:w="139"/>
        <w:gridCol w:w="141"/>
        <w:gridCol w:w="1300"/>
        <w:gridCol w:w="1300"/>
        <w:gridCol w:w="1839"/>
      </w:tblGrid>
      <w:tr>
        <w:trPr/>
        <w:tc>
          <w:tcPr>
            <w:tcW w:w="7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Roboto;sans-serif" w:hAnsi="Roboto;sans-serif"/>
                <w:b/>
                <w:color w:val="000000"/>
                <w:sz w:val="20"/>
              </w:rPr>
            </w:pPr>
            <w:r>
              <w:rPr>
                <w:rFonts w:ascii="Roboto;sans-serif" w:hAnsi="Roboto;sans-serif"/>
                <w:b/>
                <w:color w:val="000000"/>
                <w:sz w:val="20"/>
              </w:rPr>
              <w:t>Pacific Biosciences of California, Inc.</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Date: August 8, 2024</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 xml:space="preserve">/s/ Christian O. Henry </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Christian O. Henry</w:t>
            </w:r>
          </w:p>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President and Chief Executive Officer</w:t>
            </w:r>
          </w:p>
          <w:p>
            <w:pPr>
              <w:pStyle w:val="TableContents"/>
              <w:bidi w:val="0"/>
              <w:spacing w:lineRule="auto" w:line="288" w:before="0" w:after="0"/>
              <w:jc w:val="center"/>
              <w:rPr>
                <w:rFonts w:ascii="Roboto;sans-serif" w:hAnsi="Roboto;sans-serif"/>
                <w:b w:val="false"/>
                <w:i/>
                <w:color w:val="000000"/>
                <w:sz w:val="20"/>
              </w:rPr>
            </w:pPr>
            <w:r>
              <w:rPr>
                <w:rFonts w:ascii="Roboto;sans-serif" w:hAnsi="Roboto;sans-serif"/>
                <w:b w:val="false"/>
                <w:i/>
                <w:color w:val="000000"/>
                <w:sz w:val="20"/>
              </w:rPr>
              <w:t>(Principal Executive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Date: August 8, 2024</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/s/ Susan G. Kim</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Susan G. Kim</w:t>
            </w:r>
          </w:p>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 xml:space="preserve">Chief Financial Officer </w:t>
            </w:r>
          </w:p>
          <w:p>
            <w:pPr>
              <w:pStyle w:val="TableContents"/>
              <w:bidi w:val="0"/>
              <w:spacing w:lineRule="auto" w:line="288" w:before="0" w:after="0"/>
              <w:jc w:val="center"/>
              <w:rPr>
                <w:rFonts w:ascii="Roboto;sans-serif" w:hAnsi="Roboto;sans-serif"/>
                <w:b w:val="false"/>
                <w:i/>
                <w:color w:val="000000"/>
                <w:sz w:val="20"/>
              </w:rPr>
            </w:pPr>
            <w:r>
              <w:rPr>
                <w:rFonts w:ascii="Roboto;sans-serif" w:hAnsi="Roboto;sans-serif"/>
                <w:b w:val="false"/>
                <w:i/>
                <w:color w:val="000000"/>
                <w:sz w:val="20"/>
              </w:rPr>
              <w:t>(Principal Financial Officer)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Roboto;sans-serif" w:hAnsi="Roboto;sans-serif"/>
                <w:b w:val="false"/>
                <w:color w:val="000000"/>
                <w:sz w:val="20"/>
              </w:rPr>
            </w:pPr>
            <w:r>
              <w:rPr>
                <w:rFonts w:ascii="Roboto;sans-serif" w:hAnsi="Roboto;sans-serif"/>
                <w:b w:val="false"/>
                <w:color w:val="000000"/>
                <w:sz w:val="20"/>
              </w:rPr>
              <w:t>Date: August 8, 2024</w:t>
            </w:r>
          </w:p>
        </w:tc>
        <w:tc>
          <w:tcPr>
            <w:tcW w:w="4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Roboto;sans-serif" w:hAnsi="Roboto;sans-serif"/>
                <w:b w:val="false"/>
                <w:color w:val="000000"/>
                <w:sz w:val="20"/>
              </w:rPr>
            </w:pPr>
            <w:r>
              <w:rPr>
                <w:rFonts w:ascii="Roboto;sans-serif" w:hAnsi="Roboto;sans-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/s/ Michele Farmer</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Michele Farmer</w:t>
            </w:r>
          </w:p>
          <w:p>
            <w:pPr>
              <w:pStyle w:val="TableContents"/>
              <w:bidi w:val="0"/>
              <w:spacing w:lineRule="auto" w:line="288" w:before="0" w:after="0"/>
              <w:jc w:val="center"/>
              <w:rPr>
                <w:rFonts w:ascii="Roboto;sans-serif" w:hAnsi="Roboto;sans-serif"/>
                <w:b w:val="false"/>
                <w:color w:val="000000"/>
                <w:sz w:val="20"/>
              </w:rPr>
            </w:pPr>
            <w:r>
              <w:rPr>
                <w:rFonts w:ascii="Roboto;sans-serif" w:hAnsi="Roboto;sans-serif"/>
                <w:b w:val="false"/>
                <w:color w:val="000000"/>
                <w:sz w:val="20"/>
              </w:rPr>
              <w:t xml:space="preserve">Vice President and Chief Accounting Officer </w:t>
            </w:r>
          </w:p>
          <w:p>
            <w:pPr>
              <w:pStyle w:val="TableContents"/>
              <w:bidi w:val="0"/>
              <w:spacing w:lineRule="auto" w:line="288" w:before="0" w:after="0"/>
              <w:jc w:val="center"/>
              <w:rPr>
                <w:rFonts w:ascii="Roboto;sans-serif" w:hAnsi="Roboto;sans-serif"/>
                <w:b w:val="false"/>
                <w:i/>
                <w:color w:val="000000"/>
                <w:sz w:val="20"/>
              </w:rPr>
            </w:pPr>
            <w:r>
              <w:rPr>
                <w:rFonts w:ascii="Roboto;sans-serif" w:hAnsi="Roboto;sans-serif"/>
                <w:b w:val="false"/>
                <w:i/>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4"/>
        </w:rPr>
      </w:pPr>
      <w:r>
        <w:rPr>
          <w:rFonts w:ascii="Times New Roman;sans-serif" w:hAnsi="Times New Roman;sans-serif"/>
          <w:b/>
          <w:color w:val="000000"/>
          <w:sz w:val="24"/>
        </w:rPr>
        <w:t>Exhibit 31.1</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EXECUTIVE OFFICER PURSUANT TO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EXCHANGE ACT RULES 13a-14(a) AND 15d-14(a), AS ADOPTED PURSUANT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TO SECTION 302 OF THE SARBANES-OXLEY ACT OF 2002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Christian Henry, certify that: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Pacific Biosciences of California, Inc.;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Any fraud, whether or not material, that involves management or other employees who have a significant role in the registrant’s internal control over financial reporting. </w:t>
      </w:r>
    </w:p>
    <w:tbl>
      <w:tblPr>
        <w:tblW w:w="5547"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65"/>
        <w:gridCol w:w="965"/>
        <w:gridCol w:w="136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Christian O. Henry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Christian O. Henry</w:t>
              <w:br/>
              <w:t xml:space="preserve"> President and Chief Executive Officer </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 xml:space="preserve">Exhibit 31.2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PURSUANT TO </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EXCHANGE ACT RULES 13a-14(a) AND 15d-14(a), AS ADOPTED PURSUANT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TO SECTION 302 OF THE SARBANES-OXLEY ACT OF 2002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Susan Kim, certify that: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I have reviewed this quarterly report on Form 10-Q of Pacific Biosciences of California, Inc.;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120" w:after="283"/>
        <w:jc w:val="left"/>
        <w:rPr/>
      </w:pPr>
      <w:r>
        <w:rPr/>
      </w:r>
    </w:p>
    <w:p>
      <w:pPr>
        <w:pStyle w:val="TextBody"/>
        <w:bidi w:val="0"/>
        <w:spacing w:before="120" w:after="283"/>
        <w:ind w:left="0" w:right="0" w:firstLine="810"/>
        <w:jc w:val="left"/>
        <w:rPr/>
      </w:pPr>
      <w:r>
        <w:rPr/>
      </w:r>
    </w:p>
    <w:tbl>
      <w:tblPr>
        <w:tblW w:w="466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06"/>
        <w:gridCol w:w="706"/>
        <w:gridCol w:w="100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Susan G. Kim</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Susan G. Kim</w:t>
              <w:br/>
              <w:t xml:space="preserve">Chief Financial Officer </w:t>
              <w:br/>
              <w:t>(Principal Financial Officer)</w:t>
            </w:r>
          </w:p>
        </w:tc>
      </w:tr>
    </w:tbl>
    <w:p>
      <w:pPr>
        <w:pStyle w:val="TextBody"/>
        <w:bidi w:val="0"/>
        <w:spacing w:before="180" w:after="283"/>
        <w:ind w:left="0" w:right="0" w:firstLine="49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 xml:space="preserve">Exhibit 32.1 </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CEO Furnished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Pacific Biosciences of California, Inc. (the “Company”) on Form 10-Q for the period ended June 30, 2024,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 </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(i)the Quarterly Report of the Company on Form 10-Q for the period ended June 30, 2024 (the “Report”), fully complies with the requirements of section 13(a) or 15(d) of the Securities Exchange Act of 1934, and </w:t>
      </w:r>
    </w:p>
    <w:p>
      <w:pPr>
        <w:pStyle w:val="TextBody"/>
        <w:bidi w:val="0"/>
        <w:spacing w:lineRule="auto" w:line="288" w:before="200" w:after="283"/>
        <w:ind w:left="0" w:right="0" w:hanging="360"/>
        <w:jc w:val="left"/>
        <w:rPr/>
      </w:pPr>
      <w:r>
        <w:rPr>
          <w:rFonts w:ascii="Times New Roman;sans-serif" w:hAnsi="Times New Roman;sans-serif"/>
          <w:b w:val="false"/>
          <w:color w:val="000000"/>
          <w:sz w:val="20"/>
        </w:rPr>
        <w:t>(ii)the information contained in the Report fairly presents, in all material respects, the financial condition and results of operations of the Company.</w:t>
      </w:r>
      <w:r>
        <w:rPr>
          <w:color w:val="000000"/>
        </w:rPr>
        <w:t xml:space="preserve"> </w:t>
      </w:r>
    </w:p>
    <w:tbl>
      <w:tblPr>
        <w:tblW w:w="5502"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952"/>
        <w:gridCol w:w="952"/>
        <w:gridCol w:w="135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Christian O. Henry</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Christian O. Henry</w:t>
              <w:br/>
              <w:t> 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32.2</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CFO Furnished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Pacific Biosciences of California, Inc. (the “Company”) on Form 10-Q for the period ended June 30, 2024, as filed with the Securities and Exchange Commission on the date hereof, I, Susan Kim, Chief Financial Officer of the Company, certify for the purposes of section 1350 of chapter 63 of title 18 of the United States Code, as adopted pursuant to Section 906 of the Sarbanes-Oxley Act of 2002, that, to the best of my knowledge, </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(i)the Quarterly Report of the Company on Form 10-Q for the period ended June 30, 2024 (the “Report”), fully complies with the requirements of section 13(a) or 15(d) of the Securities Exchange Act of 1934, and </w:t>
      </w:r>
    </w:p>
    <w:p>
      <w:pPr>
        <w:pStyle w:val="TextBody"/>
        <w:bidi w:val="0"/>
        <w:spacing w:lineRule="auto" w:line="288" w:before="20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(ii)the information contained in the Report fairly presents, in all material respects, the financial condition and results of operations of the Company. </w:t>
      </w:r>
    </w:p>
    <w:tbl>
      <w:tblPr>
        <w:tblW w:w="4663" w:type="dxa"/>
        <w:jc w:val="left"/>
        <w:tblInd w:w="0" w:type="dxa"/>
        <w:tblLayout w:type="fixed"/>
        <w:tblCellMar>
          <w:top w:w="28" w:type="dxa"/>
          <w:left w:w="28" w:type="dxa"/>
          <w:bottom w:w="28" w:type="dxa"/>
          <w:right w:w="28" w:type="dxa"/>
        </w:tblCellMar>
      </w:tblPr>
      <w:tblGrid>
        <w:gridCol w:w="667"/>
        <w:gridCol w:w="587"/>
        <w:gridCol w:w="590"/>
        <w:gridCol w:w="134"/>
        <w:gridCol w:w="134"/>
        <w:gridCol w:w="136"/>
        <w:gridCol w:w="706"/>
        <w:gridCol w:w="706"/>
        <w:gridCol w:w="100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Susan G. Kim</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Susan G. Kim </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Roboto">
    <w:altName w:val="sans-serif"/>
    <w:charset w:val="01"/>
    <w:family w:val="auto"/>
    <w:pitch w:val="default"/>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99130/000119312511075269/dex31.htm" TargetMode="External"/><Relationship Id="rId4" Type="http://schemas.openxmlformats.org/officeDocument/2006/relationships/hyperlink" Target="https://www.sec.gov/Archives/edgar/data/1299130/000119312511075269/dex31.htm" TargetMode="External"/><Relationship Id="rId5" Type="http://schemas.openxmlformats.org/officeDocument/2006/relationships/hyperlink" Target="https://www.sec.gov/Archives/edgar/data/0001299130/000129913024000146/exhibit31-certificateofame.htm" TargetMode="External"/><Relationship Id="rId6" Type="http://schemas.openxmlformats.org/officeDocument/2006/relationships/hyperlink" Target="https://www.sec.gov/Archives/edgar/data/0001299130/000129913024000146/exhibit31-certificateofame.htm" TargetMode="External"/><Relationship Id="rId7" Type="http://schemas.openxmlformats.org/officeDocument/2006/relationships/hyperlink" Target="https://www.sec.gov/Archives/edgar/data/0001299130/000129913024000146/exhibit32-certificateofame.htm" TargetMode="External"/><Relationship Id="rId8" Type="http://schemas.openxmlformats.org/officeDocument/2006/relationships/hyperlink" Target="https://www.sec.gov/Archives/edgar/data/0001299130/000129913024000146/exhibit32-certificateofame.htm" TargetMode="External"/><Relationship Id="rId9" Type="http://schemas.openxmlformats.org/officeDocument/2006/relationships/hyperlink" Target="https://www.sec.gov/Archives/edgar/data/1299130/000129913022000128/pacb-20221103xex3_1.htm" TargetMode="External"/><Relationship Id="rId10" Type="http://schemas.openxmlformats.org/officeDocument/2006/relationships/hyperlink" Target="https://www.sec.gov/Archives/edgar/data/1299130/000129913022000128/pacb-20221103xex3_1.htm" TargetMode="External"/><Relationship Id="rId11" Type="http://schemas.openxmlformats.org/officeDocument/2006/relationships/hyperlink" Target="https://www.sec.gov/Archives/edgar/data/1299130/000129913022000128/pacb-20221103xex3_1.htm" TargetMode="External"/><Relationship Id="rId12" Type="http://schemas.openxmlformats.org/officeDocument/2006/relationships/hyperlink" Target="https://www.sec.gov/Archives/edgar/data/0001299130/000129913024000146/exhibit101-2020equityincen.htm" TargetMode="External"/><Relationship Id="rId13" Type="http://schemas.openxmlformats.org/officeDocument/2006/relationships/hyperlink" Target="https://www.sec.gov/Archives/edgar/data/0001299130/000129913024000146/exhibit101-2020equityincen.htm" TargetMode="External"/><Relationship Id="rId14" Type="http://schemas.openxmlformats.org/officeDocument/2006/relationships/hyperlink" Target="https://www.sec.gov/Archives/edgar/data/0001299130/000129913024000146/exhibit101-2020equityincen.htm" TargetMode="External"/><Relationship Id="rId15" Type="http://schemas.openxmlformats.org/officeDocument/2006/relationships/hyperlink" Target="https://www.sec.gov/Archives/edgar/data/0001299130/000129913024000146/exhibit102-pacbio2020eipst.htm" TargetMode="External"/><Relationship Id="rId16" Type="http://schemas.openxmlformats.org/officeDocument/2006/relationships/hyperlink" Target="https://www.sec.gov/Archives/edgar/data/0001299130/000129913024000146/exhibit102-pacbio2020eipst.htm" TargetMode="External"/><Relationship Id="rId17" Type="http://schemas.openxmlformats.org/officeDocument/2006/relationships/hyperlink" Target="https://www.sec.gov/Archives/edgar/data/0001299130/000129913024000146/exhibit102-pacbio2020eipst.htm" TargetMode="External"/><Relationship Id="rId18" Type="http://schemas.openxmlformats.org/officeDocument/2006/relationships/hyperlink" Target="https://www.sec.gov/Archives/edgar/data/0001299130/000129913024000146/exhibit103-pacbio2020eiprs.htm" TargetMode="External"/><Relationship Id="rId19" Type="http://schemas.openxmlformats.org/officeDocument/2006/relationships/hyperlink" Target="https://www.sec.gov/Archives/edgar/data/0001299130/000129913024000146/exhibit103-pacbio2020eiprs.htm" TargetMode="External"/><Relationship Id="rId20" Type="http://schemas.openxmlformats.org/officeDocument/2006/relationships/hyperlink" Target="https://www.sec.gov/Archives/edgar/data/0001299130/000129913024000146/exhibit103-pacbio2020eiprs.htm" TargetMode="External"/><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48999</Words>
  <Characters>272024</Characters>
  <CharactersWithSpaces>319299</CharactersWithSpaces>
  <Paragraphs>2884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