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200" w:after="283"/>
        <w:jc w:val="center"/>
        <w:rPr/>
      </w:pPr>
      <w:r>
        <w:rPr>
          <w:rFonts w:ascii="Wingdings;sans-serif" w:hAnsi="Wingdings;sans-serif"/>
          <w:b/>
          <w:color w:val="000000"/>
          <w:sz w:val="18"/>
        </w:rPr>
        <w:t>o</w:t>
      </w: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001-34899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before="60" w:after="283"/>
        <w:jc w:val="center"/>
        <w:rPr/>
      </w:pPr>
      <w:r>
        <w:rPr/>
        <w:drawing>
          <wp:inline distT="0" distB="0" distL="0" distR="0">
            <wp:extent cx="2476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715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Pacific Biosciences of California,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16-1590339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1305 O’Brien Drive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Menlo Park,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94025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(650) 521-8000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PACB</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94"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69"/>
        <w:gridCol w:w="669"/>
        <w:gridCol w:w="672"/>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0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Number of shares outstanding of the issuer’s common stock as of July 31, 2023: 250,558,293.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center"/>
        <w:rPr>
          <w:rFonts w:ascii="Roboto;sans-serif" w:hAnsi="Roboto;sans-serif"/>
          <w:b/>
          <w:color w:val="000000"/>
          <w:sz w:val="20"/>
        </w:rPr>
      </w:pPr>
      <w:r>
        <w:rPr>
          <w:rFonts w:ascii="Roboto;sans-serif" w:hAnsi="Roboto;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20"/>
        <w:gridCol w:w="2917"/>
        <w:gridCol w:w="2930"/>
        <w:gridCol w:w="303"/>
        <w:gridCol w:w="303"/>
        <w:gridCol w:w="432"/>
      </w:tblGrid>
      <w:tr>
        <w:trPr/>
        <w:tc>
          <w:tcPr>
            <w:tcW w:w="3320"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1318ee9ee24960a22a8148d35dc3c7_10">
              <w:r>
                <w:rPr>
                  <w:rStyle w:val="InternetLink"/>
                  <w:rFonts w:ascii="Roboto;sans-serif" w:hAnsi="Roboto;sans-serif"/>
                  <w:b/>
                  <w:strike w:val="false"/>
                  <w:dstrike w:val="false"/>
                  <w:color w:val="000000"/>
                  <w:sz w:val="20"/>
                  <w:u w:val="none"/>
                  <w:effect w:val="none"/>
                </w:rPr>
                <w:t>PART I. FINANCIAL INFORMATION</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color w:val="000000"/>
                <w:sz w:val="20"/>
                <w:u w:val="single"/>
              </w:rPr>
            </w:pPr>
            <w:r>
              <w:rPr>
                <w:rFonts w:ascii="Roboto;sans-serif" w:hAnsi="Roboto;sans-serif"/>
                <w:b/>
                <w:color w:val="000000"/>
                <w:sz w:val="20"/>
                <w:u w:val="single"/>
              </w:rPr>
              <w:t>PAGE No.</w:t>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3">
              <w:r>
                <w:rPr>
                  <w:rStyle w:val="InternetLink"/>
                  <w:rFonts w:ascii="Roboto;sans-serif" w:hAnsi="Roboto;sans-serif"/>
                  <w:b w:val="false"/>
                  <w:color w:val="0000FF"/>
                  <w:sz w:val="20"/>
                  <w:u w:val="single"/>
                </w:rPr>
                <w:t>Item 1. Financial Statements (unaudited):</w:t>
              </w:r>
            </w:hyperlink>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6">
              <w:r>
                <w:rPr>
                  <w:rStyle w:val="InternetLink"/>
                  <w:rFonts w:ascii="Roboto;sans-serif" w:hAnsi="Roboto;sans-serif"/>
                  <w:b w:val="false"/>
                  <w:color w:val="000080"/>
                  <w:sz w:val="20"/>
                  <w:u w:val="single"/>
                </w:rPr>
                <w:t>Condensed Consolidated Balance Sheets as of</w:t>
              </w:r>
            </w:hyperlink>
            <w:hyperlink w:anchor="ief1318ee9ee24960a22a8148d35dc3c7_16">
              <w:r>
                <w:rPr>
                  <w:rStyle w:val="InternetLink"/>
                  <w:rFonts w:ascii="Roboto;sans-serif" w:hAnsi="Roboto;sans-serif"/>
                  <w:b w:val="false"/>
                  <w:color w:val="000080"/>
                  <w:sz w:val="20"/>
                  <w:u w:val="single"/>
                </w:rPr>
                <w:t xml:space="preserve"> June 30, 2023 and December 31, 2022</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6">
              <w:r>
                <w:rPr>
                  <w:rStyle w:val="InternetLink"/>
                  <w:rFonts w:ascii="Roboto;sans-serif" w:hAnsi="Roboto;sans-serif"/>
                  <w:b w:val="false"/>
                  <w:strike w:val="false"/>
                  <w:dstrike w:val="false"/>
                  <w:color w:val="000000"/>
                  <w:sz w:val="20"/>
                  <w:u w:val="none"/>
                  <w:effect w:val="none"/>
                </w:rPr>
                <w:t>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9">
              <w:r>
                <w:rPr>
                  <w:rStyle w:val="InternetLink"/>
                  <w:rFonts w:ascii="Roboto;sans-serif" w:hAnsi="Roboto;sans-serif"/>
                  <w:b w:val="false"/>
                  <w:color w:val="000080"/>
                  <w:sz w:val="20"/>
                  <w:u w:val="single"/>
                </w:rPr>
                <w:t>Condensed Consolidated Statements of Operations and Comprehensive Loss for the</w:t>
              </w:r>
            </w:hyperlink>
            <w:hyperlink w:anchor="ief1318ee9ee24960a22a8148d35dc3c7_19">
              <w:r>
                <w:rPr>
                  <w:rStyle w:val="InternetLink"/>
                  <w:rFonts w:ascii="Roboto;sans-serif" w:hAnsi="Roboto;sans-serif"/>
                  <w:b w:val="false"/>
                  <w:color w:val="000080"/>
                  <w:sz w:val="20"/>
                  <w:u w:val="single"/>
                </w:rPr>
                <w:t xml:space="preserve"> Three and </w:t>
              </w:r>
            </w:hyperlink>
            <w:hyperlink w:anchor="ief1318ee9ee24960a22a8148d35dc3c7_19">
              <w:r>
                <w:rPr>
                  <w:rStyle w:val="InternetLink"/>
                  <w:rFonts w:ascii="Roboto;sans-serif" w:hAnsi="Roboto;sans-serif"/>
                  <w:b w:val="false"/>
                  <w:color w:val="000080"/>
                  <w:sz w:val="20"/>
                  <w:u w:val="single"/>
                </w:rPr>
                <w:t xml:space="preserve">Six Months Ended </w:t>
              </w:r>
            </w:hyperlink>
            <w:hyperlink w:anchor="ief1318ee9ee24960a22a8148d35dc3c7_19">
              <w:r>
                <w:rPr>
                  <w:rStyle w:val="InternetLink"/>
                  <w:rFonts w:ascii="Roboto;sans-serif" w:hAnsi="Roboto;sans-serif"/>
                  <w:b w:val="false"/>
                  <w:color w:val="000080"/>
                  <w:sz w:val="20"/>
                  <w:u w:val="single"/>
                </w:rPr>
                <w:t>June 30, 2023 and 2022</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9">
              <w:r>
                <w:rPr>
                  <w:rStyle w:val="InternetLink"/>
                  <w:rFonts w:ascii="Roboto;sans-serif" w:hAnsi="Roboto;sans-serif"/>
                  <w:b w:val="false"/>
                  <w:strike w:val="false"/>
                  <w:dstrike w:val="false"/>
                  <w:color w:val="000000"/>
                  <w:sz w:val="20"/>
                  <w:u w:val="none"/>
                  <w:effect w:val="none"/>
                </w:rPr>
                <w:t>4</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22">
              <w:r>
                <w:rPr>
                  <w:rStyle w:val="InternetLink"/>
                  <w:rFonts w:ascii="Roboto;sans-serif" w:hAnsi="Roboto;sans-serif"/>
                  <w:b w:val="false"/>
                  <w:color w:val="000080"/>
                  <w:sz w:val="20"/>
                  <w:u w:val="single"/>
                </w:rPr>
                <w:t>Condensed Consolidated Statements of Stockholders’ Equity for the</w:t>
              </w:r>
            </w:hyperlink>
            <w:hyperlink w:anchor="ief1318ee9ee24960a22a8148d35dc3c7_22">
              <w:r>
                <w:rPr>
                  <w:rStyle w:val="InternetLink"/>
                  <w:rFonts w:ascii="Roboto;sans-serif" w:hAnsi="Roboto;sans-serif"/>
                  <w:b w:val="false"/>
                  <w:color w:val="000080"/>
                  <w:sz w:val="20"/>
                  <w:u w:val="single"/>
                </w:rPr>
                <w:t xml:space="preserve"> Three and Six Months Ended June 30, 2023 and 2022</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22">
              <w:r>
                <w:rPr>
                  <w:rStyle w:val="InternetLink"/>
                  <w:rFonts w:ascii="Roboto;sans-serif" w:hAnsi="Roboto;sans-serif"/>
                  <w:b w:val="false"/>
                  <w:strike w:val="false"/>
                  <w:dstrike w:val="false"/>
                  <w:color w:val="000000"/>
                  <w:sz w:val="20"/>
                  <w:u w:val="none"/>
                  <w:effect w:val="none"/>
                </w:rPr>
                <w:t>5</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25">
              <w:r>
                <w:rPr>
                  <w:rStyle w:val="InternetLink"/>
                  <w:rFonts w:ascii="Roboto;sans-serif" w:hAnsi="Roboto;sans-serif"/>
                  <w:b w:val="false"/>
                  <w:color w:val="000080"/>
                  <w:sz w:val="20"/>
                  <w:u w:val="single"/>
                </w:rPr>
                <w:t>Condensed Consolidated Statements of Cash Flows for the</w:t>
              </w:r>
            </w:hyperlink>
            <w:hyperlink w:anchor="ief1318ee9ee24960a22a8148d35dc3c7_25">
              <w:r>
                <w:rPr>
                  <w:rStyle w:val="InternetLink"/>
                  <w:rFonts w:ascii="Roboto;sans-serif" w:hAnsi="Roboto;sans-serif"/>
                  <w:b w:val="false"/>
                  <w:color w:val="000080"/>
                  <w:sz w:val="20"/>
                  <w:u w:val="single"/>
                </w:rPr>
                <w:t xml:space="preserve"> </w:t>
              </w:r>
            </w:hyperlink>
            <w:hyperlink w:anchor="ief1318ee9ee24960a22a8148d35dc3c7_25">
              <w:r>
                <w:rPr>
                  <w:rStyle w:val="InternetLink"/>
                  <w:rFonts w:ascii="Roboto;sans-serif" w:hAnsi="Roboto;sans-serif"/>
                  <w:b w:val="false"/>
                  <w:color w:val="000080"/>
                  <w:sz w:val="20"/>
                  <w:u w:val="single"/>
                </w:rPr>
                <w:t>Six Months Ended June 30, 2023 and 202</w:t>
              </w:r>
            </w:hyperlink>
            <w:hyperlink w:anchor="ief1318ee9ee24960a22a8148d35dc3c7_25">
              <w:r>
                <w:rPr>
                  <w:rStyle w:val="InternetLink"/>
                  <w:rFonts w:ascii="Roboto;sans-serif" w:hAnsi="Roboto;sans-serif"/>
                  <w:b w:val="false"/>
                  <w:color w:val="000080"/>
                  <w:sz w:val="20"/>
                  <w:u w:val="single"/>
                </w:rPr>
                <w:t>2</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25">
              <w:r>
                <w:rPr>
                  <w:rStyle w:val="InternetLink"/>
                  <w:rFonts w:ascii="Roboto;sans-serif" w:hAnsi="Roboto;sans-serif"/>
                  <w:b w:val="false"/>
                  <w:strike w:val="false"/>
                  <w:dstrike w:val="false"/>
                  <w:color w:val="000000"/>
                  <w:sz w:val="20"/>
                  <w:u w:val="none"/>
                  <w:effect w:val="none"/>
                </w:rPr>
                <w:t>6</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28">
              <w:r>
                <w:rPr>
                  <w:rStyle w:val="InternetLink"/>
                  <w:rFonts w:ascii="Roboto;sans-serif" w:hAnsi="Roboto;sans-serif"/>
                  <w:b w:val="false"/>
                  <w:color w:val="0000FF"/>
                  <w:sz w:val="20"/>
                  <w:u w:val="single"/>
                </w:rPr>
                <w:t xml:space="preserve">Notes to Condensed Consolidated Financial Statements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28">
              <w:r>
                <w:rPr>
                  <w:rStyle w:val="InternetLink"/>
                  <w:rFonts w:ascii="Roboto;sans-serif" w:hAnsi="Roboto;sans-serif"/>
                  <w:b w:val="false"/>
                  <w:strike w:val="false"/>
                  <w:dstrike w:val="false"/>
                  <w:color w:val="000000"/>
                  <w:sz w:val="20"/>
                  <w:u w:val="none"/>
                  <w:effect w:val="none"/>
                </w:rPr>
                <w:t>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67">
              <w:r>
                <w:rPr>
                  <w:rStyle w:val="InternetLink"/>
                  <w:rFonts w:ascii="Roboto;sans-serif" w:hAnsi="Roboto;sans-serif"/>
                  <w:b w:val="false"/>
                  <w:color w:val="0000FF"/>
                  <w:sz w:val="20"/>
                  <w:u w:val="single"/>
                </w:rPr>
                <w:t>Item 2. Management’s Discussion and Analysis of Financial Condition and Results of Operations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67">
              <w:r>
                <w:rPr>
                  <w:rStyle w:val="InternetLink"/>
                  <w:rFonts w:ascii="Roboto;sans-serif" w:hAnsi="Roboto;sans-serif"/>
                  <w:b w:val="false"/>
                  <w:strike w:val="false"/>
                  <w:dstrike w:val="false"/>
                  <w:color w:val="000000"/>
                  <w:sz w:val="20"/>
                  <w:u w:val="none"/>
                  <w:effect w:val="none"/>
                </w:rPr>
                <w:t>23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88">
              <w:r>
                <w:rPr>
                  <w:rStyle w:val="InternetLink"/>
                  <w:rFonts w:ascii="Roboto;sans-serif" w:hAnsi="Roboto;sans-serif"/>
                  <w:b w:val="false"/>
                  <w:color w:val="0000FF"/>
                  <w:sz w:val="20"/>
                  <w:u w:val="single"/>
                </w:rPr>
                <w:t>Item 3. Quantitative and Qualitative Disclosures About Market Risk</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88">
              <w:r>
                <w:rPr>
                  <w:rStyle w:val="InternetLink"/>
                  <w:rFonts w:ascii="Roboto;sans-serif" w:hAnsi="Roboto;sans-serif"/>
                  <w:b w:val="false"/>
                  <w:strike w:val="false"/>
                  <w:dstrike w:val="false"/>
                  <w:color w:val="000000"/>
                  <w:sz w:val="20"/>
                  <w:u w:val="none"/>
                  <w:effect w:val="none"/>
                </w:rPr>
                <w:t>32</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91">
              <w:r>
                <w:rPr>
                  <w:rStyle w:val="InternetLink"/>
                  <w:rFonts w:ascii="Roboto;sans-serif" w:hAnsi="Roboto;sans-serif"/>
                  <w:b w:val="false"/>
                  <w:color w:val="0000FF"/>
                  <w:sz w:val="20"/>
                  <w:u w:val="single"/>
                </w:rPr>
                <w:t>Item 4. Controls and Procedures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91">
              <w:r>
                <w:rPr>
                  <w:rStyle w:val="InternetLink"/>
                  <w:rFonts w:ascii="Roboto;sans-serif" w:hAnsi="Roboto;sans-serif"/>
                  <w:b w:val="false"/>
                  <w:strike w:val="false"/>
                  <w:dstrike w:val="false"/>
                  <w:color w:val="000000"/>
                  <w:sz w:val="20"/>
                  <w:u w:val="none"/>
                  <w:effect w:val="none"/>
                </w:rPr>
                <w:t>33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1318ee9ee24960a22a8148d35dc3c7_94">
              <w:r>
                <w:rPr>
                  <w:rStyle w:val="InternetLink"/>
                  <w:rFonts w:ascii="Roboto;sans-serif" w:hAnsi="Roboto;sans-serif"/>
                  <w:b/>
                  <w:strike w:val="false"/>
                  <w:dstrike w:val="false"/>
                  <w:color w:val="000000"/>
                  <w:sz w:val="20"/>
                  <w:u w:val="none"/>
                  <w:effect w:val="none"/>
                </w:rPr>
                <w:t>PART II. OTHER INFORMATION</w:t>
              </w:r>
            </w:hyperlink>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97">
              <w:r>
                <w:rPr>
                  <w:rStyle w:val="InternetLink"/>
                  <w:rFonts w:ascii="Roboto;sans-serif" w:hAnsi="Roboto;sans-serif"/>
                  <w:b w:val="false"/>
                  <w:color w:val="0000FF"/>
                  <w:sz w:val="20"/>
                  <w:u w:val="single"/>
                </w:rPr>
                <w:t>Item 1. Legal Proceedings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97">
              <w:r>
                <w:rPr>
                  <w:rStyle w:val="InternetLink"/>
                  <w:rFonts w:ascii="Roboto;sans-serif" w:hAnsi="Roboto;sans-serif"/>
                  <w:b w:val="false"/>
                  <w:strike w:val="false"/>
                  <w:dstrike w:val="false"/>
                  <w:color w:val="000000"/>
                  <w:sz w:val="20"/>
                  <w:u w:val="none"/>
                  <w:effect w:val="none"/>
                </w:rPr>
                <w:t>33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00">
              <w:r>
                <w:rPr>
                  <w:rStyle w:val="InternetLink"/>
                  <w:rFonts w:ascii="Roboto;sans-serif" w:hAnsi="Roboto;sans-serif"/>
                  <w:b w:val="false"/>
                  <w:color w:val="0000FF"/>
                  <w:sz w:val="20"/>
                  <w:u w:val="single"/>
                </w:rPr>
                <w:t xml:space="preserve">Item 1A. Risk Factors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00">
              <w:r>
                <w:rPr>
                  <w:rStyle w:val="InternetLink"/>
                  <w:rFonts w:ascii="Roboto;sans-serif" w:hAnsi="Roboto;sans-serif"/>
                  <w:b w:val="false"/>
                  <w:strike w:val="false"/>
                  <w:dstrike w:val="false"/>
                  <w:color w:val="000000"/>
                  <w:sz w:val="20"/>
                  <w:u w:val="none"/>
                  <w:effect w:val="none"/>
                </w:rPr>
                <w:t>35</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03">
              <w:r>
                <w:rPr>
                  <w:rStyle w:val="InternetLink"/>
                  <w:rFonts w:ascii="Roboto;sans-serif" w:hAnsi="Roboto;sans-serif"/>
                  <w:b w:val="false"/>
                  <w:color w:val="0000FF"/>
                  <w:sz w:val="20"/>
                  <w:u w:val="single"/>
                </w:rPr>
                <w:t>Item 2. Unregistered Sales of Equity Securities and Use of Proceeds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03">
              <w:r>
                <w:rPr>
                  <w:rStyle w:val="InternetLink"/>
                  <w:rFonts w:ascii="Roboto;sans-serif" w:hAnsi="Roboto;sans-serif"/>
                  <w:b w:val="false"/>
                  <w:strike w:val="false"/>
                  <w:dstrike w:val="false"/>
                  <w:color w:val="000000"/>
                  <w:sz w:val="20"/>
                  <w:u w:val="none"/>
                  <w:effect w:val="none"/>
                </w:rPr>
                <w:t>73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06">
              <w:r>
                <w:rPr>
                  <w:rStyle w:val="InternetLink"/>
                  <w:rFonts w:ascii="Roboto;sans-serif" w:hAnsi="Roboto;sans-serif"/>
                  <w:b w:val="false"/>
                  <w:color w:val="000080"/>
                  <w:sz w:val="20"/>
                  <w:u w:val="single"/>
                </w:rPr>
                <w:t>Item 3. Default</w:t>
              </w:r>
            </w:hyperlink>
            <w:hyperlink w:anchor="ief1318ee9ee24960a22a8148d35dc3c7_106">
              <w:r>
                <w:rPr>
                  <w:rStyle w:val="InternetLink"/>
                  <w:rFonts w:ascii="Roboto;sans-serif" w:hAnsi="Roboto;sans-serif"/>
                  <w:b w:val="false"/>
                  <w:color w:val="000080"/>
                  <w:sz w:val="20"/>
                  <w:u w:val="single"/>
                </w:rPr>
                <w:t>s</w:t>
              </w:r>
            </w:hyperlink>
            <w:hyperlink w:anchor="ief1318ee9ee24960a22a8148d35dc3c7_106">
              <w:r>
                <w:rPr>
                  <w:rStyle w:val="InternetLink"/>
                  <w:rFonts w:ascii="Roboto;sans-serif" w:hAnsi="Roboto;sans-serif"/>
                  <w:b w:val="false"/>
                  <w:color w:val="000080"/>
                  <w:sz w:val="20"/>
                  <w:u w:val="single"/>
                </w:rPr>
                <w:t xml:space="preserve"> Upon Senior Securities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06">
              <w:r>
                <w:rPr>
                  <w:rStyle w:val="InternetLink"/>
                  <w:rFonts w:ascii="Roboto;sans-serif" w:hAnsi="Roboto;sans-serif"/>
                  <w:b w:val="false"/>
                  <w:strike w:val="false"/>
                  <w:dstrike w:val="false"/>
                  <w:color w:val="000000"/>
                  <w:sz w:val="20"/>
                  <w:u w:val="none"/>
                  <w:effect w:val="none"/>
                </w:rPr>
                <w:t>73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09">
              <w:r>
                <w:rPr>
                  <w:rStyle w:val="InternetLink"/>
                  <w:rFonts w:ascii="Roboto;sans-serif" w:hAnsi="Roboto;sans-serif"/>
                  <w:b w:val="false"/>
                  <w:color w:val="0000FF"/>
                  <w:sz w:val="20"/>
                  <w:u w:val="single"/>
                </w:rPr>
                <w:t xml:space="preserve">Item 4. Mine Safety Disclosures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09">
              <w:r>
                <w:rPr>
                  <w:rStyle w:val="InternetLink"/>
                  <w:rFonts w:ascii="Roboto;sans-serif" w:hAnsi="Roboto;sans-serif"/>
                  <w:b w:val="false"/>
                  <w:strike w:val="false"/>
                  <w:dstrike w:val="false"/>
                  <w:color w:val="000000"/>
                  <w:sz w:val="20"/>
                  <w:u w:val="none"/>
                  <w:effect w:val="none"/>
                </w:rPr>
                <w:t>73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12">
              <w:r>
                <w:rPr>
                  <w:rStyle w:val="InternetLink"/>
                  <w:rFonts w:ascii="Roboto;sans-serif" w:hAnsi="Roboto;sans-serif"/>
                  <w:b w:val="false"/>
                  <w:color w:val="0000FF"/>
                  <w:sz w:val="20"/>
                  <w:u w:val="single"/>
                </w:rPr>
                <w:t>Item 5. Other Information</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12">
              <w:r>
                <w:rPr>
                  <w:rStyle w:val="InternetLink"/>
                  <w:rFonts w:ascii="Roboto;sans-serif" w:hAnsi="Roboto;sans-serif"/>
                  <w:b w:val="false"/>
                  <w:strike w:val="false"/>
                  <w:dstrike w:val="false"/>
                  <w:color w:val="000000"/>
                  <w:sz w:val="20"/>
                  <w:u w:val="none"/>
                  <w:effect w:val="none"/>
                </w:rPr>
                <w:t>73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1318ee9ee24960a22a8148d35dc3c7_115">
              <w:r>
                <w:rPr>
                  <w:rStyle w:val="InternetLink"/>
                  <w:rFonts w:ascii="Roboto;sans-serif" w:hAnsi="Roboto;sans-serif"/>
                  <w:b w:val="false"/>
                  <w:color w:val="0000FF"/>
                  <w:sz w:val="20"/>
                  <w:u w:val="single"/>
                </w:rPr>
                <w:t>Item 6. Exhibits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318ee9ee24960a22a8148d35dc3c7_115">
              <w:r>
                <w:rPr>
                  <w:rStyle w:val="InternetLink"/>
                  <w:rFonts w:ascii="Roboto;sans-serif" w:hAnsi="Roboto;sans-serif"/>
                  <w:b w:val="false"/>
                  <w:strike w:val="false"/>
                  <w:dstrike w:val="false"/>
                  <w:color w:val="000000"/>
                  <w:sz w:val="20"/>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Roboto;sans-serif" w:hAnsi="Roboto;sans-serif"/>
          <w:b/>
          <w:color w:val="000000"/>
          <w:sz w:val="20"/>
        </w:rPr>
      </w:pPr>
      <w:r>
        <w:rPr>
          <w:rFonts w:ascii="Roboto;sans-serif" w:hAnsi="Roboto;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bookmarkStart w:id="0" w:name="idc47eb22ae2a4a93bf43ca1ec0def9c9_172"/>
      <w:bookmarkEnd w:id="0"/>
      <w:r>
        <w:rPr>
          <w:rFonts w:ascii="Roboto;sans-serif" w:hAnsi="Roboto;sans-serif"/>
          <w:b/>
          <w:color w:val="000000"/>
          <w:sz w:val="20"/>
        </w:rPr>
        <w:t>Condensed Consolidated Balance Sheets</w:t>
      </w:r>
    </w:p>
    <w:p>
      <w:pPr>
        <w:pStyle w:val="TextBody"/>
        <w:bidi w:val="0"/>
        <w:spacing w:lineRule="auto" w:line="288" w:before="0" w:after="0"/>
        <w:jc w:val="center"/>
        <w:rPr/>
      </w:pPr>
      <w:r>
        <w:rPr>
          <w:rFonts w:ascii="Roboto;sans-serif" w:hAnsi="Roboto;sans-serif"/>
          <w:b/>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674"/>
        <w:gridCol w:w="2255"/>
        <w:gridCol w:w="2263"/>
        <w:gridCol w:w="211"/>
        <w:gridCol w:w="976"/>
        <w:gridCol w:w="109"/>
        <w:gridCol w:w="109"/>
        <w:gridCol w:w="109"/>
        <w:gridCol w:w="109"/>
        <w:gridCol w:w="218"/>
        <w:gridCol w:w="1010"/>
        <w:gridCol w:w="162"/>
      </w:tblGrid>
      <w:tr>
        <w:trPr/>
        <w:tc>
          <w:tcPr>
            <w:tcW w:w="267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(in thousands, except per share amounts)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December 31,</w:t>
              <w:br/>
              <w:t>2022</w:t>
            </w:r>
          </w:p>
        </w:tc>
      </w:tr>
      <w:tr>
        <w:trPr/>
        <w:tc>
          <w:tcPr>
            <w:tcW w:w="7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Current assets </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209,287 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325,089 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Investments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620,575 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447,229 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18,786 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Inventory,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67,608 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50,381 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10,289 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Short-term 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current assets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935,552 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852,074 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Property and equipment,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41,580 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Operating lease right-of-use assets,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39,763 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Long-term 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2,922 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410,245 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409,974 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Other long-term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10,528 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1,847,631 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1,767,086 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 xml:space="preserve">Liabilities and Stockholders’ Equity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12,028 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Accrued expenses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32,596 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Deferred revenue, current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30,498 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8,886 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Other liabilities, current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7,233 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Contingent consideration liability,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172,094 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current liabilities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271,409 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263,335 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Deferred revenue, non-current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Operating lease liabilities, non-current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41,070 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Convertible senior notes, net,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891,795 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896,683 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Other liabilities, non-current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1,300 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liabilities </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1,205,632 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1,204,182 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Commitments and contingencies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Preferred stock, $0.001 par value: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 xml:space="preserve">Authorized 50,000 shares; No shares issued or outstanding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Common stock, $0.001 par value: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 xml:space="preserve">Authorized 1,000,000 shares; issued and outstanding 250,473 and 226,505 shares at June 30, 2023 and December 31, 2022, respectively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Additional paid-in capital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2,334,623 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2,099,782 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(4,765)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Accumulated deficit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(1,690,188)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(1,532,340)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stockholders’ equity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641,999 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562,904 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1,847,631 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1,767,086 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ef1318ee9ee24960a22a8148d35dc3c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44"/>
        <w:gridCol w:w="1186"/>
        <w:gridCol w:w="1192"/>
        <w:gridCol w:w="241"/>
        <w:gridCol w:w="933"/>
        <w:gridCol w:w="116"/>
        <w:gridCol w:w="116"/>
        <w:gridCol w:w="116"/>
        <w:gridCol w:w="116"/>
        <w:gridCol w:w="241"/>
        <w:gridCol w:w="933"/>
        <w:gridCol w:w="116"/>
        <w:gridCol w:w="109"/>
        <w:gridCol w:w="109"/>
        <w:gridCol w:w="109"/>
        <w:gridCol w:w="226"/>
        <w:gridCol w:w="989"/>
        <w:gridCol w:w="109"/>
        <w:gridCol w:w="109"/>
        <w:gridCol w:w="109"/>
        <w:gridCol w:w="109"/>
        <w:gridCol w:w="226"/>
        <w:gridCol w:w="989"/>
        <w:gridCol w:w="162"/>
      </w:tblGrid>
      <w:tr>
        <w:trPr/>
        <w:tc>
          <w:tcPr>
            <w:tcW w:w="154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Six Months Ended June 30,</w:t>
            </w:r>
          </w:p>
        </w:tc>
      </w:tr>
      <w:tr>
        <w:trPr/>
        <w:tc>
          <w:tcPr>
            <w:tcW w:w="3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20"/>
              </w:rPr>
            </w:pPr>
            <w:r>
              <w:rPr>
                <w:rFonts w:ascii="Roboto;sans-serif" w:hAnsi="Roboto;sans-serif"/>
                <w:b/>
                <w:color w:val="000000"/>
                <w:sz w:val="20"/>
              </w:rPr>
              <w:t>(in thousands, except per share amounts)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2022</w:t>
            </w:r>
          </w:p>
        </w:tc>
      </w:tr>
      <w:tr>
        <w:trPr/>
        <w:tc>
          <w:tcPr>
            <w:tcW w:w="3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Revenue:</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Product revenue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43,655 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30,175 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58,419 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Service and other revenue </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5,292 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10,221 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Total revenue </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47,573 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35,467 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68,640 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Cost of Revenue: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Cost of product revenue </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28,432 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15,499 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30,319 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Cost of service and other revenue </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3,412 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3,592 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7,607 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Amortization of intangible assets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Total cost of revenue </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32,027 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19,274 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61,166 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38,292 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Gross profit </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15,546 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16,193 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30,348 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Operating Expense: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Research and development </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46,173 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50,348 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103,285 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Sales, general and administrative </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40,573 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39,252 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79,056 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Change in fair value of contingent consideration</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1,975 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(5,438)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(6,501)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Total operating expense </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88,721 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84,162 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175,840 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Operating loss </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(73,175)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(67,969)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(164,427)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(145,492)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Loss on extinguishment of debt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(2,033)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Interest expense </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(3,554)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(3,681)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(7,378)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Other income (expense), net </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8,929 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Loss before expense (benefit) from income taxes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(69,833)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(71,394)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(157,848)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(152,893)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Expense (benefit) from income taxes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loss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(69,833)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(71,394)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(157,848)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(152,893)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Other comprehensive (loss) income: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Unrealized (loss) gain on investments </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(1,372)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(4,370)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Comprehensive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(70,595)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(72,766)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(155,769)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(157,263)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loss per share:</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Basic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Diluted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(0.28)</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(0.32)</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(0.64)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(0.68)</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Weighted average shares outstanding used in calculating net loss per share: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Basic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250,070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224,499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246,074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223,400</w:t>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Diluted </w:t>
            </w:r>
          </w:p>
        </w:tc>
        <w:tc>
          <w:tcPr>
            <w:tcW w:w="12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250,070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224,499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246,074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223,400</w:t>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ef1318ee9ee24960a22a8148d35dc3c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Stockholders’ Equity</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31"/>
        <w:gridCol w:w="669"/>
        <w:gridCol w:w="675"/>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280"/>
        <w:gridCol w:w="818"/>
        <w:gridCol w:w="157"/>
        <w:gridCol w:w="109"/>
        <w:gridCol w:w="109"/>
        <w:gridCol w:w="109"/>
        <w:gridCol w:w="196"/>
        <w:gridCol w:w="899"/>
        <w:gridCol w:w="109"/>
        <w:gridCol w:w="109"/>
        <w:gridCol w:w="109"/>
        <w:gridCol w:w="109"/>
        <w:gridCol w:w="205"/>
        <w:gridCol w:w="773"/>
        <w:gridCol w:w="165"/>
      </w:tblGrid>
      <w:tr>
        <w:trPr/>
        <w:tc>
          <w:tcPr>
            <w:tcW w:w="10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Accumulated</w:t>
              <w:br/>
              <w:t>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Total</w:t>
              <w:br/>
              <w:t>Stockholders'</w:t>
              <w:br/>
              <w:t>Equity</w:t>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3"/>
              </w:rPr>
            </w:pPr>
            <w:r>
              <w:rPr>
                <w:rFonts w:ascii="Roboto;sans-serif" w:hAnsi="Roboto;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i/>
                <w:color w:val="000000"/>
                <w:sz w:val="13"/>
                <w:u w:val="single"/>
              </w:rPr>
            </w:pPr>
            <w:r>
              <w:rPr>
                <w:rFonts w:ascii="Roboto;sans-serif" w:hAnsi="Roboto;sans-serif"/>
                <w:b/>
                <w:i/>
                <w:color w:val="000000"/>
                <w:sz w:val="13"/>
                <w:u w:val="single"/>
              </w:rPr>
              <w:t>For the three months ended June 30, 2023</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March 31, 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249,803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2,314,146 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(1,924)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(1,620,355)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692,117 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(69,833)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(69,833)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Other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(762)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(762)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Issuance of common stock in conjunction with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Share-based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17,891 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June 30, 2023</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250,473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2,334,623 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(2,686)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(1,690,188)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641,999 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i/>
                <w:color w:val="000000"/>
                <w:sz w:val="13"/>
                <w:u w:val="single"/>
              </w:rPr>
            </w:pPr>
            <w:r>
              <w:rPr>
                <w:rFonts w:ascii="Roboto;sans-serif" w:hAnsi="Roboto;sans-serif"/>
                <w:b/>
                <w:i/>
                <w:color w:val="000000"/>
                <w:sz w:val="13"/>
                <w:u w:val="single"/>
              </w:rPr>
              <w:t>For the three months ended June 30, 2022</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March 31, 2022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224,329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2,038,030 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(4,085)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(1,299,591)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734,578 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(71,394)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(71,394)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Other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(1,372)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(1,372)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Issuance of common stock in conjunction with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848 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Share-based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19,226 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June 30, 2022</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224,756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2,058,103 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(5,457)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(1,370,985)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681,886 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i/>
                <w:color w:val="000000"/>
                <w:sz w:val="13"/>
                <w:u w:val="single"/>
              </w:rPr>
            </w:pPr>
            <w:r>
              <w:rPr>
                <w:rFonts w:ascii="Roboto;sans-serif" w:hAnsi="Roboto;sans-serif"/>
                <w:b/>
                <w:i/>
                <w:color w:val="000000"/>
                <w:sz w:val="13"/>
                <w:u w:val="single"/>
              </w:rPr>
              <w:t>For the six months ended June 30, 2023</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December 31, 2022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226,505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2,099,782 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(4,765)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(1,532,340)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562,904 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(157,848)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(157,848)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Other comprehensive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Issuance of common stock from Underwritten Public Equity Offering, net of issuance costs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189,180 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189,200 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Issuance of common stock in conjunction with equity plans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3,843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9,821 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Share-based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35,843 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35,843 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June 30,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250,473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2,334,623 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(2,686)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(1,690,188)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641,999 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i/>
                <w:color w:val="000000"/>
                <w:sz w:val="13"/>
                <w:u w:val="single"/>
              </w:rPr>
            </w:pPr>
            <w:r>
              <w:rPr>
                <w:rFonts w:ascii="Roboto;sans-serif" w:hAnsi="Roboto;sans-serif"/>
                <w:b/>
                <w:i/>
                <w:color w:val="000000"/>
                <w:sz w:val="13"/>
                <w:u w:val="single"/>
              </w:rPr>
              <w:t>For the six months ended June 30, 2022</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December 31, 2021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220,978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2,009,945 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(1,087)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(1,218,092)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790,987 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Net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(152,893)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(152,893)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Other comprehensive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(4,370)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(4,370)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Issuance of common stock in conjunction with equity plans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3,778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6,440 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Share-based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41,722 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3"/>
              </w:rPr>
            </w:pPr>
            <w:r>
              <w:rPr>
                <w:rFonts w:ascii="Roboto;sans-serif" w:hAnsi="Roboto;sans-serif"/>
                <w:b/>
                <w:color w:val="000000"/>
                <w:sz w:val="13"/>
              </w:rPr>
              <w:t>Balance at June 30, 2022</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2,058,103 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(5,457)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(1,370,985)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3"/>
              </w:rPr>
            </w:pPr>
            <w:r>
              <w:rPr>
                <w:rFonts w:ascii="Roboto;sans-serif" w:hAnsi="Roboto;sans-serif"/>
                <w:b w:val="false"/>
                <w:color w:val="000000"/>
                <w:sz w:val="13"/>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3"/>
              </w:rPr>
            </w:pPr>
            <w:r>
              <w:rPr>
                <w:rFonts w:ascii="Roboto;sans-serif" w:hAnsi="Roboto;sans-serif"/>
                <w:b w:val="false"/>
                <w:color w:val="000000"/>
                <w:sz w:val="13"/>
              </w:rPr>
              <w:t>681,886 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ef1318ee9ee24960a22a8148d35dc3c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148" w:type="dxa"/>
        <w:jc w:val="left"/>
        <w:tblInd w:w="0" w:type="dxa"/>
        <w:tblLayout w:type="fixed"/>
        <w:tblCellMar>
          <w:top w:w="28" w:type="dxa"/>
          <w:left w:w="28" w:type="dxa"/>
          <w:bottom w:w="28" w:type="dxa"/>
          <w:right w:w="28" w:type="dxa"/>
        </w:tblCellMar>
      </w:tblPr>
      <w:tblGrid>
        <w:gridCol w:w="2654"/>
        <w:gridCol w:w="2338"/>
        <w:gridCol w:w="2342"/>
        <w:gridCol w:w="211"/>
        <w:gridCol w:w="901"/>
        <w:gridCol w:w="109"/>
        <w:gridCol w:w="109"/>
        <w:gridCol w:w="109"/>
        <w:gridCol w:w="109"/>
        <w:gridCol w:w="211"/>
        <w:gridCol w:w="901"/>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Six Months Ended June 30,</w:t>
            </w:r>
          </w:p>
        </w:tc>
      </w:tr>
      <w:tr>
        <w:trPr/>
        <w:tc>
          <w:tcPr>
            <w:tcW w:w="7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2022</w:t>
            </w:r>
          </w:p>
        </w:tc>
      </w:tr>
      <w:tr>
        <w:trPr/>
        <w:tc>
          <w:tcPr>
            <w:tcW w:w="7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operating activities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(157,848)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(152,893)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Adjustments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Depreciation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debt discount and financing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Accretion of discount and amortization of premium on marketable securities,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Change in the estimated fair value of contingent consideration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Loss on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 provision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Loss on disposition of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Changes in assets and liabilities </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Accounts receivable,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(14,955)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Prepaid expenses and other assets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Accounts payable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Accrued expenses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Deferred revenue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Other liabilities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used in operating activities </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(136,432)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(139,592)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 of property and equipment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Purchases of investments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(476,879)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(241,086)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Sales of investments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Maturities of investments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230,515 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used in investing activities </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(171,144)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Proceeds from issuance of common stock under equity offerings, net of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Proceeds from issuance of common stock from equity plans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Payment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Notes payable principal payoff</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provided by financing activities </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5,670 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decrease in cash, cash equivalents, and restricted cash</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(116,302)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(152,150)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beginning of period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465,817 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313,667 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at end of period </w:t>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209,287 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310,445 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Restricted cash at end of period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212,009 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313,667 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ef1318ee9ee24960a22a8148d35dc3c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NOTE 1. ORGANIZATION AND SIGNIFICANT ACCOUNTING POLICIES</w:t>
      </w:r>
    </w:p>
    <w:p>
      <w:pPr>
        <w:pStyle w:val="TextBody"/>
        <w:bidi w:val="0"/>
        <w:spacing w:lineRule="auto" w:line="268" w:before="120" w:after="283"/>
        <w:jc w:val="both"/>
        <w:rPr/>
      </w:pPr>
      <w:r>
        <w:rPr>
          <w:rFonts w:ascii="Roboto;sans-serif" w:hAnsi="Roboto;sans-serif"/>
          <w:b w:val="false"/>
          <w:color w:val="000000"/>
          <w:sz w:val="20"/>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existing HiFi long-read sequencing technology and our emerging short-read Sequencing by Binding (SBB</w:t>
      </w:r>
      <w:r>
        <w:rPr>
          <w:rFonts w:ascii="Roboto;sans-serif" w:hAnsi="Roboto;sans-serif"/>
          <w:b w:val="false"/>
          <w:color w:val="000000"/>
          <w:sz w:val="13"/>
        </w:rPr>
        <w:t>TM</w:t>
      </w:r>
      <w:r>
        <w:rPr>
          <w:rFonts w:ascii="Roboto;sans-serif" w:hAnsi="Roboto;sans-serif"/>
          <w:b w:val="false"/>
          <w:color w:val="000000"/>
          <w:sz w:val="20"/>
        </w:rPr>
        <w:t>) technology. Our products address solutions across a broad set of applications including human genomics, plant and animal sciences, infectious disease and microbiology, oncology, and other emerging applications. Our focus is on providing our customers with advanced sequencing solutions with higher throughput and improved workflows that we believe will enable dramatic advancements in routine healthcare.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p>
      <w:pPr>
        <w:pStyle w:val="TextBody"/>
        <w:bidi w:val="0"/>
        <w:spacing w:lineRule="auto" w:line="288" w:before="240" w:after="283"/>
        <w:jc w:val="both"/>
        <w:rPr/>
      </w:pPr>
      <w:r>
        <w:rPr>
          <w:rFonts w:ascii="Roboto;sans-serif" w:hAnsi="Roboto;sans-serif"/>
          <w:b/>
          <w:i/>
          <w:color w:val="000000"/>
          <w:sz w:val="20"/>
        </w:rPr>
        <w:t>Basis of Presentation and Consolidation</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2022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 Certain prior period amounts have been reclassified to conform to current period presentation.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financial statements should be read in conjunction with the audited consolidated financial statements and notes included in our Annual Report on Form 10-K for the year ended December 31, 2022.</w:t>
      </w:r>
    </w:p>
    <w:p>
      <w:pPr>
        <w:pStyle w:val="TextBody"/>
        <w:bidi w:val="0"/>
        <w:spacing w:lineRule="auto" w:line="288" w:before="240" w:after="283"/>
        <w:jc w:val="both"/>
        <w:rPr/>
      </w:pPr>
      <w:r>
        <w:rPr>
          <w:rFonts w:ascii="Roboto;sans-serif" w:hAnsi="Roboto;sans-serif"/>
          <w:b/>
          <w:i/>
          <w:color w:val="000000"/>
          <w:sz w:val="20"/>
        </w:rPr>
        <w:t>Use of Estimates</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current macroeconomic conditions on our business is highly uncertain, we considered information available related to assumptions and estimates used to determine the results reported and asset valuations as of June 30, 2023. Actual results could differ materially from these estimates. </w:t>
      </w:r>
    </w:p>
    <w:p>
      <w:pPr>
        <w:pStyle w:val="TextBody"/>
        <w:bidi w:val="0"/>
        <w:spacing w:lineRule="auto" w:line="288" w:before="240" w:after="283"/>
        <w:jc w:val="both"/>
        <w:rPr/>
      </w:pPr>
      <w:r>
        <w:rPr>
          <w:rFonts w:ascii="Roboto;sans-serif" w:hAnsi="Roboto;sans-serif"/>
          <w:b/>
          <w:i/>
          <w:color w:val="000000"/>
          <w:sz w:val="20"/>
        </w:rPr>
        <w:t>Cash, Cash Equivalents, Restricted Cash and Investments</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Concentration and Other Risks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For the three months ended June 30, 2023, one customer accounted for approximately 10% of total revenue during the period. For the three months ended June 30, 2022, one customer accounted for approximately 11% of total revenue during the period. For the six months ended June 30, 2023 and 2022, no customers accounted for approximately 10% or greater of total revenue during the respective periods. No other customers exceeded 10% during those periods.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June 30, 2023, 45% of our accounts receivable were from domestic customers, compared to 57% as of December 31, 2022. As of June 30, 2023, no customer represented 10% or greater of our accounts receivable, while one customer represented approximately 10% of our net accounts receivable as of December 31, 2022.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Recent Accounting Pronouncements </w:t>
      </w:r>
    </w:p>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Recently Adopted Accounting Standards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October 2021, the FASB issued Accounting Standards Update ("ASU") No. 2021-08, Business Combinations (Topic 805): Accounting for Contract Assets and Contract Liabilities from Contracts with Customers. This ASU provides specific guidance on how to recognize contract assets and contract liabilities related to revenue contracts with customers acquired in a business combination. This amendment improves comparability for both the recognition and measurement of acquired revenue contracts with customers at the date of and after a business combination. We adopted this ASU on January 1, 2023. The adoption of this guidance did not have a material effect on our consolidated financial statements.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Significant Accounting Policies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the Annual Report on Form 10-K for the fiscal year ended December 31, 2022.</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NOTE 2. FINANCIAL INSTRUMENTS</w:t>
      </w:r>
    </w:p>
    <w:p>
      <w:pPr>
        <w:pStyle w:val="TextBody"/>
        <w:bidi w:val="0"/>
        <w:spacing w:lineRule="auto" w:line="288" w:before="200" w:after="283"/>
        <w:jc w:val="both"/>
        <w:rPr>
          <w:rFonts w:ascii="Roboto;sans-serif" w:hAnsi="Roboto;sans-serif"/>
          <w:b/>
          <w:i/>
          <w:color w:val="000000"/>
          <w:sz w:val="20"/>
        </w:rPr>
      </w:pPr>
      <w:r>
        <w:rPr>
          <w:rFonts w:ascii="Roboto;sans-serif" w:hAnsi="Roboto;sans-serif"/>
          <w:b/>
          <w:i/>
          <w:color w:val="000000"/>
          <w:sz w:val="20"/>
        </w:rPr>
        <w:t>Fair Value of Financial Instruments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fair value hierarchy established under GAAP requires an entity to maximize the use of observable inputs and minimize the use of unobservable inputs when measuring fair value. The three levels of inputs that may be used to measure fair value are as follows: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Level 1: 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carrying amount of our accounts receivable, prepaid expenses, other current assets, accounts payable, accrued expenses and other liabilities, current, approximate fair value due to their short maturities. </w:t>
      </w:r>
    </w:p>
    <w:p>
      <w:pPr>
        <w:pStyle w:val="TextBody"/>
        <w:bidi w:val="0"/>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Assets and Liabilities Measured at Fair Value on a Recurring Basis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and liabilities that were measured on a recurring basis (in thousands):</w:t>
      </w:r>
    </w:p>
    <w:tbl>
      <w:tblPr>
        <w:tblW w:w="12658" w:type="dxa"/>
        <w:jc w:val="left"/>
        <w:tblInd w:w="0" w:type="dxa"/>
        <w:tblLayout w:type="fixed"/>
        <w:tblCellMar>
          <w:top w:w="28" w:type="dxa"/>
          <w:left w:w="28" w:type="dxa"/>
          <w:bottom w:w="28" w:type="dxa"/>
          <w:right w:w="28" w:type="dxa"/>
        </w:tblCellMar>
      </w:tblPr>
      <w:tblGrid>
        <w:gridCol w:w="561"/>
        <w:gridCol w:w="348"/>
        <w:gridCol w:w="35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325,089 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Commercial paper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127,302 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Corporate debt securities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49,491 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U.S. government &amp;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270,436 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investments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620,575 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620,575 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447,229 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447,229 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Short-term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assets measured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96,624 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735,960 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832,584 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140,858 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634,682 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775,540 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liabilities measured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186,325 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186,325 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classify contingent consideration, which was incurred in connection with the acquisition of Omniome, within Level 3 as factors used to develop the estimate of fair value include unobservable inputs that are not supported by market activity and are significant to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the contingent consideration liability by discounting the probability-weighted outcomes to present value using an estimate of our borrowing rate and the risk-free rate. The potential outcomes of milestone achievement dates are within the period from September 30, 2023 to June 30, 2024. A decrease in the probability of an earlier scenario within this range would result in a decrease in the fair value of the liability. The discount rates used are the sum of the U.S. risk-free rate and the estimated subordinated credit spread for B- and B credit rating, which ranges from 10.1% to 10.2%. Changes in our estimated subordinated credit spread can result in changes in the fair value of the contingent consideration liability, where a lower credit spread may result in an increased liability valuation.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estimated fair value of the contingent consideration liability for the six months ended June 30, 2023 were as follows (in thousands):</w:t>
      </w:r>
    </w:p>
    <w:tbl>
      <w:tblPr>
        <w:tblW w:w="5496" w:type="dxa"/>
        <w:jc w:val="left"/>
        <w:tblInd w:w="0" w:type="dxa"/>
        <w:tblLayout w:type="fixed"/>
        <w:tblCellMar>
          <w:top w:w="28" w:type="dxa"/>
          <w:left w:w="28" w:type="dxa"/>
          <w:bottom w:w="28" w:type="dxa"/>
          <w:right w:w="28" w:type="dxa"/>
        </w:tblCellMar>
      </w:tblPr>
      <w:tblGrid>
        <w:gridCol w:w="1512"/>
        <w:gridCol w:w="1325"/>
        <w:gridCol w:w="1333"/>
        <w:gridCol w:w="226"/>
        <w:gridCol w:w="94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Level 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Beginning balance as of December 31, 2022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estimated fair value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Ending balance as of June 30, 2023</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186,325 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fair value are recorded as change in fair value of contingent consideration in the Condensed Consolidated Statement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August 2023, we commenced customer shipments of the Onso short-read sequencing instrument, with shipments of related consumables expected to occur later in August 2023. The milestone payment associated with PacBio’s acquisition of Omniome will be triggered once both the Onso instrument and related consumables have shipped to one customer.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For the six months ended June 30, 2023, there were no transfers between Level 1, Level 2, or Level 3 assets or liabilities reported at fair value on a recurring basis, and our valuation techniques did not change compared to the prior year.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tables summarize our cash, cash equivalents and investments (in thousands):</w:t>
      </w:r>
    </w:p>
    <w:tbl>
      <w:tblPr>
        <w:tblW w:w="10205" w:type="dxa"/>
        <w:jc w:val="left"/>
        <w:tblInd w:w="0" w:type="dxa"/>
        <w:tblLayout w:type="fixed"/>
        <w:tblCellMar>
          <w:top w:w="28" w:type="dxa"/>
          <w:left w:w="28" w:type="dxa"/>
          <w:bottom w:w="28" w:type="dxa"/>
          <w:right w:w="28" w:type="dxa"/>
        </w:tblCellMar>
      </w:tblPr>
      <w:tblGrid>
        <w:gridCol w:w="1540"/>
        <w:gridCol w:w="1350"/>
        <w:gridCol w:w="1354"/>
        <w:gridCol w:w="226"/>
        <w:gridCol w:w="946"/>
        <w:gridCol w:w="109"/>
        <w:gridCol w:w="109"/>
        <w:gridCol w:w="109"/>
        <w:gridCol w:w="109"/>
        <w:gridCol w:w="361"/>
        <w:gridCol w:w="649"/>
        <w:gridCol w:w="176"/>
        <w:gridCol w:w="109"/>
        <w:gridCol w:w="109"/>
        <w:gridCol w:w="109"/>
        <w:gridCol w:w="253"/>
        <w:gridCol w:w="809"/>
        <w:gridCol w:w="124"/>
        <w:gridCol w:w="109"/>
        <w:gridCol w:w="109"/>
        <w:gridCol w:w="109"/>
        <w:gridCol w:w="226"/>
        <w:gridCol w:w="946"/>
        <w:gridCol w:w="155"/>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June 30, 2023</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Amortized</w:t>
              <w:b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Fair</w:t>
              <w:br/>
              <w:t>Value</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209,287 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Commercial paper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Corporate debt securities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451,867 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623,269 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(2,757)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620,575 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cash, cash equivalents and investments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(2,766)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829,862 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2022</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Fair</w:t>
              <w:br/>
              <w:t>Value</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325,089 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Commercial paper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49,491 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270,436 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investments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451,939 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(4,720)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447,229 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cash, cash equivalents and investments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(4,781)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772,318 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2,922 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cash equivalents and available-for-sale investments, excluding money market funds, as of June 30, 2023 (in thousands):</w:t>
      </w:r>
    </w:p>
    <w:tbl>
      <w:tblPr>
        <w:tblW w:w="4910" w:type="dxa"/>
        <w:jc w:val="left"/>
        <w:tblInd w:w="0" w:type="dxa"/>
        <w:tblLayout w:type="fixed"/>
        <w:tblCellMar>
          <w:top w:w="28" w:type="dxa"/>
          <w:left w:w="28" w:type="dxa"/>
          <w:bottom w:w="28" w:type="dxa"/>
          <w:right w:w="28" w:type="dxa"/>
        </w:tblCellMar>
      </w:tblPr>
      <w:tblGrid>
        <w:gridCol w:w="1298"/>
        <w:gridCol w:w="1136"/>
        <w:gridCol w:w="1150"/>
        <w:gridCol w:w="226"/>
        <w:gridCol w:w="94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652,574 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five years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735,960 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NOTE 3. BALANCE SHEET COMPONENTS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Inventory, net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inventory, net, consisted of the following components (in thousands):</w:t>
      </w:r>
    </w:p>
    <w:tbl>
      <w:tblPr>
        <w:tblW w:w="4998" w:type="dxa"/>
        <w:jc w:val="left"/>
        <w:tblInd w:w="0" w:type="dxa"/>
        <w:tblLayout w:type="fixed"/>
        <w:tblCellMar>
          <w:top w:w="28" w:type="dxa"/>
          <w:left w:w="28" w:type="dxa"/>
          <w:bottom w:w="28" w:type="dxa"/>
          <w:right w:w="28" w:type="dxa"/>
        </w:tblCellMar>
      </w:tblPr>
      <w:tblGrid>
        <w:gridCol w:w="706"/>
        <w:gridCol w:w="620"/>
        <w:gridCol w:w="624"/>
        <w:gridCol w:w="226"/>
        <w:gridCol w:w="826"/>
        <w:gridCol w:w="109"/>
        <w:gridCol w:w="109"/>
        <w:gridCol w:w="109"/>
        <w:gridCol w:w="109"/>
        <w:gridCol w:w="292"/>
        <w:gridCol w:w="1069"/>
        <w:gridCol w:w="199"/>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24,139 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14,062 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50,381 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Intangible Assets and Goodwill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Intangible assets include acquired in-process research and development ("IPR&amp;D") of $400 million as a result of the Omniome acquisition in September 2021.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 Upon completion of the development, we will begin to amortize the asset over the life of the product or record an impairment charge if the asset is determined to be impaired.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addition to IPR&amp;D, definite-lived intangible assets included the following (in thousands, except years): </w:t>
      </w:r>
    </w:p>
    <w:tbl>
      <w:tblPr>
        <w:tblW w:w="11815" w:type="dxa"/>
        <w:jc w:val="left"/>
        <w:tblInd w:w="0" w:type="dxa"/>
        <w:tblLayout w:type="fixed"/>
        <w:tblCellMar>
          <w:top w:w="28" w:type="dxa"/>
          <w:left w:w="28" w:type="dxa"/>
          <w:bottom w:w="28" w:type="dxa"/>
          <w:right w:w="28" w:type="dxa"/>
        </w:tblCellMar>
      </w:tblPr>
      <w:tblGrid>
        <w:gridCol w:w="543"/>
        <w:gridCol w:w="358"/>
        <w:gridCol w:w="360"/>
        <w:gridCol w:w="380"/>
        <w:gridCol w:w="380"/>
        <w:gridCol w:w="381"/>
        <w:gridCol w:w="109"/>
        <w:gridCol w:w="109"/>
        <w:gridCol w:w="109"/>
        <w:gridCol w:w="226"/>
        <w:gridCol w:w="826"/>
        <w:gridCol w:w="109"/>
        <w:gridCol w:w="109"/>
        <w:gridCol w:w="109"/>
        <w:gridCol w:w="109"/>
        <w:gridCol w:w="308"/>
        <w:gridCol w:w="983"/>
        <w:gridCol w:w="150"/>
        <w:gridCol w:w="109"/>
        <w:gridCol w:w="109"/>
        <w:gridCol w:w="109"/>
        <w:gridCol w:w="226"/>
        <w:gridCol w:w="706"/>
        <w:gridCol w:w="109"/>
        <w:gridCol w:w="109"/>
        <w:gridCol w:w="109"/>
        <w:gridCol w:w="109"/>
        <w:gridCol w:w="226"/>
        <w:gridCol w:w="826"/>
        <w:gridCol w:w="109"/>
        <w:gridCol w:w="109"/>
        <w:gridCol w:w="109"/>
        <w:gridCol w:w="109"/>
        <w:gridCol w:w="308"/>
        <w:gridCol w:w="983"/>
        <w:gridCol w:w="150"/>
        <w:gridCol w:w="109"/>
        <w:gridCol w:w="109"/>
        <w:gridCol w:w="109"/>
        <w:gridCol w:w="226"/>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(1,415)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(1,760)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(1,294)</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intangible assets with definite lives is as follows (in thousands):</w:t>
      </w:r>
    </w:p>
    <w:tbl>
      <w:tblPr>
        <w:tblW w:w="3050" w:type="dxa"/>
        <w:jc w:val="left"/>
        <w:tblInd w:w="0" w:type="dxa"/>
        <w:tblLayout w:type="fixed"/>
        <w:tblCellMar>
          <w:top w:w="28" w:type="dxa"/>
          <w:left w:w="28" w:type="dxa"/>
          <w:bottom w:w="28" w:type="dxa"/>
          <w:right w:w="28" w:type="dxa"/>
        </w:tblCellMar>
      </w:tblPr>
      <w:tblGrid>
        <w:gridCol w:w="712"/>
        <w:gridCol w:w="625"/>
        <w:gridCol w:w="627"/>
        <w:gridCol w:w="226"/>
        <w:gridCol w:w="70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2023</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 and 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review definite-lived intangible assets for impairment when indication of potential impairment exists, such as a significant reduction in cash flows associated with the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We performed our annual assessment for goodwill impairment in the second quarter of 2023, noting no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Deferred Revenue</w:t>
      </w:r>
    </w:p>
    <w:p>
      <w:pPr>
        <w:pStyle w:val="TextBody"/>
        <w:bidi w:val="0"/>
        <w:spacing w:lineRule="auto" w:line="288" w:before="120" w:after="283"/>
        <w:jc w:val="both"/>
        <w:rPr/>
      </w:pPr>
      <w:r>
        <w:rPr>
          <w:rFonts w:ascii="Roboto;sans-serif" w:hAnsi="Roboto;sans-serif"/>
          <w:b w:val="false"/>
          <w:color w:val="000000"/>
          <w:sz w:val="20"/>
        </w:rPr>
        <w:t xml:space="preserve">As of June 30, 2023, we had a total of $30.0 million of deferred revenue, $25.0 million of which was recorded as deferred revenue, current, and primarily relates to future performance obligations under the Amended and Restated Agreement with Invitae Corporation ("Invitae") and deferred service contract revenues. The deferred revenue, non-current balance of $5.0 million primarily relates to future performance obligations under the Amended and Restated Agreement with Invitae and deferred service contract revenues and is scheduled to be recognized in the next 6 years. The deferred revenue, non-current balance includes $3.0 million that was reclassified from deferred revenue, current to deferred revenue, non-current following receipt of a non-cancellable order from Invitae during the three months ended June 30, 2023 for partial utilization of the available credits, which is expected to be recognized in revenue after 12 months from June 30, 2023. Revenue recorded in the three and six months ended June 30, 2023 includes $4.5 million and $8.0 million, respectively, that was included in deferred revenue as of December 31, 2022, of which $2.1 million was product revenue recognized from the partial utilization of available credits by Invitae during the three and six months ended June 30, 2023. Refer to </w:t>
      </w:r>
      <w:r>
        <w:rPr>
          <w:rFonts w:ascii="Roboto;sans-serif" w:hAnsi="Roboto;sans-serif"/>
          <w:b w:val="false"/>
          <w:i/>
          <w:color w:val="000000"/>
          <w:sz w:val="20"/>
        </w:rPr>
        <w:t>Note 3 – Invitae Collaboration</w:t>
      </w:r>
      <w:r>
        <w:rPr>
          <w:rFonts w:ascii="Roboto;sans-serif" w:hAnsi="Roboto;sans-serif"/>
          <w:b w:val="false"/>
          <w:color w:val="000000"/>
          <w:sz w:val="20"/>
        </w:rPr>
        <w:t>, in Part II, Item 8 of the Annual Report on Form 10-K for the year ended December 31, 2022 for more information</w:t>
      </w:r>
      <w:r>
        <w:rPr>
          <w:rFonts w:ascii="Roboto;sans-serif" w:hAnsi="Roboto;sans-serif"/>
          <w:b w:val="false"/>
          <w:color w:val="000000"/>
          <w:sz w:val="20"/>
          <w:shd w:fill="FFFFFF" w:val="clear"/>
        </w:rPr>
        <w:t>.</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Product Warranties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 There were no material changes in estimates for the periods presented below.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 for the periods indicated (in thousands):</w:t>
      </w:r>
    </w:p>
    <w:tbl>
      <w:tblPr>
        <w:tblW w:w="10205" w:type="dxa"/>
        <w:jc w:val="left"/>
        <w:tblInd w:w="0" w:type="dxa"/>
        <w:tblLayout w:type="fixed"/>
        <w:tblCellMar>
          <w:top w:w="28" w:type="dxa"/>
          <w:left w:w="28" w:type="dxa"/>
          <w:bottom w:w="28" w:type="dxa"/>
          <w:right w:w="28" w:type="dxa"/>
        </w:tblCellMar>
      </w:tblPr>
      <w:tblGrid>
        <w:gridCol w:w="1464"/>
        <w:gridCol w:w="1264"/>
        <w:gridCol w:w="1268"/>
        <w:gridCol w:w="285"/>
        <w:gridCol w:w="892"/>
        <w:gridCol w:w="137"/>
        <w:gridCol w:w="137"/>
        <w:gridCol w:w="137"/>
        <w:gridCol w:w="137"/>
        <w:gridCol w:w="285"/>
        <w:gridCol w:w="892"/>
        <w:gridCol w:w="137"/>
        <w:gridCol w:w="109"/>
        <w:gridCol w:w="109"/>
        <w:gridCol w:w="109"/>
        <w:gridCol w:w="261"/>
        <w:gridCol w:w="817"/>
        <w:gridCol w:w="125"/>
        <w:gridCol w:w="125"/>
        <w:gridCol w:w="125"/>
        <w:gridCol w:w="125"/>
        <w:gridCol w:w="261"/>
        <w:gridCol w:w="817"/>
        <w:gridCol w:w="187"/>
      </w:tblGrid>
      <w:tr>
        <w:trPr/>
        <w:tc>
          <w:tcPr>
            <w:tcW w:w="14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(850)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2,862 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1,609 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2,862 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1,609 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Term loans</w:t>
      </w:r>
    </w:p>
    <w:p>
      <w:pPr>
        <w:pStyle w:val="TextBody"/>
        <w:bidi w:val="0"/>
        <w:spacing w:lineRule="auto" w:line="288" w:before="120" w:after="283"/>
        <w:jc w:val="both"/>
        <w:rPr/>
      </w:pPr>
      <w:r>
        <w:rPr>
          <w:rFonts w:ascii="Roboto;sans-serif" w:hAnsi="Roboto;sans-serif"/>
          <w:b w:val="false"/>
          <w:color w:val="000000"/>
          <w:sz w:val="20"/>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 of the borrowed amounts at any time after the 24</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month and before the 43</w:t>
      </w:r>
      <w:r>
        <w:rPr>
          <w:rFonts w:ascii="Roboto;sans-serif" w:hAnsi="Roboto;sans-serif"/>
          <w:b w:val="false"/>
          <w:color w:val="000000"/>
          <w:sz w:val="13"/>
        </w:rPr>
        <w:t>rd</w:t>
      </w:r>
      <w:r>
        <w:rPr>
          <w:color w:val="000000"/>
        </w:rPr>
        <w:t xml:space="preserve"> </w:t>
      </w:r>
      <w:r>
        <w:rPr>
          <w:rFonts w:ascii="Roboto;sans-serif" w:hAnsi="Roboto;sans-serif"/>
          <w:b w:val="false"/>
          <w:color w:val="000000"/>
          <w:sz w:val="20"/>
        </w:rPr>
        <w:t xml:space="preserve">month after the commencement date, is 4% of the outstanding loan balance. Payments are made in equal monthly installments including principal and interest.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2023, the carrying value of term loans outstanding was $1.4 million, recorded as part of other liabilities, current on the Condensed Consolidated Balance Sheet. The interest expense was $0.1 million and $0.2 million for the three and six months ended June 30, 2023, which was included as part of interest expense in the Condensed Consolidated Statement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future principal payments on the term loans (in thousands):</w:t>
      </w:r>
    </w:p>
    <w:tbl>
      <w:tblPr>
        <w:tblW w:w="2946" w:type="dxa"/>
        <w:jc w:val="left"/>
        <w:tblInd w:w="0" w:type="dxa"/>
        <w:tblLayout w:type="fixed"/>
        <w:tblCellMar>
          <w:top w:w="28" w:type="dxa"/>
          <w:left w:w="28" w:type="dxa"/>
          <w:bottom w:w="28" w:type="dxa"/>
          <w:right w:w="28" w:type="dxa"/>
        </w:tblCellMar>
      </w:tblPr>
      <w:tblGrid>
        <w:gridCol w:w="674"/>
        <w:gridCol w:w="592"/>
        <w:gridCol w:w="594"/>
        <w:gridCol w:w="226"/>
        <w:gridCol w:w="70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2023</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NOTE 4. CONVERTIBLE SENIOR NOTES </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2030 Convertible Senior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in exchange for $441.0 million principal amount of the 2028 Notes (the “Exchange Transaction”), pursuant to exemptions from registration under the Securities Act of 1933, as amended, and the rules and regulations thereunder. The 2030 Notes were issued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June 20, 2028,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Indenture includes customary “events of default,” which may result in the acceleration of the maturity of the 2030 Notes under the 2030 Indenture. The 2030 Indenture also includes customary covenants for convertible notes of this type.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2030 Indenture). On the 361st day after such event of default (if the event of default relating to our failure to comply with its obligations is not cured or waived prior to such 361st day), the 2030 Notes shall be subject to acceleration as provided for in the 2030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 </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2030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Exchange Transaction was accounted for as an extinguishment driven by the change in fair value of the embedded conversion option. We recorded a loss on extinguishment of debt of approximately $2.0 million in connection with the Exchange Transaction during the three and six months ended June 30, 2023, which represents the difference between the fair value and the principal amount of the 2030 Notes of the debt at the modification date, plus unamortized debt issuance costs of $1.5 million related to the respective portion of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2030 Notes of approximately $7.2 million, which were recorded as debt issuance costs and are presented as a reduction to the 2030 Notes on our Consolidated Balance Sheets and are amortized to interest expense using the effective interest method over the term of the 2030 Notes, resulting in an effective interest rate of 1.6%. We also paid accrued but unpaid interest of $2.5 million on the 2028 Notes in connection with the Exchange Transaction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Exchange Transaction. In exchange for issuing the 2030 Notes pursuant to the Exchange Transaction, we received and cancelled the exchanged 2028 Notes. Following the closing of the Exchange Transaction, $459.0 million in aggregate principal amount of 2028 Notes remained outstanding with terms unchanged.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2030 Notes is included as convertible senior notes, net, non-current in the Condensed Consolidated Balance Sheets as follows (in thousands):</w:t>
      </w:r>
    </w:p>
    <w:tbl>
      <w:tblPr>
        <w:tblW w:w="6287" w:type="dxa"/>
        <w:jc w:val="left"/>
        <w:tblInd w:w="0" w:type="dxa"/>
        <w:tblLayout w:type="fixed"/>
        <w:tblCellMar>
          <w:top w:w="28" w:type="dxa"/>
          <w:left w:w="28" w:type="dxa"/>
          <w:bottom w:w="28" w:type="dxa"/>
          <w:right w:w="28" w:type="dxa"/>
        </w:tblCellMar>
      </w:tblPr>
      <w:tblGrid>
        <w:gridCol w:w="1131"/>
        <w:gridCol w:w="993"/>
        <w:gridCol w:w="996"/>
        <w:gridCol w:w="226"/>
        <w:gridCol w:w="946"/>
        <w:gridCol w:w="109"/>
        <w:gridCol w:w="109"/>
        <w:gridCol w:w="109"/>
        <w:gridCol w:w="109"/>
        <w:gridCol w:w="448"/>
        <w:gridCol w:w="805"/>
        <w:gridCol w:w="306"/>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premium</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434,328 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and six months ended June 30, 2023 and 2022, interest expense for the 2030 Notes was not 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2023, the estimated fair value (Level 2) of the 2030 Notes was $441.6 million. The fair value of the 2030 Notes is estimated using a binomial lattice model that is primarily affected by the trading price of our common stock, market interest rates and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2028 Convertible Senior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9, 2021, we entered into an investment agreement (the “Investment Agreement”) with SB Northstar LP (the “Purchaser”), a subsidiary of SoftBank Group Corp., relating to the issuance and sale to the Purchaser of $900.0 million in aggregate principal amount of the 2028 Notes. The 2028 Notes were issued on February 16, 2021. As discussed above, in June 2023 we completed an exchange of $441.0 million in aggregate principal amount of our 2028 Notes for $441.0 million aggregate principal amount of the 2030 Notes, leaving approximately $459.0 million in aggregate principal amount of 2028 Notes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2028 Notes are governed by an indenture (the “2028 Indenture”) between the Company and U.S. Bank National Association, as trustee. The 2028 Notes bear interest at a rate of 1.50% per annum. Interest on the 2028 Notes is payable semi-annually in arrears on February 15 and August 15 and commenced on August 15, 2021. The 2028 Notes will mature on February 15, 2028,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2028 Notes are convertible at the option of the holder at any time until the second scheduled trading day prior to the maturity date, including in connection with a redemption by the Company. The 2028 Notes are convertible into shares of our common stock based on an initial conversion rate of 22.9885 shares of common stock per $1,000 principal amount of the 2028 Notes (which is equal to an initial conversion price of $43.50 per share of common stock), in each case subject to customary anti-dilution and other adjustments as a result of certain extraordinary transactions. Upon conversion of the 2028 Notes, we may elect to settle such conversion obligation in shares of our common stock, cash or a combination of shares of our common stock and cash.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February 20, 2026, the 2028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2028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2028 Indenture), the holders of the 2028 Notes may require that we repurchase all or part of the principal amount of the 2028 Notes at a purchase price of par plus unpaid interest up to,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2028 Indenture includes customary “events of default,” which may result in the acceleration of the maturity of the 2028 Notes under the 2028 Indenture. The 2028 Indenture also includes customary covenants for convertible notes of this type.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2028 Notes at a rate equal to (i) 0.25% per annum of the principal amount of the 2028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2028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2028 Indenture). On the 361st day after such event of default (if the event of default relating to our failure to comply with its obligations is not cured or waived prior to such 361st day), the 2028 Notes shall be subject to acceleration as provided for in the 2028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2028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2028 Notes is not accounted for as an embedded derivative because it is considered to be indexed to our common stock, and the 2028 Notes were not issued at a premium; therefore, the 2028 Notes are accounted for in their entirety as a liability. Because we may elect to settle any conversions entirely in shares, and because settlement in shares is the default settlement method, the liability is classified as non-current.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2028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issuance costs related to the 2028 Notes of approximately $4.5 million, which were recorded as debt issuance costs and are presented as a reduction to the 2028 Notes on our Consolidated Balance Sheets and are amortized to interest expense using the effective interest method over the term of the 2028 Notes, resulting in an effective interest rate of 1.6%.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2028 Notes is included as convertible senior notes, net, non-current in the Condensed Consolidated Balance Sheets as follows (in thousands):</w:t>
      </w:r>
    </w:p>
    <w:tbl>
      <w:tblPr>
        <w:tblW w:w="6288" w:type="dxa"/>
        <w:jc w:val="left"/>
        <w:tblInd w:w="0" w:type="dxa"/>
        <w:tblLayout w:type="fixed"/>
        <w:tblCellMar>
          <w:top w:w="28" w:type="dxa"/>
          <w:left w:w="28" w:type="dxa"/>
          <w:bottom w:w="28" w:type="dxa"/>
          <w:right w:w="28" w:type="dxa"/>
        </w:tblCellMar>
      </w:tblPr>
      <w:tblGrid>
        <w:gridCol w:w="1131"/>
        <w:gridCol w:w="993"/>
        <w:gridCol w:w="996"/>
        <w:gridCol w:w="226"/>
        <w:gridCol w:w="946"/>
        <w:gridCol w:w="109"/>
        <w:gridCol w:w="109"/>
        <w:gridCol w:w="109"/>
        <w:gridCol w:w="109"/>
        <w:gridCol w:w="266"/>
        <w:gridCol w:w="1113"/>
        <w:gridCol w:w="18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457,467 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896,683 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and six months ended June 30, 2023 and 2022, interest expense for the 2028 Notes was as follows (in thousands):</w:t>
      </w:r>
    </w:p>
    <w:tbl>
      <w:tblPr>
        <w:tblW w:w="9632" w:type="dxa"/>
        <w:jc w:val="left"/>
        <w:tblInd w:w="0" w:type="dxa"/>
        <w:tblLayout w:type="fixed"/>
        <w:tblCellMar>
          <w:top w:w="28" w:type="dxa"/>
          <w:left w:w="28" w:type="dxa"/>
          <w:bottom w:w="28" w:type="dxa"/>
          <w:right w:w="28" w:type="dxa"/>
        </w:tblCellMar>
      </w:tblPr>
      <w:tblGrid>
        <w:gridCol w:w="1205"/>
        <w:gridCol w:w="1060"/>
        <w:gridCol w:w="1064"/>
        <w:gridCol w:w="291"/>
        <w:gridCol w:w="910"/>
        <w:gridCol w:w="140"/>
        <w:gridCol w:w="140"/>
        <w:gridCol w:w="140"/>
        <w:gridCol w:w="140"/>
        <w:gridCol w:w="291"/>
        <w:gridCol w:w="910"/>
        <w:gridCol w:w="140"/>
        <w:gridCol w:w="109"/>
        <w:gridCol w:w="109"/>
        <w:gridCol w:w="109"/>
        <w:gridCol w:w="265"/>
        <w:gridCol w:w="828"/>
        <w:gridCol w:w="127"/>
        <w:gridCol w:w="127"/>
        <w:gridCol w:w="127"/>
        <w:gridCol w:w="127"/>
        <w:gridCol w:w="265"/>
        <w:gridCol w:w="828"/>
        <w:gridCol w:w="180"/>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7,005 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7,057 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June 30, 2023, the estimated fair value (Level 2) of the 2028 Notes was $388.0 million. The fair value of the 2028 Notes is estimated using a binomial lattice model that is primarily affected by the trading price of our common stock, market interest rates and volatility.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NOTE 5. COMMITMENTS AND CONTINGENCIES </w:t>
      </w:r>
    </w:p>
    <w:p>
      <w:pPr>
        <w:pStyle w:val="TextBody"/>
        <w:bidi w:val="0"/>
        <w:spacing w:lineRule="auto" w:line="288" w:before="120" w:after="283"/>
        <w:jc w:val="both"/>
        <w:rPr/>
      </w:pPr>
      <w:r>
        <w:rPr>
          <w:rFonts w:ascii="Roboto;sans-serif" w:hAnsi="Roboto;sans-serif"/>
          <w:b w:val="false"/>
          <w:color w:val="000000"/>
          <w:sz w:val="20"/>
        </w:rPr>
        <w:t xml:space="preserve">The Company has entered into various operating lease agreements, primarily relating to our corporate offices. See </w:t>
      </w:r>
      <w:r>
        <w:rPr>
          <w:rFonts w:ascii="Roboto;sans-serif" w:hAnsi="Roboto;sans-serif"/>
          <w:b w:val="false"/>
          <w:i/>
          <w:color w:val="000000"/>
          <w:sz w:val="20"/>
        </w:rPr>
        <w:t>Note 8 – Commitments and Contingencies</w:t>
      </w:r>
      <w:r>
        <w:rPr>
          <w:rFonts w:ascii="Roboto;sans-serif" w:hAnsi="Roboto;sans-serif"/>
          <w:b w:val="false"/>
          <w:color w:val="000000"/>
          <w:sz w:val="20"/>
        </w:rPr>
        <w:t>, subsection titled “Leases”, in Part II, Item 8 of the Annual Report on Form 10-K for the year ended December 31, 2022 for information regarding the Company’s maturity of lease liabilities under its lease agreements.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Contingencies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bidi w:val="0"/>
        <w:spacing w:lineRule="auto" w:line="288" w:before="120" w:after="283"/>
        <w:jc w:val="both"/>
        <w:rPr/>
      </w:pPr>
      <w:r>
        <w:rPr>
          <w:rFonts w:ascii="Roboto;sans-serif" w:hAnsi="Roboto;sans-serif"/>
          <w:b w:val="false"/>
          <w:color w:val="000000"/>
          <w:sz w:val="20"/>
        </w:rPr>
        <w:t xml:space="preserve">Please see subsection titled </w:t>
      </w:r>
      <w:hyperlink w:anchor="ief1318ee9ee24960a22a8148d35dc3c7_97">
        <w:r>
          <w:rPr>
            <w:rStyle w:val="InternetLink"/>
            <w:rFonts w:ascii="Roboto;sans-serif" w:hAnsi="Roboto;sans-serif"/>
            <w:b w:val="false"/>
            <w:color w:val="0000FF"/>
            <w:sz w:val="20"/>
            <w:u w:val="single"/>
          </w:rPr>
          <w:t>Legal Proceedings, in Part II, Item 1</w:t>
        </w:r>
      </w:hyperlink>
      <w:r>
        <w:rPr>
          <w:color w:val="000000"/>
        </w:rPr>
        <w:t xml:space="preserve"> </w:t>
      </w:r>
      <w:r>
        <w:rPr>
          <w:rFonts w:ascii="Roboto;sans-serif" w:hAnsi="Roboto;sans-serif"/>
          <w:b w:val="false"/>
          <w:color w:val="000000"/>
          <w:sz w:val="20"/>
        </w:rPr>
        <w:t>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Indemnification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Roboto;sans-serif" w:hAnsi="Roboto;sans-serif"/>
          <w:b w:val="false"/>
          <w:color w:val="000000"/>
          <w:sz w:val="20"/>
        </w:rPr>
        <w:t>N</w:t>
      </w:r>
      <w:r>
        <w:rPr>
          <w:rFonts w:ascii="Roboto;sans-serif" w:hAnsi="Roboto;sans-serif"/>
          <w:b/>
          <w:color w:val="000000"/>
          <w:sz w:val="20"/>
        </w:rPr>
        <w:t xml:space="preserve">OTE 6. STOCKHOLDERS’ EQUITY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Underwritten Public Equity Offering</w:t>
      </w:r>
    </w:p>
    <w:p>
      <w:pPr>
        <w:pStyle w:val="TextBody"/>
        <w:bidi w:val="0"/>
        <w:spacing w:lineRule="auto" w:line="288" w:before="200" w:after="283"/>
        <w:jc w:val="both"/>
        <w:rPr>
          <w:rFonts w:ascii="Roboto;sans-serif" w:hAnsi="Roboto;sans-serif"/>
          <w:b w:val="false"/>
          <w:color w:val="000000"/>
          <w:sz w:val="20"/>
        </w:rPr>
      </w:pPr>
      <w:r>
        <w:rPr>
          <w:rFonts w:ascii="Roboto;sans-serif" w:hAnsi="Roboto;sans-serif"/>
          <w:b w:val="false"/>
          <w:color w:val="000000"/>
          <w:sz w:val="20"/>
        </w:rPr>
        <w:t xml:space="preserve">In January 2023, we entered into an underwriting agreement, relating to the public offering of 17.5 million shares of our common stock, $0.001 par value per share, at a price to the public of $10.00 per share. Under the terms of the underwriting agreement, we also granted the underwriters a 30-day option to purchase up to an additional 2.6 million shares of our common stock, which was subsequently exercised in full, and the offering, including the sale of shares of common stock subject to the underwriters' option, closed in January 2023. In total, we sold 20.1 million shares of our common stock. We paid a commission equal to 5.75% of the gross proceeds from the sale of shares of our common stock. The total net proceeds to us from the offering after deducting the underwriting discount were approximately $189.7 million, excluding approximately $0.5 million of offering expenses. </w:t>
      </w:r>
    </w:p>
    <w:p>
      <w:pPr>
        <w:pStyle w:val="TextBody"/>
        <w:bidi w:val="0"/>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10 – Stockholders' Equity</w:t>
      </w:r>
      <w:r>
        <w:rPr>
          <w:rFonts w:ascii="Roboto;sans-serif" w:hAnsi="Roboto;sans-serif"/>
          <w:b w:val="false"/>
          <w:color w:val="000000"/>
          <w:sz w:val="20"/>
        </w:rPr>
        <w:t>, in Part II, Item 8 of the Annual Report on Form 10-K for the year ended December 31, 2022 for more information on the Company's underwritten public equity offerings and private placement of common stock</w:t>
      </w:r>
      <w:r>
        <w:rPr>
          <w:rFonts w:ascii="Roboto;sans-serif" w:hAnsi="Roboto;sans-serif"/>
          <w:b w:val="false"/>
          <w:color w:val="000000"/>
          <w:sz w:val="20"/>
          <w:shd w:fill="FFFFFF" w:val="clear"/>
        </w:rPr>
        <w:t>.</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Equity Plans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At June 30, 2023,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2023, we had 12.2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pStyle w:val="TextBody"/>
        <w:bidi w:val="0"/>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10 – Stockholders' Equity</w:t>
      </w:r>
      <w:r>
        <w:rPr>
          <w:rFonts w:ascii="Roboto;sans-serif" w:hAnsi="Roboto;sans-serif"/>
          <w:b w:val="false"/>
          <w:color w:val="000000"/>
          <w:sz w:val="20"/>
        </w:rPr>
        <w:t>, in Part II, Item 8 of the Annual Report on Form 10-K for the year ended December 31, 2022 for more information on the Company's equity plans</w:t>
      </w:r>
      <w:r>
        <w:rPr>
          <w:rFonts w:ascii="Roboto;sans-serif" w:hAnsi="Roboto;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Stock Options</w:t>
      </w:r>
    </w:p>
    <w:p>
      <w:pPr>
        <w:pStyle w:val="TextBody"/>
        <w:bidi w:val="0"/>
        <w:spacing w:lineRule="auto" w:line="288" w:before="200" w:after="283"/>
        <w:jc w:val="both"/>
        <w:rPr>
          <w:rFonts w:ascii="Roboto;sans-serif" w:hAnsi="Roboto;sans-serif"/>
          <w:b w:val="false"/>
          <w:i/>
          <w:color w:val="000000"/>
          <w:sz w:val="20"/>
        </w:rPr>
      </w:pPr>
      <w:r>
        <w:rPr>
          <w:rFonts w:ascii="Roboto;sans-serif" w:hAnsi="Roboto;sans-serif"/>
          <w:b w:val="false"/>
          <w:i/>
          <w:color w:val="000000"/>
          <w:sz w:val="20"/>
        </w:rPr>
        <w:t>Time-based Stock Options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 (shares in thousands):</w:t>
      </w:r>
    </w:p>
    <w:tbl>
      <w:tblPr>
        <w:tblW w:w="6513" w:type="dxa"/>
        <w:jc w:val="left"/>
        <w:tblInd w:w="0" w:type="dxa"/>
        <w:tblLayout w:type="fixed"/>
        <w:tblCellMar>
          <w:top w:w="28" w:type="dxa"/>
          <w:left w:w="28" w:type="dxa"/>
          <w:bottom w:w="28" w:type="dxa"/>
          <w:right w:w="28" w:type="dxa"/>
        </w:tblCellMar>
      </w:tblPr>
      <w:tblGrid>
        <w:gridCol w:w="1221"/>
        <w:gridCol w:w="1075"/>
        <w:gridCol w:w="1078"/>
        <w:gridCol w:w="344"/>
        <w:gridCol w:w="344"/>
        <w:gridCol w:w="346"/>
        <w:gridCol w:w="109"/>
        <w:gridCol w:w="109"/>
        <w:gridCol w:w="109"/>
        <w:gridCol w:w="109"/>
        <w:gridCol w:w="109"/>
        <w:gridCol w:w="324"/>
        <w:gridCol w:w="1013"/>
        <w:gridCol w:w="223"/>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w:t>
              <w:br/>
              <w:t>average</w:t>
              <w:br/>
              <w:t>exercise price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2022</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Granted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11.94 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Exercised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Canceled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18.99 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June 30, 2023</w:t>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Roboto;sans-serif" w:hAnsi="Roboto;sans-serif"/>
          <w:b w:val="false"/>
          <w:i/>
          <w:color w:val="000000"/>
          <w:sz w:val="20"/>
        </w:rPr>
        <w:t>Performance-based Stock Options</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performance-based awards (shares in thousands):</w:t>
      </w:r>
    </w:p>
    <w:tbl>
      <w:tblPr>
        <w:tblW w:w="6889" w:type="dxa"/>
        <w:jc w:val="left"/>
        <w:tblInd w:w="0" w:type="dxa"/>
        <w:tblLayout w:type="fixed"/>
        <w:tblCellMar>
          <w:top w:w="28" w:type="dxa"/>
          <w:left w:w="28" w:type="dxa"/>
          <w:bottom w:w="28" w:type="dxa"/>
          <w:right w:w="28" w:type="dxa"/>
        </w:tblCellMar>
      </w:tblPr>
      <w:tblGrid>
        <w:gridCol w:w="1277"/>
        <w:gridCol w:w="1123"/>
        <w:gridCol w:w="1125"/>
        <w:gridCol w:w="379"/>
        <w:gridCol w:w="379"/>
        <w:gridCol w:w="381"/>
        <w:gridCol w:w="109"/>
        <w:gridCol w:w="109"/>
        <w:gridCol w:w="109"/>
        <w:gridCol w:w="109"/>
        <w:gridCol w:w="109"/>
        <w:gridCol w:w="392"/>
        <w:gridCol w:w="1019"/>
        <w:gridCol w:w="269"/>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Weighted</w:t>
              <w:br/>
              <w:t>average</w:t>
              <w:br/>
              <w:t>exercise price</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Outstanding at December 31, 2022</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Granted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Exercised </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Canceled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Outstanding at June 30, 2023</w:t>
            </w:r>
          </w:p>
        </w:tc>
        <w:tc>
          <w:tcPr>
            <w:tcW w:w="11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Roboto;sans-serif" w:hAnsi="Roboto;sans-serif"/>
          <w:b/>
          <w:i/>
          <w:color w:val="000000"/>
          <w:sz w:val="20"/>
        </w:rPr>
      </w:pPr>
      <w:r>
        <w:rPr>
          <w:rFonts w:ascii="Roboto;sans-serif" w:hAnsi="Roboto;sans-serif"/>
          <w:b/>
          <w:i/>
          <w:color w:val="000000"/>
          <w:sz w:val="20"/>
        </w:rPr>
        <w:t xml:space="preserve">Restricted Stock Units (“RSU”) and Performance Stock Units ("PSU")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issue RSUs for which the respective shares vest when the requisite service period is achieved. We issue PSUs for which the number of shares issuable in the third year of the performance period based on performance relative to specified revenue targets and continued employment through the vesting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 (shares in thousands): </w:t>
      </w:r>
    </w:p>
    <w:tbl>
      <w:tblPr>
        <w:tblW w:w="10205" w:type="dxa"/>
        <w:jc w:val="left"/>
        <w:tblInd w:w="0" w:type="dxa"/>
        <w:tblLayout w:type="fixed"/>
        <w:tblCellMar>
          <w:top w:w="28" w:type="dxa"/>
          <w:left w:w="28" w:type="dxa"/>
          <w:bottom w:w="28" w:type="dxa"/>
          <w:right w:w="28" w:type="dxa"/>
        </w:tblCellMar>
      </w:tblPr>
      <w:tblGrid>
        <w:gridCol w:w="842"/>
        <w:gridCol w:w="742"/>
        <w:gridCol w:w="744"/>
        <w:gridCol w:w="700"/>
        <w:gridCol w:w="700"/>
        <w:gridCol w:w="702"/>
        <w:gridCol w:w="109"/>
        <w:gridCol w:w="109"/>
        <w:gridCol w:w="109"/>
        <w:gridCol w:w="785"/>
        <w:gridCol w:w="785"/>
        <w:gridCol w:w="786"/>
        <w:gridCol w:w="109"/>
        <w:gridCol w:w="109"/>
        <w:gridCol w:w="109"/>
        <w:gridCol w:w="267"/>
        <w:gridCol w:w="836"/>
        <w:gridCol w:w="128"/>
        <w:gridCol w:w="128"/>
        <w:gridCol w:w="128"/>
        <w:gridCol w:w="128"/>
        <w:gridCol w:w="267"/>
        <w:gridCol w:w="693"/>
        <w:gridCol w:w="190"/>
      </w:tblGrid>
      <w:tr>
        <w:trPr/>
        <w:tc>
          <w:tcPr>
            <w:tcW w:w="8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Restricted Stock Units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Performance Stock Units (PSU)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 average grant date</w:t>
              <w:br/>
              <w:t>fair value</w:t>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2022</w:t>
            </w:r>
          </w:p>
        </w:tc>
        <w:tc>
          <w:tcPr>
            <w:tcW w:w="2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Forfeited</w:t>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June 30, 2023</w:t>
            </w:r>
          </w:p>
        </w:tc>
        <w:tc>
          <w:tcPr>
            <w:tcW w:w="21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Employee Stock Purchase Plan (“ESPP”)</w:t>
      </w:r>
    </w:p>
    <w:p>
      <w:pPr>
        <w:pStyle w:val="TextBody"/>
        <w:bidi w:val="0"/>
        <w:spacing w:lineRule="auto" w:line="288" w:before="120" w:after="283"/>
        <w:jc w:val="both"/>
        <w:rPr/>
      </w:pPr>
      <w:r>
        <w:rPr>
          <w:rFonts w:ascii="Roboto;sans-serif" w:hAnsi="Roboto;sans-serif"/>
          <w:b w:val="false"/>
          <w:color w:val="000000"/>
          <w:sz w:val="20"/>
          <w:shd w:fill="FFFFFF" w:val="clear"/>
        </w:rPr>
        <w:t xml:space="preserve">Shares issued under our ESPP were 1,052,908 and 1,316,923 during the six months ended June 30, 2023 and 2022, respectively. In February 2023, an additional 4.0 million shares were reserved under the ESPP. As of June 30, 2023, </w:t>
      </w:r>
      <w:r>
        <w:rPr>
          <w:rFonts w:ascii="Roboto;sans-serif" w:hAnsi="Roboto;sans-serif"/>
          <w:b w:val="false"/>
          <w:color w:val="000000"/>
          <w:sz w:val="20"/>
        </w:rPr>
        <w:t>12.9 million</w:t>
      </w:r>
      <w:r>
        <w:rPr>
          <w:color w:val="000000"/>
          <w:shd w:fill="FFFFFF" w:val="clear"/>
        </w:rPr>
        <w:t xml:space="preserve"> </w:t>
      </w:r>
      <w:r>
        <w:rPr>
          <w:rFonts w:ascii="Roboto;sans-serif" w:hAnsi="Roboto;sans-serif"/>
          <w:b w:val="false"/>
          <w:color w:val="000000"/>
          <w:sz w:val="20"/>
          <w:shd w:fill="FFFFFF" w:val="clear"/>
        </w:rPr>
        <w:t>shares of our common stock remain available for issuance under our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Share-Based Compensation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share-based compensation expense (in thousands):</w:t>
      </w:r>
    </w:p>
    <w:tbl>
      <w:tblPr>
        <w:tblW w:w="10157" w:type="dxa"/>
        <w:jc w:val="left"/>
        <w:tblInd w:w="0" w:type="dxa"/>
        <w:tblLayout w:type="fixed"/>
        <w:tblCellMar>
          <w:top w:w="28" w:type="dxa"/>
          <w:left w:w="28" w:type="dxa"/>
          <w:bottom w:w="28" w:type="dxa"/>
          <w:right w:w="28" w:type="dxa"/>
        </w:tblCellMar>
      </w:tblPr>
      <w:tblGrid>
        <w:gridCol w:w="1396"/>
        <w:gridCol w:w="1225"/>
        <w:gridCol w:w="1234"/>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16,713 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general and administrative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11,291 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20,589 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22,263 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share-based compensation expense</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17,891 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19,019 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35,843 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41,722 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Determining Fair Value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employee stock options was estimated using the following assumptions:</w:t>
      </w:r>
    </w:p>
    <w:tbl>
      <w:tblPr>
        <w:tblW w:w="9587" w:type="dxa"/>
        <w:jc w:val="left"/>
        <w:tblInd w:w="0" w:type="dxa"/>
        <w:tblLayout w:type="fixed"/>
        <w:tblCellMar>
          <w:top w:w="28" w:type="dxa"/>
          <w:left w:w="28" w:type="dxa"/>
          <w:bottom w:w="28" w:type="dxa"/>
          <w:right w:w="28" w:type="dxa"/>
        </w:tblCellMar>
      </w:tblPr>
      <w:tblGrid>
        <w:gridCol w:w="1660"/>
        <w:gridCol w:w="1463"/>
        <w:gridCol w:w="1467"/>
        <w:gridCol w:w="109"/>
        <w:gridCol w:w="109"/>
        <w:gridCol w:w="566"/>
        <w:gridCol w:w="566"/>
        <w:gridCol w:w="566"/>
        <w:gridCol w:w="566"/>
        <w:gridCol w:w="569"/>
        <w:gridCol w:w="109"/>
        <w:gridCol w:w="109"/>
        <w:gridCol w:w="109"/>
        <w:gridCol w:w="472"/>
        <w:gridCol w:w="472"/>
        <w:gridCol w:w="675"/>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1946"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4.6</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70% — 72%</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1.76% — 2.77%</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$6.05</w:t>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9588" w:type="dxa"/>
        <w:jc w:val="left"/>
        <w:tblInd w:w="0" w:type="dxa"/>
        <w:tblLayout w:type="fixed"/>
        <w:tblCellMar>
          <w:top w:w="28" w:type="dxa"/>
          <w:left w:w="28" w:type="dxa"/>
          <w:bottom w:w="28" w:type="dxa"/>
          <w:right w:w="28" w:type="dxa"/>
        </w:tblCellMar>
      </w:tblPr>
      <w:tblGrid>
        <w:gridCol w:w="1660"/>
        <w:gridCol w:w="1463"/>
        <w:gridCol w:w="1467"/>
        <w:gridCol w:w="109"/>
        <w:gridCol w:w="109"/>
        <w:gridCol w:w="566"/>
        <w:gridCol w:w="566"/>
        <w:gridCol w:w="566"/>
        <w:gridCol w:w="566"/>
        <w:gridCol w:w="569"/>
        <w:gridCol w:w="109"/>
        <w:gridCol w:w="109"/>
        <w:gridCol w:w="109"/>
        <w:gridCol w:w="471"/>
        <w:gridCol w:w="471"/>
        <w:gridCol w:w="678"/>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1947"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70%</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4.89% — 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0.60% — 1.31%</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$5.42</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NOTE 7. NET LOSS PER SHARE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calculation of the basic and diluted net loss per share amounts presented in the Condensed Consolidated Statements of Operations and Comprehensive Loss (in thousands, except per share amounts):</w:t>
      </w:r>
    </w:p>
    <w:tbl>
      <w:tblPr>
        <w:tblW w:w="10205" w:type="dxa"/>
        <w:jc w:val="left"/>
        <w:tblInd w:w="0" w:type="dxa"/>
        <w:tblLayout w:type="fixed"/>
        <w:tblCellMar>
          <w:top w:w="28" w:type="dxa"/>
          <w:left w:w="28" w:type="dxa"/>
          <w:bottom w:w="28" w:type="dxa"/>
          <w:right w:w="28" w:type="dxa"/>
        </w:tblCellMar>
      </w:tblPr>
      <w:tblGrid>
        <w:gridCol w:w="1473"/>
        <w:gridCol w:w="1298"/>
        <w:gridCol w:w="1303"/>
        <w:gridCol w:w="226"/>
        <w:gridCol w:w="880"/>
        <w:gridCol w:w="109"/>
        <w:gridCol w:w="109"/>
        <w:gridCol w:w="109"/>
        <w:gridCol w:w="109"/>
        <w:gridCol w:w="226"/>
        <w:gridCol w:w="880"/>
        <w:gridCol w:w="109"/>
        <w:gridCol w:w="109"/>
        <w:gridCol w:w="109"/>
        <w:gridCol w:w="109"/>
        <w:gridCol w:w="226"/>
        <w:gridCol w:w="1000"/>
        <w:gridCol w:w="109"/>
        <w:gridCol w:w="109"/>
        <w:gridCol w:w="109"/>
        <w:gridCol w:w="109"/>
        <w:gridCol w:w="226"/>
        <w:gridCol w:w="1000"/>
        <w:gridCol w:w="159"/>
      </w:tblGrid>
      <w:tr>
        <w:trPr/>
        <w:tc>
          <w:tcPr>
            <w:tcW w:w="147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w:t>
              <w:br/>
              <w:t>June 30,</w:t>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(152,893)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 basic net loss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223,400</w:t>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 net loss per share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7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7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7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 diluted net loss per share</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223,400</w:t>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 net loss per share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convertible senior notes and outstanding equity awards were excluded from the computation of diluted net loss per share for the periods presented because the effect of including such shares would have been antidilutive (in thousands):</w:t>
      </w:r>
    </w:p>
    <w:tbl>
      <w:tblPr>
        <w:tblW w:w="10205" w:type="dxa"/>
        <w:jc w:val="left"/>
        <w:tblInd w:w="0" w:type="dxa"/>
        <w:tblLayout w:type="fixed"/>
        <w:tblCellMar>
          <w:top w:w="28" w:type="dxa"/>
          <w:left w:w="28" w:type="dxa"/>
          <w:bottom w:w="28" w:type="dxa"/>
          <w:right w:w="28" w:type="dxa"/>
        </w:tblCellMar>
      </w:tblPr>
      <w:tblGrid>
        <w:gridCol w:w="1892"/>
        <w:gridCol w:w="1660"/>
        <w:gridCol w:w="1670"/>
        <w:gridCol w:w="321"/>
        <w:gridCol w:w="301"/>
        <w:gridCol w:w="239"/>
        <w:gridCol w:w="236"/>
        <w:gridCol w:w="236"/>
        <w:gridCol w:w="236"/>
        <w:gridCol w:w="321"/>
        <w:gridCol w:w="301"/>
        <w:gridCol w:w="239"/>
        <w:gridCol w:w="109"/>
        <w:gridCol w:w="109"/>
        <w:gridCol w:w="109"/>
        <w:gridCol w:w="277"/>
        <w:gridCol w:w="277"/>
        <w:gridCol w:w="212"/>
        <w:gridCol w:w="205"/>
        <w:gridCol w:w="205"/>
        <w:gridCol w:w="205"/>
        <w:gridCol w:w="272"/>
        <w:gridCol w:w="272"/>
        <w:gridCol w:w="301"/>
      </w:tblGrid>
      <w:tr>
        <w:trPr/>
        <w:tc>
          <w:tcPr>
            <w:tcW w:w="189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w:t>
              <w:br/>
              <w:t>June 30,</w:t>
            </w:r>
          </w:p>
        </w:tc>
      </w:tr>
      <w:tr>
        <w:trPr/>
        <w:tc>
          <w:tcPr>
            <w:tcW w:w="5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5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Shares issuable upon conversion of convertible senior notes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20,690</w:t>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5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Equity Awards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29,773</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29,773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25,925</w:t>
            </w:r>
          </w:p>
        </w:tc>
      </w:tr>
    </w:tbl>
    <w:p>
      <w:pPr>
        <w:pStyle w:val="TextBody"/>
        <w:bidi w:val="0"/>
        <w:spacing w:lineRule="auto" w:line="288" w:before="120" w:after="283"/>
        <w:jc w:val="both"/>
        <w:rPr/>
      </w:pPr>
      <w:r>
        <w:rPr>
          <w:rFonts w:ascii="Roboto;sans-serif" w:hAnsi="Roboto;sans-serif"/>
          <w:b w:val="false"/>
          <w:color w:val="000000"/>
          <w:sz w:val="20"/>
        </w:rPr>
        <w:t xml:space="preserve">As described in </w:t>
      </w:r>
      <w:r>
        <w:rPr>
          <w:rFonts w:ascii="Roboto;sans-serif" w:hAnsi="Roboto;sans-serif"/>
          <w:b w:val="false"/>
          <w:i/>
          <w:color w:val="000000"/>
          <w:sz w:val="20"/>
        </w:rPr>
        <w:t xml:space="preserve">Note 2 – Business Acquisitions </w:t>
      </w:r>
      <w:r>
        <w:rPr>
          <w:rFonts w:ascii="Roboto;sans-serif" w:hAnsi="Roboto;sans-serif"/>
          <w:b w:val="false"/>
          <w:color w:val="000000"/>
          <w:sz w:val="20"/>
        </w:rPr>
        <w:t xml:space="preserve">in Part II, Item 8 of the Annual Report on Form 10-K for the year ended December 31, 2022, the contingently issuable shares would be due upon the achievement of a milestone.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NOTE 8.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geographic location is as follows (in thousands): </w:t>
      </w:r>
    </w:p>
    <w:tbl>
      <w:tblPr>
        <w:tblW w:w="9196" w:type="dxa"/>
        <w:jc w:val="left"/>
        <w:tblInd w:w="0" w:type="dxa"/>
        <w:tblLayout w:type="fixed"/>
        <w:tblCellMar>
          <w:top w:w="28" w:type="dxa"/>
          <w:left w:w="28" w:type="dxa"/>
          <w:bottom w:w="28" w:type="dxa"/>
          <w:right w:w="28" w:type="dxa"/>
        </w:tblCellMar>
      </w:tblPr>
      <w:tblGrid>
        <w:gridCol w:w="1046"/>
        <w:gridCol w:w="921"/>
        <w:gridCol w:w="927"/>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Americas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23,960 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21,722 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43,031 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40,804 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Europe, Middle East and Africa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Asia-Pacific</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12,883 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24,842 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35,467 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68,640 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category is as follows (in thousands): </w:t>
      </w:r>
    </w:p>
    <w:tbl>
      <w:tblPr>
        <w:tblW w:w="8821" w:type="dxa"/>
        <w:jc w:val="left"/>
        <w:tblInd w:w="0" w:type="dxa"/>
        <w:tblLayout w:type="fixed"/>
        <w:tblCellMar>
          <w:top w:w="28" w:type="dxa"/>
          <w:left w:w="28" w:type="dxa"/>
          <w:bottom w:w="28" w:type="dxa"/>
          <w:right w:w="28" w:type="dxa"/>
        </w:tblCellMar>
      </w:tblPr>
      <w:tblGrid>
        <w:gridCol w:w="912"/>
        <w:gridCol w:w="801"/>
        <w:gridCol w:w="806"/>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Instrument revenue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15,619 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50,623 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31,169 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Consumable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13,732 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14,556 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Product revenue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43,655 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30,175 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78,309 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58,419 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Service and other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35,467 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68,640 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NOTE 9. SUBSEQUENT EVENTS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August 2, 2023, we entered into an agreement and plan of reorganization (the “Merger Agreement”), pursuant to which we acquired Apton Biosystems, Inc., a privately held genomics company (“Apton”). The transaction closed on August 2,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Pursuant to the Merger Agreement, upon the closing of the acquisition, we will, among other things, issue to holders of Apton’s outstanding equity interests (“Apton Securityholders”) approximately 6.3 million shares of the Company’s common stock, par value $0.001 per share (“Common Stock”). Additionally, subject to the terms and conditions of the Merger Agreement and the achievement of $50 million in revenue associated with a high throughput sequencer using Apton's technology, Apton Securityholders will also be entitled to receive $25.0 million, which we may elect to pay in cash, shares of Common Stock or a combination of cash and shares of Common Stock. At this time, the number of shares, if any, to be issued in connection with the achievement of the specified milestone is not known, and will be calculated based on the daily volume-weighted average price of the Common Stock for the twenty trading days ending on and including the fifth trading day immediately prior to the occurrence of the specified milestone. Under the terms of the Merger Agreement, we may pay cash in lieu of Common Stock to ensure that the issuance of Common Stock as contemplated by the Merger Agreement does not exceed 19.9% of the shares of Common Stock then outstanding.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2.    Management’s Discussion and Analysis of Financial Condition and Results of Operations</w:t>
      </w:r>
    </w:p>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 xml:space="preserve">You should read the following discussion and analysis of our financial condition and results of operations together with the unaudited condensed consolidated financial statements and related notes that are included elsewhere in this Quarterly Report on Form 10-Q and the consolidated financial statements and the related notes included in our Annual Report on Form 10-K for the fiscal year ended December 31, 2022 filed with the U.S. Securities and Exchange Commission, or the SEC, on February 28, 2023, or our Annual Report on Form 10-K.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Management’s Discussion and Analysis (MD&amp;A) is organized into the following sections: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 xml:space="preserve">Overview and Outlook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 xml:space="preserve">Results of Operations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 xml:space="preserve">Liquidity and Capital Resources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Critical Accounting Policies and Estimates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Recent Accounting Pronouncements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Off 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Overview and Outlook</w:t>
      </w:r>
    </w:p>
    <w:p>
      <w:pPr>
        <w:pStyle w:val="TextBody"/>
        <w:bidi w:val="0"/>
        <w:spacing w:lineRule="auto" w:line="288" w:before="200" w:after="283"/>
        <w:jc w:val="both"/>
        <w:rPr>
          <w:rFonts w:ascii="Roboto;sans-serif" w:hAnsi="Roboto;sans-serif"/>
          <w:b/>
          <w:i/>
          <w:color w:val="000000"/>
          <w:sz w:val="20"/>
        </w:rPr>
      </w:pPr>
      <w:r>
        <w:rPr>
          <w:rFonts w:ascii="Roboto;sans-serif" w:hAnsi="Roboto;sans-serif"/>
          <w:b/>
          <w:i/>
          <w:color w:val="000000"/>
          <w:sz w:val="20"/>
        </w:rPr>
        <w:t>About PacBio</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a premier life science technology company that is designing, developing, and manufacturing advanced sequencing solutions that enable scientists and clinical researchers to improve their understanding of the genome and ultimately, resolve genetically complex problems.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and technology under development stem from two highly differentiated core technologies focused on accuracy, quality and completeness which include our existing HiFi long-read sequencing solutions and our emerging Sequencing by Binding ("SBB") short-read sequencing solution. Our products address solutions across a broad set of research applications including human genomics, plant and animal sciences, infectious disease and microbiology, oncology, and other emerging applications.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focus is on providing our customers with advanced sequencing solutions with higher throughput and improved workflows that we believe will enable dramatic advancements in routine healthcare.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2023, our commercial team consisted of approximately 206 employees, including 62 quota-carrying representatives, many with advanced degrees in biology and significant experience in the genomics industry.</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Strategic Objectives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2023 strategic objectives are to: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Roboto;sans-serif" w:hAnsi="Roboto;sans-serif"/>
          <w:b w:val="false"/>
          <w:color w:val="000000"/>
          <w:sz w:val="20"/>
        </w:rPr>
        <w:t>Drive rapid adoption of Revio</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by converting existing Sequel</w:t>
      </w:r>
      <w:r>
        <w:rPr>
          <w:rFonts w:ascii="Roboto;sans-serif" w:hAnsi="Roboto;sans-serif"/>
          <w:b w:val="false"/>
          <w:color w:val="000000"/>
          <w:sz w:val="13"/>
        </w:rPr>
        <w:t>®</w:t>
      </w:r>
      <w:r>
        <w:rPr>
          <w:color w:val="000000"/>
        </w:rPr>
        <w:t xml:space="preserve"> </w:t>
      </w:r>
      <w:r>
        <w:rPr>
          <w:rFonts w:ascii="Roboto;sans-serif" w:hAnsi="Roboto;sans-serif"/>
          <w:b w:val="false"/>
          <w:color w:val="000000"/>
          <w:sz w:val="20"/>
        </w:rPr>
        <w:t xml:space="preserve">II/IIe customers and attracting new PacBio customers </w:t>
      </w:r>
    </w:p>
    <w:p>
      <w:pPr>
        <w:pStyle w:val="TextBody"/>
        <w:bidi w:val="0"/>
        <w:spacing w:lineRule="auto" w:line="276" w:before="0" w:after="0"/>
        <w:ind w:left="0" w:right="0" w:hanging="360"/>
        <w:jc w:val="left"/>
        <w:rPr/>
      </w:pPr>
      <w:r>
        <w:rPr>
          <w:color w:val="000000"/>
        </w:rPr>
        <w:t>•</w:t>
      </w:r>
      <w:r>
        <w:rPr>
          <w:rFonts w:ascii="Roboto;sans-serif" w:hAnsi="Roboto;sans-serif"/>
          <w:b w:val="false"/>
          <w:color w:val="000000"/>
          <w:sz w:val="20"/>
        </w:rPr>
        <w:t xml:space="preserve">Demonstrate Onso’s extraordinary level of accuracy in the field and show how it can transform research in needle-in-haystack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76" w:before="0" w:after="0"/>
        <w:ind w:left="0" w:right="0" w:hanging="360"/>
        <w:jc w:val="left"/>
        <w:rPr/>
      </w:pPr>
      <w:r>
        <w:rPr>
          <w:color w:val="000000"/>
        </w:rPr>
        <w:t>•</w:t>
      </w:r>
      <w:r>
        <w:rPr>
          <w:rFonts w:ascii="Roboto;sans-serif" w:hAnsi="Roboto;sans-serif"/>
          <w:b w:val="false"/>
          <w:color w:val="000000"/>
          <w:sz w:val="20"/>
        </w:rPr>
        <w:t>Progress development of ultra-high-throughput and benchtop long-read sequencers and next generation SBB</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 xml:space="preserve">short-read sequencer </w:t>
      </w:r>
    </w:p>
    <w:p>
      <w:pPr>
        <w:pStyle w:val="TextBody"/>
        <w:bidi w:val="0"/>
        <w:spacing w:lineRule="auto" w:line="276" w:before="0" w:after="0"/>
        <w:ind w:left="0" w:right="0" w:hanging="360"/>
        <w:jc w:val="left"/>
        <w:rPr/>
      </w:pPr>
      <w:r>
        <w:rPr>
          <w:color w:val="000000"/>
        </w:rPr>
        <w:t>•</w:t>
      </w:r>
      <w:r>
        <w:rPr>
          <w:rFonts w:ascii="Roboto;sans-serif" w:hAnsi="Roboto;sans-serif"/>
          <w:b w:val="false"/>
          <w:color w:val="000000"/>
          <w:sz w:val="20"/>
        </w:rPr>
        <w:t xml:space="preserve">Leverage current infrastructure to drive toward positive cash flow </w:t>
      </w:r>
    </w:p>
    <w:p>
      <w:pPr>
        <w:pStyle w:val="TextBody"/>
        <w:bidi w:val="0"/>
        <w:spacing w:lineRule="auto" w:line="276" w:before="0" w:after="0"/>
        <w:ind w:left="0" w:right="0" w:hanging="360"/>
        <w:jc w:val="both"/>
        <w:rPr/>
      </w:pPr>
      <w:r>
        <w:rPr>
          <w:color w:val="000000"/>
        </w:rPr>
        <w:t>•</w:t>
      </w:r>
      <w:r>
        <w:rPr>
          <w:rFonts w:ascii="Roboto;sans-serif" w:hAnsi="Roboto;sans-serif"/>
          <w:b w:val="false"/>
          <w:color w:val="000000"/>
          <w:sz w:val="20"/>
        </w:rPr>
        <w:t>Expand partnerships across ecosystem and workflow to drive customer adoption of SBB short-read sequencing and HiFi long-read sequencing</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 xml:space="preserve">We will continue to leverage our commercial organization and make significant improvements in the efficiency and usability of our products to seek to reach a broader customer base. We believe the commercial investments we have recently made will further help drive growth in our business. </w:t>
      </w:r>
    </w:p>
    <w:p>
      <w:pPr>
        <w:pStyle w:val="TextBody"/>
        <w:bidi w:val="0"/>
        <w:spacing w:lineRule="auto" w:line="288" w:before="120" w:after="283"/>
        <w:jc w:val="both"/>
        <w:rPr/>
      </w:pPr>
      <w:r>
        <w:rPr>
          <w:rFonts w:ascii="Roboto;sans-serif" w:hAnsi="Roboto;sans-serif"/>
          <w:b w:val="false"/>
          <w:color w:val="000000"/>
          <w:sz w:val="20"/>
        </w:rPr>
        <w:t>To increase the adoption of HiFi sequencing, we have various development programs in progress to expand our product portfolio as well as increase the throughput and improve the usability of our existing sequencing solutions. We continue to focus on programs to accelerate new platform launches in the near to mid-term as well as increase applications for our technologies. In October 2022, we announced Revio, our new HiFi long-read sequencing system. We began taking orders in the fourth quarter of 2022 and commenced commercial Revio shipments in the first quarter of 2023. To address the oncology research markets with a highly differentiated alternative to existing third-party short-read sequencing products already on the market, we also progressed development of and, subsequent to the quarter ended June 30, 2023, commercialized Onso</w:t>
      </w:r>
      <w:r>
        <w:rPr>
          <w:rFonts w:ascii="Roboto;sans-serif" w:hAnsi="Roboto;sans-serif"/>
          <w:b w:val="false"/>
          <w:color w:val="000000"/>
          <w:sz w:val="13"/>
        </w:rPr>
        <w:t>TM</w:t>
      </w:r>
      <w:r>
        <w:rPr>
          <w:rFonts w:ascii="Roboto;sans-serif" w:hAnsi="Roboto;sans-serif"/>
          <w:b w:val="false"/>
          <w:color w:val="000000"/>
          <w:sz w:val="20"/>
        </w:rPr>
        <w:t xml:space="preserve">, our SBB short-read platform. We began taking orders in the first quarter of 2023, and in August 2023, we commenced customer shipments of the Onso short-read sequencing instrument, with shipments of related consumables expected to occur later in August 2023. The milestone payment associated with PacBio’s acquisition of Omniome will be triggered once both the Onso instrument and related consumables have shipped to one customer. </w:t>
      </w:r>
    </w:p>
    <w:p>
      <w:pPr>
        <w:pStyle w:val="TextBody"/>
        <w:bidi w:val="0"/>
        <w:spacing w:before="0" w:after="0"/>
        <w:jc w:val="both"/>
        <w:rPr/>
      </w:pPr>
      <w:r>
        <w:rPr/>
      </w:r>
    </w:p>
    <w:p>
      <w:pPr>
        <w:pStyle w:val="TextBody"/>
        <w:bidi w:val="0"/>
        <w:spacing w:lineRule="auto" w:line="276" w:before="0" w:after="0"/>
        <w:jc w:val="both"/>
        <w:rPr/>
      </w:pPr>
      <w:r>
        <w:rPr>
          <w:rFonts w:ascii="Roboto;sans-serif" w:hAnsi="Roboto;sans-serif"/>
          <w:b w:val="false"/>
          <w:color w:val="000000"/>
          <w:sz w:val="20"/>
        </w:rPr>
        <w:t>We continue to believe that with the capabilities of our HiFi chemistry and SMRT</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pStyle w:val="TextBody"/>
        <w:bidi w:val="0"/>
        <w:spacing w:lineRule="auto" w:line="288" w:before="240" w:after="283"/>
        <w:jc w:val="both"/>
        <w:rPr>
          <w:rFonts w:ascii="Roboto;sans-serif" w:hAnsi="Roboto;sans-serif"/>
          <w:b/>
          <w:i/>
          <w:color w:val="000000"/>
          <w:sz w:val="20"/>
          <w:shd w:fill="FFFFFF" w:val="clear"/>
        </w:rPr>
      </w:pPr>
      <w:r>
        <w:rPr>
          <w:rFonts w:ascii="Roboto;sans-serif" w:hAnsi="Roboto;sans-serif"/>
          <w:b/>
          <w:i/>
          <w:color w:val="000000"/>
          <w:sz w:val="20"/>
          <w:shd w:fill="FFFFFF" w:val="clear"/>
        </w:rPr>
        <w:t>Financial Overview</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the six months ended June 30, 2023 consolidated financial results include the following:</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Roboto;sans-serif" w:hAnsi="Roboto;sans-serif"/>
          <w:b w:val="false"/>
          <w:color w:val="000000"/>
          <w:sz w:val="20"/>
        </w:rPr>
        <w:t xml:space="preserve">Revenue increased $17.8 million, or 26%, to $86.5 million for the six months ended June 30, 2023, as compared to $68.6 million for the six months ended June 30, 2022. Revenue was comprised of $50.6 million in instrument revenue, $27.7 million in consumables revenue and $8.2 million in service and other revenue for the six months ended June 30, 2023. The increase was primarily driven by the launch of Revio in the first quarter of 2023, which is sold at a higher average selling price than our previous Sequel II and IIe platform. We ended the quarter with an installed base of 77 Revio systems, and we shipped 8 Sequel IIe systems during the six months ended June 30, 2023.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Roboto;sans-serif" w:hAnsi="Roboto;sans-serif"/>
          <w:b w:val="false"/>
          <w:color w:val="000000"/>
          <w:sz w:val="20"/>
        </w:rPr>
        <w:t>Gross profit as a percentage of revenue (gross margin) was 29% for the six months ended June 30, 2023, compared to 44% for the six months ended June 30, 2022. Gross margin declined due in part to instrument mix, as Revio instruments sold during the six months ended June 30, 2023 had a lower margin primarily due to loyalty discounts provided and higher initial manufacturing costs, as well as adjustments of approximately $3.5 million recognized in the first quarter of 2023 primarily relating to excess consumables inventory resulting from a faster-than-expected decline in demand of Sequel II/IIe consumables due to the product transition to Revio. Our gross margin in future periods will depend on several factors, including new product transitions and offerings, strategic product pricing; product mix as a result of higher-margin consumables; supply chain constraints and inflation increasing costs of raw materials; manufacturing capacity and production volumes impacting the cost of inventory; freight costs; and excess or obsolete inventories.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Roboto;sans-serif" w:hAnsi="Roboto;sans-serif"/>
          <w:b w:val="false"/>
          <w:color w:val="000000"/>
          <w:sz w:val="20"/>
        </w:rPr>
        <w:t>Loss from operations increased $18.9 million, or 13%, to $164.4 million for the six months ended June 30, 2023, as compared to $145.5 million for the six months ended June 30, 2022, driven primarily by an increase of $13.9 million of operating expenses, including a $8.2 million decrease in research and development expenses and a $20.7 million increase in the change in the fair value of the contingent consideration, and a decline in gross profit of $5.0 million. We anticipate operating expenses to increase slightly during the remainder of the year as compared to the prior year, primarily driven by changes in the fair value of the contingent consideration relating to the Omniome acquisition and merger related costs attributable to Apton.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Roboto;sans-serif" w:hAnsi="Roboto;sans-serif"/>
          <w:b w:val="false"/>
          <w:color w:val="000000"/>
          <w:sz w:val="20"/>
        </w:rPr>
        <w:t>Cash, cash equivalents, and short-term investments were $829.9 million at June 30, 2023, which represents a 7% increase compared to the balance at December 31, 2022.</w:t>
      </w:r>
    </w:p>
    <w:p>
      <w:pPr>
        <w:pStyle w:val="TextBody"/>
        <w:bidi w:val="0"/>
        <w:spacing w:before="0" w:after="0"/>
        <w:jc w:val="both"/>
        <w:rPr/>
      </w:pPr>
      <w:r>
        <w:rPr/>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Macroeconomic dynamics including rising inflation, global supply chain constraints, volatile capital markets, competition, and fluctuating exchange rates have adversely impacted our customers and lengthened customer sales cycles. These factors could impact our revenues and results of operations throughout 2023; however, the size and duration of these impacts is uncertain, and as a result, we cannot reasonably estimate the future impact to our operations and financial results.</w:t>
      </w:r>
    </w:p>
    <w:p>
      <w:pPr>
        <w:pStyle w:val="TextBody"/>
        <w:bidi w:val="0"/>
        <w:spacing w:before="0" w:after="0"/>
        <w:jc w:val="left"/>
        <w:rPr/>
      </w:pPr>
      <w:r>
        <w:rPr/>
      </w:r>
    </w:p>
    <w:p>
      <w:pPr>
        <w:pStyle w:val="TextBody"/>
        <w:bidi w:val="0"/>
        <w:spacing w:lineRule="auto" w:line="276" w:before="0" w:after="0"/>
        <w:jc w:val="left"/>
        <w:rPr/>
      </w:pPr>
      <w:r>
        <w:rPr>
          <w:rFonts w:ascii="Roboto;sans-serif" w:hAnsi="Roboto;sans-serif"/>
          <w:b w:val="false"/>
          <w:color w:val="000000"/>
          <w:sz w:val="20"/>
        </w:rPr>
        <w:t xml:space="preserve">See the </w:t>
      </w:r>
      <w:hyperlink w:anchor="ief1318ee9ee24960a22a8148d35dc3c7_100">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 of the possible impact of the COVID-19 pandemic and other macroeconomic factors on our business.</w:t>
      </w:r>
    </w:p>
    <w:p>
      <w:pPr>
        <w:pStyle w:val="TextBody"/>
        <w:bidi w:val="0"/>
        <w:spacing w:lineRule="auto" w:line="288" w:before="240" w:after="283"/>
        <w:jc w:val="both"/>
        <w:rPr>
          <w:rFonts w:ascii="Roboto;sans-serif" w:hAnsi="Roboto;sans-serif"/>
          <w:b/>
          <w:i/>
          <w:color w:val="000000"/>
          <w:sz w:val="20"/>
          <w:shd w:fill="FFFFFF" w:val="clear"/>
        </w:rPr>
      </w:pPr>
      <w:bookmarkStart w:id="1" w:name="i95f01db6ed0b4f4f96a352701f0b9f29_13909"/>
      <w:bookmarkEnd w:id="1"/>
      <w:r>
        <w:rPr>
          <w:rFonts w:ascii="Roboto;sans-serif" w:hAnsi="Roboto;sans-serif"/>
          <w:b/>
          <w:i/>
          <w:color w:val="000000"/>
          <w:sz w:val="20"/>
          <w:shd w:fill="FFFFFF" w:val="clear"/>
        </w:rPr>
        <w:t>Recent Developments</w:t>
      </w:r>
    </w:p>
    <w:p>
      <w:pPr>
        <w:pStyle w:val="TextBody"/>
        <w:bidi w:val="0"/>
        <w:spacing w:lineRule="auto" w:line="288" w:before="240" w:after="283"/>
        <w:jc w:val="both"/>
        <w:rPr>
          <w:rFonts w:ascii="Roboto;sans-serif" w:hAnsi="Roboto;sans-serif"/>
          <w:b/>
          <w:i/>
          <w:color w:val="000000"/>
          <w:sz w:val="20"/>
          <w:shd w:fill="FFFFFF" w:val="clear"/>
        </w:rPr>
      </w:pPr>
      <w:r>
        <w:rPr>
          <w:rFonts w:ascii="Roboto;sans-serif" w:hAnsi="Roboto;sans-serif"/>
          <w:b/>
          <w:i/>
          <w:color w:val="000000"/>
          <w:sz w:val="20"/>
          <w:shd w:fill="FFFFFF" w:val="clear"/>
        </w:rPr>
        <w:t>Note Exchange Transaction</w:t>
      </w:r>
    </w:p>
    <w:p>
      <w:pPr>
        <w:pStyle w:val="TextBody"/>
        <w:bidi w:val="0"/>
        <w:spacing w:lineRule="auto" w:line="288" w:before="24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and, together with the 2028 Notes, the "Notes") in exchange for $441.0 million principal amount of the 2028 Notes (the "Exchange Transaction"), pursuant to exemptions from registration under the Securities Act of 1933, as amended, and the rules and regulations thereunder. Following the Exchange Transaction, approximately $459.0 million in aggregate principal amount of the 2028 Notes remained outstanding.</w:t>
      </w:r>
    </w:p>
    <w:p>
      <w:pPr>
        <w:pStyle w:val="TextBody"/>
        <w:bidi w:val="0"/>
        <w:spacing w:lineRule="auto" w:line="288" w:before="240" w:after="283"/>
        <w:jc w:val="both"/>
        <w:rPr>
          <w:rFonts w:ascii="Roboto;sans-serif" w:hAnsi="Roboto;sans-serif"/>
          <w:b/>
          <w:i/>
          <w:color w:val="000000"/>
          <w:sz w:val="20"/>
          <w:shd w:fill="FFFFFF" w:val="clear"/>
        </w:rPr>
      </w:pPr>
      <w:r>
        <w:rPr>
          <w:rFonts w:ascii="Roboto;sans-serif" w:hAnsi="Roboto;sans-serif"/>
          <w:b/>
          <w:i/>
          <w:color w:val="000000"/>
          <w:sz w:val="20"/>
          <w:shd w:fill="FFFFFF" w:val="clear"/>
        </w:rPr>
        <w:t>Apton Merger Agreement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August 2, 2023, we entered into an agreement and plan of reorganization (the “Merger Agreement”), pursuant to which we acquired Apton Biosystems, Inc., a privately held genomics company (“Apton”). The transaction closed on August 2,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Pursuant to the Merger Agreement, upon the closing of the acquisition, we will, among other things, issue to holders of Apton’s outstanding equity interests (“Apton Securityholders”)     approximately 6.3 million shares of the Company’s common stock, par value $0.001 per share (“Common Stock”). Additionally, subject to the terms and conditions of the Merger Agreement and the achievement of $50 million in revenue associated with a high throughput sequencer using Apton's technology, Apton Securityholders will also be entitled to receive $25.0 million, which we may elect to pay in cash, shares of Common Stock or a combination of cash and shares of Common Stock. At this time, the number of shares, if any, to be issued in connection with the achievement of the specified milestone is not known, and will be calculated based on the daily volume-weighted average price of the Common Stock for the twenty trading days ending on and including the fifth trading day immediately prior to the occurrence of the specified milestone. Under the terms of the Merger Agreement, we may pay cash in lieu of Common Stock to ensure that the issuance of Common Stock as contemplated by the Merger Agreement does not exceed 19.9% of the shares of Common Stock then outstanding.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Results of Operations </w:t>
      </w:r>
    </w:p>
    <w:p>
      <w:pPr>
        <w:pStyle w:val="TextBody"/>
        <w:bidi w:val="0"/>
        <w:spacing w:lineRule="auto" w:line="288" w:before="200" w:after="283"/>
        <w:jc w:val="both"/>
        <w:rPr>
          <w:rFonts w:ascii="Roboto;sans-serif" w:hAnsi="Roboto;sans-serif"/>
          <w:b/>
          <w:i/>
          <w:color w:val="000000"/>
          <w:sz w:val="20"/>
        </w:rPr>
      </w:pPr>
      <w:r>
        <w:rPr>
          <w:rFonts w:ascii="Roboto;sans-serif" w:hAnsi="Roboto;sans-serif"/>
          <w:b/>
          <w:i/>
          <w:color w:val="000000"/>
          <w:sz w:val="20"/>
        </w:rPr>
        <w:t xml:space="preserve">Comparison of the Three Months Ended June 30, 2023 and 2022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83"/>
        <w:gridCol w:w="1264"/>
        <w:gridCol w:w="1267"/>
        <w:gridCol w:w="244"/>
        <w:gridCol w:w="979"/>
        <w:gridCol w:w="117"/>
        <w:gridCol w:w="117"/>
        <w:gridCol w:w="117"/>
        <w:gridCol w:w="117"/>
        <w:gridCol w:w="244"/>
        <w:gridCol w:w="979"/>
        <w:gridCol w:w="117"/>
        <w:gridCol w:w="109"/>
        <w:gridCol w:w="109"/>
        <w:gridCol w:w="109"/>
        <w:gridCol w:w="226"/>
        <w:gridCol w:w="826"/>
        <w:gridCol w:w="109"/>
        <w:gridCol w:w="109"/>
        <w:gridCol w:w="109"/>
        <w:gridCol w:w="109"/>
        <w:gridCol w:w="322"/>
        <w:gridCol w:w="324"/>
        <w:gridCol w:w="699"/>
      </w:tblGrid>
      <w:tr>
        <w:trPr/>
        <w:tc>
          <w:tcPr>
            <w:tcW w:w="14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 thousands, except percentages)</w:t>
            </w:r>
          </w:p>
        </w:tc>
        <w:tc>
          <w:tcPr>
            <w:tcW w:w="30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4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43,655 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30,175 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15,499 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intangible assets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32,027 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19,274 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16,193 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46,173 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50,348 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40,573 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39,252 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(5,438)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(136)</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88,721 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84,162 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(73,175)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(67,969)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(3,681)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(expense), net </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3388 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(69,833)</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(71,394)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Revenue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Revenue increased $12.1 million, or 34%, to $47.6 million for the three months ended June 30, 2023, as compared to $35.5 million for the three months ended June 30, 2022.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Instrument revenue increased $14.3 million, or 92%, to $29.9 million for the three months ended June 30, 2023, as compared to $15.6 million for the three months ended June 30, 2022, primarily due to the sale of 45 Revio systems that have a higher average selling price as compared to the Sequel IIe platform. We continue to expect the installed base of Revio instruments to grow, reflecting customer demand for the new product. As a result of this new product launch, we anticipate installed base and sales volumes of Sequel II/IIe to continue to decline compared to prior periods.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Consumables revenue decreased $0.8 million, or 6%, to $13.7 million for the three months ended June 30, 2023, as compared to $14.6 million for the three months ended June 30, 2022. The decrease in consumable sales was primarily due to lower Sequel consumable sales attributable to the product transition to Revio. We expect Revio consumable sales to increase as the installed base grows. While we expect to see a decline in Sequel consumable sales resulting from the product transition, there is uncertainty as to the rate at which these sales will decline.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decreased $1.4 million, or 26%, to $3.9 million for the three months ended June 30, 2023, as compared to $5.3 million for the three months ended June 30, 2022, primarily due to the change in our terms of the warranty provided with the instrument during the first quarter of 2022 to remove the service component. As a result, the warranty is no longer a separate performance obligation and, accordingly, we accrue for the cost of the assurance warranty when revenue of the instrument is recognized, and no longer recognize a component of the instrument revenue in service and other revenue over the warranty period. We expect service revenue to continue to decline during the remainder of the year as we anticipate customers transitioning their service contracts to Revio following the standard warranty period, with fewer customers renewing Sequel and Sequel II/IIe service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Cost of Revenue, Gross Profit and Gross Margin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 of product revenue increased $12.9 million, or 83%, for the three months ended June 30, 2023, compared to the three months ended June 30, 2022. The cost of product revenue increased primarily due to an increase in system placements and higher overall product costs on the Revio platform. Cost of revenue included share-based compensation expense of $1.2 million and $1.0 million during the three months ended June 30, 2023 and 2022,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Gross profit decreased $0.6 million, or 4%, to $15.5 million for the three months ended June 30, 2023, compared to $16.2 million for the three months ended June 30, 2022. Gross margin was 33% for the three months ended June 30, 2023, compared to gross margin of 46% for the three months ended June 30, 2022. The decrease in gross margin was due in part to instrument mix, as Revio instruments sold during the quarter had a lower margin primarily due to loyalty discounts provided and higher initial manufacturing costs on the Revio platform. While we expect gross margin to expand during the remainder of the year, gross margin could fluctuate depending on the pace at which Sequel II/IIe consumable revenue declines, Revio consumable revenue ramps, and manufacturing efficiencies improve, as well as fluctuations in average selling prices.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Research and Development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Research and development expense decreased by $4.2 million, or 8%, to $46.2 million for the three months ended June 30, 2023, compared to $50.3 million for the three months ended June 30, 2022. The decrease was primarily driven by the transition of Revio from development to commercialization, in addition to lower headcount. Research and development expense included share-based compensation expense of $5.4 million and $7.7 million during the three months ended June 30, 2023 and 2022, respectively.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Sales, General and Administrative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Sales, general and administrative expense increased by $1.3 million, or 3%, to $40.6 million for the three months ended June 30, 2023, compared to $39.3 million for the three months ended June 30, 2022. Sales, general, and administrative expense included share-based compensation expense of $11.3 million and $10.3 million during the three months ended June 30, 2023 and 2022, respectively.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Change in Fair Value of Contingent Consideration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of $2.0 million during the three months ended June 30, 2023, represents the remeasurement impact of the contingent consideration liability of $200 million (composed of $100 million in cash and $100 million in shares of our common stock) that is due upon the achievement of a milestone, defined as the first commercial shipment to a customer of both an instrument and related consumables, utilizing SBB technology. The increase in contingent consideration liability was due to the passage of time and changes in the discount rates and probabilities of milestone achievement.</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Loss on Extinguishment of Debt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Loss on extinguishment of debt of $2.0 million during the six months ended June 30, 2023, represents the loss resulting from the difference in the fair value of the 2030 Notes and the principal, in addition to the write-off of the unamortized debt issuance costs on the portion of the 2028 Notes that were exchanged as part of the debt modification during the six months ended June 30, 2023.</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Interest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three months ended June 30, 2023, was $3.6 million compared to $3.7 million for the three months ended June 30, 2022 and was primarily comprised of interest on the convertible senior notes.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Other Income (Expense), net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(expense), net for the three months ended June 30, 2023, was $8.9 million compared to $0.3 million for the three months ended June 30, 2022. The $8.7 million increase was primarily due to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00" w:after="283"/>
        <w:jc w:val="both"/>
        <w:rPr>
          <w:rFonts w:ascii="Roboto;sans-serif" w:hAnsi="Roboto;sans-serif"/>
          <w:b/>
          <w:i/>
          <w:color w:val="000000"/>
          <w:sz w:val="20"/>
        </w:rPr>
      </w:pPr>
      <w:r>
        <w:rPr>
          <w:rFonts w:ascii="Roboto;sans-serif" w:hAnsi="Roboto;sans-serif"/>
          <w:b/>
          <w:i/>
          <w:color w:val="000000"/>
          <w:sz w:val="20"/>
        </w:rPr>
        <w:t xml:space="preserve">Comparison of the Six Months Ended June 30, 2023 and 2022 </w:t>
      </w:r>
    </w:p>
    <w:tbl>
      <w:tblPr>
        <w:tblW w:w="10205" w:type="dxa"/>
        <w:jc w:val="left"/>
        <w:tblInd w:w="0" w:type="dxa"/>
        <w:tblLayout w:type="fixed"/>
        <w:tblCellMar>
          <w:top w:w="28" w:type="dxa"/>
          <w:left w:w="28" w:type="dxa"/>
          <w:bottom w:w="28" w:type="dxa"/>
          <w:right w:w="28" w:type="dxa"/>
        </w:tblCellMar>
      </w:tblPr>
      <w:tblGrid>
        <w:gridCol w:w="1425"/>
        <w:gridCol w:w="1195"/>
        <w:gridCol w:w="1199"/>
        <w:gridCol w:w="226"/>
        <w:gridCol w:w="1019"/>
        <w:gridCol w:w="109"/>
        <w:gridCol w:w="109"/>
        <w:gridCol w:w="109"/>
        <w:gridCol w:w="109"/>
        <w:gridCol w:w="226"/>
        <w:gridCol w:w="1019"/>
        <w:gridCol w:w="109"/>
        <w:gridCol w:w="109"/>
        <w:gridCol w:w="109"/>
        <w:gridCol w:w="109"/>
        <w:gridCol w:w="226"/>
        <w:gridCol w:w="826"/>
        <w:gridCol w:w="109"/>
        <w:gridCol w:w="109"/>
        <w:gridCol w:w="109"/>
        <w:gridCol w:w="109"/>
        <w:gridCol w:w="422"/>
        <w:gridCol w:w="419"/>
        <w:gridCol w:w="695"/>
      </w:tblGrid>
      <w:tr>
        <w:trPr/>
        <w:tc>
          <w:tcPr>
            <w:tcW w:w="142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 thousands, except percentages)</w:t>
            </w:r>
          </w:p>
        </w:tc>
        <w:tc>
          <w:tcPr>
            <w:tcW w:w="3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(5 </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intangible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2 </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(319)</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8 </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(145,492)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(expense), net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(68778 </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81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(157,848)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(152,893)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Revenue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Revenue increased $17.8 million, or 26%, to $86.5 million for the six months ended June 30, 2023, as compared to $68.6 million for the six months ended June 30, 2022.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Instrument revenue increased $19.5 million, or 62%, to $50.6 million for the six months ended June 30, 2023, as compared to $31.2 million for the six months ended June 30, 2022, primarily due to the sale of 77 Revio systems that have a higher average selling price as compared to the Sequel IIe platform. We expect the installed base of Revio instruments to grow, reflecting customer demand for the new product. As a result of this new product launch, we anticipate installed base and sales volumes of Sequel II/IIe to continue to decline compared to recent quarters.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Consumables revenue increased $0.4 million, or 2%, to $27.7 million for the six months ended June 30, 2023, as compared to $27.3 million for the six months ended June 30, 2022. The increase in consumable sales was primarily due to higher Revio consumables sales attributable to the growth in the Revio instrument installed base, partially offset by a decline in Sequel consumables as customers transition to the new platform.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decreased $2.1 million, or 20%, to $8.2 million for the six months ended June 30, 2023, as compared to $10.2 million for the six months ended June 30, 2022, primarily due to the change in our terms of the warranty provided with the instrument during the first quarter of 2022 to remove the service component. As a result, the warranty is no longer a separate performance obligation and, accordingly, we accrue for the cost of the assurance warranty when revenue of the instrument is recognized, and no longer recognize a component of the instrument revenue in service and other revenue over the warranty period. We expect service revenue to continue to decline during the remainder of the year as we anticipate customers transitioning their service contracts to Revio following the standard warranty period, with fewer customers renewing Sequel and Sequel II/IIe service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Cost of Revenue, Gross Profit and Gross Margin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Cost of product revenue increased $22.9 million, or 60%, for the six months ended June 30, 2023, compared to the six months ended June 30, 2022. The cost of product revenue increased primarily due to higher overall product costs on the Revio platform, as well as adjustments of approximately $3.5 million recognized during the first quarter of 2023 primarily relating to excess consumables inventory resulting from a faster-than-expected decline in demand of Sequel II/IIe consumables due to the product transition to Revio. Cost of revenue included share-based compensation expense of $3.1 million and $2.7 million during the six months ended June 30, 2023 and 2022, respectively.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Gross profit decreased $5.0 million, or 17%, to $25.3 million for the six months ended June 30, 2023, compared to $30.3 million for the six months ended June 30, 2022. Gross margin was 29% for the six months ended June 30, 2023, compared to gross margin of 44% for the six months ended June 30, 2022. The decrease in gross margin was due in part to instrument mix, as Revio instruments sold during the quarter had a lower margin primarily due to loyalty discounts provided and higher initial manufacturing costs, as well as adjustments of approximately $3.5 million recognized during the first quarter of 2023 primarily relating to excess consumables inventory resulting from a faster-than-expected decline in demand of Sequel II/IIe consumables due to the product transition to Revio. While we expect gross margin to expand during the remainder of the year, gross margin could fluctuate depending on the pace at which Sequel II/IIe consumable revenue declines, Revio consumable revenue ramps, and manufacturing efficiencies improve, as well as fluctuations in average selling prices.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Research and Development Expense</w:t>
      </w:r>
    </w:p>
    <w:p>
      <w:pPr>
        <w:pStyle w:val="TextBody"/>
        <w:bidi w:val="0"/>
        <w:spacing w:lineRule="auto" w:line="288" w:before="120" w:after="283"/>
        <w:jc w:val="left"/>
        <w:rPr>
          <w:rFonts w:ascii="Roboto;sans-serif" w:hAnsi="Roboto;sans-serif"/>
          <w:b w:val="false"/>
          <w:color w:val="000000"/>
          <w:sz w:val="20"/>
        </w:rPr>
      </w:pPr>
      <w:r>
        <w:rPr>
          <w:rFonts w:ascii="Roboto;sans-serif" w:hAnsi="Roboto;sans-serif"/>
          <w:b w:val="false"/>
          <w:color w:val="000000"/>
          <w:sz w:val="20"/>
        </w:rPr>
        <w:t xml:space="preserve">Research and development expense decreased by $8.2 million, or 8%, to $95.1 million for the six months ended June 30, 2023, compared to $103.3 million for the six months ended June 30, 2022. The decrease was primarily driven by the transition of Revio from development to commercialization, in addition to lower headcount. Research and development expense included share-based compensation expense of $12.1 million and $16.7 million during the six months ended June 30, 2023 and 2022, respectively.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Sales, General and Administrative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Sales, general and administrative expense increased by $1.3 million, or 2%, to $80.4 million for the six months ended June 30, 2023, compared to $79.1 million for the six months ended June 30, 2022. The increase in sales, general, and administrative expense was primarily driven by an increase in marketing expenses in connection with the Revio launch and increased sales and marketing headcount as we continue to grow our commercial footprint. Sales, general, and administrative expense included share-based compensation expense of $20.6 million and $22.3 million during the six months ended June 30, 2023 and 2022, respectively.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Change in Fair Value of Contingent Consideration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of $14.2 million during the six months ended June 30, 2023, represents the remeasurement impact of the contingent consideration liability of $200 million (composed of $100 million in cash and $100 million in shares of our common stock) that is due upon the achievement of a milestone, defined as the first commercial shipment to a customer of both an instrument and related consumables, utilizing SBB technology. The increase in contingent consideration liability was primarily due to the passage of time and changes in the discount rates and probabilities of milestone achievement.</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Loss on Extinguishment of Debt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Loss on extinguishment of debt of $2.0 million during the six months ended June 30, 2023, represents the loss resulting from the difference in the fair value of the 2030 Notes and the principal, in addition to the write-off of the unamortized debt issuance costs on the portion of the 2028 Notes that were exchanged as part of the debt modification during the six months ended June 30, 2023.</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Interest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six months ended June 30, 2023, was $7.2 million compared to $7.4 million for the six months ended June 30, 2022 and was primarily comprised of interest on the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Other Income (Expense), net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(expense), net for the six months ended June 30, 2023, was $15.8 million compared to $23.0 thousand for the six months ended June 30, 2022. The $15.8 million increase was primarily due to investment income.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Liquidity and Capital Resources</w:t>
      </w:r>
    </w:p>
    <w:p>
      <w:pPr>
        <w:pStyle w:val="TextBody"/>
        <w:bidi w:val="0"/>
        <w:spacing w:lineRule="auto" w:line="288" w:before="120" w:after="120"/>
        <w:jc w:val="both"/>
        <w:rPr>
          <w:rFonts w:ascii="Roboto;sans-serif" w:hAnsi="Roboto;sans-serif"/>
          <w:b w:val="false"/>
          <w:color w:val="000000"/>
          <w:sz w:val="20"/>
        </w:rPr>
      </w:pPr>
      <w:r>
        <w:rPr>
          <w:rFonts w:ascii="Roboto;sans-serif" w:hAnsi="Roboto;sans-serif"/>
          <w:b w:val="false"/>
          <w:color w:val="000000"/>
          <w:sz w:val="20"/>
        </w:rPr>
        <w:t>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January 2023 Public Offering</w:t>
      </w:r>
    </w:p>
    <w:p>
      <w:pPr>
        <w:pStyle w:val="TextBody"/>
        <w:bidi w:val="0"/>
        <w:spacing w:lineRule="auto" w:line="288" w:before="120" w:after="120"/>
        <w:jc w:val="both"/>
        <w:rPr>
          <w:rFonts w:ascii="Roboto;sans-serif" w:hAnsi="Roboto;sans-serif"/>
          <w:b w:val="false"/>
          <w:color w:val="000000"/>
          <w:sz w:val="20"/>
        </w:rPr>
      </w:pPr>
      <w:r>
        <w:rPr>
          <w:rFonts w:ascii="Roboto;sans-serif" w:hAnsi="Roboto;sans-serif"/>
          <w:b w:val="false"/>
          <w:color w:val="000000"/>
          <w:sz w:val="20"/>
        </w:rPr>
        <w:t>On January 27, 2023, we issued and sold an aggregate of 20,125,000 shares of our common stock at a purchase price of $10.00 per share pursuant to an automatic shelf registration statement filed on Form S-3 with the Securities and Exchange Commission, resulting in aggregate gross proceeds of approximately $201.3 million. After deducting underwriting discounts and commissions and offering costs paid or payable by us of approximately $12.1 million, the net proceeds from the offering were approximately $189.2 million.</w:t>
      </w:r>
    </w:p>
    <w:p>
      <w:pPr>
        <w:pStyle w:val="TextBody"/>
        <w:bidi w:val="0"/>
        <w:spacing w:lineRule="auto" w:line="288" w:before="120" w:after="120"/>
        <w:jc w:val="both"/>
        <w:rPr>
          <w:rFonts w:ascii="Roboto;sans-serif" w:hAnsi="Roboto;sans-serif"/>
          <w:b/>
          <w:i/>
          <w:color w:val="000000"/>
          <w:sz w:val="20"/>
        </w:rPr>
      </w:pPr>
      <w:r>
        <w:rPr>
          <w:rFonts w:ascii="Roboto;sans-serif" w:hAnsi="Roboto;sans-serif"/>
          <w:b/>
          <w:i/>
          <w:color w:val="000000"/>
          <w:sz w:val="20"/>
        </w:rPr>
        <w:t>June 2023 Note Exchange</w:t>
      </w:r>
    </w:p>
    <w:p>
      <w:pPr>
        <w:pStyle w:val="TextBody"/>
        <w:bidi w:val="0"/>
        <w:spacing w:lineRule="auto" w:line="288" w:before="120" w:after="120"/>
        <w:jc w:val="both"/>
        <w:rPr/>
      </w:pPr>
      <w:r>
        <w:rPr>
          <w:rFonts w:ascii="Roboto;sans-serif" w:hAnsi="Roboto;sans-serif"/>
          <w:b w:val="false"/>
          <w:color w:val="000000"/>
          <w:sz w:val="20"/>
        </w:rPr>
        <w:t xml:space="preserve">As discussed above under </w:t>
      </w:r>
      <w:hyperlink w:anchor="i95f01db6ed0b4f4f96a352701f0b9f29_13909">
        <w:r>
          <w:rPr>
            <w:rStyle w:val="InternetLink"/>
            <w:rFonts w:ascii="Roboto;sans-serif" w:hAnsi="Roboto;sans-serif"/>
            <w:b w:val="false"/>
            <w:i/>
            <w:color w:val="0000FF"/>
            <w:sz w:val="20"/>
            <w:u w:val="single"/>
          </w:rPr>
          <w:t>Recent Developments</w:t>
        </w:r>
      </w:hyperlink>
      <w:r>
        <w:rPr>
          <w:rFonts w:ascii="Roboto;sans-serif" w:hAnsi="Roboto;sans-serif"/>
          <w:b w:val="false"/>
          <w:color w:val="000000"/>
          <w:sz w:val="20"/>
        </w:rPr>
        <w:t>, in June 2023, we entered into a privately negotiated exchange with a holder of our 2028 Notes, pursuant to which we issued $441.0 million in aggregate principal amount of our 2030 Notes. Following the Exchange Transaction, approximately $459.0 million in aggregate principal amount of the 2028 Notes remained outstanding.</w:t>
      </w:r>
    </w:p>
    <w:p>
      <w:pPr>
        <w:pStyle w:val="TextBody"/>
        <w:bidi w:val="0"/>
        <w:spacing w:lineRule="auto" w:line="288" w:before="120" w:after="120"/>
        <w:jc w:val="both"/>
        <w:rPr>
          <w:rFonts w:ascii="Roboto;sans-serif" w:hAnsi="Roboto;sans-serif"/>
          <w:b/>
          <w:i/>
          <w:color w:val="000000"/>
          <w:sz w:val="20"/>
        </w:rPr>
      </w:pPr>
      <w:r>
        <w:rPr>
          <w:rFonts w:ascii="Roboto;sans-serif" w:hAnsi="Roboto;sans-serif"/>
          <w:b/>
          <w:i/>
          <w:color w:val="000000"/>
          <w:sz w:val="20"/>
        </w:rPr>
        <w:t>Contingent Consideration</w:t>
      </w:r>
    </w:p>
    <w:p>
      <w:pPr>
        <w:pStyle w:val="TextBody"/>
        <w:bidi w:val="0"/>
        <w:spacing w:lineRule="auto" w:line="288" w:before="120" w:after="120"/>
        <w:jc w:val="both"/>
        <w:rPr/>
      </w:pPr>
      <w:r>
        <w:rPr>
          <w:rFonts w:ascii="Roboto;sans-serif" w:hAnsi="Roboto;sans-serif"/>
          <w:b w:val="false"/>
          <w:color w:val="000000"/>
          <w:sz w:val="20"/>
        </w:rPr>
        <w:t xml:space="preserve">In connection with the acquisition of Omniome in the third quarter of 2021, we entered into an arrangement where we are obligated to pay approximately $200.0 million in cash and equity dependent upon the achievement of a milestone event upon the first commercial shipment of products developed from our acquired sequencing solution. See </w:t>
      </w:r>
      <w:r>
        <w:rPr>
          <w:rFonts w:ascii="Roboto;sans-serif" w:hAnsi="Roboto;sans-serif"/>
          <w:b w:val="false"/>
          <w:i/>
          <w:color w:val="000000"/>
          <w:sz w:val="20"/>
        </w:rPr>
        <w:t xml:space="preserve">Note 2 – Business Acquisitions </w:t>
      </w:r>
      <w:r>
        <w:rPr>
          <w:rFonts w:ascii="Roboto;sans-serif" w:hAnsi="Roboto;sans-serif"/>
          <w:b w:val="false"/>
          <w:color w:val="000000"/>
          <w:sz w:val="20"/>
        </w:rPr>
        <w:t>in Part II, Item 8 of the Annual Report on Form 10-K for the year ended December 31, 2022 for further information. In August 2023, we commenced customer shipments of the Onso short-read sequencing instrument, with shipments of related consumables expected to occur later in August 2023. The milestone payment associated with PacBio’s acquisition of Omniome will be triggered once both the Onso instrument and related consumables have shipped to one customer.</w:t>
      </w:r>
    </w:p>
    <w:p>
      <w:pPr>
        <w:pStyle w:val="TextBody"/>
        <w:bidi w:val="0"/>
        <w:spacing w:lineRule="auto" w:line="288" w:before="120" w:after="120"/>
        <w:jc w:val="both"/>
        <w:rPr/>
      </w:pPr>
      <w:r>
        <w:rPr>
          <w:rFonts w:ascii="Roboto;sans-serif" w:hAnsi="Roboto;sans-serif"/>
          <w:b w:val="false"/>
          <w:color w:val="000000"/>
          <w:sz w:val="20"/>
        </w:rPr>
        <w:t xml:space="preserve">In connection with the acquisition of Apton, we entered into an arrangement where we are obligated to pay holders of Apton's outstanding equity interests $25.0 million upon the achievement of $50 million in revenue associated with a high throughput sequencer using Apton's technology, which the Company may elect to pay in cash, shares of Company common stock or a combination of cash and shares of Company common stock. See </w:t>
      </w:r>
      <w:hyperlink w:anchor="ief1318ee9ee24960a22a8148d35dc3c7_404">
        <w:r>
          <w:rPr>
            <w:rStyle w:val="InternetLink"/>
          </w:rPr>
          <w:t xml:space="preserve">Note </w:t>
        </w:r>
      </w:hyperlink>
      <w:hyperlink w:anchor="ief1318ee9ee24960a22a8148d35dc3c7_404">
        <w:r>
          <w:rPr>
            <w:rStyle w:val="InternetLink"/>
          </w:rPr>
          <w:t>9</w:t>
        </w:r>
      </w:hyperlink>
      <w:hyperlink w:anchor="ief1318ee9ee24960a22a8148d35dc3c7_404">
        <w:r>
          <w:rPr>
            <w:rStyle w:val="InternetLink"/>
          </w:rPr>
          <w:t xml:space="preserve">. </w:t>
        </w:r>
      </w:hyperlink>
      <w:hyperlink w:anchor="ief1318ee9ee24960a22a8148d35dc3c7_404">
        <w:r>
          <w:rPr>
            <w:rStyle w:val="InternetLink"/>
          </w:rPr>
          <w:t>S</w:t>
        </w:r>
      </w:hyperlink>
      <w:hyperlink w:anchor="ief1318ee9ee24960a22a8148d35dc3c7_404">
        <w:r>
          <w:rPr>
            <w:rStyle w:val="InternetLink"/>
          </w:rPr>
          <w:t>ubsequent Events</w:t>
        </w:r>
      </w:hyperlink>
      <w:r>
        <w:rPr>
          <w:color w:val="000000"/>
        </w:rPr>
        <w:t xml:space="preserve"> </w:t>
      </w:r>
      <w:r>
        <w:rPr>
          <w:rFonts w:ascii="Roboto;sans-serif" w:hAnsi="Roboto;sans-serif"/>
          <w:b w:val="false"/>
          <w:color w:val="000000"/>
          <w:sz w:val="20"/>
        </w:rPr>
        <w:t>in Part I, Item 1 of this Quarterly Report on Form 10-Q for further information.</w:t>
      </w:r>
    </w:p>
    <w:p>
      <w:pPr>
        <w:pStyle w:val="TextBody"/>
        <w:bidi w:val="0"/>
        <w:spacing w:lineRule="auto" w:line="288" w:before="120" w:after="120"/>
        <w:jc w:val="both"/>
        <w:rPr>
          <w:rFonts w:ascii="Roboto;sans-serif" w:hAnsi="Roboto;sans-serif"/>
          <w:b w:val="false"/>
          <w:color w:val="000000"/>
          <w:sz w:val="20"/>
        </w:rPr>
      </w:pPr>
      <w:r>
        <w:rPr>
          <w:rFonts w:ascii="Roboto;sans-serif" w:hAnsi="Roboto;sans-serif"/>
          <w:b w:val="false"/>
          <w:color w:val="000000"/>
          <w:sz w:val="20"/>
        </w:rPr>
        <w:t>As of June 30, 2023, we had cash, cash equivalents and investments of $829.9 million compared to $772.3 million as of December 31, 2022. We believe that our existing cash, cash equivalents and investments will be sufficient to fund our projected operating requirements beyond the next 12 months from the date of filing of this Quarterly Report on Form 10-Q for the quarter ended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Factors that may affect our capital needs include, but are not limited to, the pace of adoption of our products, which affects the sales of our products and services; our ability to obtain new collaboration and customer arrangements and maintain existing collaborations and arrangements; the progress of our research and development programs; initiation or expansion of research programs and collaborations; the purchase of patent licenses;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Summary of Cash Flows</w:t>
      </w:r>
    </w:p>
    <w:tbl>
      <w:tblPr>
        <w:tblW w:w="8573" w:type="dxa"/>
        <w:jc w:val="left"/>
        <w:tblInd w:w="0" w:type="dxa"/>
        <w:tblLayout w:type="fixed"/>
        <w:tblCellMar>
          <w:top w:w="28" w:type="dxa"/>
          <w:left w:w="28" w:type="dxa"/>
          <w:bottom w:w="28" w:type="dxa"/>
          <w:right w:w="28" w:type="dxa"/>
        </w:tblCellMar>
      </w:tblPr>
      <w:tblGrid>
        <w:gridCol w:w="1977"/>
        <w:gridCol w:w="1736"/>
        <w:gridCol w:w="1746"/>
        <w:gridCol w:w="226"/>
        <w:gridCol w:w="1036"/>
        <w:gridCol w:w="109"/>
        <w:gridCol w:w="109"/>
        <w:gridCol w:w="109"/>
        <w:gridCol w:w="109"/>
        <w:gridCol w:w="226"/>
        <w:gridCol w:w="103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(in thousands)</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used in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(136,432)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(139,592)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used in 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(171,144)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provided by 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decrease in cash,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(116,302)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(152,150)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Operating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used in operating activities for the six months ended June 30, 2023 of $136.4 million was due primarily to a $157.8 million net loss that included non-cash items such as share-based compensation of $35.8 million, change in estimated fair value of contingent consideration of $14.2 million, depreciation expense of $5.6 million, inventory provisions of $4.3 million, amortization of right-of-use assets of $3.3 million, and loss on extinguishment of debt of $2.0 million. This was offset by the accretion of discount and amortization of premium on marketable securities, net of $6.1 million and $38.6 million in net changes to operating assets and liabilities. Cash flow impact from changes in net operating assets and liabilities was primarily driven by increases in inventory, accounts receivable and prepaid and other assets, as well as decreases in accrued expenses, operating lease liabilities and deferred revenue. These uses of cash were partially offset by an increase in accounts payable.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used in operating activities for the six months ended June 30, 2022, of $139.6 million was due primarily to a $152.9 million net loss that included non-cash items such as stock-based compensation of $41.7 million, depreciation expense of $4.6 million, amortization of right-of-use assets of $3.4 million, amortization of investment premium of $1.1 million, partially offset by a $6.5 million decrease in liability due to the change in estimated fair value of contingent consideration, and a net cash outflow due to $31.9 million in net changes to operating assets and liabilities. The change in net operating assets and liabilities was primarily attributable to increases in inventory and accounts receivable, as well as decreases in accrued expenses, operating lease liabilities and deferred revenue. These uses of cash were partially offset by an increase in accounts payable. </w:t>
      </w:r>
    </w:p>
    <w:p>
      <w:pPr>
        <w:pStyle w:val="TextBody"/>
        <w:bidi w:val="0"/>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 xml:space="preserve">Investing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 Cash used in investing activities for the six months ended June 30, 2023, was due to $311.7 million of maturities and sales of investments offset by $476.9 million in purchases of investments, and $6.0 million in purchases of property and equipment.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 Cash used in investing activities for the six months ended June 30, 2022, was due to $241.1 million in purchases of investments offset by $230.5 million in maturities of investments, and $7.7 million in purchases of property and equipment.</w:t>
      </w:r>
    </w:p>
    <w:p>
      <w:pPr>
        <w:pStyle w:val="TextBody"/>
        <w:bidi w:val="0"/>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 xml:space="preserve">Financing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six months ended June 30, 2023 primarily resulted from $189.2 million in net proceeds related to the issuance of common stock from the underwritten public equity offering and $9.8 million from the issuance of common stock through our equity compensation plans offset by $6.8 million from the payment of debt issuance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provided by financing activities during the six months ended June 30, 2022 primarily resulted from proceeds of $6.4 million from the issuance of common stock through our equity compensation plans.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Critical Accounting Policies and Estimates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the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Recent Accounting Pronouncements</w:t>
      </w:r>
    </w:p>
    <w:p>
      <w:pPr>
        <w:pStyle w:val="TextBody"/>
        <w:bidi w:val="0"/>
        <w:spacing w:lineRule="auto" w:line="288" w:before="120" w:after="283"/>
        <w:jc w:val="both"/>
        <w:rPr/>
      </w:pPr>
      <w:r>
        <w:rPr>
          <w:rFonts w:ascii="Roboto;sans-serif" w:hAnsi="Roboto;sans-serif"/>
          <w:b w:val="false"/>
          <w:color w:val="000000"/>
          <w:sz w:val="20"/>
        </w:rPr>
        <w:t xml:space="preserve">Please see </w:t>
      </w:r>
      <w:hyperlink w:anchor="ief1318ee9ee24960a22a8148d35dc3c7_31">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xml:space="preserve">, subsection titled “Recent Accounting Pronouncements”, in Part I, Item 1 of this Quarterly Report on Form 10-Q for information regarding applicable recent accounting pronouncements.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2023, we did not have any 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88" w:before="120" w:after="283"/>
        <w:jc w:val="both"/>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ef1318ee9ee24960a22a8148d35dc3c7_49">
        <w:r>
          <w:rPr>
            <w:rStyle w:val="InternetLink"/>
            <w:rFonts w:ascii="Roboto;sans-serif" w:hAnsi="Roboto;sans-serif"/>
            <w:b w:val="false"/>
            <w:i/>
            <w:color w:val="0000FF"/>
            <w:sz w:val="20"/>
            <w:u w:val="single"/>
          </w:rPr>
          <w:t>Note 5. Commitments and Contingencies</w:t>
        </w:r>
      </w:hyperlink>
      <w:r>
        <w:rPr>
          <w:color w:val="000000"/>
        </w:rPr>
        <w:t xml:space="preserve"> </w:t>
      </w:r>
      <w:r>
        <w:rPr>
          <w:rFonts w:ascii="Roboto;sans-serif" w:hAnsi="Roboto;sans-serif"/>
          <w:b w:val="false"/>
          <w:color w:val="000000"/>
          <w:sz w:val="20"/>
        </w:rPr>
        <w:t>in Part I, Item 1 of this Quarterly Report on Form 10-Q, any associated expenses incurred are included within the related accrued litigation expense amounts. No additional liability associated with such indemnification agreements has been recorded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3.    Quantitative and Qualitative Disclosures About Market Risk</w:t>
      </w:r>
    </w:p>
    <w:p>
      <w:pPr>
        <w:pStyle w:val="TextBody"/>
        <w:bidi w:val="0"/>
        <w:spacing w:lineRule="auto" w:line="288" w:before="200" w:after="283"/>
        <w:jc w:val="both"/>
        <w:rPr>
          <w:rFonts w:ascii="Roboto;sans-serif" w:hAnsi="Roboto;sans-serif"/>
          <w:b/>
          <w:color w:val="000000"/>
          <w:sz w:val="20"/>
        </w:rPr>
      </w:pPr>
      <w:r>
        <w:rPr>
          <w:rFonts w:ascii="Roboto;sans-serif" w:hAnsi="Roboto;sans-serif"/>
          <w:b/>
          <w:color w:val="000000"/>
          <w:sz w:val="20"/>
        </w:rPr>
        <w:t>Interest Rate and Market Risk</w:t>
      </w:r>
    </w:p>
    <w:p>
      <w:pPr>
        <w:pStyle w:val="TextBody"/>
        <w:bidi w:val="0"/>
        <w:spacing w:lineRule="auto" w:line="288" w:before="120" w:after="283"/>
        <w:jc w:val="both"/>
        <w:rPr/>
      </w:pPr>
      <w:r>
        <w:rPr>
          <w:rFonts w:ascii="Roboto;sans-serif" w:hAnsi="Roboto;sans-serif"/>
          <w:b w:val="false"/>
          <w:color w:val="000000"/>
          <w:sz w:val="20"/>
        </w:rPr>
        <w:t xml:space="preserve">The 2030 Notes were recorded at fair value as of the closing date of the Exchange Transaction, less debt issuance costs, on our Condensed Consolidated Balance Sheets. We carry our remaining 2028 Notes at the principal amount, less unamortized debt issuance costs, on our Condensed Consolidated Balance Sheets. Because the 2030 Notes and 2028 Notes have fixed annual interest rates of 1.375% and 1.50%, respectively, we do not have any economic interest rate exposure or financial statement risk associated with changes in interest rates. The fair value of the notes, however, may fluctuate when interest rates and the market price of our stock changes. See </w:t>
      </w:r>
      <w:hyperlink w:anchor="ief1318ee9ee24960a22a8148d35dc3c7_43">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six months ended June 30, 2023, we invested in cash equivalents, U.S. government and agency securities, U.S. Treasury securities, and corporate debt securities which were designated as cash equivalents and available-for-sale investments. Our cash equivalents and available-for-sale securities as of June 30, 2023 was $830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exposure to market risk for changes in interest rates relates primarily to our investment portfolio comprising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June 30, 2023 would have affected the fair value of our investment portfolio by approximately $2.9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other material changes in market risk from the information provided 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4.    Controls and Procedures</w:t>
      </w:r>
    </w:p>
    <w:p>
      <w:pPr>
        <w:pStyle w:val="TextBody"/>
        <w:bidi w:val="0"/>
        <w:spacing w:lineRule="auto" w:line="288" w:before="200" w:after="283"/>
        <w:jc w:val="both"/>
        <w:rPr>
          <w:rFonts w:ascii="Roboto;sans-serif" w:hAnsi="Roboto;sans-serif"/>
          <w:b/>
          <w:color w:val="000000"/>
          <w:sz w:val="20"/>
        </w:rPr>
      </w:pPr>
      <w:r>
        <w:rPr>
          <w:rFonts w:ascii="Roboto;sans-serif" w:hAnsi="Roboto;sans-serif"/>
          <w:b/>
          <w:color w:val="000000"/>
          <w:sz w:val="20"/>
        </w:rPr>
        <w:t>Disclosure Controls and Procedures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Changes in Internal Control Over Financial Reporting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June 30, 2023 that materially affected, or is reasonably likely to materially affect, our internal control over financial reporting. There were no material changes in our internal control over financial reporting during the fiscal quarter ended June 30, 2023, that have materially affected, or were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Item 1.    Legal Proceedings </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U.S. District Court Proceedings</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We plan to vigorously defend against the remaining claims.</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In December 2022, Take2 Technologies, Ltd. and the Chinese University of Hong Kong filed a complaint in the U.S. District Court for Delaware against us alleging infringement of U.S. Patent No. 11,091,794 (the “’794 Patent”) (C.A. No. 22- cv-01595).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We also filed a motion to transfer the case to the Northern District of California on March 2, 2023, and, on August 2, 2023, that motion was granted. We believe the infringement allegations in the complaint lack merit and we intend to vigorously defend in this matter.</w:t>
      </w:r>
    </w:p>
    <w:p>
      <w:pPr>
        <w:pStyle w:val="TextBody"/>
        <w:bidi w:val="0"/>
        <w:spacing w:before="0" w:after="0"/>
        <w:jc w:val="both"/>
        <w:rPr/>
      </w:pPr>
      <w:r>
        <w:rPr/>
      </w:r>
    </w:p>
    <w:p>
      <w:pPr>
        <w:pStyle w:val="TextBody"/>
        <w:bidi w:val="0"/>
        <w:spacing w:lineRule="auto" w:line="276" w:before="0" w:after="0"/>
        <w:jc w:val="both"/>
        <w:rPr>
          <w:rFonts w:ascii="Roboto;sans-serif" w:hAnsi="Roboto;sans-serif"/>
          <w:b/>
          <w:i/>
          <w:color w:val="000000"/>
          <w:sz w:val="20"/>
        </w:rPr>
      </w:pPr>
      <w:r>
        <w:rPr>
          <w:rFonts w:ascii="Roboto;sans-serif" w:hAnsi="Roboto;sans-serif"/>
          <w:b/>
          <w:i/>
          <w:color w:val="000000"/>
          <w:sz w:val="20"/>
        </w:rPr>
        <w:t>Proceedings in China</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pStyle w:val="TextBody"/>
        <w:bidi w:val="0"/>
        <w:spacing w:before="0" w:after="0"/>
        <w:jc w:val="both"/>
        <w:rPr/>
      </w:pPr>
      <w:r>
        <w:rPr/>
      </w:r>
    </w:p>
    <w:p>
      <w:pPr>
        <w:pStyle w:val="TextBody"/>
        <w:bidi w:val="0"/>
        <w:spacing w:lineRule="auto" w:line="276" w:before="0" w:after="0"/>
        <w:jc w:val="both"/>
        <w:rPr>
          <w:rFonts w:ascii="Roboto;sans-serif" w:hAnsi="Roboto;sans-serif"/>
          <w:b/>
          <w:i/>
          <w:color w:val="000000"/>
          <w:sz w:val="20"/>
        </w:rPr>
      </w:pPr>
      <w:r>
        <w:rPr>
          <w:rFonts w:ascii="Roboto;sans-serif" w:hAnsi="Roboto;sans-serif"/>
          <w:b/>
          <w:i/>
          <w:color w:val="000000"/>
          <w:sz w:val="20"/>
        </w:rPr>
        <w:t>Other Proceedings</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1A.    Risk Factors</w:t>
      </w:r>
    </w:p>
    <w:p>
      <w:pPr>
        <w:pStyle w:val="TextBody"/>
        <w:bidi w:val="0"/>
        <w:spacing w:lineRule="auto" w:line="268" w:before="0" w:after="0"/>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and the ongoing COVID-19 pandemic may exacerbate the risks described below, any of which could have a material impact on us. This situation is changing rapidly, and additional impacts may arise that we are not aware of currently.</w:t>
      </w:r>
    </w:p>
    <w:p>
      <w:pPr>
        <w:pStyle w:val="TextBody"/>
        <w:bidi w:val="0"/>
        <w:spacing w:before="0" w:after="0"/>
        <w:jc w:val="both"/>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Summary Risk Factors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12"/>
        <w:gridCol w:w="2736"/>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successfully market, commercialize, and sell current and future products and related maintenance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for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successfully leverage and integrate our acquisitions and future acquisitions;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successfully research, develop and timely manufacture our current and future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management of new product introductions and transitions, resultant costs, and ability of new products to generate promised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recent significant changes to our leadership team and resultant disruptions to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retention, recruitment, and training of senior management, key personnel, scientists and engineers;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further penetrate nucleic acid sequencing applications, as well as grow product demand;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reliance on outsourcing to other companies for manufacturing certain components and sub-assemblies, some of which are sole-sourced;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consistently manufacture our instruments and consumables to meet customers’ specifications, quantity, cost, or performance requirements;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high amount of competition we face in our industry;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attract customers and increase sales of current and future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reliance on a limited number of customers for a significant portion of our revenues, including academic, research and government institutions;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complexity of our products giving rise to defects or errors;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unpredictable and lengthy sales cycles;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business, financial condition and results of operations could be adversely affected by political and economic tensions between the United States and other countries, including China and Russia;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securing and maintaining patent or other intellectual property protection for our products and related improvements;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current and future legal proceedings filed against us claiming intellectual property infringement;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potential adverse impact of health epidemics, including the ongoing COVID-19 pandemic;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governmental regulations that burden operations or narrow the market for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evolving ethical, legal, privacy, social, and regulatory concerns regarding genetic testing;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volatility of the price of our common stock;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stock price falling as a result of future offerings or sales of securities.</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Risks Related to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recently announced our new Revio</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long-read sequencing system in the fourth quarter of 2022, and commenced commercial Revio shipments in the first quarter of 2023, and we also progressed development of and, subsequent to the quarter ended June 30, 2023, commercialized Onso</w:t>
      </w:r>
      <w:r>
        <w:rPr>
          <w:rFonts w:ascii="Roboto;sans-serif" w:hAnsi="Roboto;sans-serif"/>
          <w:b w:val="false"/>
          <w:color w:val="000000"/>
          <w:sz w:val="13"/>
        </w:rPr>
        <w:t>TM</w:t>
      </w:r>
      <w:r>
        <w:rPr>
          <w:rFonts w:ascii="Roboto;sans-serif" w:hAnsi="Roboto;sans-serif"/>
          <w:b w:val="false"/>
          <w:color w:val="000000"/>
          <w:sz w:val="20"/>
        </w:rPr>
        <w:t>, our SBB short-read platform. We began taking orders in the first quarter of 2023, and in August 2023, we commenced customer shipments of the Onso short-read sequencing instrument, with shipments of related consumables expected to occur later in August 2023. The milestone payment associated with PacBio’s acquisition of Omniome will be triggered once both the Onso instrument and related consumables have shipped to one customer. Our future success is substantially dependent on our ability to successfully develop and commercialize our products, including Revio and Onso, as well as acquired technologies, which are anticipated to be used in demanding scientific research that requires substantial levels of accuracy and precision. In addition, we may not be successful in transitioning our Revio product from our prior generation products, or transitioning users of other third party short-read sequencing platforms to Onso, and could incur related obsolete inventory charges. Customers may also be slower that we anticipate in making new capital equipment acquisitions, especially in the current economic environment. However, due to challenges we may experience in developing and marketing our existing products and launching new products, we may not be able to effectively: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9"/>
        <w:gridCol w:w="274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manage the timeliness of our new product introductions and the rate at which sales of our new products may cannibalize sales of our older products or manage sales and marketing of multiple sequencing platforms;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drive adoption of our current and future products, including the Sequel II/IIe Systems, the Revio system, the Onso system, and products under development, including acquired technologies;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maintain our competitive position by continuing to attract and retain customers for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provide appropriate levels of customer training and support for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implement an effective marketing strategy to promote awareness of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develop and implement an effective sales and distribution strategy for our current and future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develop, manufacture and commercialize new products or achieve an acceptable return on our manufacturing or research and development efforts and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comply with regulatory requirements applicable to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anticipate and adapt to changes in our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deliver our beta systems to our external beta testing sites or complete our external beta testing program on our currently expected timelines;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overcome unexpected challenges discovered during beta testing;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complete the scientific and technical validation of new products on our currently expected timeline or at all;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deliver our future products in a timely manner to our customers;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grow our market share by marketing and selling our products for new and additional applications;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adapt or scale our manufacturing activities to meet performance specifications and potential demand at a reasonable cost;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avoid infringement and misappropriation of third-party intellectual property;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obtain and maintain any necessary licenses to third-party intellectual property on commercially reasonable terms;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obtain valid and enforceable patents that give us a competitive advantage or enforce existing patents;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protect our proprietary technology;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attract, retain, and motivate qualified personnel.</w:t>
            </w:r>
          </w:p>
        </w:tc>
      </w:tr>
    </w:tbl>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have incurred losses to date, and we expect to continue to incur significant losses as we develop our business and may never achieve profitability.</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42"/>
        <w:gridCol w:w="2765"/>
        <w:gridCol w:w="3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make it more difficult for us to satisfy our obligations;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increase our vulnerability to general adverse economic and industry conditions;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 our ability to fund future working capital, capital expenditures, research and development and other business opportunities;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increase the volatility of the price of our common stock;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 our flexibility to react to changes in our business and the industry in which we operate;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place us at a disadvantage to other companies that offer nucleic acid sequencing equipment or consumables;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 our ability to borrow additional funds.</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Any or all of the foregoing may have a material adverse effect on our business, operations, financial condition, and prospects. </w:t>
      </w:r>
      <w:r>
        <w:rPr>
          <w:rFonts w:ascii="Roboto;sans-serif" w:hAnsi="Roboto;sans-serif"/>
          <w:b w:val="false"/>
          <w:color w:val="000000"/>
          <w:sz w:val="20"/>
          <w:shd w:fill="FFFFFF" w:val="clear"/>
        </w:rPr>
        <w:t>An impairment in value of our tangible or intangible assets could also be recorded as a result of weaker economic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are not cash flow positive and may not have sufficient cash to make required payments under the terms of our debt or fund our long-term planned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June 30, 2023, after taking into account the Exchange Transaction, we had outstanding approximately $459.0 million aggregate principal amount of our 2028 Notes and $441.0 million aggregate principal amount of our 2030 Notes.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including any improvements to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In July 2021, we acquired Circulomics, in September 2021, we acquired Omniome, and in August 2023, we acquired Apton. We recorded goodwill and intangible assets in connection with the Circulomics and Omniome acquisitions as included on the Condensed Consolidated Balance Sheets as of </w:t>
      </w:r>
      <w:r>
        <w:rPr>
          <w:rFonts w:ascii="Roboto;sans-serif" w:hAnsi="Roboto;sans-serif"/>
          <w:b w:val="false"/>
          <w:color w:val="000000"/>
          <w:sz w:val="20"/>
          <w:shd w:fill="FFFFFF" w:val="clear"/>
        </w:rPr>
        <w:t>June 30, 2023</w:t>
      </w:r>
      <w:r>
        <w:rPr>
          <w:rFonts w:ascii="Roboto;sans-serif" w:hAnsi="Roboto;sans-serif"/>
          <w:b w:val="false"/>
          <w:color w:val="000000"/>
          <w:sz w:val="20"/>
        </w:rPr>
        <w:t xml:space="preserve">. See </w:t>
      </w:r>
      <w:r>
        <w:rPr>
          <w:rFonts w:ascii="Roboto;sans-serif" w:hAnsi="Roboto;sans-serif"/>
          <w:b w:val="false"/>
          <w:i/>
          <w:color w:val="000000"/>
          <w:sz w:val="20"/>
        </w:rPr>
        <w:t>Note 2 – Business Acquisitions</w:t>
      </w:r>
      <w:r>
        <w:rPr>
          <w:color w:val="000000"/>
        </w:rPr>
        <w:t xml:space="preserve"> </w:t>
      </w:r>
      <w:r>
        <w:rPr>
          <w:rFonts w:ascii="Roboto;sans-serif" w:hAnsi="Roboto;sans-serif"/>
          <w:b w:val="false"/>
          <w:color w:val="000000"/>
          <w:sz w:val="20"/>
        </w:rPr>
        <w:t>in Part II, Item 8 of the Annual Report on Form 10-K for the year ended December 31, 2022.</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88"/>
        <w:gridCol w:w="2705"/>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failure or material delay in closing a transaction;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transaction-related lawsuits or claims;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integrating the technologies, operations, existing contracts, and personnel of an acquired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retaining key employees or business partners of an acquired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retaining suppliers, partners, or customers of an acquired company;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39"/>
        <w:gridCol w:w="2689"/>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challenges with integrating the brand identity of an acquired company with our 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diversion of financial and management resources from existing operations or alternative acquisition opportunities;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failure to realize the anticipated benefits or synergies of a transaction;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developing technology post-acquisition;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risks that regulatory bodies may enact new laws or promulgate new regulations that are adverse to an acquired company or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risks that regulatory bodies do not approve our acquisitions or business combinations or delay such approvals;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theft of our trade secrets or confidential information that we share with potential acquisition candidates or other potential strategic partners;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risk that an acquired company or investment in new services cannibalizes a portion of our existing business;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adverse market reaction to an acquisition or other strategic transaction.</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bidi w:val="0"/>
        <w:spacing w:before="0" w:after="0"/>
        <w:jc w:val="left"/>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and Onso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Revio, Onso, and other SMRT Cell, HiFi, and SBB products under development, including acquired technologies,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All of the foregoing could materially negatively impact our ability to sell our products or result in other material adverse effects on our business, operations, financial condition, operations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Revio and Onso, in addition to other products currently under development, including acquired technologies.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For example, in January 2021, we entered into a development agreement with Invitae, which was amended and restated on June 24, 2022 (the “Invitae Development Agreement”), regarding a multi-year collaboration for the development of a production-scale high-throughput sequencing platform. While we anticipate that in connection with the Invitae Development Agreement, we will continue to receive feedback, input and insight from Invitae in connection with our intended development of new high-throughput sequencing systems, such feedback is not contractually required and Invitae has no contractual right to participate in decisions regarding the development program for such new sequencing systems. Invitae is not contractually obligated to reimburse us for development costs under the Invitae Development Agreement. We do not expect to receive any additional revenue under the Invitae Development Agreement apart from potential purchases by Invitae of our instruments and consumables. In consideration of non-refundable Development Costs (as defined in the Invitae Development Agreement) paid by Invitae to us pursuant to the Invitae Development Agreement, we have provided Invitae with credits in connection with Invitae’s anticipated purchase of currently available and in-development sequencing systems (instruments and consumables). In addition, subject to certain conditions, Invitae will be entitled to most favored pricing for our Sequel IIe systems and certain in-development systems, including the Revio system and we may be required to sell instruments to Invitae at below-market prices.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must successfully manage new product introductions and transitions, including with respect to the SMRT Cell, the Sequel II/IIe, Revio and Onso Systems, and the development of acquired technologies, and we may incur significant costs during these transitions and development, and these efforts may not result in the benefits we anticipate.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Sequel II/IIe Systems, the Revio HiFi long-read sequencing system, and the Onso SBB short-read sequencing system,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announcement of our Revio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Sequel II/IIe Systems, the Revio and Onso Systems, and any future long-read and short-read products, our business, operations, financial condition, and prospects may be materially and adversely affected.</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business may be adversely affected by health epidemics, including any resurgence of COVID-19 cases or other outbreaks.</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Our business has been and could be further adversely impacted by the effects of COVID-19 or other epidemics or pandemics. </w:t>
      </w:r>
      <w:r>
        <w:rPr>
          <w:rFonts w:ascii="Roboto;sans-serif" w:hAnsi="Roboto;sans-serif"/>
          <w:b w:val="false"/>
          <w:color w:val="000000"/>
          <w:sz w:val="20"/>
          <w:shd w:fill="FFFFFF" w:val="clear"/>
        </w:rPr>
        <w:t>Although it is not possible at this time to estimate the impact that health epidemics, including the results of the COVID-19 pandemic and any future resurgence of COVID-19 cases or other outbreaks, could have on our business, any pandemic or public health outbreaks or related disruptions and the measures taken by the governments of countries affected could disrupt the supply chain and the manufacture of our products.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any ensuing disruptions to business activities or supply chains could have a negative impact on our business, financial condition, and operating results. Because our semiconductor manufacturers are located in a region where immunization rates in certain communities may be low, new and emerging variants of COVID-19 could impact workforce availability at those locations and disrupt supply. For example, the Chinese government may re-impose lockdowns or similar measures to combat the spread of COVID-19 and such measures have had, and may continue to have in the future, a negative impact on manufacturing and/or supply chains, as well as customer demand for our products and demand through certain distributors.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COVID-19 pandemic has caused us to modify our business practices, including limiting certain of our commercial operations and limiting certain employees from working in the office. We have offered, and may plan to continue to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Even after the COVID-19 pandemic has subsided, we may continue to experience an adverse impact to our business as a result of its global economic impact, including recessionary effects and inflationary pressures.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Significant changes to our leadership team and the resulting management transitions might harm our future operating results.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was appointed effective January 8, 2021. Jeff Eidel was appointed Chief Commercial Officer effective August 16, 2022, succeeding Peter Fromen who resigned effective May 20, 2022. Also, our Vice President and Chief Accounting Officer Michele Farmer was appointed effective May 17, 2021, and our Chair of the Board Dr. John F. Milligan was appointed effective September 14, 2020.</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shd w:fill="FFFFFF" w:val="clear"/>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is characterized by high demand and intense competition for talent, and the turnover rate has been and may continue to be high. We compete for qualified management and scientific personnel with other life science companies, academic institutions and research institutions, particularly those focusing on genomics. This competition had been exacerbated by the increase in employee resignations in 2021 and 2022, that had been experienced by us and reported by employers nationwide. In addition, we have experienced significant turnover in our senior management team in recent periods.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existing and new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Revio and Onso Systems, and related products may not grow sufficiently to cover our costs.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can be no assurance that we will be successful in adding new products or securing additional customers for our current and future products, including with respect to the SMRT Cell, Sequel II/IIe Systems, Revio and Onso.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associated with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infections are reduced, supply issues or business disruptions are resolved and/or other sources can be developed.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because our semiconductor suppliers are in regions that may have communities with low vaccination rates, the Omicron variant of COVID-19, or any variants that evolve in the future,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shd w:fill="FFFFFF" w:val="clear"/>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The size of the markets for our products, including our Revio and Onso instruments, may be smaller than estimated, and new market opportunities may not develop as quickly as we expect, or at all, limiting our ability to successfully sell our products.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market for sequencing systems and consumables products is evolving, making it difficult to accurately predict the size of the markets for our current and future products, including our Revio and Onso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our long-read sequencers, such as Revio, require tools for effective, high quality sample collection and preparation as well as advanced bioinformatic tools to process results; if these tools are unavailable to our customers, whether at a reasonable cost or at all, the market acceptance and growth of our long-read sequencers, like Revio,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Increased market adoption of our products by customers may depend on the availability of sample preparation and informatics tools, some of which may be developed by third parties.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operate in a highly competitive industry and if we are not able to compete effectively, our business and operating results will likely be harmed.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Genomics, Element Biosciences and Singular Genomics.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may be unable to successfully increase sales of our current products or market and sell our future products.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8"/>
        <w:gridCol w:w="2792"/>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attract, retain and manage qualified sales, marketing, and service personnel necessary to expand market acceptance for our technologies;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performance and commercial availability expectations of our existing and potential customers with respect to new and existing products;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availability of potential sales and distribution partners to sell our technologies, and our ability to attract and retain such sales and distribution partners;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sales, marketing and service force may be unable to execute successful commercial activities.</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For example, for the years ended December 31, 2022, 2021, and 2020, one of our customers, who is our primary distributor in China, accounted for approximately 12%, 13%, and 14%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Products using our SMRT sequencing and SBB technology are highly complex and may develop or contain undetected defects or errors. Our customers have previously experienced reliability issues with our existing products, including the Sequel System and the Sequel II/IIe Systems. In addition, it is possible our customers could experience reliability issues with current or future products, including the Sequel II/IIe, Revio and Onso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A significant portion of our sales depends on customers’ spending budgets that may be subject to significant and unexpected variation which could have a negative effect on the demand for our products.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may not be able to convert our orders in backlog into revenue.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sales cycles are unpredictable and lengthy, which makes it difficult to forecast revenue and may increase the magnitude of quarterly or annual fluctuations in our operating results.</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as we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color w:val="3051F2"/>
        </w:rPr>
        <w:t>—</w:t>
      </w:r>
      <w:hyperlink w:anchor="ic7aae2ec375b448fb8bc60a418180b7b_163948">
        <w:r>
          <w:rPr>
            <w:rStyle w:val="InternetLink"/>
            <w:rFonts w:ascii="Roboto;sans-serif" w:hAnsi="Roboto;sans-serif"/>
            <w:b w:val="false"/>
            <w:i/>
            <w:color w:val="0000FF"/>
            <w:sz w:val="20"/>
            <w:u w:val="single"/>
          </w:rPr>
          <w:t>Our operating results fluctuate from quarter to quarter and year over year, which makes our future results difficult to predict and could negatively impact the market price of our common stock</w:t>
        </w:r>
      </w:hyperlink>
      <w:hyperlink w:anchor="ic7aae2ec375b448fb8bc60a418180b7b_163948">
        <w:r>
          <w:rPr>
            <w:rStyle w:val="InternetLink"/>
            <w:rFonts w:ascii="Roboto;sans-serif" w:hAnsi="Roboto;sans-serif"/>
            <w:b w:val="false"/>
            <w:color w:val="0000FF"/>
            <w:sz w:val="20"/>
            <w:u w:val="single"/>
          </w:rPr>
          <w:t>,” below</w:t>
        </w:r>
      </w:hyperlink>
      <w:r>
        <w:rPr>
          <w:rFonts w:ascii="Roboto;sans-serif" w:hAnsi="Roboto;sans-serif"/>
          <w:b w:val="false"/>
          <w:color w:val="3051F2"/>
          <w:sz w:val="20"/>
        </w:rPr>
        <w:t>.</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We are subject to risks associated with political conflicts between the U.S. and China. A significant portion of our revenue is generated from China. </w:t>
      </w:r>
      <w:r>
        <w:rPr>
          <w:rFonts w:ascii="Roboto;sans-serif" w:hAnsi="Roboto;sans-serif"/>
          <w:b w:val="false"/>
          <w:color w:val="000000"/>
          <w:sz w:val="20"/>
          <w:shd w:fill="FFFFFF" w:val="clear"/>
        </w:rPr>
        <w:t xml:space="preserve">For example, for the years ended </w:t>
      </w:r>
      <w:r>
        <w:rPr>
          <w:rFonts w:ascii="Roboto;sans-serif" w:hAnsi="Roboto;sans-serif"/>
          <w:b w:val="false"/>
          <w:color w:val="000000"/>
          <w:sz w:val="20"/>
        </w:rPr>
        <w:t>December 31, 2022, 2021, and 2020, one of our customers, who is our primary distributor in China, accounted for approximately 12%, 13%, and 14%</w:t>
      </w:r>
      <w:r>
        <w:rPr>
          <w:color w:val="000000"/>
          <w:shd w:fill="FFFFFF" w:val="clear"/>
        </w:rPr>
        <w:t xml:space="preserve"> </w:t>
      </w:r>
      <w:r>
        <w:rPr>
          <w:rFonts w:ascii="Roboto;sans-serif" w:hAnsi="Roboto;sans-serif"/>
          <w:b w:val="false"/>
          <w:color w:val="000000"/>
          <w:sz w:val="20"/>
          <w:shd w:fill="FFFFFF" w:val="clear"/>
        </w:rPr>
        <w:t>of our total revenue, respectively. In addition, certain c</w:t>
      </w:r>
      <w:r>
        <w:rPr>
          <w:rFonts w:ascii="Roboto;sans-serif" w:hAnsi="Roboto;sans-serif"/>
          <w:b w:val="false"/>
          <w:color w:val="000000"/>
          <w:sz w:val="20"/>
        </w:rPr>
        <w:t>omponents, some of which are critical components, of our products are manufactured in China. These components are either sourced directly from companies in China or indirectly from third parties that source from companies in China.</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c7aae2ec375b448fb8bc60a418180b7b_163945">
        <w:r>
          <w:rPr>
            <w:rStyle w:val="InternetLink"/>
            <w:rFonts w:ascii="Roboto;sans-serif" w:hAnsi="Roboto;sans-serif"/>
            <w:b w:val="false"/>
            <w:i/>
            <w:color w:val="0000FF"/>
            <w:sz w:val="20"/>
            <w:u w:val="single"/>
          </w:rPr>
          <w:t>Enhanced trade tariffs, import restrictions, export restrictions, Chinese regulations or other trade barriers may materially harm our business,</w:t>
        </w:r>
      </w:hyperlink>
      <w:hyperlink w:anchor="ic7aae2ec375b448fb8bc60a418180b7b_163945">
        <w:r>
          <w:rPr>
            <w:rStyle w:val="InternetLink"/>
            <w:color w:val="0000FF"/>
            <w:u w:val="single"/>
          </w:rPr>
          <w:t xml:space="preserve">” </w:t>
        </w:r>
      </w:hyperlink>
      <w:hyperlink w:anchor="ic7aae2ec375b448fb8bc60a418180b7b_163945">
        <w:r>
          <w:rPr>
            <w:rStyle w:val="InternetLink"/>
            <w:rFonts w:ascii="Roboto;sans-serif" w:hAnsi="Roboto;sans-serif"/>
            <w:b w:val="false"/>
            <w:color w:val="0000FF"/>
            <w:sz w:val="20"/>
            <w:u w:val="single"/>
          </w:rPr>
          <w:t>below</w:t>
        </w:r>
      </w:hyperlink>
      <w:r>
        <w:rPr>
          <w:rFonts w:ascii="Roboto;sans-serif" w:hAnsi="Roboto;sans-serif"/>
          <w:b w:val="false"/>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Other risks could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5"/>
        <w:gridCol w:w="2782"/>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nationalization or other expropriation of private enterprises or intellectual property by the Chinese government.</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face significant risks associated with doing business with Taiwanese suppliers and manufacturers due to the tense relationship between Taiwan and mainland China.</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bookmarkStart w:id="2" w:name="ic7aae2ec375b448fb8bc60a418180b7b_163948"/>
      <w:bookmarkEnd w:id="2"/>
      <w:r>
        <w:rPr>
          <w:rFonts w:ascii="Roboto;sans-serif" w:hAnsi="Roboto;sans-serif"/>
          <w:b/>
          <w:i/>
          <w:color w:val="000000"/>
          <w:sz w:val="20"/>
        </w:rPr>
        <w:t>Our operating results fluctuate from quarter to quarter and year over year, which makes our future results difficult to predict and could negatively impact the market price of our common stock.</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operate on a December 31st year-end and believe that there are significant seasonal factors which may cause sales of our products, and particularly our sequencing instruments, to vary on a quarterly or yearly basis, contribute to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in the future may contribute, to substantial fluctuations in our quarterly operating results.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0"/>
        <w:gridCol w:w="2748"/>
        <w:gridCol w:w="3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market acceptance for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attract new customers;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length of our sales cycles, as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achieve economies of scale and other manufacturing efficiencies at the rate we anticipate;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publications of studies by us, our competitors or third parties;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amount and timing of our costs and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our pricing policies or those of our competitors;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general economic, industry and market conditions;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4"/>
        <w:gridCol w:w="2792"/>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regulatory environment in which we operate;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expenses associated with warranty obligations or unforeseen product quality issues;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hiring, training, and retention of key employees, including our ability to grow our sales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litigation or other claims against us for intellectual property infringement or otherwise;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 xml:space="preserve">our ability to obtain additional financing as necessary;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or trends in new technologies and industry standards; and the impact of COVID--19.</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ability to use net operating losses to offset future taxable income may be subject to substantial limitations, and changes to U.S. tax laws may cause us to make adjustments to our financial statements.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Consequently, we may not be able to utilize some or all of our NOLs even if we attain profitability.</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Risks Related to Our Intellectual Property</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4"/>
        <w:gridCol w:w="2747"/>
        <w:gridCol w:w="38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or our licensors might not have been the first to make the inventions covered by each of our pending patent applications or issued patents;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or our licensors might not have been the first to file patent applications for these inventions;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it is possible that neither our pending patent applications nor the pending patent applications of our licensors will result in issued patents;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2"/>
        <w:gridCol w:w="2746"/>
        <w:gridCol w:w="3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enforcement of patents and proprietary rights in other countries may be problematic or unpredictable;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or our partners may not adequately protect our trade secrets;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may not develop additional proprietary technologies that are patentable;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patents of others may limit our freedom to operate and prevent us from commercializing our technology in accordance with our plans.</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Variability in intellectual property laws may adversely affect our intellectual property position.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intellectual property may be subject to challenges in the United States or foreign jurisdictions that could adversely affect our intellectual property position.</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shd w:fill="FFFFFF" w:val="clear"/>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Some of our technology is subject to “march-in” rights by the U.S. government.</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shd w:fill="FFFFFF" w:val="clear"/>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are involved in legal proceedings to enforce our intellectual property rights.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have been, are currently, and could in the future be, subject to legal proceedings with third parties who may claim that our products infringe or misappropriate their intellectual property rights.</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shd w:fill="FFFFFF" w:val="clear"/>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have not yet registered some of our trademarks in all of our potential markets, and failure to secure those registrations could adversely affect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use of “open source” software could adversely affect our ability to sell our products and subject us to possible litigation.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Risks Related to Regulation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are, and may become, subject to governmental regulations that may impose burdens on our operations, and the markets for our products may be narrowed.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new restrictions on the ability to send certain products and technology related to semiconductors, semiconductor manufacturing, and supercomputing to China without an export license discussed above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FDA has historically exercised enforcement discretion in not enforcing the medical device regulations against laboratories developing and offering LDTs. However, in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August 2020, the Department of Health and Human Services ("HHS") announced rescission of guidance and other informal issuances of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FDA’s longstanding approach.</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Legislative and administrative proposals to amend the FDA's oversight of LDTs have been introduced in recent years, including the Verifying Accurate Leading-edge IVCT Development Act of 2021 (the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FDA recently announced in the United Agenda of its intent to issue a proposed rule to make explicit that LDTs are devices under the Federal Food, Drug, and Cosmetic Act. The Notice of Proposed Rulemaking for LDTs is anticipated to be published in the Federal Register later in 2023. It is unclear how future legislation by federal and state governments and FDA regulation will impact the industry, including our business and that of our customers.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bookmarkStart w:id="3" w:name="ic7aae2ec375b448fb8bc60a418180b7b_163945"/>
      <w:bookmarkEnd w:id="3"/>
      <w:r>
        <w:rPr>
          <w:rFonts w:ascii="Roboto;sans-serif" w:hAnsi="Roboto;sans-serif"/>
          <w:b/>
          <w:i/>
          <w:color w:val="000000"/>
          <w:sz w:val="20"/>
        </w:rPr>
        <w:t>Enhanced trade tariffs, import restrictions, export restrictions, Chinese regulations, or other trade barriers may materially harm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Additionally, the U.S. government recently announced new controls restricting the ability to send certain products and technology related to semiconductors, semiconductor manufacturing, and supercomputing to China without an export license. These new controls also apply to certain hardware containing these specified integrated circuits. In many cases, these licenses are subject to a policy of denial and will not be issued. These controls may impact our ability to export certain products to customers or distributors in China and restrict our ability to use certain integrated circuits in our products. The U.S. government also recently added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and it continues to include biotechnologies including “[g]enome and protein engineering including design tools” and “[b]iomanufacturing and bioprocessing technologies.” Therefore, it is possible that our ability to export our products to customers or distributors in China may be further restricted in the future.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international business could expose us to business, regulatory, political, operational, financial, and economic risks associated with doing business outside of the United States.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export requirements and import or trade restrictions;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22"/>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laws and business practices favoring local companies;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restrictions on both inbound and outbound cross-border investment;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foreign currency exchange, longer payment cycles and difficulties in enforcing agreements and collecting receivables through certain foreign legal systems;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potentially adverse tax consequences, tariffs, customs charges, bureaucratic requirements, and other trade barriers;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and costs of staffing and managing foreign operations;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tc>
      </w:tr>
    </w:tbl>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Ethical, legal, privacy, data protection and social concerns or governmental restrictions surrounding the use of genetic information could reduce demand for our technology.</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Risks Related to Owning Our Common Stock</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The price of our common stock has been, is, and may continue to be, highly volatile, and you may be unable to sell your shares at or above the price you paid to acquire them.</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2"/>
        <w:gridCol w:w="2687"/>
        <w:gridCol w:w="3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actual or anticipated fluctuations in our financial condition and operating results;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announcements of new products, technological innovations or strategic partnerships by us or our competitors;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announcements by us, our customers, partners, or suppliers relating directly or indirectly to our products, services or technologies;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overall conditions in our industry and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addition or loss of significant customers;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laws or regulations applicable to our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actual or anticipated changes in our growth rate relative to our competitors;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additions or departures of key personnel;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competition from existing products or new products that may emerge;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issuance of new or updated research or reports by securities analysts;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fluctuations in the valuation of companies perceived by investors to be comparable to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 or expectation of additional financing efforts;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sales of our common stock by us or our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stock price and volume fluctuations attributable to inconsistent trading volume levels of our shares;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reports, guidance and ratings issued by securities or industry analysts;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operating results below the expectations of securities analysts or investors;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general economic and market conditions, which could be impacted by various events including COVID-19 or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If any of the forgoing occurs, it would cause our stock price or trading volume to decline. Stock markets in general and the market for companies in our industry in particular have experienced price and volume fluctuations, which have been exacerbated by the COVID-19 pandemic, and current macroeconomic trends and geopolitical events, and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w:t>
      </w:r>
      <w:r>
        <w:rPr>
          <w:rFonts w:ascii="Roboto;sans-serif" w:hAnsi="Roboto;sans-serif"/>
          <w:b w:val="false"/>
          <w:color w:val="000000"/>
          <w:sz w:val="20"/>
          <w:shd w:fill="FFFFFF" w:val="clear"/>
        </w:rPr>
        <w:t>have</w:t>
      </w:r>
      <w:r>
        <w:rPr>
          <w:color w:val="000000"/>
        </w:rPr>
        <w:t xml:space="preserve"> </w:t>
      </w:r>
      <w:r>
        <w:rPr>
          <w:rFonts w:ascii="Roboto;sans-serif" w:hAnsi="Roboto;sans-serif"/>
          <w:b w:val="false"/>
          <w:color w:val="000000"/>
          <w:sz w:val="20"/>
        </w:rPr>
        <w:t>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September 2021, in connection with the closing of the Omniome Merger, we completed a private placement of an aggregate of 11,214,953 shares of our common stock, at a price of $26.75 per share, for aggregate gross proceeds of approximately $300 million (the “Private Placement”) and registered the Private Placement shares for resale on a registration statement on Form S-3. The Private Placement Investors may sell any or all of their shares pursuant to the registration statement from time to time.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On January 27, 2023, we issued and sold an aggregate of 20,125,000 shares of our common stock at a purchase price of $10.00 per share pursuant to an automatic shelf registration statement filed on Form S-3 (File No. 333-249999) with the Securities and Exchange Commission, resulting in aggregate gross proceeds of approximately $201.3 million. The investors may sell any or all of their shares from time to time.</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Concentration of ownership by our principal stockholders may result in control by such stockholders of the composition of our board of directors.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7"/>
        <w:gridCol w:w="2783"/>
        <w:gridCol w:w="3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require that any action to be taken by our stockholders be effected at a duly called annual or special meeting and not by written consent;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establish that our board of directors is divided into three classes, Class I, Class II and Class III, with each class serving staggered terms;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provide that our directors may be removed only for cause;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provide that vacancies on our board of directors may be filled only by a majority of directors then in office, even though less than a quorum.</w:t>
            </w:r>
          </w:p>
        </w:tc>
      </w:tr>
    </w:tbl>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large number of authorized but unissued shares of common stock may potentially dilute existing stockholders’ stockholdings.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do not intend to pay dividends for the foreseeable future.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before="0" w:after="0"/>
        <w:jc w:val="both"/>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Risks Related to Our Notes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February 2021, we issued $900.0 million in aggregate principal amount of 1.50% Convertible Senior Notes due 2028, which we refer to as the 2028 Notes. The 2028 Notes will mature on February 15, 2028, subject to earlier conversion, redemption or repurchase, including upon a fundamental change. In June 2023, pursuant to the Exchange Transaction, we exchanged $441.0 million in aggregate principal amount of our 2028 Notes for $441.0 million aggregate principal amount of our 2023 Notes.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2030 Notes will mature on December 15, 2030, subject to earlier conversion, redemption or repurchase, including upon a fundamental change. The 2030 Notes and 2028 Notes are collectively referred to as the Notes. Following the Exchange Transaction, approximately $459.0 million in aggregate principal amount of the 2028 Notes remained outstanding.</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If the Notes are converted, it may adversely affect our financial condition and operating results.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pStyle w:val="TextBody"/>
        <w:bidi w:val="0"/>
        <w:spacing w:before="0" w:after="0"/>
        <w:jc w:val="both"/>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General Risk Factors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Unfavorable global economic or political conditions could adversely affect our business, financial condition or results of operations.</w:t>
      </w:r>
    </w:p>
    <w:p>
      <w:pPr>
        <w:pStyle w:val="TextBody"/>
        <w:bidi w:val="0"/>
        <w:spacing w:before="0" w:after="0"/>
        <w:jc w:val="both"/>
        <w:rPr/>
      </w:pPr>
      <w:r>
        <w:rPr/>
      </w:r>
    </w:p>
    <w:p>
      <w:pPr>
        <w:pStyle w:val="TextBody"/>
        <w:bidi w:val="0"/>
        <w:spacing w:lineRule="auto" w:line="268" w:before="0" w:after="0"/>
        <w:jc w:val="both"/>
        <w:rPr/>
      </w:pPr>
      <w:r>
        <w:rPr>
          <w:rFonts w:ascii="Roboto;sans-serif" w:hAnsi="Roboto;sans-serif"/>
          <w:b w:val="false"/>
          <w:color w:val="000000"/>
          <w:sz w:val="20"/>
        </w:rPr>
        <w:t xml:space="preserve">General conditions in the global economy and in the global financial markets could adversely affect our results of operations, including the potential effects from the ongoing COVID-19 pandemic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associated with the war in Ukraine and the related response,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Any of the foregoing could harm our business and we cannot anticipate all of the ways in which the political or economic climate and financial market conditions could adversely impact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Delivery of our products could be delayed or disrupted by factors beyond our control, and we could lose customers as a result.</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Doing business internationally creates operational and financial risks for our business.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56"/>
        <w:gridCol w:w="2677"/>
        <w:gridCol w:w="3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limits to travel as a result of the COVID-19 pandemic or other epidemics;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challenges in staffing and managing foreign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potentially longer sales cycles and more time required to engage and educate customers on the benefits of our platform outside of the United States;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potential need for localized software and documentation;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reduced protection for intellectual property rights in some countries and practical difficulties of enforcing intellectual property and contract rights abroad;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defending against intellectual property claims in other countries;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diplomatic and trade relationships, including new tariffs, trade protection measures, import or export licensing requirements, trade embargoes, sanctions, and other trade barriers;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deterioration of political relations between the U.S. and Russia, China, Japan, Korea, Canada, the United Kingdom (“U.K.”), and the E.U., which could have a material adverse effect on our sales and operations in these countries;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obtaining export licenses or in overcoming other trade barriers and restrictions resulting in delivery delays;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fluctuations in currency exchange rates and the related effect on our results of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increased financial accounting and reporting burdens and complexities;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disruptions to global trade due to disease outbreaks or conflicts;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potential increases on tariffs or restrictions on trade generally;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 which took effect in the E.U. in 2018.</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 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statements, which could cause the market price of our common stock to decline and make it more difficult for us to finance our operations and growth.</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Our business could be negatively impacted by changes in the United States political environment.</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Disruption of critical information technology systems or material breaches in the security of our systems could harm our business, customer relations and financial condition.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Our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associated with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Security breaches and other disruptions could compromise our information and expose us to liability, which would cause our business and reputation to suffer.</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 attacks that could disrupt the economy generally or that may either directly or indirectly impact our operations specifically.</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TextBody"/>
        <w:bidi w:val="0"/>
        <w:spacing w:before="0" w:after="0"/>
        <w:jc w:val="both"/>
        <w:rPr/>
      </w:pPr>
      <w:r>
        <w:rPr/>
      </w:r>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i/>
          <w:color w:val="000000"/>
          <w:sz w:val="20"/>
        </w:rPr>
      </w:pPr>
      <w:r>
        <w:rPr>
          <w:rFonts w:ascii="Roboto;sans-serif" w:hAnsi="Roboto;sans-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2.    Unregistered Sales of Equity Securities and Use of Proceeds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than as previously reported on our Current Reports on Form 8-K filed with the SEC on June 26, 2023 and June 30, 2023, there have been no unregistered sales of the Company’s equity securities during the three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3.    Defaults Upon Senior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4.    Mine Safety Disclosures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Item 5.    Other Information</w:t>
      </w:r>
    </w:p>
    <w:p>
      <w:pPr>
        <w:pStyle w:val="TextBody"/>
        <w:bidi w:val="0"/>
        <w:spacing w:before="0" w:after="0"/>
        <w:jc w:val="left"/>
        <w:rPr/>
      </w:pPr>
      <w:r>
        <w:rPr/>
      </w:r>
    </w:p>
    <w:p>
      <w:pPr>
        <w:pStyle w:val="TextBody"/>
        <w:bidi w:val="0"/>
        <w:spacing w:lineRule="auto" w:line="276" w:before="0" w:after="0"/>
        <w:jc w:val="left"/>
        <w:rPr>
          <w:rFonts w:ascii="Roboto;sans-serif" w:hAnsi="Roboto;sans-serif"/>
          <w:b/>
          <w:color w:val="000000"/>
          <w:sz w:val="20"/>
        </w:rPr>
      </w:pPr>
      <w:r>
        <w:rPr>
          <w:rFonts w:ascii="Roboto;sans-serif" w:hAnsi="Roboto;sans-serif"/>
          <w:b/>
          <w:color w:val="000000"/>
          <w:sz w:val="20"/>
        </w:rPr>
        <w:t>Securities Trading Plans of Directors and Executive Officers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During our last fiscal quarter, the following officers, as defined in Rule 16a-1(f), adopted a “Rule 10b5-1 trading arrangement” as defined in Regulation S-K Item 408, as follows: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May 18, 2023, Christian Henry, our President and Chief Executive Officer, adopted a Rule 10b5-1 trading arrangement providing for the sale from time to time of an aggregate of up to 139,858 shares of our common stock. The trading arrangement is intended to satisfy the affirmative defense in Rule 10b5-1(c). The duration of the trading arrangement is until August 20, 2024, or earlier if all transactions under the trading arrangement are completed.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May 19, 2023, Susan Kim, our Chief Financial Officer, adopted a Rule 10b5-1 trading arrangement providing for the sale from time to time of an aggregate of up to 90,155 shares of our common stock. The trading arrangement is intended to satisfy the affirmative defense in Rule 10b5-1(c). The duration of the trading arrangement is until September 30, 2024, or earlier if all transactions under the trading arrangement are completed.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 other officers or directors, as defined in Rule 16a-1(f), adopted and/or terminated a “Rule 10b5-1 trading arrangement” or a “non-Rule 10b5-1 trading arrangement,” as defined in Regulation S-K Item 408, during the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7"/>
        <w:gridCol w:w="278"/>
        <w:gridCol w:w="280"/>
        <w:gridCol w:w="2196"/>
        <w:gridCol w:w="2079"/>
        <w:gridCol w:w="2099"/>
        <w:gridCol w:w="305"/>
        <w:gridCol w:w="207"/>
        <w:gridCol w:w="207"/>
        <w:gridCol w:w="344"/>
        <w:gridCol w:w="298"/>
        <w:gridCol w:w="218"/>
        <w:gridCol w:w="497"/>
        <w:gridCol w:w="462"/>
        <w:gridCol w:w="418"/>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Incorporated by reference herein</w:t>
            </w:r>
          </w:p>
        </w:tc>
      </w:tr>
      <w:tr>
        <w:trPr/>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Exhibit No.</w:t>
            </w:r>
          </w:p>
        </w:tc>
        <w:tc>
          <w:tcPr>
            <w:tcW w:w="6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Description</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Form</w:t>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Exhibit No.</w:t>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Filing Date</w:t>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637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Roboto;sans-serif" w:hAnsi="Roboto;sans-serif"/>
                  <w:b w:val="false"/>
                  <w:color w:val="0000FF"/>
                  <w:sz w:val="18"/>
                  <w:u w:val="single"/>
                </w:rPr>
                <w:t>3.1</w:t>
              </w:r>
            </w:hyperlink>
          </w:p>
        </w:tc>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Roboto;sans-serif" w:hAnsi="Roboto;sans-serif"/>
                  <w:b w:val="false"/>
                  <w:color w:val="000080"/>
                  <w:sz w:val="18"/>
                  <w:u w:val="single"/>
                </w:rPr>
                <w:t>Amended and Restated Certificate of Incorporation of Pacific Biosciences of Californi</w:t>
              </w:r>
            </w:hyperlink>
            <w:hyperlink r:id="rId5">
              <w:r>
                <w:rPr>
                  <w:rStyle w:val="InternetLink"/>
                  <w:rFonts w:ascii="Roboto;sans-serif" w:hAnsi="Roboto;sans-serif"/>
                  <w:b w:val="false"/>
                  <w:color w:val="000080"/>
                  <w:sz w:val="18"/>
                  <w:u w:val="single"/>
                </w:rPr>
                <w:t>a, Inc.</w:t>
              </w:r>
            </w:hyperlink>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March 23, 2011</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Roboto;sans-serif" w:hAnsi="Roboto;sans-serif"/>
                  <w:b w:val="false"/>
                  <w:color w:val="0000FF"/>
                  <w:sz w:val="18"/>
                  <w:u w:val="single"/>
                </w:rPr>
                <w:t>3.2</w:t>
              </w:r>
            </w:hyperlink>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Roboto;sans-serif" w:hAnsi="Roboto;sans-serif"/>
                  <w:b w:val="false"/>
                  <w:color w:val="0000FF"/>
                  <w:sz w:val="18"/>
                  <w:u w:val="single"/>
                </w:rPr>
                <w:t>Third Amended and Restated Bylaws of Pacific Biosciences of California, Inc.</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November 7, 2022</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ex41x2021indenture.htm">
              <w:r>
                <w:rPr>
                  <w:rStyle w:val="InternetLink"/>
                  <w:rFonts w:ascii="Roboto;sans-serif" w:hAnsi="Roboto;sans-serif"/>
                  <w:b w:val="false"/>
                  <w:color w:val="0000FF"/>
                  <w:sz w:val="18"/>
                  <w:u w:val="single"/>
                </w:rPr>
                <w:t>4.1</w:t>
              </w:r>
            </w:hyperlink>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ex41x2021indenture.htm">
              <w:r>
                <w:rPr>
                  <w:rStyle w:val="InternetLink"/>
                  <w:rFonts w:ascii="Roboto;sans-serif" w:hAnsi="Roboto;sans-serif"/>
                  <w:b w:val="false"/>
                  <w:color w:val="0000FF"/>
                  <w:sz w:val="18"/>
                  <w:u w:val="single"/>
                </w:rPr>
                <w:t>Indenture, dated February 16, 2021, between Pacific Biosciences of California, Inc., and U.S. Bank National Association, as Trustee</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Roboto;sans-serif" w:hAnsi="Roboto;sans-serif"/>
                  <w:b w:val="false"/>
                  <w:color w:val="0000FF"/>
                  <w:sz w:val="18"/>
                  <w:u w:val="single"/>
                </w:rPr>
                <w:t>4.2</w:t>
              </w:r>
            </w:hyperlink>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Roboto;sans-serif" w:hAnsi="Roboto;sans-serif"/>
                  <w:b w:val="false"/>
                  <w:color w:val="0000FF"/>
                  <w:sz w:val="18"/>
                  <w:u w:val="single"/>
                </w:rPr>
                <w:t>Indenture, dated as of June 30, 2023, by and between Pacific Biosciences of California, Inc. and U.S. Bank Trust Company, National Association, as Trustee</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June 30, 2023</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Roboto;sans-serif" w:hAnsi="Roboto;sans-serif"/>
                  <w:b w:val="false"/>
                  <w:color w:val="0000FF"/>
                  <w:sz w:val="18"/>
                  <w:u w:val="single"/>
                </w:rPr>
                <w:t>4.3</w:t>
              </w:r>
            </w:hyperlink>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Roboto;sans-serif" w:hAnsi="Roboto;sans-serif"/>
                  <w:b w:val="false"/>
                  <w:color w:val="000080"/>
                  <w:sz w:val="18"/>
                  <w:u w:val="single"/>
                </w:rPr>
                <w:t>Form of 1.375% Convertible Senior Note due 2030 (included in Exhibit 4.</w:t>
              </w:r>
            </w:hyperlink>
            <w:hyperlink r:id="rId12">
              <w:r>
                <w:rPr>
                  <w:rStyle w:val="InternetLink"/>
                  <w:rFonts w:ascii="Roboto;sans-serif" w:hAnsi="Roboto;sans-serif"/>
                  <w:b w:val="false"/>
                  <w:color w:val="000080"/>
                  <w:sz w:val="18"/>
                  <w:u w:val="single"/>
                </w:rPr>
                <w:t>2</w:t>
              </w:r>
            </w:hyperlink>
            <w:hyperlink r:id="rId13">
              <w:r>
                <w:rPr>
                  <w:rStyle w:val="InternetLink"/>
                  <w:rFonts w:ascii="Roboto;sans-serif" w:hAnsi="Roboto;sans-serif"/>
                  <w:b w:val="false"/>
                  <w:color w:val="000080"/>
                  <w:sz w:val="18"/>
                  <w:u w:val="single"/>
                </w:rPr>
                <w:t>)</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4.2</w:t>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June 30, 2023</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Roboto;sans-serif" w:hAnsi="Roboto;sans-serif"/>
                  <w:b w:val="false"/>
                  <w:color w:val="0000FF"/>
                  <w:sz w:val="18"/>
                  <w:u w:val="single"/>
                </w:rPr>
                <w:t>10.1</w:t>
              </w:r>
            </w:hyperlink>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Roboto;sans-serif" w:hAnsi="Roboto;sans-serif"/>
                  <w:b w:val="false"/>
                  <w:color w:val="0000FF"/>
                  <w:sz w:val="18"/>
                  <w:u w:val="single"/>
                </w:rPr>
                <w:t>Letter Agreement, dated June 23, 2023, between the Company and Chimera Investment LLC</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June 26, 2023</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11.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.1</w:t>
            </w:r>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11.htm">
              <w:r>
                <w:rPr>
                  <w:rStyle w:val="InternetLink"/>
                  <w:rFonts w:ascii="Roboto;sans-serif" w:hAnsi="Roboto;sans-serif"/>
                  <w:b w:val="false"/>
                  <w:color w:val="0000FF"/>
                  <w:sz w:val="18"/>
                  <w:u w:val="single"/>
                </w:rPr>
                <w:t>Certification of Chief Executive Officer pursuant to Exchange Act Rules 13a-14(a) and 15d-14(a), as adopted pursuant to Section 302 of the Sarbanes-Oxley Act of 2002</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12.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.2</w:t>
            </w:r>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12.htm">
              <w:r>
                <w:rPr>
                  <w:rStyle w:val="InternetLink"/>
                  <w:rFonts w:ascii="Roboto;sans-serif" w:hAnsi="Roboto;sans-serif"/>
                  <w:b w:val="false"/>
                  <w:color w:val="0000FF"/>
                  <w:sz w:val="18"/>
                  <w:u w:val="single"/>
                </w:rPr>
                <w:t>Certification of Chief Financial Officer pursuant to Exchange Act Rules 13a-14(a) and 15d-14(a), as adopted pursuant to Section 302 of the Sarbanes-Oxley Act of 2002</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21.htm">
              <w:r>
                <w:rPr>
                  <w:rStyle w:val="InternetLink"/>
                  <w:rFonts w:ascii="Roboto;sans-serif" w:hAnsi="Roboto;sans-serif"/>
                  <w:b w:val="false"/>
                  <w:color w:val="0000FF"/>
                  <w:sz w:val="18"/>
                  <w:u w:val="single"/>
                </w:rPr>
                <w:t>32.1</w:t>
              </w:r>
            </w:hyperlink>
            <w:r>
              <w:rPr>
                <w:rFonts w:ascii="Roboto;sans-serif" w:hAnsi="Roboto;sans-serif"/>
                <w:b w:val="false"/>
                <w:color w:val="000000"/>
                <w:sz w:val="18"/>
              </w:rPr>
              <w:t>*</w:t>
            </w:r>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21.htm">
              <w:r>
                <w:rPr>
                  <w:rStyle w:val="InternetLink"/>
                  <w:rFonts w:ascii="Roboto;sans-serif" w:hAnsi="Roboto;sans-serif"/>
                  <w:b w:val="false"/>
                  <w:color w:val="0000FF"/>
                  <w:sz w:val="18"/>
                  <w:u w:val="single"/>
                </w:rPr>
                <w:t>Certification of Chief Executive Officer pursuant to 18 U.S.C. Section 1350, as adopted pursuant to Section 906 of the Sarbanes-Oxley Act of 2002</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22.htm">
              <w:r>
                <w:rPr>
                  <w:rStyle w:val="InternetLink"/>
                  <w:rFonts w:ascii="Roboto;sans-serif" w:hAnsi="Roboto;sans-serif"/>
                  <w:b w:val="false"/>
                  <w:color w:val="0000FF"/>
                  <w:sz w:val="18"/>
                  <w:u w:val="single"/>
                </w:rPr>
                <w:t>32.2</w:t>
              </w:r>
            </w:hyperlink>
            <w:r>
              <w:rPr>
                <w:rFonts w:ascii="Roboto;sans-serif" w:hAnsi="Roboto;sans-serif"/>
                <w:b w:val="false"/>
                <w:color w:val="000000"/>
                <w:sz w:val="18"/>
              </w:rPr>
              <w:t>*</w:t>
            </w:r>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30630x10qxexx322.htm">
              <w:r>
                <w:rPr>
                  <w:rStyle w:val="InternetLink"/>
                  <w:rFonts w:ascii="Roboto;sans-serif" w:hAnsi="Roboto;sans-serif"/>
                  <w:b w:val="false"/>
                  <w:color w:val="0000FF"/>
                  <w:sz w:val="18"/>
                  <w:u w:val="single"/>
                </w:rPr>
                <w:t>Certification of Chief Financial Officer pursuant to 18 U.S.C. Section 1350, as adopted pursuant to Section 906 of the Sarbanes-Oxley Act of 2002</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101.INS</w:t>
            </w:r>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101.SCH</w:t>
            </w:r>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101.CAL</w:t>
            </w:r>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101.DEF</w:t>
            </w:r>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101.LAB</w:t>
            </w:r>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Labels Linkbase Document</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101.PRE</w:t>
            </w:r>
          </w:p>
        </w:tc>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104</w:t>
            </w:r>
          </w:p>
        </w:tc>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______________________________________________________________________________</w:t>
      </w:r>
    </w:p>
    <w:p>
      <w:pPr>
        <w:pStyle w:val="TextBody"/>
        <w:bidi w:val="0"/>
        <w:spacing w:lineRule="auto" w:line="288" w:before="120" w:after="283"/>
        <w:ind w:left="0" w:right="0" w:hanging="360"/>
        <w:jc w:val="both"/>
        <w:rPr/>
      </w:pPr>
      <w:r>
        <w:rPr>
          <w:rFonts w:ascii="Roboto;sans-serif" w:hAnsi="Roboto;sans-serif"/>
          <w:b w:val="false"/>
          <w:color w:val="000000"/>
          <w:sz w:val="20"/>
        </w:rPr>
        <w:t>*The certification</w:t>
      </w:r>
      <w:r>
        <w:rPr>
          <w:rFonts w:ascii="Roboto;sans-serif" w:hAnsi="Roboto;sans-serif"/>
          <w:b w:val="false"/>
          <w:color w:val="000000"/>
          <w:sz w:val="20"/>
          <w:shd w:fill="FFFFFF" w:val="clear"/>
        </w:rPr>
        <w:t>s att</w:t>
      </w:r>
      <w:r>
        <w:rPr>
          <w:rFonts w:ascii="Roboto;sans-serif" w:hAnsi="Roboto;sans-serif"/>
          <w:b w:val="false"/>
          <w:color w:val="000000"/>
          <w:sz w:val="20"/>
        </w:rPr>
        <w: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f1318ee9ee24960a22a8148d35dc3c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288" w:before="120" w:after="283"/>
        <w:ind w:left="0" w:right="0" w:firstLine="36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Act of 1934, the registrant has duly caused this report to be signed on its behalf by the undersigned thereunto duly authorized.</w:t>
      </w:r>
    </w:p>
    <w:tbl>
      <w:tblPr>
        <w:tblW w:w="7017"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300"/>
        <w:gridCol w:w="1300"/>
        <w:gridCol w:w="1839"/>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4, 2023</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 xml:space="preserve">/s/      Christian O. Henry </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Christian O. Henry</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President and Chief Executive Officer</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4, 2023</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/s/      Susan G. Kim</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Susan G. Kim</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Chief Financial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Financial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4, 2023</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/s/      Michele Farmer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Michele Farmer</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Vice President and Chief Accounting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Accounting Officer)</w:t>
            </w:r>
          </w:p>
        </w:tc>
      </w:tr>
    </w:tbl>
    <w:p>
      <w:pPr>
        <w:pStyle w:val="TextBody"/>
        <w:bidi w:val="0"/>
        <w:spacing w:before="0" w:after="0"/>
        <w:jc w:val="center"/>
        <w:rPr/>
      </w:pPr>
      <w:bookmarkStart w:id="4" w:name="pacb-ex41x2021indenture.htm"/>
      <w:bookmarkStart w:id="5" w:name="kspacbex41x2021indenture"/>
      <w:bookmarkEnd w:id="4"/>
      <w:bookmarkEnd w:id="5"/>
      <w:r>
        <w:rPr/>
        <w:drawing>
          <wp:inline distT="0" distB="0" distL="0" distR="0">
            <wp:extent cx="10048875" cy="52006500"/>
            <wp:effectExtent l="0" t="0" r="0" b="0"/>
            <wp:docPr id="7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jc w:val="center"/>
        <w:rPr>
          <w:color w:val="FFFFFF"/>
          <w:sz w:val="2"/>
        </w:rPr>
      </w:pPr>
      <w:r>
        <w:rPr>
          <w:color w:val="FFFFFF"/>
          <w:sz w:val="2"/>
        </w:rPr>
        <w:t xml:space="preserve">Exhibit 4.1 PACIFIC BIOSCIENCES OF CALIFORNIA, INC. AND U.S. BANK NATIONAL ASSOCIATION, as Trustee INDENTURE Dated as of February 16, 2021 1.50% Convertible Senior Notes due 2028 i TABLE OF CONTENTS PAGE ARTICLE 1 DEFINITIONS  Section 1.01. Definitions ................................................................................................................ 1  Section 1.02. References to Interest ............................................................................................. 13  ARTICLE 2 ISSUE, DESCRIPTION, EXECUTION, REGISTRATION AND EXCHANGE OF NOTES  Section 2.01. Designation and Amount ....................................................................................... 13  Section 2.02. Form of Notes ........................................................................................................ 13  Section 2.03. Date and Denomination of Notes; Payments of Interest and Defaulted Amounts ................................................................................................................. 14  Section 2.04. Execution, Authentication and Delivery of Notes .................................................. 16  Section 2.05. Exchange and Registration of Transfer of Notes; Restrictions on Transfer; Depositary .............................................................................................................. 16  Section 2.06. Mutilated, Destroyed, Lost or Stolen Notes ........................................................... 22  Section 2.07. Temporary Notes .................................................................................................... 23  Section 2.08. Cancellation of Notes Paid, Converted, Etc .......................................................... 24  Section 2.09. CUSIP Numbers ..................................................................................................... 24  Section 2.10. Additional Notes; Repurchases .............................................................................. 24  ARTICLE 3 SATISFACTION AND DISCHARGE  Section 3.01. Satisfaction and Discharge .................................................................................... 25  ARTICLE 4 PARTICULAR COVENANTS OF THE COMPANY  Section 4.01. Payment of Principal and Interest ......................................................................... 25  Section 4.02. Maintenance of Office or Agency .......................................................................... 26  Section 4.03. Appointments to Fill Vacancies in Trustee’s Office .............................................. 26  Section 4.04. Provisions as to Paying Agent ............................................................................... 26  Section 4.05. Existence ................................................................................................................ 28  Section 4.06. Rule 144A Information Requirement and Annual Reports .................................... 28  Section 4.07. Stay, Extension and Usury Laws ............................................................................ 28  Section 4.08. Compliance Certificate; Statements as to Defaults ............................................... 29  Section 4.09. Further Instruments and Acts ................................................................................ 29  ii ARTICLE 5 LISTS OF HOLDERS AND REPORTS BY THE COMPANY AND THE TRUSTEE  Section 5.01. Lists of Holders ...................................................................................................... 29  Section 5.02. Preservation and Disclosure of Lists ..................................................................... 29  ARTICLE 6 DEFAULTS AND REMEDIES  Section 6.01. Events of Default .................................................................................................... 30  Section 6.02. Acceleration; Rescission and Annulment ............................................................... 31  Section 6.03. Additional Interest ................................................................................................. 32  Section 6.04. Payments of Notes on Default; Suit Therefor ........................................................ 32  Section 6.05. Application of Monies Collected by Trustee .......................................................... 34  Section 6.06. Proceedings by Holders ......................................................................................... 35  Section 6.07. Proceedings by Trustee .......................................................................................... 36  Section 6.08. Remedies Cumulative and Continuing ................................................................... 36  Section 6.09. Direction of Proceedings and Waiver of Defaults by Majority of Holders ........... 36  Section 6.10. Notice of Defaults .................................................................................................. 37  Section 6.11. Undertaking to Pay Costs ...................................................................................... 37  ARTICLE 7 CONCERNING THE TRUSTEE  Section 7.01. Duties and Responsibilities of Trustee ................................................................... 38  Section 7.02. Reliance on Documents, Opinions, Etc .................................................................. 39  Section 7.03. No Responsibility for Recitals, Etc ........................................................................ 41  Section 7.04. Trustee, Paying Agents, Conversion Agents, Bid Solicitation Agent or Note Registrar May Own Notes ...................................................................................... 41  Section 7.05. Monies and Shares of Common Stock to Be Held in Trust .................................... 41  Section 7.06. Compensation and Expenses of Trustee ................................................................ 42  Section 7.07. Officer’s Certificate as Evidence ........................................................................... 43  Section 7.08. Eligibility of Trustee .............................................................................................. 43  Section 7.09. Resignation or Removal of Trustee ........................................................................ 43  Section 7.10. Acceptance by Successor Trustee .......................................................................... 44  Section 7.11. Succession by Merger, Etc ..................................................................................... 45  Section 7.12. Trustee’s Application for Instructions from the Company .................................... 45  ARTICLE 8 CONCERNING THE HOLDERS  Section 8.01. Action by Holders .................................................................................................. 45  Section 8.02. Proof of Execution by Holders ............................................................................... 46  Section 8.03. Who Are Deemed Absolute Owners ....................................................................... 46  Section 8.04. Company-Owned Notes Disregarded .................................................................... 46  Section 8.05. Revocation of Consents; Future Holders Bound ................................................... 47  iii ARTICLE 9 HOLDERS’ MEETINGS  Section 9.01. Purpose of Meetings .............................................................................................. 47  Section 9.02. Call of Meetings by Trustee ................................................................................... 48  Section 9.03. Call of Meetings by Company or Holders ............................................................. 48  Section 9.04. Qualifications for Voting ....................................................................................... 48  Section 9.05. Regulations ............................................................................................................ 48  Section 9.06. Voting ..................................................................................................................... 49  Section 9.07. No Delay of Rights by Meeting .............................................................................. 49  ARTICLE 10 SUPPLEMENTAL INDENTURES  Section 10.01. Supplemental Indentures Without Consent of Holders ........................................ 50  Section 10.02. Supplemental Indentures with Consent of Holders .............................................. 51  Section 10.03. Effect of Supplemental Indentures ....................................................................... 52  Section 10.04. Notation on Notes ................................................................................................ 52  Section 10.05. Evidence of Compliance of Supplemental Indenture to Be Furnished Trustee ... 52  ARTICLE 11 CONSOLIDATION, MERGER, SALE, CONVEYANCE AND LEASE  Section 11.01. Company May Consolidate, Etc. on Certain Terms ............................................ 53  Section 11.02. Successor Corporation to Be Substituted ............................................................ 53  ARTICLE 12 IMMUNITY OF INCORPORATORS, STOCKHOLDERS, OFFICERS AND DIRECTORS  Section 12.01. Indenture and Notes Solely Corporate Obligations............................................. 54  ARTICLE 13 INTENTIONALLY OMITTED  ARTICLE 14 CONVERSION OF NOTES  Section 14.01. Conversion Privilege ........................................................................................... 54  Section 14.02. Conversion Procedure; Settlement Upon Conversion. ........................................ 55  Section 14.03. Adjustment of Conversion Rate ............................................................................ 60  Section 14.04. Adjustments of Prices ............................................................................................ 69  Section 14.05. Shares to Be Fully Paid ....................................................................................... 69  Section 14.06. Effect of Recapitalizations, Reclassifications and Changes of the Common Stock. ...................................................................................................................... 69  Section 14.07. Certain Covenants ............................................................................................... 71  Section 14.08. Responsibility of Trustee ......................................................................................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Section 14.09. Notice to Holders Prior to Certain Actions ......................................................... 72  Section 14.10. Stockholder Rights Plans ..................................................................................... 73  Section 14.11. Exchange In Lieu Of Conversion ......................................................................... 73  ARTICLE 15 REPURCHASE OF NOTES AT OPTION OF HOLDERS  Section 15.01. Intentionally Omitted. .......................................................................................... 74  Section 15.02. Repurchase at Option of Holders Upon a Fundamental Change ........................ 74  Section 15.03. Withdrawal of Fundamental Change Repurchase Notice ................................... 77  Section 15.04. Deposit of Fundamental Change Repurchase Price ............................................ 77  Section 15.05. Covenant to Comply with Applicable Laws Upon Repurchase of Notes ............. 78  ARTICLE 16 OPTIONAL REDEMPTION  Section 16.01. Optional Redemption ........................................................................................... 78  Section 16.02. Notice of Optional Redemption; Selection of Notes ............................................ 79  Section 16.03. Payment of Notes Called for Redemption ............................................................ 80  Section 16.04. Restrictions on Redemption ................................................................................. 81  ARTICLE 17 MISCELLANEOUS PROVISIONS  Section 17.01. Provisions Binding on Company’s Successors .................................................... 81  Section 17.02. Official Acts by Successor Corporation ............................................................... 81  Section 17.03. Addresses for Notices, Etc ................................................................................... 81  Section 17.04. Governing Law; Jurisdiction ............................................................................... 82  Section 17.05. Evidence of Compliance with Conditions Precedent; Certificates and Opinions of Counsel to Trustee ............................................................................. 82  Section 17.06. Legal Holidays ..................................................................................................... 83  Section 17.07. No Security Interest Created ................................................................................ 83  Section 17.08. Benefits of Indenture ............................................................................................ 83  Section 17.09. Table of Contents, Headings, Etc ........................................................................ 83  Section 17.10. Authenticating Agent ............................................................................................ 84  Section 17.11. Execution in Counterparts ................................................................................... 85  Section 17.12. Severability .......................................................................................................... 85  Section 17.13. Waiver of Jury Trial ............................................................................................. 85  Section 17.14. Force Majeure ..................................................................................................... 85  Section 17.15. Calculations ......................................................................................................... 85  Section 17.16. U.S.A. Patriot Act................................................................................................. 86  v EXHIBIT Exhibit A Form of Note A-1 INDENTURE, dated as of February 16, 2021, between PACIFIC BIOSCIENCES OF CALIFORNIA, INC., a Delaware corporation, as issuer (the “Company”, as more fully set forth in Section 1.01) and U.S. BANK NATIONAL ASSOCIATION, a national banking association, as trustee (the “Trustee”, as more fully set forth in Section 1.01). W I T N E S S E T H: WHEREAS, for its lawful corporate purposes, the Company has duly authorized the issuance of its 1.50% Convertible Senior Notes due 2028 (the “Notes”), initially in an aggregate principal amount not to exceed $900,000,000, and in order to provide the terms and conditions upon which the Notes are to be authenticated, issued and delivered, the Company has duly authorized the execution and delivery of this Indenture; and 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 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 NOW, THEREFORE, THIS INDENTURE WITNESSETH: 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 ARTICLE 1 DEFINITIONS Section 1.01. Definitions.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 “Additional Interest” means all amounts, if any, payable pursuant to Section 6.03. 2 “Affiliate”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 “Board of Directors” means the board of directors of the Company or a committee of such board duly authorized to act for it hereunder. “Board Resolution” means a copy of a resolution certified by the Secretary or an Assistant Secretary of the Company to have been duly adopted by the Board of Directors, and to be in full force and effect on the date of such certification, and delivered to the Trustee. “Business Day” means, with respect to any Note, any day other than a Saturday, a Sunday or a day on which the Federal Reserve Bank of New York is authorized or required by law or executive order to close or be closed. “Capital Stock”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 “Cash Settlement” shall have the meaning specified in Section 14.02(a). “Clause A Distribution” shall have the meaning specified in Section 14.03(c). “Clause B Distribution” shall have the meaning specified in Section 14.03(c). “Clause C Distribution” shall have the meaning specified in Section 14.03(c). “close of business” means 5:00 p.m. (New York City time). “Combination Settlement” shall have the meaning specified in Section 14.02(a). “Commission” means the U.S. Securities and Exchange Commission. “Common Equity”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“Common Stock” means the common stock of the Company, par value $0.001 per share, at the date of this Indenture, subject to Section 14.06.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“Company” shall have the meaning specified in the first paragraph of this Indenture, and subject to the provisions of Article 11, shall include its successors and assigns. “Company Order” means a written order of the Company, signed by any of its Officers, and delivered to the Trustee. “Conversion Agent” shall have the meaning specified in Section 4.02. “Conversion Consideration” shall have the meaning specified in Section 14.11(a). “Conversion Date” shall have the meaning specified in Section 14.02(c). “Conversion Obligation” shall have the meaning specified in Section 14.01. “Conversion Price” means as of any time, $1,000, divided by the Conversion Rate as of such time. “Conversion Rate” shall have the meaning specified in Section 14.01. “Corporate Trust Office” means the designated office of the Trustee at which at any time this Indenture shall be administered, which office at the date hereof is located at 1 California Street, Suite 1000, San Francisco, CA 94111, Attention: D. Jason (Pacific Biosciences of California, Inc. 1.50% Convertible Senior Notes due 2028),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“Custodian” means the Trustee, as custodian for The Depository Trust Company, with respect to the Global Notes, or any successor entity thereto. “Daily Conversion Value” means, for each of the 30 consecutive Trading Days during the relevant Observation Period, 1/30th of the product of (a) the Conversion Rate on such Trading Day and (b) the Daily VWAP on such Trading Day. “Daily Measurement Value” means the Specified Dollar Amount (if any), divided by 30. “Daily Settlement Amount,” for each of the 30 consecutive Trading Days during the relevant Observation Period, shall consist of: (a) cash in an amount equal to the lesser of (i) the Daily Measurement Value and (ii) the Daily Conversion Value on such Trading Day; and (b) if the Daily Conversion Value on such Trading Day exceeds the Daily Measurement Value, a number of shares of Common Stock equal to (i) the difference between the Daily Conversion Value and the Daily Measurement Value, divided by (ii) the Daily VWAP for such Trading Day. 4 “Daily VWAP” means the per share volume-weighted average price as displayed under the heading “Bloomberg VWAP” on Bloomberg page “PACB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“Daily VWAP” shall be determined without regard to after- hours trading or any other trading outside of the regular trading session trading hours. “Default” means any event that is, or after notice or passage of time, or both, would be, an Event of Default. “Defaulted Amounts” means any amounts on any Note (including, without limitation, the Redemption Price, the Fundamental Change Repurchase Price, principal and interest) that are payable but are not punctually paid or duly provided for. “delivered” with respect to any notice to be delivered, given or mailed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each case in accordance with Section 17.03. Notice so “delivered” shall be deemed to include any notice to be “mailed” or “given,” as applicable, under this Indenture. “Depositary”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 “Designated Institution” shall have the meaning specified in Section 14.11(a). “Distributed Property” shall have the meaning specified in Section 14.03(c). “Effective Date” means the first date on which shares of the Common Stock trade on the applicable exchange or in the applicable market, regular way, reflecting the relevant share split or share combination, as applicable (provided that, for the avoidance of doubt, any alternative trading convention on the applicable exchange or market in respect of shares of the Common Stock under a separate ticker symbol or CUSIP number will not be considered “regular way” for purposes of this definition). “Event of Default” shall have the meaning specified in Section 6.01. “Ex-Dividend Date” means the first date on which shares of the Common Stock trade on the applicable exchange or in the applicable market, regular way, without the right to receive the issuance, dividend or distribution in question, from the Company or, if applicable, from the seller 5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will not be considered “regular way” for this purpose. “Exchange Act” means the Securities Exchange Act of 1934, as amended, and the rules and regulations promulgated thereunder. “Exchange Election” shall have the meaning specified in Section 14.11(a). “Form of Assignment and Transfer” shall mean the “Form of Assignment and Transfer” attached as Attachment 3 to the Form of Note attached hereto as Exhibit A. “Form of Fundamental Change Repurchase Notice” shall mean the “Form of Fundamental Change Repurchase Notice” attached as Attachment 2 to the Form of Note attached hereto as Exhibit A. “Form of Note” shall mean the “Form of Note” attached hereto as Exhibit A. “Form of Notice of Conversion” shall mean the “Form of Notice of Conversion” attached as Attachment 1 to the Form of Note attached hereto as Exhibit A. “Fundamental Change” shall be deemed to have occurred at the time after the Notes are originally issued if any of the following occurs prior to the Maturity Date: (a) a “person” or “group” within the meaning of Section 13(d) of the Exchange Act, other than the Company, its Wholly-Owned Subsidiaries and the employee benefit plans of the Company and its Wholly-Owned Subsidiaries, files a Schedule TO (or any successor schedule, form or report) or any schedule, form or report under the Exchange Act disclosing that such person or group has become the direct or indirect “beneficial owner,” as defined in Rule 13d-3 under the Exchange Act, of Common Stock representing more than 50% of the voting power of the Common Stock; provided that no person or group shall be deemed to be the beneficial owner of any securities tendered pursuant to a tender or exchange offer made by or on behalf of such “person” or “group” until such tendered securities are accepted for purchase or exchange under such offer; (b) the consummation of (A) any recapitalization, reclassification or change of the Common Stock (other than changes resulting from a subdivision , a combination or a change in par value) as a result of which the Common Stock would be converted into, or exchanged for, stock, other securities, other property or assets; (B) any share exchange, consolidation or merger of the Company pursuant to which all of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Wholly-Owned Subsidiaries; provided, however, that a transaction described in clause (A) or (B) in which the holders of all 6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 (c) the stockholders of the Company approve any plan or proposal for the liquidation or dissolution of the Company; or (d) the Common Stock (or other Common Equity underlying the Notes) ceases to be listed or quoted on any of The New York Stock Exchange, The Nasdaq Global Select Market or The Nasdaq Global Market (or any of their respective successors); provided, however, that a transaction or transactions described in clauses (a) or (b) above shall not constitute a Fundamental Change if at least 90% of the 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or other Common Equity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such consideration becomes Reference Property for the Notes, excluding cash payments for fractional shares and cash payments made in respect of dissenters’ appraisal rights (subject to the provisions of Section 14.06). If any Merger Event in which the Common Stock is replaced by the common stock of another entity occurs, following the effective date of such Merger Event, references to the Company in this definition shall instead be references to such other entity. For purposes of this definition of “Fundamental Change,” any transaction or series of transactions that constitutes a Fundamental Change pursuant to both clause (a) and clause (b) of this definition (without giving effect to the proviso in clause (b)) shall be deemed a Fundamental Change solely under clause (b) of this definition (subject to the proviso in clause (b)). “Fundamental Change Company Notice” shall have the meaning specified in Section 15.02(c). “Fundamental Change Repurchase Date” shall have the meaning specified in Section 15.02(a). “Fundamental Change Repurchase Notice” shall have the meaning specified in Section 15.02(b)(i). “Fundamental Change Repurchase Price” shall have the meaning specified in Section 15.02(a).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“Global Note” shall have the meaning specified in Section 2.05(b). “Holder,” as applied to any Note, or other similar terms (but excluding the term “beneficial holder”), shall mean any Person in whose name at the time a particular Note is registered on the Note Register. “Indenture” means this instrument as originally executed or, if amended or supplemented as herein provided, as so amended or supplemented. “Interest Payment Date” means each February 15 and August 15 of each year, beginning on August 15, 2021. “Investment Agreement” means the Investment Agreement, dated as of February 9, 2021, by and between the Company and SB Northstar LP. “Last Date of Original Issuance” means (a) with respect to any Notes issued pursuant to the Investment Agreement and any Notes issued in exchange therefor or in substitution thereof, the initial issuance date of the Notes; and (b) with respect to any additional Notes issued as described under Section 2.10 and any Notes issued in exchange therefor or in substitution thereof, either (i) the date such Notes are originally issued; or (ii) such other date as is specified in an Officer’s Certificate delivered to the Trustee before the original issuance of such Notes. “Last Reported Sale Price”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for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regular trading session hours. “Market Disruption Event”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 8 “Maturity Date” means February 15, 2028. “Merger Event” shall have the meaning specified in Section 14.06(a). “Note” or “Notes” shall have the meaning specified in the first paragraph of the recitals of this Indenture. “Note Register” shall have the meaning specified in Section 2.05(a). “Note Registrar” shall have the meaning specified in Section 2.05(a). “Notice of Conversion” shall have the meaning specified in Section 14.02(b). “Observation Period” with respect to any Note surrendered for conversion means: (i) subject to clause (ii), if the relevant Conversion Date occurs prior to November 15, 2027, the 30 consecutive Trading Day period beginning on, and including, the second Trading Day immediately succeeding such Conversion Date; (ii) if the relevant Conversion Date occurs on or after the date of the Company’s issuance of a Redemption Notice with respect to the Notes pursuant to Section 16.02 and prior to the relevant Redemption Date (as such Redemption Date may be extended), the 30 consecutive Trading Days beginning on, and including, the 31st Scheduled Trading Day immediately preceding such Redemption Date; and (iii) subject to clause (ii), if the relevant Conversion Date occurs on or after November 15, 2027, the 30 consecutive Trading Days beginning on, and including, the 31st Scheduled Trading Day immediately preceding the Maturity Date. “Officer” means, with respect to the Company, the Chief Executive Officer, the Chief Financial Officer, the Chief Accounting Officer, General Counsel, the Treasurer, the Secretary, or any President or Vice President (whether or not designated by a number or numbers or word or words added before or after the title “President” or “Vice President”). “Officer’s Certificate,” when used with respect to the Company, means a certificate that is delivered to the Trustee and that is signed by an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 “open of business” means 9:00 a.m. (New York City time). “Opinion of Counsel” means an opinion in writing signed by legal counsel, who may be an employee of or counsel to the Company, or other counsel who is reasonably acceptable to the Trustee, that is delivered to the Trustee, which opinion may contain customary exceptions and qualifications as to the matters set forth therein. Each such opinion shall include the statements provided for in Section 17.05 if and to the extent required by the provisions of such Section 17.05. “Optional Redemption” shall have the meaning specified in Section 16.01. 9 “outstanding,” when used with reference to Notes, shall, subject to the provisions of Section 8.04, mean, as of any particular time, all Notes authenticated and delivered by the Trustee under this Indenture, except: (a) Notes theretofore canceled by the Trustee or accepted by the Trustee for cancellation; (b)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 (c) 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 (d) Notes converted pursuant to Article 14 and required to be cancelled pursuant to Section 2.08; and (e) Notes redeemed pursuant to Article 16. “Paying Agent” shall have the meaning specified in Section 4.02. “Person” means an individual, a corporation, a limited liability company, an association, a partnership, a joint venture, a joint stock company, a trust, an unincorporated organization or a government or an agency or a political subdivision thereof. “Physical Notes” means permanent certificated Notes in registered form issued in denominations of $1,000 principal amount and integral multiples thereof. “Physical Settlement” shall have the meaning specified in Section 14.02(a). “Predecessor Note”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 “Record Date”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 10 “Redemption Date” shall have the meaning specified in Section 16.02(a). “Redemption Notice” shall have the meaning specified in Section 16.02(a). “Redemption Notice Date” means the date on which a Redemption Notice is delivered pursuant to Section 16.02. “Redemption Period” means the period from, and including, the relevant Redemption Notice Date until the close of business on the second Scheduled Trading Day immediately preceding the related Redemption Date (or, if the Company defaults in the payment of the Redemption Price, until the close of business on the Trading Day immediately preceding the date on which the Redemption Price has been paid or duly provided for). “Redemption Price” means, for any Notes to be redeemed pursuant to Section 16.01, 100% of the principal amount of such Notes, plus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and the Redemption Price will be equal to 100% of the principal amount of such Notes). “Reference Property” shall have the meaning specified in Section 14.06(a). “Regular Record Date,” with respect to any Interest Payment Date, shall mean the February 1 or August 1 (whether or not such day is a Business Day) immediately preceding the applicable February 15 and August 15 Interest Payment Date, respectively. “Resale Restriction Termination Date” shall have the meaning specified in Section 2.05(c). “Responsible Officer”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“Restricted Global Note” means a Global Note that is required to bear the legend set forth in Section 2.05(d). “Restricted Securities” shall have the meaning specified in Section 2.05(c). “Rule 144” means Rule 144 as promulgated under the Securities Act. “Rule 144A” means Rule 144A as promulgated under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“Scheduled Trading Day”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 “Securities Act” means the Securities Act of 1933, as amended, and the rules and regulations promulgated thereunder. “Settlement Amount” has the meaning specified in Section 14.02(a)(iv). “Settlement Method” means, with respect to any conversion of Notes, Physical Settlement, Cash Settlement or Combination Settlement, as elected (or deemed to have been elected) by the Company. “Settlement Method Election Deadline” has the meaning specified in Section 14.02(a)(iii). “Settlement Notice” has the meaning specified in Section 14.02(a)(iii). “Significant Subsidiary” means a Subsidiary of the Company that is a “significant subsidiary” as defined in Article 1, Rule 1-02(w) of Regulation S-X under the Exchange Act promulgated by the Commission; provided that, in the case of a Subsidiary of the Company that meets the criteria of clause (3) of the definition thereof but not clause (1) or (2) thereof, in each case as such rule is in effect on the initial issuance date of the Notes, such Subsidiary shall not be deemed to be a Significant Subsidiary unless such Subsidiary’s income from continuing operations before income taxes, exclusive of amounts attributable to any non-controlling interests for the last completed fiscal year prior to the date of such determination exceeds $15,000,000 (with such amount calculated pursuant to Rule 1-02(w) as in effect on the initial issuance date of the Notes).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hereunder irrespective of whether such Subsidiary would otherwise be deemed to be a “Significant Subsidiary” after giving effect to the proviso in the immediately preceding sentence. “Specified Dollar Amount” means the maximum cash amount per $1,000 principal amount of Notes to be received upon conversion as specified in the Settlement Notice related to any converted Notes (or deemed specified pursuant to Section 14.02(a)). “Spin-Off” shall have the meaning specified in Section 14.03(c). “Sponsor Global Notes” means the Global Notes issued and authenticated on the Last Date of Original Issuance with an initial balance of $900,000,000 and identified by the CUSIP and ISIN numbers set forth in Section 2.09. 12 “Sponsor Notes” means any Sponsor Global Notes or any temporary Notes or Physical Notes issued in exchange for beneficial interests in a Sponsor Global Note. “Subsidiary”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“Successor Company” shall have the meaning specified in Section 11.01(a). “Trading Day” means, except for purposes determining amounts due upon conversion as set forth below,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provided that if the Common Stock (or such other security) is not so listed or traded, “Trading Day” means a Business Day; and provided, further, that for purposes of determining amounts due upon conversion only, “Trading Day”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“Trading Day” means a Business Day. “transfer” shall have the meaning specified in Section 2.05(c). “Trigger Event” shall have the meaning specified in Section 14.03(c). “Trust Indenture Act” means the Trust Indenture Act of 1939, as amended. “Trustee”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“unit of Reference Property” shall have the meaning specified in Section 14.06(a). 13 “Unrestricted Global Note” means a Global Note that is not required to bear the legend set forth in Section 2.05(d). “Valuation Period” shall have the meaning specified in Section 14.03(c). “Wholly-Owned Subsidiary” means, with respect to any Person, any direct or indirect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 Section 1.02. References to Interest. Unless the context otherwise requires, any reference to interest on, or in respect of, any Note in this Indenture shall be deemed to include Additional Interest if, in such context, Additional Interest is, was or would be payable pursuant to Section 6.03. Unless the context otherwise requires, any express mention of Additional Interest in any provision hereof shall not be construed as excluding Additional Interest in those provisions hereof where such express mention is not made. ARTICLE 2 ISSUE, DESCRIPTION, EXECUTION, REGISTRATION AND EXCHANGE OF NOTES Section 2.01. Designation and Amount. The Notes shall be designated as the “1.50% Convertible Senior Notes due 2028.” The aggregate principal amount of Notes that may be authenticated and delivered under this Indenture is initially limited to $900,000,000, except for Notes authenticated and delivered upon registration or transfer of, or in exchange for, or in lieu of other Notes to the extent expressly permitted hereunder. Section 2.02. Form of Notes.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 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Any of the Notes may have such letters, numbers or other marks of identification and such notations, legends or endorsements as the Officer executing the same may approve 14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 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 Section 2.03. Date and Denomination of Notes; Payments of Interest and Defaulted Amounts. (a)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 (b) The Person in whose name any Note (or its Predecessor Note) is registered on the Note Register at the close of business on any Regular Record Date with respect to any Interest Payment Date shall be entitled to receive the interest payable on such Interest Payment Date. The Company shall pay (or cause the Paying Agent to pay) the principal amount of any Note (x) in the case of any Physical Note, at the office or agency of the Company designated by the Company for such purposes in the United States of America, which shall initially be the Corporate Trust Office and (y) in the case of any Global Note,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application by such a Holder to the Note Registrar (containing the requisite information for the Trustee or Paying Agent to make such wire transfer) not later than the relevant Regular Record Date, by wire transfer in immediately available funds to that Holder’s account within the United States of America if such Holder has provided the Company, the Trustee or the Paying Agent (if other than the Trustee) with the requisite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 (c) Any Defaulted Amounts shall forthwith cease to be payable to the Holder on the relevant payment date but shall accrue interest per annum at the rate borne by the Notes from, and including, such relevant payment date, and such Defaulted Amounts together with such interest thereon shall be paid by the Company, at its election in each case, as provided in clause (i) or (ii) below: (i)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Amounts. (ii)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16 Section 2.04. Execution, Authentication and Delivery of Notes. The Notes shall be signed in the name and on behalf of the Company by the manual or facsimile or other electronic signature of any of its Chief Executive Officer, President, Chief Financial Officer, Treasurer, Secretary or any of its Executive or Senior Vice Presidents. 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provided that, as set forth in Section 17.05, the Trustee shall be entitled to receive an Officer’s Certificate and an Opinion of Counsel of the Company with respect to the issuance, authentication and delivery of such Notes. 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 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 Section 2.05. Exchange and Registration of Transfer of Notes; Restrictions on Transfer; Depositary. (a) The Company shall cause to be kept at the Corporate Trust Office a register (the register maintained in such office or in any other office or agency of the Company designated pursuant to Section 4.02, the “Note Register”)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“Note Registrar” for the purpose of registering Notes and transfers of Notes as herein provided. The Company may appoint one or more co-Note Registrars in accordance with Section 4.02. Upon surrender for registration of transfer of any Note to the Note Registrar or any co- 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 17 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All Notes presented or surrendered for registration of transfer or for exchange, repurchase or conversion shall (if so required by the Company, the Trustee, the Note Registrar or any co- Note Registrar) be duly endorsed, or be accompanied by a written instrument or instruments of transfer in form satisfactory to the Company and duly executed, by the Holder thereof or its attorney-in-fact duly authorized in writing. 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 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 Notwithstanding the foregoing or anything to the contrary provided herein, a holder of a beneficial interest in a Note that is not a Sponsor Note may not exchange or transfer such beneficial interest for a beneficial interest in a Sponsor Note, but a holder of a beneficial interest in a Sponsor Note may, at any time, exchange or transfer such beneficial interest for a beneficial interest in a Note that is not a Sponsor Note. (b) So long as the Notes are eligible for book-entry settlement with the Depositary, unless otherwise required by law, subject to the fourth paragraph from the end of Section 2.05(c) all Notes shall be represented by one or more Notes in global form (each, a “Global Note”)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18 (c) Every Note that bears or is required under this Section 2.05(c) to bear the legend set forth in this Section 2.05(c) (together with any Common Stock issued upon conversion of the Notes that is required to bear the legend set forth in Section 2.05(d), collectively, the “Restricted Securities”) shall be subject to the restrictions on transfer set forth in this Section 2.05(c) (including those contained in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“transfer” encompasses any sale, pledge, transfer or other disposition whatsoever of any Restricted Security. Until the date (the “Resale Restriction Termination Date”)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 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(1) REPRESENTS THAT IT AND ANY ACCOUNT FOR WHICH IT IS ACTING IS A “QUALIFIED INSTITUTIONAL BUYER” (WITHIN THE MEANING OF RULE 144A UNDER THE SECURITIES ACT) AND THAT IT EXERCISES SOLE INVESTMENT DISCRETION WITH RESPECT TO EACH SUCH ACCOUNT, AND (2) AGREES FOR THE BENEFIT OF PACIFIC BIOSCIENCES OF CALIFORNIA, INC. (THE “COMPANY”) THAT IT WILL NOT OFFER, SELL, PLEDGE OR OTHERWISE TRANSFER THIS SECURITY OR ANY BENEFICIAL INTEREST HEREIN PRIOR TO THE DATE THAT IS THE LATER OF (X) ONE YEAR AFTER THE LAST DATE OF ORIGINAL ISSUANCE HEREOF OR SUCH SHORTER PERIOD OF TIME AS PERMITTED BY RULE 144 UNDER THE SECURITIES ACT OR ANY SUCCESSOR PROVISION THERETO AND (Y) SUCH LATER DATE, IF ANY, AS MAY BE REQUIRED BY APPLICABLE LAW, EXCEPT: (A) TO THE COMPANY OR ANY SUBSIDIARY THEREOF,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 PURSUANT TO A REGISTRATION STATEMENT WHICH HAS BECOME EFFECTIVE UNDER THE SECURITIES ACT, OR (C) TO A QUALIFIED INSTITUTIONAL BUYER IN COMPLIANCE WITH RULE 144A UNDER THE SECURITIES ACT, OR (D) PURSUANT TO AN EXEMPTION FROM REGISTRATION PROVIDED BY RULE 144 UNDER THE SECURITIES ACT OR ANY OTHER AVAILABLE EXEMPTION FROM THE REGISTRATION REQUIREMENTS OF THE SECURITIES ACT. 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No transfer of any Note prior to the Resale Restriction Termination Date will be registered by the Note Registrar unless the applicable box on the Form of Assignment and Transfer has been checked. 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upon the occurrence of the Resale Restriction Termination Date and promptly after a registration statement, if any, with respect to the Notes or any Common Stock issued upon conversion of the Notes has been declared effective under the Securities Act. Any exchange pursuant to the foregoing paragraph shall be in accordance with the applicable procedures of the Depositary. Notwithstanding any other provisions of this Indenture (other than the provisions set forth in this Section 2.05(c)), a Global Note may not be transferred as a whole or in part except (i) by the Depositary to a nominee of the Depositary or by a nominee of the Depositary to the 20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applicable procedures of the Depositary and in compliance with this Section 2.05(c). 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 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 Opinion of Counsel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 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 At such time as all interests in a Global Note have been converted, canceled, redeemed, repurchased upon a Fundamental Change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redeemed, repurchased upon a Fundamental Change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 21 None of the Company, the Trustee (including in its capacity as Paying Agent)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beneficial ownership interests of a Global Note or maintaining, supervising or reviewing any records relating to such beneficial ownership interests. Neither the Company nor the Trustee shall have any responsibility or liability for any act or omission of the Depositary. All notices and communications to be given to the Holders and all payments to be made to Holders in respect of the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any beneficial owners. (d) Until the Resale Restriction Termination Date, any stock certificate representing Common Stock issued upon conversion of such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 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PACIFIC BIOSCIENCES OF CALIFORNIA, INC. (THE “COMPANY”) THAT IT WILL NOT OFFER, SELL, PLEDGE OR OTHERWISE TRANSFER THIS SECURITY OR ANY BENEFICIAL INTEREST HEREIN PRIOR TO THE DATE THAT IS THE LATER OF (X) ONE YEAR AFTER THE LAST DATE OF ORIGINAL ISSUE OF THE SERIES OF NOTES UPON THE CONVERSION OF WHICH THIS SECURITY WAS ISSUED OR SUCH SHORTER PERIOD OF TIME AS PERMITTED BY RULE 144 UNDER THE SECURITIES ACT OR ANY SUCCESSOR PROVISION THERETO AND (Y) SUCH LATER DATE, IF ANY, AS MAY BE REQUIRED BY APPLICABLE LAW, EXCEPT: 22 (A) TO THE COMPANY OR ANY SUBSIDIARY THEREOF, OR (B) PURSUANT TO A REGISTRATION STATEMENT WHICH HAS BECOME EFFECTIVE UNDER THE SECURITIES ACT, OR (C) PURSUANT TO AN EXEMPTION FROM REGISTRATION PROVIDED BY RULE 144 UNDER THE SECURITIES ACT OR ANY OTHER AVAILABLE EXEMPTION FROM THE REGISTRATION REQUIREMENTS OF THE SECURITIES ACT. PRIOR TO THE REGISTRATION OF ANY TRANSFER IN ACCORDANCE WITH CLAUSE (1)(C)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 (e)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(f) Neither the Trustee nor any agent shall have any responsibility or liability for any actions taken or not taken by the Depositary, and may assume performance absent written notice to the contrary. Section 2.06. Mutilated, Destroyed, Lost or Stolen Notes.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9"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 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 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redemption or repurchase of mutilated, destroyed, lost or stolen Notes and shall preclude any and all other rights or remedies notwithstanding any law or statute existing or hereafter enacted to the contrary with respect to the replacement, payment, conversion, redemption or repurchase of negotiable instruments or other securities without their surrender. Section 2.07. Temporary Notes. 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24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 Section 2.08. Cancellation of Notes Paid, Converted, Etc.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Subsidiaries or Affiliates, in each case, that the Company controls, to be surrendered to the Trustee for cancellation. All Notes delivered to the Trustee shall be canceled promptly by it, in accordance with its customary procedures. Except for Notes surrendered for registration of transfer or exchange, no Notes shall be authenticated in exchange therefor except as expressly permitted by any of the provisions of this Indenture. The Trustee shall dispose of canceled Notes in accordance with its customary procedures and, after such disposition, shall deliver a certificate of such cancellation to the Company upon the Company’s written request. Section 2.09. CUSIP Numbers. The Company in issuing the Notes may use “CUSIP” numbers (if then generally in use), and, if so, the Trustee shall use “CUSIP” numbers in all notices issued to Holders as a convenience to such Holders; provided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On the Last Date of Original Issuance, the Notes shall initially bear the CUSIP and ISIN numbers set forth in the following sentence. The CUSIP and ISIN numbers for the Sponsor Global Notes that are Restricted Global Notes shall be 69404D AA6 and US69404DAA63, respectively; the CUSIP and ISIN numbers for the Sponsor Global Notes that are Unrestricted Global Notes shall be 69404D AB4 and US69404DAB47, respectively; the CUSIP and ISIN numbers for Restricted Global Notes other than Sponsor Global Notes shall be 69404D AC2 and US69404DAC20, respectively; and the CUSIP and ISIN numbers for Unrestricted Global Notes other than Sponsor Global Notes shall be 69404D AD0 and US69404DAD03, respectively. Section 2.10. Additional Notes; Repurchases. The Company may, without the consent of, or notice to, the Holders and notwithstanding Section 2.01, reopen this Indenture and issue additional Notes hereunder. The Company may, to the extent permitted by law, and, without the consent of Holders, directly or indirectly (regardless of whether such Notes are surrendered to 25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The Company may, at its option and to the extent permitted by applicable law, reissue, resell or surrender to the Trustee for cancellation in accordance with Section 2.08 any Notes that the Company may repurchase, in the case of a reissuance or resale, so long as such Notes do not constitute restricted securities upon such reissuance or resale. Any Notes that the Company may (or is required under this Indenture to) repurchase will be considered “outstanding” for all purposes under this Indenture (other than, at any time when such Notes are held by the Company, any of its Subsidiaries or Affiliates or any Subsidiary of any of the Company’s Affiliates, as set forth in Section 8.04) unless and until such time the Company surrenders them to the Trustee for cancellation and, upon receipt of a written order from the Company, the Trustee will cancel all Notes so surrendered. ARTICLE 3 SATISFACTION AND DISCHARGE Section 3.01. Satisfaction and Discharge.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or cash, shares of Common Stock or a combination thereof, as applicable,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instruments reasonably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to the Trustee under Section 7.06 shall survive. ARTICLE 4 PARTICULAR COVENANTS OF THE COMPANY Section 4.01. Payment of Principal and Interest.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 26 Any applicable withholding taxes (including backup withholding) may be withheld from payments of interest and payments upon conversion, repurchase or maturity of the Notes (or, in some circumstances from any payments of Common Stock) or sales proceeds received by or other funds or assets of the Holder or beneficial owner. Section 4.02. Maintenance of Office or Agency. The Company will maintain in the United States of America an office or agency where the Notes may be surrendered for registration of transfer or exchange or for presentation for payment or repurchase (“Paying Agent”) or for conversion (“Conversion Agent”)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in the United States of America as a place where Notes may be presented for payment or for registration of transfer. 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“Paying Agent” and “Conversion Agent” include any such additional or other offices or agencies, as applicable. The Company hereby initially designates the Trustee as the Paying Agent, Note Registrar, Custodian and Conversion Agent and the Corporate Trust Office as the office or agency in the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on the Company. Section 4.03. Appointments to Fill Vacancies in Trustee’s Office. The Company, whenever necessary to avoid or fill a vacancy in the office of Trustee, will appoint, in the manner provided in Section 7.09, a Trustee, so that there shall at all times be a Trustee hereunder. Section 4.04. Provisions as to Paying Agent. (a) If the Company shall appoint a Paying Agent other than the Trustee, the Company will cause such Paying Agent to execute and deliver to the Trustee an instrument in which such agent shall agree with the Trustee, subject to the provisions of this Section 4.04: (i) that it will hold all sums held by it as such agent for the payment of the principal (including the Redemption Price and the Fundamental Change Repurchase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0"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Price, if applicable) of, and accrued and unpaid interest on, the Notes in trust for the benefit of the Holders of the Notes; (ii) 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 (iii) that at any time during the continuance of an Event of Default, upon request of the Trustee, it will forthwith pay to the Trustee all sums so held in trust. 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provided that if such deposit is made on the due date, such deposit must be received by the Paying Agent by 11:00 a.m., New York City time, on such date. (b) 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 (c)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Section 6.01(h) or Section 6.01(i), the Trustee shall automatically become the Paying Agent. (d) Subject to applicable escheatment laws, any money or property deposited with the Trustee, the Conversion Agent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28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funds or property; and the Holder of such Note shall thereafter, as an unsecured general creditor, look only to the Company for payment thereof, and all liability of the Trustee, the Conversion Agent or such Paying Agent with respect to such trust money, and all liability of the Company as trustee with respect to such trust money and shares of Common Stock, and all liability of the Company as trustee thereof, shall thereupon cease. Section 4.05. Existence. Subject to Article 11, the Company shall do or cause to be done all things necessary to preserve and keep in full force and effect its corporate existence. Section 4.06. Rule 144A Information Requirement and Annual Reports.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will, upon written request, provide to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 (b) The Company shall file with the Trustee, within 15 days after the same are required to be filed with the Commission (giving effect to any grace period provided by Rule 12b-25 (or any successor rule) under the Exchange Act), copies of any annual or quarterly reports (on Form 10-K or Form 10-Q or any respective successive form)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thereto) shall be deemed to be filed with the Trustee for purposes of this Section 4.06(b) at the time such documents are filed via the EDGAR system (or any successor thereto), it being understood that the Trustee shall not be responsible for determining whether such filings have been made. (c) Delivery of the reports and documents described in subsection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 Section 4.07. Stay, Extension and Usury Laws.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29 law, and covenants that it will not, by resort to any such law, hinder, delay or impede the execution of any power herein granted to the Trustee, but will suffer and permit the execution of every such power as though no such law had been enacted. Section 4.08. Compliance Certificate; Statements as to Defaults. The Company shall deliver to the Trustee within 120 days after the end of each fiscal year of the Company (beginning with the fiscal year ending on December 31, 2021) an Officer’s Certificate stating whether the signers thereof have knowledge of any Default under the Indenture that occurred during such fiscal year and, if so, specifying each such Default and the nature thereof. In addition, the Company shall deliver to the Trustee, within 30 days after obtaining knowledge of the occurrence of any Event of Default or Default, an Officer’s Certificate setting forth the details of such Event of Default or Default, its status and the action that the Company is taking or proposing to take in respect thereof; provided that the Company is not required to deliver such notice if such Event of Default or Default has been cured. Section 4.09. Further Instruments and Acts. Upon request of the Trustee, the Company will execute and deliver such further instruments and do such further acts as may be reasonably necessary or proper to carry out more effectively the purposes of this Indenture. ARTICLE 5 LISTS OF HOLDERS AND REPORTS BY THE COMPANY AND THE TRUSTEE Section 5.01. Lists of Holders. The Company covenants and agrees that it will furnish or cause to be furnished to the Trustee, semi-annually, not more than 15 days after each February 1 and August 1 in each year beginning with August 1, 2021,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 Section 5.02. Preservation and Disclosure of Lists.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 30 ARTICLE 6 DEFAULTS AND REMEDIES Section 6.01. Events of Default. Each of the following events shall be an “Event of Default” with respect to the Notes: (a) default in any payment of interest on any Note when due and payable, and the default continues for a period of 30 days; (b) default in the payment of principal of any Note when due and payable on the Maturity Date, upon Optional Redemption, upon any required repurchase, upon declaration of acceleration or otherwise; (c) failure by the Company to comply with its obligation to convert the Notes in accordance with this Indenture upon exercise of a Holder’s conversion right, and such failure continues for three (3) Business Days; (d) failure by the Company to issue a Fundamental Change Company Notice in accordance with Section 15.02(c) when due, and such failure continues for three (3) Business Days; (e) failure by the Company to comply with its obligations under Article 11; (f) failure by the Company for 60 days after written notice from the Trustee or the Holders of at least 25% in aggregate principal amount of the Notes then outstanding has been received by the Company to comply with any of its other agreements contained in the Notes or this Indenture; (g) default by the Company or any Significant Subsidiary of the Company with respect to any mortgage, agreement or other instrument under which there may be outstanding, or by which there may be secured or evidenced, any indebtedness for money borrowed in excess of $50,000,000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 of clauses (i) and (ii), such acceleration shall not, after the expiration of any applicable grace period, have been rescinded or annulled or such failure to pay or default shall not have been cured or waived, or such indebtedness is not paid or discharged, as the case may be, within 30 days after written notice to the Company from the Trustee or to the Company and the Trustee from Holders of at least 25% in aggregate principal amount of Notes then outstanding in accordance with this Indenture; (h) the Company or any Significant Subsidiary shall commence a voluntary case or other proceeding seeking liquidation, reorganization or other relief with respect to the Company or any such Significant Subsidiary or its debts under any bankruptcy, insolvency or other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1"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Section 6.02. Acceleration; Rescission and Annulment.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interest, if any, on, all Notes shall become and shall automatically be immediately due and payable without any declaration or other act on the part of the Trustee or any Holder. 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32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 Section 6.03. Additional Interest. Notwithstanding anything in this Indenture or in the Notes to the contrary, to the extent the Company elects, the sole remedy for an Event of Default relating to the Company’s failure to comply with its obligations as set forth in Section 4.06(b)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as provided for in this Indenture)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this Indenture). If the Company so elects, such Additional Interest shall be payable in the same manner and on the same dates as the stated interest payable on the Notes. On the 361st day after such Event of Default (if the Event of Default relating to the Company’s failure to comply with its obligations as set forth in Section 4.06(b) is not cured or waived prior to such 361st day), the Notes shall be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 In order to elect to pay Additional Interest as the sole remedy during the first 360 days after the occurrence of any Event of Default described in the immediately preceding paragraph, the Company must notify all Holders of the Notes, the Trustee and the Paying Agent in an Officer’s Certificate of such election prior to the beginning of such 360-day period. Upon the failure to timely give such notice, the Notes shall be immediately subject to acceleration as provided in Section 6.02. Section 6.04. Payments of Notes on Default; Suit Therefor.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33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 34 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 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 Section 6.05. Application of Monies Collected by Trustee.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 First, to the payment of all amounts due the Trustee in all of its capacities, including its agent and counsel, under Section 7.06; Second, in case the principal of the outstanding Notes shall not have become due and be unpaid, to the payment of interest on, and any cash due 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 Third, in case the principal of the outstanding Notes shall have become due, by declaration or otherwise, and be unpaid to the payment of the whole amount (including, if applicable, the payment of the Redemption Price,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any cash due upon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2"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any cash due upon conversion) and accrued and unpaid interest; and Fourth, to the payment of the remainder, if any, to the Company. Section 6.06. Proceedings by Holders.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 (a) such Holder previously shall have given to the Trustee written notice of an Event of Default and of the continuance thereof, as herein provided; (b) Holders of at least 25% in aggregate principal amount of the Notes then outstanding shall have made written request upon the Trustee to institute such action, suit or proceeding in its own name as Trustee hereunder; (c) such Holders shall have offered, and if requested, provided to the Trustee such security or indemnity reasonably satisfactory to it against any loss, liability or expense to be incurred therein or thereby; (d) the Trustee for 60 days after its receipt of such notice, request and offer of such security or indemnity, shall have neglected or refused to institute any such action, suit or proceeding; and (e) 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36 every Holder and the Trustee shall be entitled to such relief as can be given either at law or in equity. Notwithstanding any other provision of this Indenture and any provision of any Note, the right of any Holder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 Section 6.07. Proceedings by Trustee.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Section 6.08. Remedies Cumulative and Continuing.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 Section 6.09. Direction of Proceedings and Waiver of Defaults by Majority of Holders. 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or that would involve the Trustee in personal liability (it being understood that the Trustee shall not have an affirmative duty to ascertain whether or not any such direction is unduly prejudicial to any other Holder). The Holders of a majority in aggregate principal amount of the Notes at the time outstanding determined in accordance with Section 8.04 may on behalf of the Holders of all of the Notes 37 waive any past Default or Event of Default hereunder and its consequences except (i) any continuing defaults relating to the nonpayment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 Section 6.10. Notice of Defaults. The Trustee shall, within 90 days after obtaining knowledge of the occurrence and continuance of a Default of which a Responsible Officer has actual knowledge, deliver to all Holders notice of all such Defaults, unless such Defaults shall have been cured or waived before the giving of such notice; provided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in good faith determines that the withholding of such notice is in the interests of the Holders. Section 6.11. Undertaking to Pay Costs.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 38 ARTICLE 7 CONCERNING THE TRUSTEE Section 7.01. Duties and Responsibilities of Trustee. The Trustee, prior to the occurrence of an Event of Default of which a Responsible Officer of the Trustee has written notice or actual knowledge and after the curing or waiver of all Events of Default that may have occurred, undertakes to perform such duties and only such duties as are specifically set forth in this Indenture. In the event an Event of Default has occurred and is continuing of which a Responsible Officer of the Trustee has written notice or actual knowledge,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 No provision of this Indenture shall be construed to relieve the Trustee from liability for its own grossly negligent action, its own grossly negligent failure to act or its own willful misconduct, except that: (a) prior to the occurrence of an Event of Default and after the curing or waiving of all Events of Default that may have occurred: (i)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(ii) 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(b) the Trustee shall not be liable for any error of judgment made in good faith by a Responsible Officer or Officers of the Trustee, unless it shall be proved that the Trustee was grossly negligent in ascertaining the pertinent facts; (c) the Trustee shall not be liable with respect to any action taken or omitted to be taken by it in good faith in accordance with the direction of the Holders of not less than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3"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 (d) whether or not therein provided, every provision of this Indenture relating to the conduct or affecting the liability of, or affording protection to, the Trustee shall be subject to the provisions of this Section; (e)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(g)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(h) in the event that the Trustee is also acting as Custodian, Note Registrar, Paying Agent, Conversion Agent or transfer agent hereunder, the rights and protections afforded to the Trustee pursuant to this Article 7 shall also be afforded to such Custodian, Note Registrar, Paying Agent, Conversion Agent or transfer agent; and (i) under no circumstances shall the Trustee be liable in its individual capacity for the obligations evidenced by the Notes. None of the provisions contained in this Indenture shall require the Trustee to expend or risk its own funds or otherwise incur personal financial liability in the performance of any of its duties or in the exercise of any of its rights or powers. Section 7.02. Reliance on Documents, Opinions, Etc. Except as otherwise provided in Section 7.01: (a) the Trustee may conclusively rely and shall be fully protected in acting upon any resolution, certificate, statement, instrument, opinion, report, notice, request, consent, order, bond, note, coupon or other paper or document (whether in its original or facsimile form) 40 believed by it in good faith to be genuine and to have been signed or presented by the proper party or parties; (b)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(c) the Trustee may consult with counsel of its selection and require an Opinion of Counsel and any written or verbal advice of such counsel or Opinion of Counsel shall be full and complete authorization and protection in respect of any action taken or omitted by it hereunder in good faith and in accordance with such advice or Opinion of Counsel. Before the Trustee acts or refrains from acting, it may require an Officer’s Certificate or an Opinion of Counsel or both. The Trustee shall not be liable for any action it takes or omits to take in good faith in reliance on such Officer’s Certificate or Opinion of Counsel; (d)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 (e)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(f) the permissive rights of the Trustee enumerated herein shall not be construed as duties; (g) the Trustee shall not be required to give any bond or surety in respect of the performance of its powers and duties hereunder; (h) the Trustee may request that the Company deliver a certificate setting forth the names of individuals and/or titles of officers authorized at such time to take specified actions pursuant to this Indenture; (i) the Trustee shall not be deemed to have notice of any Default or Event of Default (except in the case of a Default or Event of Default in payment of scheduled principal of, premium, if any, or interest on, any Note) unless a Responsible Officer of the Trustee has actual knowledge thereof or unless written notice of any event which is in fact such a Default or Event of Default (and stating the occurrence of a Default or Event of Default) is received by the Trustee at the Corporate Trust Office of the Trustee, and such notice references the Notes and this Indenture; 41 (j) the Trustee shall not be responsible or liable for any action it takes or omits to take in good faith which it reasonably believes to be authorized or within its rights or powers; (k) 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 (l) neither the Trustee nor any of its directors, officers, employees, agents or affiliates shall be responsible for nor have any duty to monitor the performance or any action of the Company, or any of their respective directors, members, officers, agents, affiliates or employee,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 (m) in no event shall the Trustee be liable for any consequential, punitive, special or indirect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by the Company or by any Holder of the Notes at the Corporate Trust Office and such notice references the Notes and/or this Indenture; and (n) neither the Trustee nor any Agent shall have any responsibility or liability for any actions taken or not taken by the Depositary. Section 7.03. No Responsibility for Recitals, Etc. The recitals contained herein and in the Notes (except in the Trustee’s certificate of authentication) shall be taken as the statements of the Company, and the Trustee assumes no responsibility for the correctness of the same. The Trustee makes no representations as to the validity, sufficiency or enforceability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the Indenture. Section 7.04. Trustee, Paying Agents, Conversion Agents or Note Registrar May Own Notes. The Trustee, any Paying Agent, any Conversion Agent or Note Registrar, in its individual or any other capacity, may become the owner or pledgee of Notes with the same rights it would have if it were not the Trustee, Paying Agent, Conversion Agent or Note Registrar. Section 7.05. Monies and Shares of Common Stock to Be Held in Trust. All monies and any shares of Common Stock received by the Trustee shall, until used or applied as herein provided, be held in trust for the purposes for which they were received. Money and shares of Common Stock held by the Trustee in trust hereunder need not be segregated from other funds or 42 property except to the extent required by law. The Trustee shall be under no liability for interest on any money or shares of Common Stock received by it hereunder except as may be agreed from time to time by the Company and the Trustee. Section 7.06. Compensation and Expenses of Trustee. The Company covenants and agrees to pay to the Trustee, in any capacity under this Indenture, from time to time, and the 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non-appealable decision of a court of competent jurisdiction. The Company also covenants to indemnify the Trustee in any capacity under this Indenture and any other document or transaction entered into in connection herewith and its officers, directors, attorneys, employees and agents and any authenticating agent for, and to hold them harmless against, any loss, claim (whether asserted by the Company, a Holder or any Person), damage, liability or expense (including attorneys’ fees) incurred without gross negligence or willful misconduct on the part of the Trustee, its officers, directors, attorneys,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or the enforcement of this Section 7.06.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 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4" descr=""/>
                    <pic:cNvPicPr>
                      <a:picLocks noChangeAspect="1" noChangeArrowheads="1"/>
                    </pic:cNvPicPr>
                  </pic:nvPicPr>
                  <pic:blipFill>
                    <a:blip r:embed="rId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Section 7.07. Officer’s Certificate and Opinion of Counsel as Evidence.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Opinion of Counsel delivered to the Trustee, and such Officer’s Certificate and Opinion of Counsel, in the absence of gross negligence or willful misconduct on the part of the Trustee, shall be full warrant to the Trustee for any action taken or omitted by it under the provisions of this Indenture upon the faith thereof. Section 7.08. Eligibility of Trustee. There shall at all times be a Trustee hereunder which shall be a Person that is eligible pursuant to the Trust Indenture Act (as if, for this purpose,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Section 7.09. Resignation or Removal of Trustee.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and at the expense of the Company,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 (b) In case at any time any of the following shall occur: (i) the Trustee shall cease to be eligible in accordance with the provisions of Section 7.08 and shall fail to resign after written request therefor by the Company or by any such Holder, or (ii)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44 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at the expense of the Company for the removal of the Trustee and the appointment of a successor trustee. Such court may thereupon, after such notice, if any, as it may deem proper and prescribe, remove the Trustee and appoint a successor trustee. (c)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 (d) Any resignation or removal of the Trustee and appointment of a successor trustee pursuant to any of the provisions of this Section 7.09 shall become effective upon acceptance of appointment by the successor trustee as provided in Section 7.10. Section 7.10. Acceptance by Successor Trustee.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 No successor trustee shall accept appointment as provided in this Section 7.10 unless at the time of such acceptance such successor trustee shall be eligible under the provisions of Section 7.08. 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45 appointment by the successor trustee, the successor trustee shall cause such notice to be delivered at the expense of the Company. Section 7.11. Succession by Merger, Etc.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corporation or other entity succeeding to all or substantially all of the corporate trust business of the Trustee such corporation or other entity shall be eligible under the provisions of Section 7.08. 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provided, however, that the right to adopt the certificate of authentication of any predecessor trustee or to authenticate Notes in the name of any predecessor trustee shall apply only to its successor or successors by merger, conversion or consolidation. Section 7.12. Trustee’s Application for Instructions from the Company.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notice that the Company has been deemed to have been given pursuant to Section 17.03,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 ARTICLE 8 CONCERNING THE HOLDERS Section 8.01. Action by Holders. Whenever in this Indenture it is provided that the Holders of a specified percentage of the aggregate principal amount of the Notes may take any 46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 Section 8.02. Proof of Execution by Holders.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 Section 8.03. Who Are Deemed Absolute Owners.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Section 8.04. Company-Owned Notes Disregarded. In determining whether the Holders of the requisite aggregate principal amount of Notes have concurred in any direction, consent, waiver or other action under this Indenture, Notes that are owned by the Company, by any Subsidiary thereof or by any Person directly or indirectly controlling or controlled by or under direct or indirect common control with the Company or any Subsidiary thereof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5" descr=""/>
                    <pic:cNvPicPr>
                      <a:picLocks noChangeAspect="1" noChangeArrowheads="1"/>
                    </pic:cNvPicPr>
                  </pic:nvPicPr>
                  <pic:blipFill>
                    <a:blip r:embed="rId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 Person directly or indirectly controlling or controlled by or under direct or indirect common control with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 Notwithstanding Section 316(a)(1) of the Trust Indenture Act (which, for the avoidance of doubt, shall not apply to this Indenture unless and until this Indenture is qualified under the Trust Indenture Act) or anything herein to the contrary, to the fullest extent permitted by law, no Sponsor Notes shall be deemed to be owned by the Company or any of its Subsidiaries or Affiliates for purposes of this Indenture, the Notes and any direction, waiver or consent with respect thereto. Section 8.05. Revocation of Consents; Future Holders Bound.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 ARTICLE 9 HOLDERS’ MEETINGS Section 9.01. Purpose of Meetings. A meeting of Holders may be called at any time and from time to time pursuant to the provisions of this Article 9 for any of the following purposes: (a) to give any notice to the Company or to the Trustee or to give any directions to the Trustee permitted under this Indenture, or to consent to the waiving of any Default or Event of Default hereunder (in each case, as permitted under this Indenture) and its consequences, or to 48 take any other action authorized to be taken by Holders pursuant to any of the provisions of Article 6; (b) to remove the Trustee and nominate a successor trustee pursuant to the provisions of Article 7; (c) to consent to the execution of an indenture or indentures supplemental hereto pursuant to the provisions of Section 10.02; or (d) to take any other action authorized to be taken by or on behalf of the Holders of any specified aggregate principal amount of the Notes under any other provision of this Indenture or under applicable law. Section 9.02. Call of Meetings by Trustee.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 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 Section 9.03. Call of Meetings by Company or Holders.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 Section 9.04. Qualifications for Voting.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Section 9.05. Regulations.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49 proxies, certificates and other evidence of the right to vote, and such other matters concerning the conduct of the meeting as it shall think fit. 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 Subject to the provisions of Section 8.04, at any meeting of Holders each Holder or proxyholder shall be entitled to one vote for each $1,000 principal amount of Notes held or represented by him or her; provided, however,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 Section 9.06. Voting.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 Any record so signed and verified shall be conclusive evidence of the matters therein stated. Section 9.07. No Delay of Rights by Meeting.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9 50 shall be deemed or construed to limit any Holder’s actions pursuant to the applicable procedures of the Depositary so long as the Notes are Global Notes. ARTICLE 10 SUPPLEMENTAL INDENTURES Section 10.01. Supplemental Indentures Without Consent of Holders. Without the consent of any Holder, the Company and the Trustee, at the Company’s expense, may from time to time and at any time enter into an indenture or indentures supplemental hereto for one or more of the following purposes: (a) to cure any ambiguity, omission, defect or inconsistency (including, without limitation, any mistake or inconsistency between this Indenture and the Investment Agreement, as determined by the Company in good faith); (b) to provide for the assumption by a Successor Company of the obligations of the Company under this Indenture pursuant to Article 11; (c) to add guarantees with respect to the Notes; (d) to secure the Notes; (e) to add to the covenants or Events of Default of the Company for the benefit of the Holders or surrender any right or power conferred upon the Company under this Indenture; (f) to make any change that does not adversely affect the rights of any Holder, as determined by the Company in good faith; (g) to increase the Conversion Rate as provided in this Indenture; (h) to provide for the acceptance of appointment by a successor trustee pursuant to Section 7.09 or to facilitate the administration of the trusts by more than one trustee; (i) in connection with any Merger Event, to provide that the Notes are convertible into Reference Property, subject to the provisions of Section 14.02, and make such related changes to the terms of the Notes to the extent expressly required by Section 14.06; or (j) to comply with the rules of the Depositary in a manner that does not adversely affect the rights of any Holder. Upon the written request of the Company, the Trustee is hereby authorized to, and shall join with the Company in the execution of any such supplemental indenture, to make any further appropriate agreements and stipulations that may be therein contained, except that the Trustee shall not be obligated to, but may in its discretion, enter into any supplemental indenture that affects the Trustee’s own rights, duties, liabilities or immunities under this Indenture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6"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Any supplemental indenture authorized by the provisions of this Section 10.01 may be executed by the Company and the Trustee without the consent of the Holders of any of the Notes at the time outstanding, notwithstanding any of the provisions of Section 10.02. After any such supplemental indenture becomes effective, the Company shall deliver to the Holders (with a copy to the Trustee) a notice briefly describing such supplemental indenture. However, the failure to give such notice to all the Holders (with a copy to the Trustee), or any defect in the notice, will not impair or affect the validity of the supplemental indenture. Section 10.02. Supplemental Indentures with Consent of Holders. With the consent (evidenced as provided in Article 8) of (i) the Holders of at least a majority of the aggregate principal amount of the Notes then outstanding (determined in accordance with Article 8 and including, without limitation, consents obtained in connection with a repurchase of, or tender or exchange offer for, the Notes), (ii) the Company and (iii)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provided, however, that, without the consent of each Holder of an outstanding Note affected, no such supplemental indenture shall: (a) reduce the principal amount of Notes whose Holders must consent to an amendment; (b) reduce the rate of or extend the stated time for payment of interest on any Note; (c) reduce the principal of or extend the Maturity Date of any Note; (d) make any change that adversely affects the conversion rights of any Notes other than as required by this Indenture; (e) reduce the Redemption Price or the Fundamental Change Repurchase Price of any Note or amend or modify in any manner adverse to the Holders the Company’s obligation to make such payments, whether through an amendment or waiver of provisions in the covenants, definitions or otherwise; (f) make any Note payable in a currency, or at a place of payment, other than that stated in the Note; (g) change the ranking of the Notes; (h) impair the right of any Holder to receive payment of principal and interest on such Holder’s Notes on or after the due dates therefor or to institute suit for the enforcement of any payment on or with respect to such Holder’s Note; or (i) make any change in this Article 10 that requires each Holder’s consent or in the waiver provisions in Section 6.02 or Section 6.09. 52 Notwithstanding the foregoing or anything to the contrary, so long as any Sponsor Notes are outstanding, without the consent of the Holders of 100% of the aggregate principal amount of the Sponsor Notes, an amendment, supplement or waiver, including a waiver pursuant to Section 6.09, may not modify any provision contained in this Indenture specifically and uniquely applicable to the Sponsor Notes in a manner adverse to the Holders of, or the holders of a beneficial interest in, the Sponsor Notes. Upon the written request of the Company, and upon the filing with the Trustee of evidence of the consent of the requisite Holders as aforesaid and subject to Section 10.05, the Trustee shall join with the Company in the execution of such supplemental indenture unless such supplemental indenture affects the Trustee’s own rights, duties, liabilities or immunities under this Indenture or otherwise, in which case the Trustee may in its discretion, but shall not be obligated to, enter into such supplemental indenture. 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(with a copy to the Trustee), or any defect in the notice, will not impair or affect the validity of the supplemental indenture. Section 10.03. Effect of Supplemental Indentures.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Section 10.04. Notation on Notes. Notes authenticated and delivered after the execution of any supplemental indenture pursuant to the provisions of this Article 10 may, at the Company’s request and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Section 17.10) and delivered in exchange for the Notes then outstanding, upon surrender of such Notes then outstanding. Section 10.05. Evidence of Compliance of Supplemental Indenture to Be Furnished Trustee.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and that the supplemental indenture constitutes the legal, valid and binding obligation of the Company enforceable in accordance with its terms. 53 ARTICLE 11 CONSOLIDATION, MERGER, SALE, CONVEYANCE AND LEASE Section 11.01. Company May Consolidate, Etc. on Certain Terms.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one or more of its Wholly-Owned Subsidiaries), unless: (a) the resulting, surviving or transferee Person (the “Successor Company”),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(b) immediately after giving effect to such transaction, no Default or Event of Default shall have occurred and be continuing under this Indenture; and (c) the Company shall have delivered to the Trustee an Officer’s Certificate and Opinion of Counsel to the Trustee. Section 11.02. Successor Corporation to Be Substituted.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54 liquidated at any time thereafter and, except in the case of a lease, such Person shall be released from its liabilities as obligor and maker of the Notes and from its obligations under this Indenture and the Notes. In case of any such consolidation, merger, sale, conveyance, transfer or lease, such changes in phraseology and form (but not in substance) may be made in the Notes thereafter to be issued as may be appropriate. ARTICLE 12 IMMUNITY OF INCORPORATORS, STOCKHOLDERS, OFFICERS AND DIRECTORS Section 12.01. Indenture and Notes Solely Corporate Obligations.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ARTICLE 13 INTENTIONALLY OMITTED ARTICLE 14 CONVERSION OF NOTES Section 14.01. Conversion Privilege. (a) Subject to and upon compliance with the provisions of this Article 14 and, with respect to any Sponsor Note, subject to Section 4.11 of the Investment Agreement, each Holder of a Note shall have the right, at such Holder’s option, to convert all or any portion (if the portion to be converted is $1,000 principal amount or an integral multiple thereof) of such Note at any time prior to the close of business on the second Scheduled Trading Day immediately preceding the Maturity Date at an initial conversion rate of 22.9885 shares of Common Stock (subject to adjustment as provided in this Article 14, the “Conversion Rate”) per $1,000 principal amount of Notes (subject to, and in accordance with, the settlement provisions of Section 14.02, the “Conversion Obligation”) (b) If the Company calls any Note for Optional Redemption pursuant to Article 16, then after the close of business on the second Scheduled Trading Day prior to the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7"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Date, the right to convert such Note shall expire, unless the Company defaults in the payment of the Redemption Price, in which case a Holder of the Note called for Optional Redemption may convert such Note (or a portion thereof) until the close of business on the Trading Day immediately preceding the date on which the Redemption Price has been paid or duly provided for. Section 14.02. Conversion Procedure; Settlement upon Conversion. (a) Subject to this Section 14.02 and Section 14.06(a), upon conversion of any Note, the Company shall satisfy its Conversion Obligation by paying or delivering, as the case may be, to the converting Holder, in respect of each $1,000 principal amount of Notes being converted, cash (“Cash Settlement”), shares of Common Stock, together with cash, if applicable, in lieu of delivering any fractional share of Common Stock in accordance with subsection (j) of this Section 14.02 (“Physical Settlement”) or a combination of cash and shares of Common Stock, together with cash, if applicable, in lieu of delivering any fractional share of Common Stock in accordance with subsection (j) of this Section 14.02 (“Combination Settlement”), at its election, as set forth in this Section 14.02. (i) All conversions for which the relevant Conversion Dates occurs (x) on or after November 15, 2027 shall be settled using the same Settlement Method or (y) during a Redemption Period shall be settled using the same Settlement Method. (ii) Except for any conversions for which the relevant Conversion Date occurs during a Redemption Period and any conversions for which the relevant Conversion Date occurs on or after November 15, 2027, the Company shall use the same Settlement Method for all conversions occurring on the same Conversion Date, but the Company shall not have any obligation to use the same Settlement Method with respect to conversions that occur on different Conversion Dates. (iii) If, in respect of any Conversion Date (or in the case of any conversions occurring (x) during a Redemption Period or (y) on or after November 15, 2027), the Company elects to deliver a notice (the “Settlement Notice”)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Scheduled Trading Day immediately following the relevant Conversion Date (or, in the case of any conversions occurring (x) during a Redemption Period, in such Redemption Notice, or (y) on or after November 15, 2027, no later than the close of business on Scheduled Trading Day immediately preceding November 15, 2027) (in each case, the “Settlement Method Election Deadline”). If the Company does not timely elect a Settlement Method prior to the deadline set forth in the immediately preceding sentence, the Company shall no longer have the right to elect Cash Settlement or Combination Settlement for such Conversion Date or during such period and the Company shall be deemed to have elected Physical Settlement in respect of its Conversion Obligation. Such Settlement Notice shall specify the relevant Settlement Method and in the case of an election of Combination Settlement, the relevant Settlement Notice shall indicate the Specified Dollar Amount per $1,000 principal amount of Notes. If the Company timely 56 delivers a Settlement Notice electing Combination Settlement in respect of its Conversion Obligation but does not indicate a Specified Dollar Amount per $1,000 principal amount of Notes in such Settlement Notice, the Specified Dollar Amount per $1,000 principal amount of Notes shall be deemed to be $1,000. By notice to Holders, the Trustee and the Conversion Agent (if other than the Trustee), the Company may, prior to November 15, 2027, at its option, irrevocably elect to satisfy its Conversion Obligation with respect to the Notes through Combination Settlement with a Specified Dollar Amount per $1,000 principal amount of Notes of at least $1,000 for all Conversion Dates occurring subsequent to delivery of such notice. If the Company irrevocably elects Combination Settlement with an ability to continue to set the Specified Dollar Amount per $1,000 principal amount of Notes at or above a specific amount, the Company will, after the date of such election, inform Holders converting their Notes, the Trustee and the Conversion Agent (if other than the Trustee) of such Specified Dollar Amount no later than the relevant Settlement Method Election Deadline, or, if the Company does not timely notify Holders, the Trustee and the Conversion Agent (if other than the Trustee), such Specified Dollar Amount will be the specific amount set forth in the Settlement Notice or, if no specific amount was set forth in the Settlement Notice, such Specified Dollar Amount will be $1,000 per $1,000 principal amount of Notes. The irrevocable election will apply to all Note conversions on Conversion Dates occurring subsequent to delivery of such notice; provided, however, that no such election will affect any settlement method theretofore elected (or deemed to be elected) with respect to any Note. For the avoidance of doubt, such an irrevocable election, if made, will be effective without the need to amend this Indenture or the Notes. However, the Company may nonetheless choose to execute such an amendment at its option. If the Company irrevocably fixes the Settlement Method pursuant to this Section 14.02(a)(iii), then, concurrently with providing notice to Holders of the Notes, the Trustee and the Conversion Agent (if other than the Trustee) of such election, the Company shall either post the fixed settlement method on its website or disclose the same in a current report on Form 8-K (or any successor form) that is filed with the Commission. (iv) The cash, shares of Common Stock or combination of cash and shares of Common Stock in respect of any conversion of Notes (the “Settlement Amount”) shall be computed as follows: (A) 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 (B) 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57 each of the 30 consecutive Trading Days during the related Observation Period; and (C) 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30 consecutive Trading Days during the related Observation Period. (v) 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 (b) 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“Notice of Conversion”)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 If more than one Note shall be surrendered for conversion at one time by the same Holder, the Conversion Obligation with respect to such Notes shall be computed on the basis of 58 the aggregate principal amount of the Notes (or specified portions thereof to the extent permitted thereby) so surrendered. (c) A Note shall be deemed to have been converted immediately prior to the close of business on the date (the “Conversion Date”) that the Holder has complied with the requirements set forth in subsection (b) above. Except as set forth in Section 14.06(a), the Company shall pay or deliver, as the case may be,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 If any shares of Common Stock are due to a converting Holder,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 (d)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 (e) 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such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 (f) Except as provided in Section 14.03, no adjustment shall be made for dividends on any shares of Common Stock issued upon the conversion of any Note as provided in this Article 14. (g)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 (h) Upon conversion, a Holder shall not receive any separate cash payment for accrued and unpaid interest, if any, except as set forth below. The Company’s settlement of the full Conversion Obligation shall be deemed to satisfy in full its obligation to pay the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8"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amount of the Note and accrued and unpaid interest, if any, to, but excluding, the relevant Conversion Date. As a result, accrued and unpaid interest, if any, to, but excluding,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provided that no such payment shall be required (1) for conversions following the Regular Record Date immediately preceding the Maturity Date; (2) if the Company has specified a Fundamental Change Repurchase Date that is after a Regular Record Date and on or prior to the Business Day immediately succeeding the corresponding Interest Payment Date; (3) if the Company has specified a Redemption Date that is after a Regular Record Date and on or prior to the second Scheduled Trading Day immediately succeeding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any Fundamental Change Repurchase Date or Redemption Date, in each case, as described above, shall receive the full interest payment due on the Maturity Date or other applicable Interest Payment Date in cash regardless of whether their Notes have been converted and/or repurchased, as applicable, following such Regular Record Date. (i) The Person in whose name the certificate for any shares of Common Stock delivered upon conversion is registered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(j) The Company shall not issue any fractional share of Common Stock upon conversion of the Notes and shall instead pay cash in lieu of delivering any fractional share of Common Stock issuable upon conversion based on the Daily VWAP on the relevant Conversion Date (in the case of Physical Settlement) or based on the Daily VWAP on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 60 Section 14.03. Adjustment of Conversion Rate.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14.03, without having to convert their Notes, as if they held a number of shares of Common Stock equal to the Conversion Rate, multiplied by the principal amount (expressed in thousands) of Notes held by such Holder. (a) If the Company exclusively issues shares of Common Stock as a dividend or distribution on shares of the Common Stock, or if the Company effects a share split or share combination, the Conversion Rate shall be adjusted based on the following formula: where, CR0 = the Conversion Rate in effect immediately prior to the open of business on the Ex- Dividend Date of such dividend or distribution, or immediately prior to the open of business on the Effective Date of such share split or share combination, as applicable; CR' = the Conversion Rate in effect immediately after the open of business on such Ex- Dividend Date or Effective Date, as the case may be; OS0 = the number of shares of Common Stock outstanding immediately prior to the open of business on such Ex-Dividend Date or Effective Date (before giving effect to any such dividend, distribution, share split or share combination), as the case may be; and OS' = the number of shares of Common Stock outstanding immediately after giving effect to such dividend, distribution, share split or share combination, as the case may be. Any adjustment made under this Section 14.03(a)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14.03(a)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 (b) If the Company issues to all or substantially all holders of the Common Stock any rights, options or warrants (other than in connection with a stockholder rights plan) entitling 0 0 OS OS' CRCR'  61 them, for a period of not more than 60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 where, CR0 = the Conversion Rate in effect immediately prior to the open of business on the Ex- Dividend Date for such issuance; CR' = the Conversion Rate in effect immediately after the open of business on such Ex- Dividend Date; OS0 = the number of shares of Common Stock outstanding immediately prior to the open of business on such Ex-Dividend Date; X = the total number of shares of Common Stock issuable pursuant to such rights, options or warrants; and Y =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 Any increase made under this Section 14.03(b)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 For purposes of this Section 14.03(b),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YOS XOS CRCR' 0 0 0    62 payable on exercise or conversion thereof, the value of such consideration, if other than cash, to be determined by the Company. (c) If the Company distributes shares of its Capital Stock, evidences of its indebtedness, other assets or property of the Company or rights, options or warrants to acquire its Capital Stock or other securities of the Company, to all or substantially all holders of the Common Stock, excluding (i) dividends, distributions or issuances (including share splits) as to which an adjustment was effected pursuant to Section 14.03(a) or Section 14.03(b), (ii) dividends or distributions paid exclusively in cash as to which an adjustment was effected pursuant to Section 14.03(d), (iii) rights issued pursuant a stockholder rights plan except as set forth in Section 14.10, (iv) distributions of Reference Property in a transaction described in Section 14.06 and (v) Spin-Offs as to which the provisions set forth below in this Section 14.03(c) shall apply (any of such shares of Capital Stock, evidences of indebtedness, other assets or property or rights, options or warrants to acquire Capital Stock or other securities, the “Distributed Property”), then the Conversion Rate shall be increased based on the following formula: where, CR0 = the Conversion Rate in effect immediately prior to the open of business on the Ex- Dividend Date for such distribution; CR' = the Conversion Rate in effect immediately after the open of business on such Ex- Dividend Date; SP0 = the average of the Last Reported Sale Prices of the Common Stock over the 10 consecutive Trading Day period ending on, and including, the Trading Day immediately preceding the Ex-Dividend Date for such distribution; and FMV = the fair market value (as determined by the Board of Directors) of the Distributed Property with respect to each outstanding share of the Common Stock on the Ex- Dividend Date for such distribution. Any increase made under the portion of this Section 14.03(c)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FMVSP SP CRCR' 0 0 0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9"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With respect to an adjustment pursuant to this Section 14.03(c) where there has been a payment of a dividend or other distribution on the Common Stock of shares of Capital Stock of any class or series, or similar equity interest, of or relating to any of its Subsidiaries or other business units of the Company, that are, or, when issued, will be, listed or admitted for trading on a U.S. national securities exchange (a “Spin-Off”), the Conversion Rate shall be increased based on the following formula: where, CR0 = the Conversion Rate in effect immediately prior to the end of the Valuation Period; CR' = the Conversion Rate in effect immediately after the end of the Valuation Period; FMV0 = 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“Valuation Period”) provided that, if there is no Last Reported Sale Price of the Capital Stock or similar equity interest distributed to holders of the Common Stock on such Ex-Dividend Date, the “Valuation Period” shall be the 10 consecutive Trading Day period after, and including the first Trading Day such Last Reported Sale Price is available; and MP0 = the average of the Last Reported Sale Prices of the Common Stock over the Valuation Period. The adjustment to the Conversion Rate under the preceding paragraph shall occur at the close of business on the last Trading Day of the Valuation Period; provided that (x) in respect of any conversion of Notes for which Physical Settlement is applicable, if the relevant Conversion Date occurs during the Valuation Period, references to “10” in the portion of this Section 14.03(c) related to Spin-Offs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references to “10” in the portion of this Section 14.03(c) related to Spin-Offs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0 00 0 MP MPFMV CRCR'   64 determines not to pay or make such dividend or distribution, to the Conversion Rate that would then be in effect if such dividend or distribution had not been declared or announced. For purposes of this Section 14.03(c) (and subject in all respect to Section 14.10),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(“Trigger Event”): (i) are deemed to be transferred with such shares of the Common Stock; (ii) are not exercisable; and (iii) are also issued in respect of future issuances of the Common Stock, shall be deemed not to have been distributed for purposes of this Section 14.03(c) (and no adjustment to the Conversion Rate under this Section 14.03(c) will be required) until the occurrence of the earliest Trigger Event, whereupon such rights, options or warrants shall be deemed to have been distributed and an appropriate adjustment (if any is required) to the Conversion Rate shall be made under this Section 14.03(c).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14.03(c)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For purposes of Section 14.03(a), Section 14.03(b) and this Section 14.03(c), if any dividend or distribution to which this Section 14.03(c) is applicable also includes one or both of: (A) a dividend or distribution of shares of Common Stock to which Section 14.03(a) is applicable (the “Clause A Distribution”); or (B) a dividend or distribution of rights, options or warrants to which Section 14.03(b) is applicable (the “Clause B Distribution”), 65 then, in either case, (1) such dividend or distribution, other than the Clause A Distribution and the Clause B Distribution, shall be deemed to be a dividend or distribution to which this Section 14.03(c) is applicable (the “Clause C Distribution”) and any Conversion Rate adjustment required by this Section 14.03(c) with respect to such Clause C Distribution shall then be made, and (2) the Clause A Distribution and Clause B Distribution shall be deemed to immediately follow the Clause C Distribution and any Conversion Rate adjustment required by Section 14.03(a) and Section 14.03(b)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 Dividend Date or Effective Date” within the meaning of Section 14.03(a) or “outstanding immediately prior to the open of business on such Ex-Dividend Date” within the meaning of Section 14.03(b). (d) If the Company makes any cash dividend or distribution to all or substantially all holders of the Common Stock, the Conversion Rate shall be adjusted based on the following formula: where, CR0 = the Conversion Rate in effect immediately prior to the open of business on the Ex- Dividend Date for such dividend or distribution; CR' = the Conversion Rate in effect immediately after the open of business on the Ex- Dividend Date for such dividend or distribution; SP0 = the Last Reported Sale Price of the Common Stock on the Trading Day immediately preceding the Ex-Dividend Date for such dividend or distribution; and C = the amount in cash per share the Company distributes to all or substantially all holders of the Common Stock. Any increase made under this Section 14.03(d)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in effect on the Ex-Dividend Date for such cash dividend or distribution. CSP SP CRCR' 0 0 0   66 (e) If the Company or any of its Subsidiaries make a payment in respect of a tender or exchange offer for the Common Stock that is subject to the then applicable tender offer rules under the Exchange Act, other than an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 where, CR0 = the Conversion Rate in effect immediately prior to the close of business on the 10th Trading Day immediately following, and including, the Trading Day next succeeding the date such tender or exchange offer expires; CR' = the Conversion Rate in effect immediately after the close of business on the 10th Trading Day immediately following, and including, the Trading Day next succeeding the date such tender or exchange offer expires; AC = the aggregate value of all cash and any other consideration (as determined by the Board of Directors) paid or payable for shares of Common Stock purchased in such tender or exchange offer; OS0 = the number of shares of Common Stock outstanding immediately prior to the date such tender or exchange offer expires (prior to giving effect to the purchase of all shares of Common Stock accepted for purchase or exchange in such tender or exchange offer); OS' = the number of shares of Common Stock outstanding immediately after the date such tender or exchange offer expires (after giving effect to the purchase of all shares of Common Stock accepted for purchase or exchange in such tender or exchange offer); and SP' = the average of the Last Reported Sale Prices of the Common Stock over the 10 consecutive Trading Day period commencing on, and including, the Trading Day next succeeding the date such tender or exchange offer expires. The adjustment to the Conversion Rate under this Section 14.03(e) shall occur at the close of business on the 10th Trading Day immediately following, and including, the Trading Day next succeeding the date such tender or exchange offer expires; provided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this Section 14.03(e) shall be deemed replaced with such lesser number of Trading Days as have   SP'OS OS'SP' AC CRCR' 0 0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0" descr=""/>
                    <pic:cNvPicPr>
                      <a:picLocks noChangeAspect="1" noChangeArrowheads="1"/>
                    </pic:cNvPicPr>
                  </pic:nvPicPr>
                  <pic:blipFill>
                    <a:blip r:embed="rId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elapsed from, and including, the Trading Day next succeeding the expiration date of such tender or exchange offer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this Section 14.03(e) shall be deemed replaced with such lesser number of Trading Days as have elapsed from, and including, the Trading Day next succeeding the expiration date of such tender or exchange offer to, and including, such Trading Day in determining the Conversion Rate as of such Trading Day. If the Company or one of its Subsidiaries is obligated to purchase Common Stock pursuant to any such tender or exchange offer described in this Section 14.03(e) but the Company is, or such Subsidiary is, permanently prevented by applicable law from effecting any such purchase or all such purchases are rescinded, the Conversion Rate will be decreased to be the Conversion Rate that would then be in effect if such tender or exchange offer had not been made or had been made only in respect of the purchases that have been effected. (f) Notwithstanding this Section 14.03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 Rate for such Ex-Dividend Date, then, notwithstanding the Conversion Rate adjustment provisions in this Section 14.03,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 (g)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 (h) In addition to those adjustments required by clauses (a), (b), (c), (d) and (e) of this Section 14.03, and subject to the applicable listing standards of The Nasdaq Global Select Market (or, if the Common Stock is not then listed on The Nasdaq Global Select Market, the applicable listing standards of the principal other U.S. national or regional securities exchange on which the Common Stock is listed), the Company from time to time may increase the Conversion Rate by any amount for a period of at least 20 Business Days if the Board of Directors determines that such increase would be in the Company’s best interest. In addition, subject to the applicable listing standards of The Nasdaq Global Select Market (or, if the Common Stock is not then listed on The Nasdaq Global Select Market, the applicable listing standards of the principal other U.S. national or regional securities exchange on which the Common Stock is listed), the Company may (but is not required to) increase the Conversion Rate to avoid or diminish any income tax to holders of Common Stock or rights to purchase Common 68 Stock in connection with a dividend or distribution of shares of Common Stock (or rights to acquire shares of Common Stock) or similar event. (i) Notwithstanding anything to the contrary in this Article 14, the Conversion Rate shall not be adjusted: (i) upon the issuance of shares of Common Stock at a price below the Conversion Price or otherwise, other than any such issuance described in Section 14.04(a), Section 14.04(b) and Section 14.04(c) above; (ii) upon the issuance of any shares of Common Stock pursuant to any present or future plan providing for the reinvestment of dividends or interest payable on the Company’s securities and the investment of additional optional amounts in shares of Common Stock under any plan; (iii) 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 (iv) upon the issuance of any shares of the Common Stock pursuant to any option, warrant, right or exercisable, exchangeable or convertible security not described in clause (iii) of this subsection and outstanding as of the date the Notes were first issued; (v) for a third-party tender offer by any party other than a tender offer by one or more of the Company’s Subsidiaries as described in Section 14.04(e) above; (vi) upon the repurchase of any shares of Common Stock pursuant to an open- 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in Section 14.03(e); (vii) solely for a change in the par value (or lack of par value) of the Common Stock; or (viii) for accrued and unpaid interest, if any. (j) The Company shall not be required to make an adjustment pursuant to clauses (a), (b), (c), (d) or (e) of this Section 14.03 unless such adjustment would result in a change of at least 1% of the then effective Conversion Rate. However, the Company shall carry forward any adjustment that the Company would otherwise have to make and take that adjustment into account in any subsequent adjustment. Notwithstanding the foregoing, all such carried-forward adjustments shall be made with respect to the Notes (i) when the aggregate of all such carried- forward adjustments equals or exceeds 1% of the Conversion Rate, (ii) regardless of whether the aggregate adjustment is less than 1% of the Conversion Rate, (x) on the Conversion Date for any Notes (in the case of Physical Settlement) and (y) on each Trading Day of any Observation 69 Period (in the case of Cash Settlement or Combination Settlement), (iii) on November 15, 2027, and (iv) on any date on which a Redemption Notice is delivered by the Company, in each case, unless the adjustment has already been made. All calculations and other determinations under this Article 14 shall be made by the Company and shall be made to the nearest one-ten thousandth (1/10,000th) of a share. (k)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Neither the Trustee nor the Conversion Agent shall have any responsibility to verify the accuracy of any adjustment to the Conversion Rate.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(l) For purposes of this Section 14.03,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 Section 14.04. Adjustments of Prices. Whenever any provision of this Indenture requires the Company to calculate the Last Reported Sale Prices, the Daily VWAPs, the Daily Conversion Values or the Daily Settlement Amounts over a span of multiple days (including, without limitation, an Observation Period ), the Company shall make appropriate adjustments (without duplication in respect of any adjustment made pursuant to the provisions described under Section 14.04)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or the Daily Settlement Amounts are to be calculated. Section 14.05. Shares to Be Fully Paid. The Company shall provide, free from preemptive rights, out of its authorized but unissued shares or shares held in treasury, sufficient shares of Common Stock to provide for conversion of the Notes from time to time as such Notes are presented for conversion (assuming that at the time of computation of such number of shares, all such Notes would be converted by a single Holder and that Physical Settlement is applicable). Section 14.06. Effect of Recapitalizations, Reclassifications and Changes of the Common Stock. 70 (a) In the case of: (i) any recapitalization, reclassification or change of the Common Stock (other than a change to par value, or from par value to no par value, or changes resulting from a subdivision or combination), (ii) any consolidation, merger, combination or similar transaction involving the Company, (iii) any sale, lease or other transfer to a third party of the consolidated assets of the Company and the Company’s Subsidiaries substantially as an entirety or (iv) any statutory share exchange, in each case, as a result of which the Common Stock would be converted into, or exchanged for, stock, other securities, other property or assets (including cash or any combination thereof) (any such event, a “Merger Event”), then,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“Reference Property”, with each “unit of Reference Property” meaning the kind and amount of Reference Property that a holder of one share of Common Stock is entitled to receive) upon such Merger Event and, at the effective time of such Merger Event, the Company or the successor or purchasing Person, as the case may be, shall execute with the Trustee a supplemental indenture permitted Section 10.01(i) providing for such change in the right to convert each $1,000 principal amount of Notes; provided, however, that at and after the effective time of the Merger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Merger Event and (III) the Daily VWAP shall be calculated based on the value of a unit of Reference Property. If the Merger Event causes the Common Stock to be converted into, or exchanged for, the right to receive more than a single type of consideration, then the Reference Property into which the Notes will be convertible shall be deemed to be the weighted average of the types and amounts of consideration actually received by the holders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 multiplied by the price paid per share of Common Stock in such Merger Event and (B) the Company shall satisfy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1" descr=""/>
                    <pic:cNvPicPr>
                      <a:picLocks noChangeAspect="1" noChangeArrowheads="1"/>
                    </pic:cNvPicPr>
                  </pic:nvPicPr>
                  <pic:blipFill>
                    <a:blip r:embed="rId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reasonably practicable after such determination is made. If the Reference Property in respect of any such Merger Event includes, in whole or in part, shares of Common Equity, the supplemental indenture described in the second immediately preceding paragraph shall provide for anti-dilution and other adjustments that shall be as nearly equivalent as is possible to the adjustments provided for in this Article 14 with respect to the portion of Reference Property constituting such Common Equity. If, in the case of any Merger Event, the Reference Property includes shares of stock, securities or other property or assets (other than cash and/or cash equivalents) of a Person other than the Company or the successor or purchasing corporation, as the case may be, in such Merger Event, then such supplemental indenture shall also be executed by such other Person and shall contain such additional provisions to protect the interests of the Holders as the Company shall reasonably consider necessary by reason of the foregoing, including the provisions providing for the purchase rights set forth in Article 15. The Company shall not become party to any such Merger Event unless its terms are consistent with this Section 14.07. (b) When the Company executes a supplemental indenture pursuant to subsection (a) of this Section 14.06,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 (c)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 (d) The above provisions of this Section shall similarly apply to successive Merger Events. (e) Upon the consummation of any Merger Event, references to “Common Stock” shall be deemed to refer to any Reference Property that constitutes capital stock after giving effect to such Merger Event. Section 14.07. Certain Covenants. (a) The Company covenants that all shares of Common Stock issued upon conversion of Notes will be fully paid and non-assessable by the Company and free from all taxes, liens and charges with respect to the issue thereof. (b) The Company covenants that, if any shares of Common Stock to be provided for the purpose of conversion of Notes hereunder require registration with or approval of any 72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 (c)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 Section 14.08. Responsibility of Trustee.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the Conversion Agent shall have no obligation to monitor any party’s compliance with the Investment Agreement, and may conclusively presume that any actions taken by the Company or any Holder (including any beneficial owner) are in compliance with the terms of the Investment Agreement.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14.06 relating either to the kind or amount of shares of stock or securities or property (including cash) receivable by Holders upon the conversion of their Notes after any event referred to in such Section 14.06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(which the Company shall be obligated to file with the Trustee prior to the execution of any such supplemental indenture) with respect thereto.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 Section 14.09. Notice to Holders Prior to Certain Actions. In case of any: (a) action by the Company or one of its Subsidiaries that would require an adjustment in the Conversion Rate pursuant to Section 14.03 or Section 14.10; or 73 (b) voluntary or involuntary dissolution, liquidation or winding-up of the Company; 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 Section 14.10. Stockholder Rights Plans.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so that the Holders would not be entitled to receive any rights in respect of Common Stock, if any, issuable upon conversion of the Notes, the Conversion Rate shall be adjusted at the time of separation as if the Company distributed to all or substantially all holders of the Common Stock Distributed Property as provided in Section 14.03(c), subject to readjustment in the event of the expiration, termination or redemption of such rights. Section 14.11. Exchange In Lieu Of Conversion. (a) When a Holder surrenders its Notes for conversion, the Company may, at its election, direct the Conversion Agent to surrender, on or prior to the Trading Day immediately following the relevant Conversion Date, such Notes to one or more financial institutions designated by the Company (each, a “Designated Institution”) for exchange in lieu of conversion (an “Exchange Election”). In order to accept any Notes surrendered for conversion for exchange in lieu of conversion, the Designated Institution(s) must agree to timely pay and/or deliver, as the case may be, in exchange for such Notes, the cash, shares of Common Stock or combination of cash and Common Stock, at the Company’s election, that would otherwise be due upon conversion (the “Conversion Consideration”) as described in Section 14.02 above. If the Company makes an Exchange Election, the Company shall, by the close of business on the Trading Day following the relevant Conversion Date, notify the Holder surrendering Notes for conversion, the Trustee and the Conversion Agent (if other than the Trustee), in writing that it has made an Exchange Election, and the Company shall concurrently notify the Designated Institution(s) of the relevant deadline for delivery of the Conversion Consideration and the type of conversion consideration to be paid and/or delivered, as the case 74 may be. Any Notes exchanged by the Designated Institution(s) will remain outstanding, subject to applicable procedures of the Depositary. (b) If the Designated Institution(s) agree(s) to accept any Notes for exchange but does not timely pay and/or deliver, as the case may be, the related Conversion Consideration to the Conversion Agent, or if the Designated Institution(s) do(es) not accept such Notes for exchange, the Company shall, within the time period specified in Section 14.02(c), pay and/or deliver, as the case may be, the Conversion Consideration in accordance with the provisions of Section 14.02. (c) For the avoidance of doubt, in no event will the Company’s designation of any Designated Institution(s) pursuant to this Section 14.11 require the Designated Institution(s) to accept any Notes for exchange. ARTICLE 15 REPURCHASE OF NOTES AT OPTION OF HOLDERS Section 15.01. Intentionally Omitted. Section 15.02. Repurchase at Option of Holders Upon a Fundamental Change. (a) If a Fundamental Change occurs at any time prior to the Maturity Date, each Holder shall have the right, at such Holder’s option, to require the Company to repurchase for cash all of such Holder’s Notes, or any portion thereof properly surrendered and not validly withdrawn pursuant to Section 15.03 that is equal to $1,000 or an integral multiple of $1,000, on the date (the “Fundamental Change Repurchase Date”) specified by the Company that is not less than 20 Business Days or more than 35 Business Days following the date of the Fundamental Change Company Notice at a repurchase price equal to 100% of the principal amount thereof, plus accrued and unpaid interest thereon to, but excluding, the Fundamental Change Repurchase Date (“Accrued Interest”) plus all unpaid interest from the Fundamental Change Repurchase Date to, but excluding, the Maturity Date (the “Make-Whole Interest Payment”) (together, the “Fundamental Change Repurchase Price”) unless the Fundamental Change Repurchase Date falls after a Regular Record Date but on or prior to the Interest Payment Date to which such Regular Record Date relates, in which case the Company shall instead pay the full amount of the Accrued Interest to Holders of record as of such Regular Record Date, and the Fundamental Change Repurchase Price shall be equal to 100% of the principal amount of Notes to be repurchased plus the Make- Whole Interest Payment pursuant to this Article 15. (b) Repurchases of Notes under this Section 15.02 shall be made, at the option of the Holder thereof, upon: (i) delivery to the Paying Agent by a Holder of a duly completed notice (the “Fundamental Change Repurchase Notice”)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2" descr=""/>
                    <pic:cNvPicPr>
                      <a:picLocks noChangeAspect="1" noChangeArrowheads="1"/>
                    </pic:cNvPicPr>
                  </pic:nvPicPr>
                  <pic:blipFill>
                    <a:blip r:embed="rId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 The Fundamental Change Repurchase Notice in respect of any Physical Notes to be repurchased shall state: (i) the certificate numbers of the Notes to be delivered for repurchase; (ii) the portion of the principal amount of Notes to be repurchased, which must be $1,000 or an integral multiple thereof; and (iii) that the Notes are to be repurchased by the Company pursuant to the applicable provisions of the Notes and this Indenture. If the Notes are Global Notes, to exercise the Fundamental Change repurchase right, Holders must surrender their Notes in accordance with applicable Depositary procedures. 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 The Paying Agent shall promptly notify the Company of the receipt by it of any Fundamental Change Repurchase Notice or written notice of withdrawal thereof. (c) On or before the 20th Business Day after the occurrence of the effective date of a Fundamental Change, the Company shall provide to all Holders and the Trustee, the Conversion Agent (in the case of a Conversion Agent other than the Trustee) and the Paying Agent (in the case of a Paying Agent other than the Trustee) a written notice (the “Fundamental Change Company Notice”)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 (i) the events causing the Fundamental Change; (ii) the effective date of the Fundamental Change; (iii) the last date on which a Holder may exercise the repurchase right pursuant to this Article 15; 76 (iv) the Fundamental Change Repurchase Price; (v) the Fundamental Change Repurchase Date; (vi) the name and address of the Paying Agent and the Conversion Agent, if applicable; (vii) if applicable, the Conversion Rate and any adjustments to the Conversion Rate as a result of such Fundamental Change; (viii) that the Notes with respect to which a Fundamental Change Repurchase Notice has been delivered by a Holder may be converted only if the Holder withdraws the Fundamental Change Repurchase Notice in accordance with the terms of this Indenture; and (ix) the procedures that Holders must follow to require the Company to repurchase their Notes. No failure of the Company to give the foregoing notices and no defect therein shall limit the Holders’ repurchase rights or affect the validity of the proceedings for the repurchase of the Notes pursuant to this Section 15.02. At the Company’s request, given at least five days prior to the date the Fundamental Change Company Notice is to be sent (or such lesser amount of time as agreed to by the Trustee in its reasonable discretion), the Trustee shall give such notice in the Company’s name and at the Company’s expense; provided, however, that, in all cases, the text of such Fundamental Change Company Notice shall be prepared by the Company. Simultaneously with providing such notice, the Company shall publish the information on its website or through such other public medium as it may use at that time. (d)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 (e) Notwithstanding anything to the contrary in this Article 15, the Company shall not be required to repurchase, or to make an offer to repurchase, the Notes upon a Fundamental Change if a third party makes such an offer in the same manner, at the same time and otherwise 77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 Section 15.03. Withdrawal of Fundamental Change Repurchase Notice. (a) A Fundamental Change Repurchase Notice may be withdrawn (in whole or in part) in respect of Physical Notes by means of a written notice of withdrawal received by the Paying Agent in accordance with this Section 15.03 at any time prior to the close of business on the Business Day immediately preceding the Fundamental Change Repurchase Date, specifying: (i) the principal amount of the Notes with respect to which such notice of withdrawal is being submitted, which must be $1,000 or an integral multiple thereof, (ii) the certificate number of the Note in respect of which such notice of withdrawal is being submitted, and (iii) the principal amount, if any, of such Note that remains subject to the original Fundamental Change Repurchase Notice, which portion must be in principal amounts of $1,000 or an integral multiple of $1,000; If the Notes are Global Notes, Holders may withdraw their Notes subject to repurchase at any time prior to the close of business on the Business Day immediately preceding the Fundamental Change Repurchase Date in accordance with the applicable procedures of the Depositary. Section 15.04. Deposit of Fundamental Change Repurchase Price.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(provided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provided, however,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(b) If by 11:00 a.m. New York City time, on the Fundamental Change Repurchase Date, the Trustee (or other Paying Agent appointed by the Company) holds money sufficient to pay the Fundamental Change Repurchase Price to be repurchased on such Fundamental Change 78 Repurchase Date, then, with respect to the Notes that have been properly surrendered for repurchase and have not been validly withdrawn in accordance with the provisions of this Indenture, (i) such Notes will cease to be outstanding, (ii) interest will cease to accrue on such Notes on the Fundamental Change Repurchase Date (whether or not book-entry transfer of the Notes has been made or the Notes have been delivered to the Trustee or Paying Agent) and (iii) all other rights of the Holders with respect to such Notes will terminate on the Fundamental Change Repurchase Date (other than (x) the right to receive the Fundamental Change Repurchase Price and (y) if the Fundamental Change Repurchase Date falls after a Regular Record Date but on or prior to the related Interest Payment Date, the right of the Holder of record on such Regular Record Date to receive the full amount of Accrued Interest to, but excluding, such Interest Payment Date). (c) 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 Section 15.05. Covenant to Comply with Applicable Laws Upon Repurchase of Notes. In connection with any repurchase offer upon a Fundamental Change pursuant to this Article 15, the Company will, if required: (a) comply with the tender offer rules under the Exchange Act that may then be applicable; (b) file a Schedule TO or any other required schedule under the Exchange Act; and (c) 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 To the extent that the provisions of any securities laws or regulations conflict with the provisions of this Article 15 relating to the Company’s obligations to repurchase the Notes upon a Fundamental Change, the Company will comply with the applicable securities laws and regulations and will not be deemed to have breached its obligations under such provisions of this Article 15 by virtue of such conflict. ARTICLE 16 OPTIONAL REDEMPTION Section 16.01. Optional Redemption. The Notes shall not be redeemable by the Company prior to February 20, 2026. On or after February 20, 2026 and prior to the 31st Scheduled Trading Day immediately preceding the Maturity Date, the Company may redeem (an “Optional Redemption”) for cash all or any portion of the Notes (subject to the limitations set forth in Section 16.02(e)), at the Redemption Price, if the Last Reported Sale Price of the Common Stock has been at least 150% of the Conversion Price then in effect for at least 20 Trading Days (whether or not consecutive) during any 30 consecutive Trading Day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3" descr=""/>
                    <pic:cNvPicPr>
                      <a:picLocks noChangeAspect="1" noChangeArrowheads="1"/>
                    </pic:cNvPicPr>
                  </pic:nvPicPr>
                  <pic:blipFill>
                    <a:blip r:embed="rId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(including the last Trading Day of such period) ending on, and including, the Trading Day immediately preceding the date on which the Company provides the Redemption Notice in accordance with Section 16.02. Section 16.02. Notice of Optional Redemption; Selection of Notes. (a) In case the Company exercises its Optional Redemption right to redeem all or, as the case may be, any part of the Notes pursuant to Section 16.01, it shall fix a date for redemption (each, a “Redemption Date”) and it or, at its written request received by the Trustee not less than 5 Business Days prior to the date such Redemption Notice is to be sent (or such shorter period of time as may be acceptable to the Trustee), the Trustee, in the name of and at the expense of the Company, shall deliver or cause to be delivered a notice of such Optional Redemption (a “Redemption Notice”) not less than 35 nor more than 60 Trading Days prior to the Redemption Date to each Holder of Notes so to be redeemed as a whole or in part; provided, however, that if the Company shall give such notice, it shall also give written notice of the Redemption Date to the Trustee, the Conversion Agent (if other than the Trustee) and the Paying Agent (if other than the Trustee). The Redemption Date must be a Business Day. The Company may not specify a Redemption Date that falls on or after the 31st Scheduled Trading Day immediately preceding the Maturity Date. (b) The Redemption Notice, if delivered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 (c) Each Redemption Notice shall specify: (i) the Redemption Date; (ii) the Redemption Price; (iii) that on the Redemption Date, the Redemption Price will become due and payable upon each Note to be redeemed, and that interest thereon, if any, shall cease to accrue on and after the Redemption Date; (iv) the place or places where such Notes are to be surrendered for payment of the Redemption Price; (v) that Holders called (or deemed called) for redemption may surrender their Notes for conversion at any time prior to the close of business on the Scheduled Trading Day immediately preceding the Redemption Date; (vi) the procedures a converting Holder must follow to convert its Notes and the Settlement Method and Specified Dollar Amount, if applicable; (vii) the Conversion Rate; 80 (viii) the CUSIP, ISIN or other similar numbers, if any, assigned to such Notes; and (ix) 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$1,000 or an integral multiple thereof. A Redemption Notice shall be irrevocable. An Optional Redemption may not be conditional. If the Company calls any Note for Optional Redemption pursuant to this Article 16, then after the close of business on the second Scheduled Trading Day prior to the Redemption Date, the right to convert such Note shall expire, unless the Company defaults in the payment of the Redemption Price, in which case a Holder of the Note called for Optional Redemption may convert such Note (or a portion thereof) until the close of business on the Trading Day immediately preceding the date on which the Redemption Price has been paid or duly provided for. (d) If the Company elects to redeem fewer than all of the outstanding Notes, the Notes to be redeemed will be selected according to the Depositary’s applicable procedures, in the case of Notes represented by a Global Note, or, in the case of Notes represented by Physical Notes, by lot, on a pro rata basis or by another method the Trustee deems to be appropriate and fair. If the Trustee selects a portion of any Holder’s Notes for partial redemption and such Holder converts a portion of such Notes, the converted portion shall be deemed (so far as may be possible) to be from the portion selected for redemption. (e) If the Company elects to redeem fewer than all of the outstanding Notes, after giving effect to such redemption, at least $150,000,000 aggregate principal amount of the Notes shall be outstanding and not subject to such redemption as of the date the Redemption Notice is delivered. Section 16.03. Payment of Notes Called for Redemption. (a) If any Redemption Notice has been given in respect of the Notes in accordance with Section 16.02,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 (b) 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81 Section 16.04. Restrictions on Redemption.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Section 16.05 Conversion. None of the foregoing provisions shall affect the right of a holder of Notes to convert its Notes into cash, shares of Common Stock or a combination of cash and shares of Common Stock, as applicable, as set forth in Section 14.01 and Section 14.02 prior to the Redemption Date. ARTICLE 17 MISCELLANEOUS PROVISIONS Section 17.01. Provisions Binding on Company’s Successors. All the covenants, stipulations, promises and agreements of the Company contained in this Indenture shall bind its successors and assigns whether so expressed or not. Section 17.02. Official Acts by Successor Corporation.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 Section 17.03. Addresses for Notices, Etc.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Pacific Biosciences of California, Inc., 1305 O’Brien Drive, Menlo Park, CA 94025, Attention: Chief Financial Officer.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The Trustee, by notice to the Company, may designate additional or different addresses for subsequent notices or communications. 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82 otherwise), such notice shall be sufficiently given if given to the Depositary (or its designee) pursuant to the standing instructions from the Depositary or its designee, including by electronic mail in accordance with the Depositary’s applicable procedures. 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 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 Section 17.04. Governing Law; Jurisdiction. THIS INDENTURE AND EACH NOTE, AND ANY CLAIM, CONTROVERSY OR DISPUTE ARISING UNDER OR RELATED TO THIS INDENTURE AND EACH NOTE, SHALL BE GOVERNED BY, AND CONSTRUED IN ACCORDANCE WITH, THE LAWS OF THE STATE OF NEW YORK. 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 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 Section 17.05. Evidence of Compliance with Conditions Precedent; Certificates and Opinions of Counsel to Trustee. Upon any application or demand by the Company to the Trustee to take any action under any of the provisions of this Indenture, the Company shall furnish to the Trustee an Officer’s Certificate and, if requested by the Trustee, an Opinion of Counsel stating that such action is permitted by the terms of this Indenture and that all conditions precedent including any covenants compliance with such which constitutes a condition precedent to such action have been complied with; provided that no Opinion of Counsel shall be required to be delivered in connection with (1) the original issuance of Notes on the date hereof under this Indenture and (2) the removal of the restricted CUSIP of the Restricted Securities to an unrestricted CUSIP pursuant to the applicable procedures of the Depositary upon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4" descr=""/>
                    <pic:cNvPicPr>
                      <a:picLocks noChangeAspect="1" noChangeArrowheads="1"/>
                    </pic:cNvPicPr>
                  </pic:nvPicPr>
                  <pic:blipFill>
                    <a:blip r:embed="rId3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becoming freely tradable by non-Affiliates of the Company under Rule 144, unless a new Note is to be issued; provided further that no Opinion of Counsel shall be required to be delivered in connection with a request by the Company that the Trustee deliver a notice to Holders under the Indenture where the Trustee receives an Officer’s Certificate with respect to such notice. With respect to matters of fact, an Opinion of Counsel may rely on an Officer’s Certificate or certificates of public officials. 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thereto have been complied with. 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 Section 17.06. Legal Holidays. In any case where any Interest Payment Date, Fundamental Change Repurchase Date, Redemption Date or Maturity Date is not a Business Day, then any action to be taken on such date need not be taken on such date, but may be taken on the next succeeding Business Day with the same force and effect as if taken on such date, and no interest shall accrue in respect of the delay; provided that, solely for purposes of this Section 17.06, a day on which the applicable place of payment is authorized or required by law or executive order to close or be closed will be deemed not to be a Business Day. Section 17.07. No Security Interest Created. Nothing in this Indenture or in the Notes, expressed or implied, shall be construed to constitute a security interest under the Uniform Commercial Code or similar legislation, as now or hereafter enacted and in effect, in any jurisdiction. Section 17.08. Benefits of Indenture.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 Section 17.09.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 84 Section 17.10. Authenticating Agent.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 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 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 The Company agrees to pay to the authenticating agent from time to time reasonable compensation for its services although the Company may terminate the authenticating agent, if it determines such agent’s fees to be unreasonable. The provisions of Section 7.02, Section 7.03, Section 7.04, Section 8.03 and this Section 17.10 shall be applicable to any authenticating agent. If an authenticating agent is appointed pursuant to this Section 17.10, the Notes may have endorsed thereon, in addition to the Trustee’s certificate of authentication, an alternative certificate of authentication in the following form: __________________________, as Authenticating Agent, certifies that this is one of the Notes described in the within-named Indenture. By: ____________________ Authorized Signatory 85 Section 17.11. Execution in Counterparts.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 All notices, approvals, consents, requests and any communications hereunder must be in writing (provided that any such communication sent to Trustee hereunder must be in the form of a document that is signed manually or by way of a digital signature provided by DocuSign or other electronic signature provider that the Company plans to use (or such other digital signature provider as specified in writing to Trustee by the authorized representative), in English.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Section 17.12. Severability. In the event any provision of this Indenture or in the Notes shall be invalid, illegal or unenforceable, then (to the extent permitted by law) the validity, legality or enforceability of the remaining provisions shall not in any way be affected or impaired. Section 17.13. Waiver of Jury Trial. EACH OF THE COMPANY AND THE TRUSTEE HEREBY IRREVOCABLY WAIVES, TO THE FULLEST EXTENT PERMITTED BY APPLICABLE LAW, ANY AND ALL RIGHT TO TRIAL BY JURY IN ANY LEGAL PROCEEDING ARISING OUT OF OR RELATING TO THIS INDENTURE, THE NOTES OR THE TRANSACTIONS CONTEMPLATED HEREBY. Section 17.14. Force Majeure. In no event shall the Trustee be responsible or liable for any failure or delay in the performance of its obligations hereunder arising out of or caused by, directly or indirectly, forces beyond its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 Section 17.15. Calculations. Except as otherwise provided herein, the Company shall be responsible for making all calculations called for under the Notes. These calculations include, but are not limited to, determinations of the Redemption Price, the Last Reported Sale Prices of the Common Stock, the Daily VWAPs, the Daily Conversion Values, the Daily Settlement Amounts, accrued interest payable on the Notes and the Conversion Rate of the Notes. The Company shall make all these calculations in good faith and, absent manifest error, the 86 Company’s calculations shall be final and binding on Holders.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written request of that Holder at the sole cost and expense of the Company. Section 17.16. U.S.A. PATRIOT Act.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5" descr=""/>
                    <pic:cNvPicPr>
                      <a:picLocks noChangeAspect="1" noChangeArrowheads="1"/>
                    </pic:cNvPicPr>
                  </pic:nvPicPr>
                  <pic:blipFill>
                    <a:blip r:embed="rId3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Indenture to be duly executed as of the date first written above. PACIFIC BIOSCIENCES OF CALIFORNIA, INC. By: /s/ Susan Kim Name: Susan Kim Title: Chief Financial Officer U.S. BANK NATIONAL ASSOCIATION, as Trustee By: /s/ David A. Jason Name: David A. Jason Title: Vice President A-1 EXHIBIT A [FORM OF FACE OF NOTE] [INCLUDE FOLLOWING LEGEND IF A GLOBAL NOTE] [UNLESS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[INCLUDE FOLLOWING LEGEND IF A RESTRICTED SECURITY] [THIS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(1) REPRESENTS THAT IT AND ANY ACCOUNT FOR WHICH IT IS ACTING IS A “QUALIFIED INSTITUTIONAL BUYER” (WITHIN THE MEANING OF RULE 144A UNDER THE SECURITIES ACT) AND THAT IT EXERCISES SOLE INVESTMENT DISCRETION WITH RESPECT TO EACH SUCH ACCOUNT, AND (2) AGREES FOR THE BENEFIT OF PACIFIC BIOSCIENCES OF CALIFORNIA, INC. (THE “COMPANY”) THAT IT WILL NOT OFFER, SELL, PLEDGE OR OTHERWISE TRANSFER THIS SECURITY OR ANY BENEFICIAL INTEREST HEREIN PRIOR TO THE DATE THAT IS THE LATER OF (X) ONE YEAR AFTER THE LAST DATE OF ORIGINAL ISSUANCE HEREOF OR SUCH SHORTER PERIOD OF TIME AS PERMITTED BY RULE 144 UNDER THE SECURITIES ACT OR ANY SUCCESSOR PROVISION THERETO AND (Y) SUCH LATER DATE, IF ANY, AS MAY BE REQUIRED BY APPLICABLE LAW, EXCEPT: (A) TO THE COMPANY OR ANY SUBSIDIARY THEREOF, OR (B) PURSUANT TO A REGISTRATION STATEMENT WHICH HAS BECOME EFFECTIVE UNDER THE SECURITIES ACT, OR A-2 (C) TO A QUALIFIED INSTITUTIONAL BUYER IN COMPLIANCE WITH RULE 144A UNDER THE SECURITIES ACT, OR (D) PURSUANT TO AN EXEMPTION FROM REGISTRATION PROVIDED BY RULE 144 UNDER THE SECURITIES ACT OR ANY OTHER AVAILABLE EXEMPTION FROM THE REGISTRATION REQUIREMENTS OF THE SECURITIES ACT. 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[THIS SECURITY IS A SPONSOR NOTE WITHIN THE MEANING OF THE INDENTURE.] A-3 Pacific Biosciences of California, Inc. 1.50% Convertible Senior Note due 2028 No. [_______] [Initially]1 $[________] CUSIP No. [69404D AA6]2[69404D AC2]34 Pacific Biosciences of California, Inc., a corporation duly organized and validly existing under the laws of the State of Delaware (the “Company,” which term includes any successor corporation or other entity under the Indenture referred to on the reverse hereof), for value received hereby promises to pay to [CEDE &amp; CO.]5 [________]6, or registered assigns, the principal sum [as set forth in the “Schedule of Exchanges of Notes” attached hereto]7 [of $[______]]8, which amount, taken together with the principal amounts of all other outstanding Notes, shall not, unless permitted by the Indenture, exceed $900,000,000 in aggregate at any time, in accordance with the rules and procedures of the Depositary, on February 15, 2028, and interest thereon as set forth below. This Note shall bear interest at the rate of 1.50% per year from February 16, 2021, or from the most recent date to which interest has been paid or provided for to, but excluding, the next scheduled Interest Payment Date until February 15, 2028. Accrued interest on this Note shall be computed on the basis of a 360-day year composed of twelve 30-day months and, for partial months, on the basis of the number of days actually elapsed in a 30-day month. Interest is payable semi-annually in arrears on each February 15 and August 15, commencing on August 15, 2021, to Holders of record at the close of business on the preceding February 1 and August 1 (whether or not such day is a Business Day), respectively. Additional Interest will be payable as set forth in Section 6.03 of the within-mentioned Indenture, and any reference to interest on, or in respect of, any Note therein shall be deemed to include Additional Interest if, in such context, Additional Interest is, was or would be payable pursuant to any of such Section 6.03, and any express mention of the payment of Additional Interest in any provision therein shall not be construed as excluding Additional Interest in those provisions thereof where such express mention is not made. 1 Include if a global note. 2 If a Sponsor Note within the meaning of the Indenture. 3 If a Note other than a Sponsor Note within the meaning of the Indenture. 4 This Note will be deemed to be identified by CUSIP No. 69404D AB4, if a Sponsor Note within the meaning of the Indenture, and 69404D AD0, if a Note other than a Sponsor Note, from and after such time when the Company delivers, pursuant to Section 2.05(c) of the within-mentioned Indenture, written notice to the Trustee of the occurrence of the Resale Restriction Termination Date and the removal of the restrictive legend affixed to this Note in accordance with the applicable procedures of the Depositary. 5 Include if a global note. 6 Include if a physical note. 7 Include if a global note. 8 Include if a physical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6" descr=""/>
                    <pic:cNvPicPr>
                      <a:picLocks noChangeAspect="1" noChangeArrowheads="1"/>
                    </pic:cNvPicPr>
                  </pic:nvPicPr>
                  <pic:blipFill>
                    <a:blip r:embed="rId4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Any Defaulted Amounts shall accrue interest per annum at the rate borne by the Notes, from, and including, the relevant payment date to, but excluding, the date on which such Defaulted Amounts shall have been paid by the Company, at its election, in accordance with Section 2.03(c) of the Indenture. The Company shall pay the principal of and interest on this Note, if and so long as such Note is a Global Note, in immediately available funds in lawful money of the United States at the time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located in the United States of America, as a place where Notes may be presented for payment or for registration of transfer and exchange. 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 This Note, and any claim, controversy or dispute arising under or related to this Note, shall be construed in accordance with and governed by the laws of the State of New York. In the case of any conflict between this Note and the Indenture, the provisions of the Indenture shall control and govern. This Note shall not be valid or become obligatory for any purpose until the certificate of authentication hereon shall have been signed manually by the Trustee or a duly authorized authenticating agent under the Indenture. [Remainder of page intentionally left blank] IN WITNESS WHEREOF, the Company has caused this Note to be duly executed. PACIFIC BIOSCIENCES OF CALIFORNIA, INC. By: Name: Title: Dated: TRUSTEE’S CERTIFICATE OF AUTHENTICATION U.S. BANK NATIONAL ASSOCIATION as Trustee, certifies that this is one of the Notes described in the within-named Indenture. By:_______________________________ Authorized Signatory R-1 [FORM OF REVERSE OF NOTE] Pacific Biosciences of California, Inc. 1.50% Convertible Senior Note due 2028 This Note is one of a duly authorized issue of Notes of the Company, designated as its 1.50% Convertible Senior Notes due 2028 (the “Notes”), initially limited to the aggregate principal amount of $900,000,000 all issued or to be issued under and pursuant to an Indenture dated as of February 16, 2021 (the “Indenture”), between the Company and U.S. Bank National Association (the “Trustee”), to which Indenture and all indentures supplemental thereto reference is hereby made for a description of the rights, limitations of rights, obligations, duties and immunities thereunder of the Trustee, the Company and the Holders of the Notes. Capitalized terms used in this Note and not defined in this Note shall have the respective meanings set forth in the Indenture. 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Subject to the terms and conditions of the Indenture, the Company will make all payments and deliveries in respect of the Fundamental Change Repurchase Price on the Fundamental Change Repurchase Date, the Redemption Price on the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No reference herein to the Indenture and no provision of this Note or of the Indenture shall alter or impair the obligation of the Company, which is absolute and unconditional, to pay or deliver, as the case may be, the principal (including the Redemption Price and the Fundamental Change Repurchase Price, if applicable) of, accrued and unpaid interest on, and the consideration due upon conversion of, this Note at the place, at the respective times, at the rate and in the lawful money herein prescribed. R-2 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 The Notes shall be redeemable at the Company’s option on or after February 20, 2026, in accordance with the terms and subject to the conditions specified in the Indenture. No sinking fund is provided for the Notes. 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 Subject to the provisions of the Indenture, the Holder hereof has the right, at its option,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 Terms used in this Note and defined in the Indenture are used herein as therein defined.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7" descr=""/>
                    <pic:cNvPicPr>
                      <a:picLocks noChangeAspect="1" noChangeArrowheads="1"/>
                    </pic:cNvPicPr>
                  </pic:nvPicPr>
                  <pic:blipFill>
                    <a:blip r:embed="rId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R-3 ABBREVIATIONS The following abbreviations, when used in the inscription of the face of this Note, shall be construed as though they were written out in full according to applicable laws or regulations: TEN COM = as tenants in common UNIF GIFT MIN ACT = Uniform Gifts to Minors Act CUST = Custodian TEN ENT = as tenants by the entireties JT TEN = joint tenants with right of survivorship and not as tenants in common Additional abbreviations may also be used though not in the above list. R-4 SCHEDULE A9 SCHEDULE OF EXCHANGES OF NOTES Pacific Biosciences of California, Inc. 1.50% Convertible Senior Notes due 2028 The initial principal amount of this Global Note is _________ MILLION DOLLARS ($[_______]). The following increases or decreases in this Global Note have been made: Date of exchange Amount of decrease in principal amount of this Global Note Amount of increase in principal amount of this Global Note Principal amount of this Global Note following such decrease or increase Signature of authorized signatory of Trustee or Custodian 9 Include if a global note. 1 ATTACHMENT 1 [FORM OF NOTICE OF CONVERSION] To: Pacific Biosciences of California, Inc. To: U.S. Bank National Association 1 California Street, Suite 1000 San Francisco, CA 94111 Attention: D. Jason (Pacific Biosciences of California, Inc. 1.50% Convertible Senior Notes due 2028) 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 Dated: _____________________ ________________________________ ________________________________ Signature(s) ___________________________ Signature Guarantee Signature(s) must be guaranteed by an eligible Guarantor Institution (banks, stock brokers, savings and loan associations and credit unions) with membership in an approved signature guarantee medallion program 2 pursuant to Securities and Exchange Commission Rule 17Ad-15 if shares of Common Stock are to be issued, or Notes are to be delivered, other than to and in the name of the registered holder. Fill in for registration of shares if to be issued, and Notes if to be delivered, other than to and in the name of the registered holder: _________________________ (Name) _________________________ (Street Address) _________________________ (City, State and Zip Code) Please print name and address Principal amount to be converted (if less than all): $______,000 NOTICE: The above signature(s) of the Holder(s) hereof must correspond with the name as written upon the face of the Note in every particular without alteration or enlargement or any change whatever. _________________________ Social Security or Other Taxpayer Identification Number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8" descr=""/>
                    <pic:cNvPicPr>
                      <a:picLocks noChangeAspect="1" noChangeArrowheads="1"/>
                    </pic:cNvPicPr>
                  </pic:nvPicPr>
                  <pic:blipFill>
                    <a:blip r:embed="rId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2 [FORM OF FUNDAMENTAL CHANGE REPURCHASE NOTICE] To: Pacific Biosciences of California, Inc. To: U.S. Bank National Association 1 California Street, Suite 1000 San Francisco, CA 94111 Attention: D. Jason (Pacific Biosciences of California, Inc. 1.50% Convertible Senior Notes due 2028) The undersigned registered owner of this Note hereby acknowledges receipt of a notice from Pacific Biosciences of California, Inc. (the “Company”),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(2) if such Fundamental Change Repurchase Date does not fall during the period after a Regular Record Date and on or prior to the corresponding Interest Payment Date, accrued and unpaid interest, if any, thereon to, but excluding, such Fundamental Change Repurchase Date and (3) all unpaid interest from the Fundamental Change Repurchase Date to, but excluding, the Maturity Date. Capitalized terms used herein but not defined shall have the meanings ascribed to such terms in the Indenture. In the case of Physical Notes, the certificate numbers of the Notes to be repurchased are as set forth below: Dated: _____________________ ________________________________ Signature(s) _________________________ Social Security or Other Taxpayer Identification Number Principal amount to be repurchased (if less than all): $______,000 NOTICE: The above signature(s) of the Holder(s) hereof must correspond with the name as written upon the face of 2 the Note in every particular without alteration or enlargement or any change whatever. 1 ATTACHMENT 3 [FORM OF ASSIGNMENT AND TRANSFER] To: Pacific Biosciences of California, Inc. To: U.S. Bank National Association 1 California Street, Suite 1000 San Francisco, CA 94111 Attention: D. Jason (Pacific Biosciences of California, Inc. 1.50% Convertible Senior Notes due 2028) 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In connection with any transfer of the within Note occurring prior to the Resale Restriction Termination Date, as defined in the Indenture governing such Note, the undersigned confirms that such Note is being transferred: □ To Pacific Biosciences of California, Inc., or a subsidiary thereof; or □ Pursuant to a registration statement that has become or been declared effective under the Securities Act of 1933, as amended; or □ Pursuant to and in compliance with Rule 144A under the Securities Act of 1933, as amended; or □ Pursuant to and in compliance with Rule 144 under the Securities Act of 1933, as amended, or any other available exemption from the registration requirements of the Securities Act of 1933, as amended. □ If such Note is a Sponsor Note, pursuant to and in accordance with Section 4.02 of the Investment Agreement to (i) a Purchaser’s Affiliate that executes and delivers to the Company a Joinder becoming a Purchaser party to the Investment Agreement and the Confidentiality Agreement and a duly completed and executed IRS Form W-9 (or a substantially equivalent form) or (ii) the Company or any of its Subsidiaries. Capitalized terms used in clauses (i) and (ii) of this paragraph but not defined in the Indenture shall have the meanings ascribed to such terms in the Investment Agreement. 2 Dated: ________________________ _____________________________________ _____________________________________ Signature(s) _____________________________________ Signature Guarantee 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 NOTICE: The signature on the assignment must correspond with the name as written upon the face of the Note in every particular without alteration or enlargement or any change whatever.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Christian Henry, certify that: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tbl>
      <w:tblPr>
        <w:tblW w:w="554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65"/>
        <w:gridCol w:w="965"/>
        <w:gridCol w:w="136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4,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xml:space="preserve"> President and Chief Executive Officer </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31.2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Susan Kim, certify that: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ind w:left="0" w:right="0" w:firstLine="810"/>
        <w:jc w:val="left"/>
        <w:rPr/>
      </w:pPr>
      <w:r>
        <w:rPr/>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4,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G. Kim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G. Kim</w:t>
              <w:br/>
              <w:t xml:space="preserve">Chief Financial Officer </w:t>
              <w:br/>
              <w:t>(Principal Financial Officer)</w:t>
            </w:r>
          </w:p>
        </w:tc>
      </w:tr>
    </w:tbl>
    <w:p>
      <w:pPr>
        <w:pStyle w:val="TextBody"/>
        <w:bidi w:val="0"/>
        <w:spacing w:before="180" w:after="283"/>
        <w:ind w:left="0" w:right="0" w:firstLine="4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32.1 </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CEO Furnished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June 30, 2023,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June 30, 2023 (the “Report”), fully complies with the requirements of section 13(a) or 15(d) of the Securities Exchange Act of 1934, and </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r>
        <w:rPr>
          <w:color w:val="000000"/>
        </w:rPr>
        <w:t xml:space="preserve"> </w:t>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2"/>
        <w:gridCol w:w="952"/>
        <w:gridCol w:w="135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4,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CFO Furnished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June 30, 2023,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June 30, 2023 (the “Report”), fully complies with the requirements of section 13(a) or 15(d) of the Securities Exchange Act of 1934, and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4,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G. Kim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Susan G. Kim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99130/000119312511075269/dex31.htm" TargetMode="External"/><Relationship Id="rId4" Type="http://schemas.openxmlformats.org/officeDocument/2006/relationships/hyperlink" Target="https://www.sec.gov/Archives/edgar/data/1299130/000119312511075269/dex31.htm" TargetMode="External"/><Relationship Id="rId5" Type="http://schemas.openxmlformats.org/officeDocument/2006/relationships/hyperlink" Target="https://www.sec.gov/Archives/edgar/data/1299130/000119312511075269/dex31.htm" TargetMode="External"/><Relationship Id="rId6" Type="http://schemas.openxmlformats.org/officeDocument/2006/relationships/hyperlink" Target="https://www.sec.gov/Archives/edgar/data/1299130/000129913022000128/pacb-20221103xex3_1.htm" TargetMode="External"/><Relationship Id="rId7" Type="http://schemas.openxmlformats.org/officeDocument/2006/relationships/hyperlink" Target="https://www.sec.gov/Archives/edgar/data/1299130/000129913022000128/pacb-20221103xex3_1.htm" TargetMode="External"/><Relationship Id="rId8" Type="http://schemas.openxmlformats.org/officeDocument/2006/relationships/hyperlink" Target="https://www.sec.gov/Archives/edgar/data/1299130/000110465923077161/tm2320097d1_ex4-1.htm" TargetMode="External"/><Relationship Id="rId9" Type="http://schemas.openxmlformats.org/officeDocument/2006/relationships/hyperlink" Target="https://www.sec.gov/Archives/edgar/data/1299130/000110465923077161/tm2320097d1_ex4-1.htm" TargetMode="External"/><Relationship Id="rId10" Type="http://schemas.openxmlformats.org/officeDocument/2006/relationships/hyperlink" Target="https://www.sec.gov/Archives/edgar/data/1299130/000110465923077161/tm2320097d1_ex4-1.htm" TargetMode="External"/><Relationship Id="rId11" Type="http://schemas.openxmlformats.org/officeDocument/2006/relationships/hyperlink" Target="https://www.sec.gov/Archives/edgar/data/1299130/000110465923077161/tm2320097d1_ex4-1.htm" TargetMode="External"/><Relationship Id="rId12" Type="http://schemas.openxmlformats.org/officeDocument/2006/relationships/hyperlink" Target="https://www.sec.gov/Archives/edgar/data/1299130/000110465923077161/tm2320097d1_ex4-1.htm" TargetMode="External"/><Relationship Id="rId13" Type="http://schemas.openxmlformats.org/officeDocument/2006/relationships/hyperlink" Target="https://www.sec.gov/Archives/edgar/data/1299130/000110465923077161/tm2320097d1_ex4-1.htm" TargetMode="External"/><Relationship Id="rId14" Type="http://schemas.openxmlformats.org/officeDocument/2006/relationships/hyperlink" Target="https://www.sec.gov/Archives/edgar/data/1299130/000110465923074397/tm2319528d1_ex10-1.htm" TargetMode="External"/><Relationship Id="rId15" Type="http://schemas.openxmlformats.org/officeDocument/2006/relationships/hyperlink" Target="https://www.sec.gov/Archives/edgar/data/1299130/000110465923074397/tm2319528d1_ex10-1.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99208</Words>
  <Characters>530594</Characters>
  <CharactersWithSpaces>628283</CharactersWithSpaces>
  <Paragraphs>2910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pacb-ex41x2021indenture</dc:title>
</cp:coreProperties>
</file>