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200" w:after="283"/>
        <w:jc w:val="center"/>
        <w:rPr/>
      </w:pPr>
      <w:r>
        <w:rPr>
          <w:rFonts w:ascii="Wingdings;sans-serif" w:hAnsi="Wingdings;sans-serif"/>
          <w:b/>
          <w:color w:val="000000"/>
          <w:sz w:val="18"/>
        </w:rPr>
        <w:t>o</w:t>
      </w: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001-34899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before="60" w:after="283"/>
        <w:jc w:val="center"/>
        <w:rPr/>
      </w:pPr>
      <w:r>
        <w:rPr/>
        <w:drawing>
          <wp:inline distT="0" distB="0" distL="0" distR="0">
            <wp:extent cx="2476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715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Pacific Biosciences of California,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16-1590339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1305 O’Brien Drive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Menlo Park,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94025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(650) 521-8000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PACB</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94"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69"/>
        <w:gridCol w:w="669"/>
        <w:gridCol w:w="672"/>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0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Number of shares outstanding of the issuer’s common stock as of April 30, 2025: 300,084,685.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center"/>
        <w:rPr>
          <w:rFonts w:ascii="Roboto;sans-serif" w:hAnsi="Roboto;sans-serif"/>
          <w:b/>
          <w:color w:val="000000"/>
          <w:sz w:val="20"/>
        </w:rPr>
      </w:pPr>
      <w:r>
        <w:rPr>
          <w:rFonts w:ascii="Roboto;sans-serif" w:hAnsi="Roboto;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39"/>
        <w:gridCol w:w="3022"/>
        <w:gridCol w:w="3036"/>
        <w:gridCol w:w="206"/>
        <w:gridCol w:w="206"/>
        <w:gridCol w:w="296"/>
      </w:tblGrid>
      <w:tr>
        <w:trPr/>
        <w:tc>
          <w:tcPr>
            <w:tcW w:w="343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u w:val="single"/>
              </w:rPr>
            </w:pPr>
            <w:r>
              <w:rPr>
                <w:rFonts w:ascii="Roboto;sans-serif" w:hAnsi="Roboto;sans-serif"/>
                <w:b/>
                <w:color w:val="000000"/>
                <w:sz w:val="20"/>
                <w:u w:val="single"/>
              </w:rPr>
              <w:t>Page</w:t>
            </w:r>
          </w:p>
        </w:tc>
      </w:tr>
      <w:tr>
        <w:trPr/>
        <w:tc>
          <w:tcPr>
            <w:tcW w:w="9497" w:type="dxa"/>
            <w:gridSpan w:val="3"/>
            <w:tcBorders/>
            <w:shd w:fill="DF1995" w:val="clear"/>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0">
              <w:r>
                <w:rPr>
                  <w:rStyle w:val="InternetLink"/>
                  <w:rFonts w:ascii="Roboto;sans-serif" w:hAnsi="Roboto;sans-serif"/>
                  <w:b/>
                  <w:strike w:val="false"/>
                  <w:dstrike w:val="false"/>
                  <w:color w:val="FFFFFF"/>
                  <w:sz w:val="20"/>
                  <w:u w:val="none"/>
                  <w:effect w:val="none"/>
                </w:rPr>
                <w:t>PART I. FINANCIAL INFORMATION</w:t>
              </w:r>
            </w:hyperlink>
          </w:p>
        </w:tc>
        <w:tc>
          <w:tcPr>
            <w:tcW w:w="70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3">
              <w:r>
                <w:rPr>
                  <w:rStyle w:val="InternetLink"/>
                  <w:rFonts w:ascii="Roboto;sans-serif" w:hAnsi="Roboto;sans-serif"/>
                  <w:b w:val="false"/>
                  <w:color w:val="0000FF"/>
                  <w:sz w:val="20"/>
                  <w:u w:val="single"/>
                </w:rPr>
                <w:t>Item 1. Financial Statements (unaudited):</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6">
              <w:r>
                <w:rPr>
                  <w:rStyle w:val="InternetLink"/>
                  <w:rFonts w:ascii="Roboto;sans-serif" w:hAnsi="Roboto;sans-serif"/>
                  <w:b w:val="false"/>
                  <w:color w:val="000080"/>
                  <w:sz w:val="20"/>
                  <w:u w:val="single"/>
                </w:rPr>
                <w:t xml:space="preserve">Condensed Consolidated Balance Sheets as of </w:t>
              </w:r>
            </w:hyperlink>
            <w:hyperlink w:anchor="i8ceeb5c9aa84416fb9d34124a1b6c447_16">
              <w:r>
                <w:rPr>
                  <w:rStyle w:val="InternetLink"/>
                  <w:rFonts w:ascii="Roboto;sans-serif" w:hAnsi="Roboto;sans-serif"/>
                  <w:b w:val="false"/>
                  <w:color w:val="000080"/>
                  <w:sz w:val="20"/>
                  <w:u w:val="single"/>
                </w:rPr>
                <w:t>March</w:t>
              </w:r>
            </w:hyperlink>
            <w:hyperlink w:anchor="i8ceeb5c9aa84416fb9d34124a1b6c447_16">
              <w:r>
                <w:rPr>
                  <w:rStyle w:val="InternetLink"/>
                  <w:rFonts w:ascii="Roboto;sans-serif" w:hAnsi="Roboto;sans-serif"/>
                  <w:b w:val="false"/>
                  <w:color w:val="000080"/>
                  <w:sz w:val="20"/>
                  <w:u w:val="single"/>
                </w:rPr>
                <w:t xml:space="preserve"> 3</w:t>
              </w:r>
            </w:hyperlink>
            <w:hyperlink w:anchor="i8ceeb5c9aa84416fb9d34124a1b6c447_16">
              <w:r>
                <w:rPr>
                  <w:rStyle w:val="InternetLink"/>
                  <w:rFonts w:ascii="Roboto;sans-serif" w:hAnsi="Roboto;sans-serif"/>
                  <w:b w:val="false"/>
                  <w:color w:val="000080"/>
                  <w:sz w:val="20"/>
                  <w:u w:val="single"/>
                </w:rPr>
                <w:t>1</w:t>
              </w:r>
            </w:hyperlink>
            <w:hyperlink w:anchor="i8ceeb5c9aa84416fb9d34124a1b6c447_16">
              <w:r>
                <w:rPr>
                  <w:rStyle w:val="InternetLink"/>
                  <w:rFonts w:ascii="Roboto;sans-serif" w:hAnsi="Roboto;sans-serif"/>
                  <w:b w:val="false"/>
                  <w:color w:val="000080"/>
                  <w:sz w:val="20"/>
                  <w:u w:val="single"/>
                </w:rPr>
                <w:t>, 202</w:t>
              </w:r>
            </w:hyperlink>
            <w:hyperlink w:anchor="i8ceeb5c9aa84416fb9d34124a1b6c447_16">
              <w:r>
                <w:rPr>
                  <w:rStyle w:val="InternetLink"/>
                  <w:rFonts w:ascii="Roboto;sans-serif" w:hAnsi="Roboto;sans-serif"/>
                  <w:b w:val="false"/>
                  <w:color w:val="000080"/>
                  <w:sz w:val="20"/>
                  <w:u w:val="single"/>
                </w:rPr>
                <w:t>5</w:t>
              </w:r>
            </w:hyperlink>
            <w:hyperlink w:anchor="i8ceeb5c9aa84416fb9d34124a1b6c447_16">
              <w:r>
                <w:rPr>
                  <w:rStyle w:val="InternetLink"/>
                  <w:rFonts w:ascii="Roboto;sans-serif" w:hAnsi="Roboto;sans-serif"/>
                  <w:b w:val="false"/>
                  <w:color w:val="000080"/>
                  <w:sz w:val="20"/>
                  <w:u w:val="single"/>
                </w:rPr>
                <w:t xml:space="preserve"> and December 31, 20</w:t>
              </w:r>
            </w:hyperlink>
            <w:hyperlink w:anchor="i8ceeb5c9aa84416fb9d34124a1b6c447_16">
              <w:r>
                <w:rPr>
                  <w:rStyle w:val="InternetLink"/>
                  <w:rFonts w:ascii="Roboto;sans-serif" w:hAnsi="Roboto;sans-serif"/>
                  <w:b w:val="false"/>
                  <w:color w:val="000080"/>
                  <w:sz w:val="20"/>
                  <w:u w:val="single"/>
                </w:rPr>
                <w:t>24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6">
              <w:r>
                <w:rPr>
                  <w:rStyle w:val="InternetLink"/>
                  <w:rFonts w:ascii="Roboto;sans-serif" w:hAnsi="Roboto;sans-serif"/>
                  <w:b w:val="false"/>
                  <w:strike w:val="false"/>
                  <w:dstrike w:val="false"/>
                  <w:color w:val="000000"/>
                  <w:sz w:val="20"/>
                  <w:u w:val="none"/>
                  <w:effect w:val="none"/>
                </w:rPr>
                <w:t>3</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9">
              <w:r>
                <w:rPr>
                  <w:rStyle w:val="InternetLink"/>
                  <w:rFonts w:ascii="Roboto;sans-serif" w:hAnsi="Roboto;sans-serif"/>
                  <w:b w:val="false"/>
                  <w:color w:val="000080"/>
                  <w:sz w:val="20"/>
                  <w:u w:val="single"/>
                </w:rPr>
                <w:t>Condensed Consolidated Statements of Operations and Comprehensive Loss for the Three</w:t>
              </w:r>
            </w:hyperlink>
            <w:hyperlink w:anchor="i8ceeb5c9aa84416fb9d34124a1b6c447_19">
              <w:r>
                <w:rPr>
                  <w:rStyle w:val="InternetLink"/>
                  <w:rFonts w:ascii="Roboto;sans-serif" w:hAnsi="Roboto;sans-serif"/>
                  <w:b w:val="false"/>
                  <w:color w:val="000080"/>
                  <w:sz w:val="20"/>
                  <w:u w:val="single"/>
                </w:rPr>
                <w:t xml:space="preserve"> </w:t>
              </w:r>
            </w:hyperlink>
            <w:hyperlink w:anchor="i8ceeb5c9aa84416fb9d34124a1b6c447_19">
              <w:r>
                <w:rPr>
                  <w:rStyle w:val="InternetLink"/>
                  <w:rFonts w:ascii="Roboto;sans-serif" w:hAnsi="Roboto;sans-serif"/>
                  <w:b w:val="false"/>
                  <w:color w:val="000080"/>
                  <w:sz w:val="20"/>
                  <w:u w:val="single"/>
                </w:rPr>
                <w:t xml:space="preserve">Months Ended </w:t>
              </w:r>
            </w:hyperlink>
            <w:hyperlink w:anchor="i8ceeb5c9aa84416fb9d34124a1b6c447_19">
              <w:r>
                <w:rPr>
                  <w:rStyle w:val="InternetLink"/>
                  <w:rFonts w:ascii="Roboto;sans-serif" w:hAnsi="Roboto;sans-serif"/>
                  <w:b w:val="false"/>
                  <w:color w:val="000080"/>
                  <w:sz w:val="20"/>
                  <w:u w:val="single"/>
                </w:rPr>
                <w:t>March</w:t>
              </w:r>
            </w:hyperlink>
            <w:hyperlink w:anchor="i8ceeb5c9aa84416fb9d34124a1b6c447_19">
              <w:r>
                <w:rPr>
                  <w:rStyle w:val="InternetLink"/>
                  <w:rFonts w:ascii="Roboto;sans-serif" w:hAnsi="Roboto;sans-serif"/>
                  <w:b w:val="false"/>
                  <w:color w:val="000080"/>
                  <w:sz w:val="20"/>
                  <w:u w:val="single"/>
                </w:rPr>
                <w:t xml:space="preserve"> 3</w:t>
              </w:r>
            </w:hyperlink>
            <w:hyperlink w:anchor="i8ceeb5c9aa84416fb9d34124a1b6c447_19">
              <w:r>
                <w:rPr>
                  <w:rStyle w:val="InternetLink"/>
                  <w:rFonts w:ascii="Roboto;sans-serif" w:hAnsi="Roboto;sans-serif"/>
                  <w:b w:val="false"/>
                  <w:color w:val="000080"/>
                  <w:sz w:val="20"/>
                  <w:u w:val="single"/>
                </w:rPr>
                <w:t>1</w:t>
              </w:r>
            </w:hyperlink>
            <w:hyperlink w:anchor="i8ceeb5c9aa84416fb9d34124a1b6c447_19">
              <w:r>
                <w:rPr>
                  <w:rStyle w:val="InternetLink"/>
                  <w:rFonts w:ascii="Roboto;sans-serif" w:hAnsi="Roboto;sans-serif"/>
                  <w:b w:val="false"/>
                  <w:color w:val="000080"/>
                  <w:sz w:val="20"/>
                  <w:u w:val="single"/>
                </w:rPr>
                <w:t>, 202</w:t>
              </w:r>
            </w:hyperlink>
            <w:hyperlink w:anchor="i8ceeb5c9aa84416fb9d34124a1b6c447_19">
              <w:r>
                <w:rPr>
                  <w:rStyle w:val="InternetLink"/>
                  <w:rFonts w:ascii="Roboto;sans-serif" w:hAnsi="Roboto;sans-serif"/>
                  <w:b w:val="false"/>
                  <w:color w:val="000080"/>
                  <w:sz w:val="20"/>
                  <w:u w:val="single"/>
                </w:rPr>
                <w:t>5</w:t>
              </w:r>
            </w:hyperlink>
            <w:hyperlink w:anchor="i8ceeb5c9aa84416fb9d34124a1b6c447_19">
              <w:r>
                <w:rPr>
                  <w:rStyle w:val="InternetLink"/>
                  <w:rFonts w:ascii="Roboto;sans-serif" w:hAnsi="Roboto;sans-serif"/>
                  <w:b w:val="false"/>
                  <w:color w:val="000080"/>
                  <w:sz w:val="20"/>
                  <w:u w:val="single"/>
                </w:rPr>
                <w:t xml:space="preserve"> and 202</w:t>
              </w:r>
            </w:hyperlink>
            <w:hyperlink w:anchor="i8ceeb5c9aa84416fb9d34124a1b6c447_19">
              <w:r>
                <w:rPr>
                  <w:rStyle w:val="InternetLink"/>
                  <w:rFonts w:ascii="Roboto;sans-serif" w:hAnsi="Roboto;sans-serif"/>
                  <w:b w:val="false"/>
                  <w:color w:val="000080"/>
                  <w:sz w:val="20"/>
                  <w:u w:val="single"/>
                </w:rPr>
                <w:t>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9">
              <w:r>
                <w:rPr>
                  <w:rStyle w:val="InternetLink"/>
                  <w:rFonts w:ascii="Roboto;sans-serif" w:hAnsi="Roboto;sans-serif"/>
                  <w:b w:val="false"/>
                  <w:strike w:val="false"/>
                  <w:dstrike w:val="false"/>
                  <w:color w:val="000000"/>
                  <w:sz w:val="20"/>
                  <w:u w:val="none"/>
                  <w:effect w:val="none"/>
                </w:rPr>
                <w:t>4</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22">
              <w:r>
                <w:rPr>
                  <w:rStyle w:val="InternetLink"/>
                  <w:rFonts w:ascii="Roboto;sans-serif" w:hAnsi="Roboto;sans-serif"/>
                  <w:b w:val="false"/>
                  <w:color w:val="000080"/>
                  <w:sz w:val="20"/>
                  <w:u w:val="single"/>
                </w:rPr>
                <w:t>Condensed Consolidated Statements of Stockholders’ Equity for the Three</w:t>
              </w:r>
            </w:hyperlink>
            <w:hyperlink w:anchor="i8ceeb5c9aa84416fb9d34124a1b6c447_22">
              <w:r>
                <w:rPr>
                  <w:rStyle w:val="InternetLink"/>
                  <w:rFonts w:ascii="Roboto;sans-serif" w:hAnsi="Roboto;sans-serif"/>
                  <w:b w:val="false"/>
                  <w:color w:val="000080"/>
                  <w:sz w:val="20"/>
                  <w:u w:val="single"/>
                </w:rPr>
                <w:t xml:space="preserve"> Months Ended </w:t>
              </w:r>
            </w:hyperlink>
            <w:hyperlink w:anchor="i8ceeb5c9aa84416fb9d34124a1b6c447_22">
              <w:r>
                <w:rPr>
                  <w:rStyle w:val="InternetLink"/>
                  <w:rFonts w:ascii="Roboto;sans-serif" w:hAnsi="Roboto;sans-serif"/>
                  <w:b w:val="false"/>
                  <w:color w:val="000080"/>
                  <w:sz w:val="20"/>
                  <w:u w:val="single"/>
                </w:rPr>
                <w:t>March</w:t>
              </w:r>
            </w:hyperlink>
            <w:hyperlink w:anchor="i8ceeb5c9aa84416fb9d34124a1b6c447_22">
              <w:r>
                <w:rPr>
                  <w:rStyle w:val="InternetLink"/>
                  <w:rFonts w:ascii="Roboto;sans-serif" w:hAnsi="Roboto;sans-serif"/>
                  <w:b w:val="false"/>
                  <w:color w:val="000080"/>
                  <w:sz w:val="20"/>
                  <w:u w:val="single"/>
                </w:rPr>
                <w:t xml:space="preserve"> 3</w:t>
              </w:r>
            </w:hyperlink>
            <w:hyperlink w:anchor="i8ceeb5c9aa84416fb9d34124a1b6c447_22">
              <w:r>
                <w:rPr>
                  <w:rStyle w:val="InternetLink"/>
                  <w:rFonts w:ascii="Roboto;sans-serif" w:hAnsi="Roboto;sans-serif"/>
                  <w:b w:val="false"/>
                  <w:color w:val="000080"/>
                  <w:sz w:val="20"/>
                  <w:u w:val="single"/>
                </w:rPr>
                <w:t>1</w:t>
              </w:r>
            </w:hyperlink>
            <w:hyperlink w:anchor="i8ceeb5c9aa84416fb9d34124a1b6c447_22">
              <w:r>
                <w:rPr>
                  <w:rStyle w:val="InternetLink"/>
                  <w:rFonts w:ascii="Roboto;sans-serif" w:hAnsi="Roboto;sans-serif"/>
                  <w:b w:val="false"/>
                  <w:color w:val="000080"/>
                  <w:sz w:val="20"/>
                  <w:u w:val="single"/>
                </w:rPr>
                <w:t>, 202</w:t>
              </w:r>
            </w:hyperlink>
            <w:hyperlink w:anchor="i8ceeb5c9aa84416fb9d34124a1b6c447_22">
              <w:r>
                <w:rPr>
                  <w:rStyle w:val="InternetLink"/>
                  <w:rFonts w:ascii="Roboto;sans-serif" w:hAnsi="Roboto;sans-serif"/>
                  <w:b w:val="false"/>
                  <w:color w:val="000080"/>
                  <w:sz w:val="20"/>
                  <w:u w:val="single"/>
                </w:rPr>
                <w:t>5</w:t>
              </w:r>
            </w:hyperlink>
            <w:hyperlink w:anchor="i8ceeb5c9aa84416fb9d34124a1b6c447_22">
              <w:r>
                <w:rPr>
                  <w:rStyle w:val="InternetLink"/>
                  <w:rFonts w:ascii="Roboto;sans-serif" w:hAnsi="Roboto;sans-serif"/>
                  <w:b w:val="false"/>
                  <w:color w:val="000080"/>
                  <w:sz w:val="20"/>
                  <w:u w:val="single"/>
                </w:rPr>
                <w:t xml:space="preserve"> and 202</w:t>
              </w:r>
            </w:hyperlink>
            <w:hyperlink w:anchor="i8ceeb5c9aa84416fb9d34124a1b6c447_22">
              <w:r>
                <w:rPr>
                  <w:rStyle w:val="InternetLink"/>
                  <w:rFonts w:ascii="Roboto;sans-serif" w:hAnsi="Roboto;sans-serif"/>
                  <w:b w:val="false"/>
                  <w:color w:val="000080"/>
                  <w:sz w:val="20"/>
                  <w:u w:val="single"/>
                </w:rPr>
                <w:t>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22">
              <w:r>
                <w:rPr>
                  <w:rStyle w:val="InternetLink"/>
                  <w:rFonts w:ascii="Roboto;sans-serif" w:hAnsi="Roboto;sans-serif"/>
                  <w:b w:val="false"/>
                  <w:strike w:val="false"/>
                  <w:dstrike w:val="false"/>
                  <w:color w:val="000000"/>
                  <w:sz w:val="20"/>
                  <w:u w:val="none"/>
                  <w:effect w:val="none"/>
                </w:rPr>
                <w:t>5</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25">
              <w:r>
                <w:rPr>
                  <w:rStyle w:val="InternetLink"/>
                  <w:rFonts w:ascii="Roboto;sans-serif" w:hAnsi="Roboto;sans-serif"/>
                  <w:b w:val="false"/>
                  <w:color w:val="000080"/>
                  <w:sz w:val="20"/>
                  <w:u w:val="single"/>
                </w:rPr>
                <w:t xml:space="preserve">Condensed Consolidated Statements of Cash Flows for the </w:t>
              </w:r>
            </w:hyperlink>
            <w:hyperlink w:anchor="i8ceeb5c9aa84416fb9d34124a1b6c447_25">
              <w:r>
                <w:rPr>
                  <w:rStyle w:val="InternetLink"/>
                  <w:rFonts w:ascii="Roboto;sans-serif" w:hAnsi="Roboto;sans-serif"/>
                  <w:b w:val="false"/>
                  <w:color w:val="000080"/>
                  <w:sz w:val="20"/>
                  <w:u w:val="single"/>
                </w:rPr>
                <w:t>Three</w:t>
              </w:r>
            </w:hyperlink>
            <w:hyperlink w:anchor="i8ceeb5c9aa84416fb9d34124a1b6c447_25">
              <w:r>
                <w:rPr>
                  <w:rStyle w:val="InternetLink"/>
                  <w:rFonts w:ascii="Roboto;sans-serif" w:hAnsi="Roboto;sans-serif"/>
                  <w:b w:val="false"/>
                  <w:color w:val="000080"/>
                  <w:sz w:val="20"/>
                  <w:u w:val="single"/>
                </w:rPr>
                <w:t xml:space="preserve"> Months Ended </w:t>
              </w:r>
            </w:hyperlink>
            <w:hyperlink w:anchor="i8ceeb5c9aa84416fb9d34124a1b6c447_25">
              <w:r>
                <w:rPr>
                  <w:rStyle w:val="InternetLink"/>
                  <w:rFonts w:ascii="Roboto;sans-serif" w:hAnsi="Roboto;sans-serif"/>
                  <w:b w:val="false"/>
                  <w:color w:val="000080"/>
                  <w:sz w:val="20"/>
                  <w:u w:val="single"/>
                </w:rPr>
                <w:t>March</w:t>
              </w:r>
            </w:hyperlink>
            <w:hyperlink w:anchor="i8ceeb5c9aa84416fb9d34124a1b6c447_25">
              <w:r>
                <w:rPr>
                  <w:rStyle w:val="InternetLink"/>
                  <w:rFonts w:ascii="Roboto;sans-serif" w:hAnsi="Roboto;sans-serif"/>
                  <w:b w:val="false"/>
                  <w:color w:val="000080"/>
                  <w:sz w:val="20"/>
                  <w:u w:val="single"/>
                </w:rPr>
                <w:t xml:space="preserve"> 3</w:t>
              </w:r>
            </w:hyperlink>
            <w:hyperlink w:anchor="i8ceeb5c9aa84416fb9d34124a1b6c447_25">
              <w:r>
                <w:rPr>
                  <w:rStyle w:val="InternetLink"/>
                  <w:rFonts w:ascii="Roboto;sans-serif" w:hAnsi="Roboto;sans-serif"/>
                  <w:b w:val="false"/>
                  <w:color w:val="000080"/>
                  <w:sz w:val="20"/>
                  <w:u w:val="single"/>
                </w:rPr>
                <w:t>1</w:t>
              </w:r>
            </w:hyperlink>
            <w:hyperlink w:anchor="i8ceeb5c9aa84416fb9d34124a1b6c447_25">
              <w:r>
                <w:rPr>
                  <w:rStyle w:val="InternetLink"/>
                  <w:rFonts w:ascii="Roboto;sans-serif" w:hAnsi="Roboto;sans-serif"/>
                  <w:b w:val="false"/>
                  <w:color w:val="000080"/>
                  <w:sz w:val="20"/>
                  <w:u w:val="single"/>
                </w:rPr>
                <w:t>, 202</w:t>
              </w:r>
            </w:hyperlink>
            <w:hyperlink w:anchor="i8ceeb5c9aa84416fb9d34124a1b6c447_25">
              <w:r>
                <w:rPr>
                  <w:rStyle w:val="InternetLink"/>
                  <w:rFonts w:ascii="Roboto;sans-serif" w:hAnsi="Roboto;sans-serif"/>
                  <w:b w:val="false"/>
                  <w:color w:val="000080"/>
                  <w:sz w:val="20"/>
                  <w:u w:val="single"/>
                </w:rPr>
                <w:t>5</w:t>
              </w:r>
            </w:hyperlink>
            <w:hyperlink w:anchor="i8ceeb5c9aa84416fb9d34124a1b6c447_25">
              <w:r>
                <w:rPr>
                  <w:rStyle w:val="InternetLink"/>
                  <w:rFonts w:ascii="Roboto;sans-serif" w:hAnsi="Roboto;sans-serif"/>
                  <w:b w:val="false"/>
                  <w:color w:val="000080"/>
                  <w:sz w:val="20"/>
                  <w:u w:val="single"/>
                </w:rPr>
                <w:t xml:space="preserve"> and 202</w:t>
              </w:r>
            </w:hyperlink>
            <w:hyperlink w:anchor="i8ceeb5c9aa84416fb9d34124a1b6c447_25">
              <w:r>
                <w:rPr>
                  <w:rStyle w:val="InternetLink"/>
                  <w:rFonts w:ascii="Roboto;sans-serif" w:hAnsi="Roboto;sans-serif"/>
                  <w:b w:val="false"/>
                  <w:color w:val="000080"/>
                  <w:sz w:val="20"/>
                  <w:u w:val="single"/>
                </w:rPr>
                <w:t>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25">
              <w:r>
                <w:rPr>
                  <w:rStyle w:val="InternetLink"/>
                  <w:rFonts w:ascii="Roboto;sans-serif" w:hAnsi="Roboto;sans-serif"/>
                  <w:b w:val="false"/>
                  <w:strike w:val="false"/>
                  <w:dstrike w:val="false"/>
                  <w:color w:val="000000"/>
                  <w:sz w:val="20"/>
                  <w:u w:val="none"/>
                  <w:effect w:val="none"/>
                </w:rPr>
                <w:t>6</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28">
              <w:r>
                <w:rPr>
                  <w:rStyle w:val="InternetLink"/>
                  <w:rFonts w:ascii="Roboto;sans-serif" w:hAnsi="Roboto;sans-serif"/>
                  <w:b w:val="false"/>
                  <w:color w:val="0000FF"/>
                  <w:sz w:val="20"/>
                  <w:u w:val="single"/>
                </w:rPr>
                <w:t xml:space="preserve">Notes to Condensed Consolidated Financial Statements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28">
              <w:r>
                <w:rPr>
                  <w:rStyle w:val="InternetLink"/>
                  <w:rFonts w:ascii="Roboto;sans-serif" w:hAnsi="Roboto;sans-serif"/>
                  <w:b w:val="false"/>
                  <w:strike w:val="false"/>
                  <w:dstrike w:val="false"/>
                  <w:color w:val="000000"/>
                  <w:sz w:val="20"/>
                  <w:u w:val="none"/>
                  <w:effect w:val="none"/>
                </w:rPr>
                <w:t>7</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70">
              <w:r>
                <w:rPr>
                  <w:rStyle w:val="InternetLink"/>
                  <w:rFonts w:ascii="Roboto;sans-serif" w:hAnsi="Roboto;sans-serif"/>
                  <w:b w:val="false"/>
                  <w:color w:val="0000FF"/>
                  <w:sz w:val="20"/>
                  <w:u w:val="single"/>
                </w:rPr>
                <w:t>Item 2. Management’s Discussion and Analysis of Financial Condition and Results of Operations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70">
              <w:r>
                <w:rPr>
                  <w:rStyle w:val="InternetLink"/>
                  <w:rFonts w:ascii="Roboto;sans-serif" w:hAnsi="Roboto;sans-serif"/>
                  <w:b w:val="false"/>
                  <w:strike w:val="false"/>
                  <w:dstrike w:val="false"/>
                  <w:color w:val="000000"/>
                  <w:sz w:val="20"/>
                  <w:u w:val="none"/>
                  <w:effect w:val="none"/>
                </w:rPr>
                <w:t>29</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91">
              <w:r>
                <w:rPr>
                  <w:rStyle w:val="InternetLink"/>
                  <w:rFonts w:ascii="Roboto;sans-serif" w:hAnsi="Roboto;sans-serif"/>
                  <w:b w:val="false"/>
                  <w:color w:val="0000FF"/>
                  <w:sz w:val="20"/>
                  <w:u w:val="single"/>
                </w:rPr>
                <w:t>Item 3. Quantitative and Qualitative Disclosures About Market Risk</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91">
              <w:r>
                <w:rPr>
                  <w:rStyle w:val="InternetLink"/>
                  <w:rFonts w:ascii="Roboto;sans-serif" w:hAnsi="Roboto;sans-serif"/>
                  <w:b w:val="false"/>
                  <w:strike w:val="false"/>
                  <w:dstrike w:val="false"/>
                  <w:color w:val="000000"/>
                  <w:sz w:val="20"/>
                  <w:u w:val="none"/>
                  <w:effect w:val="none"/>
                </w:rPr>
                <w:t>38</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94">
              <w:r>
                <w:rPr>
                  <w:rStyle w:val="InternetLink"/>
                  <w:rFonts w:ascii="Roboto;sans-serif" w:hAnsi="Roboto;sans-serif"/>
                  <w:b w:val="false"/>
                  <w:color w:val="0000FF"/>
                  <w:sz w:val="20"/>
                  <w:u w:val="single"/>
                </w:rPr>
                <w:t>Item 4. Controls and Procedures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94">
              <w:r>
                <w:rPr>
                  <w:rStyle w:val="InternetLink"/>
                  <w:rFonts w:ascii="Roboto;sans-serif" w:hAnsi="Roboto;sans-serif"/>
                  <w:b w:val="false"/>
                  <w:strike w:val="false"/>
                  <w:dstrike w:val="false"/>
                  <w:color w:val="000000"/>
                  <w:sz w:val="20"/>
                  <w:u w:val="none"/>
                  <w:effect w:val="none"/>
                </w:rPr>
                <w:t>38</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shd w:fill="DF1995" w:val="clear"/>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97">
              <w:r>
                <w:rPr>
                  <w:rStyle w:val="InternetLink"/>
                  <w:rFonts w:ascii="Roboto;sans-serif" w:hAnsi="Roboto;sans-serif"/>
                  <w:b/>
                  <w:strike w:val="false"/>
                  <w:dstrike w:val="false"/>
                  <w:color w:val="FFFFFF"/>
                  <w:sz w:val="20"/>
                  <w:u w:val="none"/>
                  <w:effect w:val="none"/>
                </w:rPr>
                <w:t>PART II. OTHER INFORMATION</w:t>
              </w:r>
            </w:hyperlink>
          </w:p>
        </w:tc>
        <w:tc>
          <w:tcPr>
            <w:tcW w:w="70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00">
              <w:r>
                <w:rPr>
                  <w:rStyle w:val="InternetLink"/>
                  <w:rFonts w:ascii="Roboto;sans-serif" w:hAnsi="Roboto;sans-serif"/>
                  <w:b w:val="false"/>
                  <w:color w:val="0000FF"/>
                  <w:sz w:val="20"/>
                  <w:u w:val="single"/>
                </w:rPr>
                <w:t>Item 1. Legal Proceedings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00">
              <w:r>
                <w:rPr>
                  <w:rStyle w:val="InternetLink"/>
                  <w:rFonts w:ascii="Roboto;sans-serif" w:hAnsi="Roboto;sans-serif"/>
                  <w:b w:val="false"/>
                  <w:strike w:val="false"/>
                  <w:dstrike w:val="false"/>
                  <w:color w:val="000000"/>
                  <w:sz w:val="20"/>
                  <w:u w:val="none"/>
                  <w:effect w:val="none"/>
                </w:rPr>
                <w:t>39</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446">
              <w:r>
                <w:rPr>
                  <w:rStyle w:val="InternetLink"/>
                  <w:rFonts w:ascii="Roboto;sans-serif" w:hAnsi="Roboto;sans-serif"/>
                  <w:b w:val="false"/>
                  <w:color w:val="0000FF"/>
                  <w:sz w:val="20"/>
                  <w:u w:val="single"/>
                </w:rPr>
                <w:t xml:space="preserve">Item 1A. Risk Factors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446">
              <w:r>
                <w:rPr>
                  <w:rStyle w:val="InternetLink"/>
                  <w:rFonts w:ascii="Roboto;sans-serif" w:hAnsi="Roboto;sans-serif"/>
                  <w:b w:val="false"/>
                  <w:strike w:val="false"/>
                  <w:dstrike w:val="false"/>
                  <w:color w:val="000000"/>
                  <w:sz w:val="20"/>
                  <w:u w:val="none"/>
                  <w:effect w:val="none"/>
                </w:rPr>
                <w:t>41</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06">
              <w:r>
                <w:rPr>
                  <w:rStyle w:val="InternetLink"/>
                  <w:rFonts w:ascii="Roboto;sans-serif" w:hAnsi="Roboto;sans-serif"/>
                  <w:b w:val="false"/>
                  <w:color w:val="0000FF"/>
                  <w:sz w:val="20"/>
                  <w:u w:val="single"/>
                </w:rPr>
                <w:t>Item 2. Unregistered Sales of Equity Securities and Use of Proceeds</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06">
              <w:r>
                <w:rPr>
                  <w:rStyle w:val="InternetLink"/>
                  <w:rFonts w:ascii="Roboto;sans-serif" w:hAnsi="Roboto;sans-serif"/>
                  <w:b w:val="false"/>
                  <w:strike w:val="false"/>
                  <w:dstrike w:val="false"/>
                  <w:color w:val="000000"/>
                  <w:sz w:val="20"/>
                  <w:u w:val="none"/>
                  <w:effect w:val="none"/>
                </w:rPr>
                <w:t>82</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09">
              <w:r>
                <w:rPr>
                  <w:rStyle w:val="InternetLink"/>
                  <w:rFonts w:ascii="Roboto;sans-serif" w:hAnsi="Roboto;sans-serif"/>
                  <w:b w:val="false"/>
                  <w:color w:val="0000FF"/>
                  <w:sz w:val="20"/>
                  <w:u w:val="single"/>
                </w:rPr>
                <w:t xml:space="preserve">Item 3. Defaults Upon Senior Securities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09">
              <w:r>
                <w:rPr>
                  <w:rStyle w:val="InternetLink"/>
                  <w:rFonts w:ascii="Roboto;sans-serif" w:hAnsi="Roboto;sans-serif"/>
                  <w:b w:val="false"/>
                  <w:strike w:val="false"/>
                  <w:dstrike w:val="false"/>
                  <w:color w:val="000000"/>
                  <w:sz w:val="20"/>
                  <w:u w:val="none"/>
                  <w:effect w:val="none"/>
                </w:rPr>
                <w:t>82</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12">
              <w:r>
                <w:rPr>
                  <w:rStyle w:val="InternetLink"/>
                  <w:rFonts w:ascii="Roboto;sans-serif" w:hAnsi="Roboto;sans-serif"/>
                  <w:b w:val="false"/>
                  <w:color w:val="0000FF"/>
                  <w:sz w:val="20"/>
                  <w:u w:val="single"/>
                </w:rPr>
                <w:t xml:space="preserve">Item 4. Mine Safety Disclosures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12">
              <w:r>
                <w:rPr>
                  <w:rStyle w:val="InternetLink"/>
                  <w:rFonts w:ascii="Roboto;sans-serif" w:hAnsi="Roboto;sans-serif"/>
                  <w:b w:val="false"/>
                  <w:strike w:val="false"/>
                  <w:dstrike w:val="false"/>
                  <w:color w:val="000000"/>
                  <w:sz w:val="20"/>
                  <w:u w:val="none"/>
                  <w:effect w:val="none"/>
                </w:rPr>
                <w:t>82</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15">
              <w:r>
                <w:rPr>
                  <w:rStyle w:val="InternetLink"/>
                  <w:rFonts w:ascii="Roboto;sans-serif" w:hAnsi="Roboto;sans-serif"/>
                  <w:b w:val="false"/>
                  <w:color w:val="0000FF"/>
                  <w:sz w:val="20"/>
                  <w:u w:val="single"/>
                </w:rPr>
                <w:t>Item 5. Other Information</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15">
              <w:r>
                <w:rPr>
                  <w:rStyle w:val="InternetLink"/>
                  <w:rFonts w:ascii="Roboto;sans-serif" w:hAnsi="Roboto;sans-serif"/>
                  <w:b w:val="false"/>
                  <w:strike w:val="false"/>
                  <w:dstrike w:val="false"/>
                  <w:color w:val="000000"/>
                  <w:sz w:val="20"/>
                  <w:u w:val="none"/>
                  <w:effect w:val="none"/>
                </w:rPr>
                <w:t>83</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21">
              <w:r>
                <w:rPr>
                  <w:rStyle w:val="InternetLink"/>
                  <w:rFonts w:ascii="Roboto;sans-serif" w:hAnsi="Roboto;sans-serif"/>
                  <w:b w:val="false"/>
                  <w:color w:val="0000FF"/>
                  <w:sz w:val="20"/>
                  <w:u w:val="single"/>
                </w:rPr>
                <w:t>Item 6. Exhibits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21">
              <w:r>
                <w:rPr>
                  <w:rStyle w:val="InternetLink"/>
                  <w:rFonts w:ascii="Roboto;sans-serif" w:hAnsi="Roboto;sans-serif"/>
                  <w:b w:val="false"/>
                  <w:strike w:val="false"/>
                  <w:dstrike w:val="false"/>
                  <w:color w:val="000000"/>
                  <w:sz w:val="20"/>
                  <w:u w:val="none"/>
                  <w:effect w:val="none"/>
                </w:rPr>
                <w:t>84</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eeb5c9aa84416fb9d34124a1b6c447_124">
              <w:r>
                <w:rPr>
                  <w:rStyle w:val="InternetLink"/>
                  <w:rFonts w:ascii="Roboto;sans-serif" w:hAnsi="Roboto;sans-serif"/>
                  <w:b w:val="false"/>
                  <w:color w:val="0000FF"/>
                  <w:sz w:val="20"/>
                  <w:u w:val="single"/>
                </w:rPr>
                <w:t>Signatures</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ceeb5c9aa84416fb9d34124a1b6c447_124">
              <w:r>
                <w:rPr>
                  <w:rStyle w:val="InternetLink"/>
                  <w:rFonts w:ascii="Roboto;sans-serif" w:hAnsi="Roboto;sans-serif"/>
                  <w:b w:val="false"/>
                  <w:strike w:val="false"/>
                  <w:dstrike w:val="false"/>
                  <w:color w:val="000000"/>
                  <w:sz w:val="20"/>
                  <w:u w:val="none"/>
                  <w:effect w:val="non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12520"/>
                <wp:effectExtent l="0" t="0" r="0" b="0"/>
                <wp:wrapNone/>
                <wp:docPr id="3" name="Frame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57200" cy="95250"/>
                                                </a:xfrm>
                                                <a:prstGeom prst="rect">
                                                  <a:avLst/>
                                                </a:prstGeom>
                                              </pic:spPr>
                                            </pic:pic>
                                          </a:graphicData>
                                        </a:graphic>
                                      </wp:inline>
                                    </w:drawing>
                                  </w:r>
                                  <w:bookmarkStart w:id="1" w:name="i-2"/>
                                  <w:bookmarkEnd w:id="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457200" cy="95250"/>
                                          </a:xfrm>
                                          <a:prstGeom prst="rect">
                                            <a:avLst/>
                                          </a:prstGeom>
                                        </pic:spPr>
                                      </pic:pic>
                                    </a:graphicData>
                                  </a:graphic>
                                </wp:inline>
                              </w:drawing>
                            </w:r>
                            <w:bookmarkStart w:id="2" w:name="i-2"/>
                            <w:bookmarkEnd w:id="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75" w:type="dxa"/>
        <w:jc w:val="left"/>
        <w:tblInd w:w="0" w:type="dxa"/>
        <w:tblLayout w:type="fixed"/>
        <w:tblCellMar>
          <w:top w:w="28" w:type="dxa"/>
          <w:left w:w="28" w:type="dxa"/>
          <w:bottom w:w="28" w:type="dxa"/>
          <w:right w:w="28" w:type="dxa"/>
        </w:tblCellMar>
      </w:tblPr>
      <w:tblGrid>
        <w:gridCol w:w="1464"/>
        <w:gridCol w:w="1287"/>
        <w:gridCol w:w="1824"/>
      </w:tblGrid>
      <w:tr>
        <w:trPr/>
        <w:tc>
          <w:tcPr>
            <w:tcW w:w="14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4"/>
              </w:rPr>
            </w:pPr>
            <w:r>
              <w:rPr>
                <w:rFonts w:ascii="Roboto;sans-serif" w:hAnsi="Roboto;sans-serif"/>
                <w:b/>
                <w:color w:val="DF1995"/>
                <w:sz w:val="24"/>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15" w:type="dxa"/>
        <w:jc w:val="left"/>
        <w:tblInd w:w="0" w:type="dxa"/>
        <w:tblLayout w:type="fixed"/>
        <w:tblCellMar>
          <w:top w:w="28" w:type="dxa"/>
          <w:left w:w="28" w:type="dxa"/>
          <w:bottom w:w="28" w:type="dxa"/>
          <w:right w:w="28" w:type="dxa"/>
        </w:tblCellMar>
      </w:tblPr>
      <w:tblGrid>
        <w:gridCol w:w="1826"/>
        <w:gridCol w:w="1605"/>
        <w:gridCol w:w="2284"/>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BALANCE SHEETS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left"/>
        <w:tblInd w:w="0" w:type="dxa"/>
        <w:tblLayout w:type="fixed"/>
        <w:tblCellMar>
          <w:top w:w="28" w:type="dxa"/>
          <w:left w:w="28" w:type="dxa"/>
          <w:bottom w:w="28" w:type="dxa"/>
          <w:right w:w="28" w:type="dxa"/>
        </w:tblCellMar>
      </w:tblPr>
      <w:tblGrid>
        <w:gridCol w:w="2723"/>
        <w:gridCol w:w="2169"/>
        <w:gridCol w:w="2177"/>
        <w:gridCol w:w="229"/>
        <w:gridCol w:w="962"/>
        <w:gridCol w:w="109"/>
        <w:gridCol w:w="109"/>
        <w:gridCol w:w="109"/>
        <w:gridCol w:w="109"/>
        <w:gridCol w:w="226"/>
        <w:gridCol w:w="1126"/>
        <w:gridCol w:w="157"/>
      </w:tblGrid>
      <w:tr>
        <w:trPr/>
        <w:tc>
          <w:tcPr>
            <w:tcW w:w="272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par value)</w:t>
            </w:r>
          </w:p>
        </w:tc>
        <w:tc>
          <w:tcPr>
            <w:tcW w:w="1300"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w:t>
              <w:br/>
              <w:t>2024</w:t>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Assets</w:t>
            </w:r>
          </w:p>
        </w:tc>
        <w:tc>
          <w:tcPr>
            <w:tcW w:w="1300"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Current assets </w:t>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Cash and cash equivalents </w:t>
            </w:r>
          </w:p>
        </w:tc>
        <w:tc>
          <w:tcPr>
            <w:tcW w:w="22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58,507 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Investments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284,603 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31,645 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27,524 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54,007 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58,755 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Prepaid expenses and other current assets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15,471 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assets </w:t>
            </w:r>
          </w:p>
        </w:tc>
        <w:tc>
          <w:tcPr>
            <w:tcW w:w="1191"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444,923 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495,681 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Property and equipment, net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24,794 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30,505 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right-of-use assets, net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44,408 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16,091 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18,182 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389,572 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317,761 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317,761 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long-term assets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9,189 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assets </w:t>
            </w:r>
          </w:p>
        </w:tc>
        <w:tc>
          <w:tcPr>
            <w:tcW w:w="22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860,789 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1,260,447 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 xml:space="preserve">Liabilities and Stockholders’ Equity </w:t>
            </w:r>
          </w:p>
        </w:tc>
        <w:tc>
          <w:tcPr>
            <w:tcW w:w="1300"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Accounts payable </w:t>
            </w:r>
          </w:p>
        </w:tc>
        <w:tc>
          <w:tcPr>
            <w:tcW w:w="22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14,037 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16,590 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Accrued expenses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29,337 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22,595 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current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15,241 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13,864 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2,417 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current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5,570 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3,224 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liabilities </w:t>
            </w:r>
          </w:p>
        </w:tc>
        <w:tc>
          <w:tcPr>
            <w:tcW w:w="1191"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66,602 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66,299 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non-current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5,855 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Contingent consideration liability, non-current</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liabilities, non-current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50,480 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14,914 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non-current</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646,214 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647,494 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non-current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w:t>
            </w:r>
          </w:p>
        </w:tc>
        <w:tc>
          <w:tcPr>
            <w:tcW w:w="1191"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769,151 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753,853 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Commitments and contingencies </w:t>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Stockholders’ equity</w:t>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Preferred stock, $0.001 par value:</w:t>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50,000 shares; No shares issued or outstanding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Common stock, $0.001 par value:</w:t>
            </w:r>
          </w:p>
        </w:tc>
        <w:tc>
          <w:tcPr>
            <w:tcW w:w="13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1,000,000 shares; issued and outstanding 300,041 and 294,418 shares at March 31, 2025 and December 31, 2024, respectively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Additional paid-in capital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2,665,958 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2,654,804 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Accumulated deficit </w:t>
            </w:r>
          </w:p>
        </w:tc>
        <w:tc>
          <w:tcPr>
            <w:tcW w:w="119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(2,575,001)</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(2,148,926)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stockholders’ equity </w:t>
            </w:r>
          </w:p>
        </w:tc>
        <w:tc>
          <w:tcPr>
            <w:tcW w:w="1191"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91,638 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506,594 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and stockholders’ equity </w:t>
            </w:r>
          </w:p>
        </w:tc>
        <w:tc>
          <w:tcPr>
            <w:tcW w:w="22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860,789 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1,260,447 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8ceeb5c9aa84416fb9d34124a1b6c44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12520"/>
                <wp:effectExtent l="0" t="0" r="0" b="0"/>
                <wp:wrapNone/>
                <wp:docPr id="6" name="Frame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457200" cy="95250"/>
                                                </a:xfrm>
                                                <a:prstGeom prst="rect">
                                                  <a:avLst/>
                                                </a:prstGeom>
                                              </pic:spPr>
                                            </pic:pic>
                                          </a:graphicData>
                                        </a:graphic>
                                      </wp:inline>
                                    </w:drawing>
                                  </w:r>
                                  <w:bookmarkStart w:id="3" w:name="i-3"/>
                                  <w:bookmarkEnd w:id="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457200" cy="95250"/>
                                          </a:xfrm>
                                          <a:prstGeom prst="rect">
                                            <a:avLst/>
                                          </a:prstGeom>
                                        </pic:spPr>
                                      </pic:pic>
                                    </a:graphicData>
                                  </a:graphic>
                                </wp:inline>
                              </w:drawing>
                            </w:r>
                            <w:bookmarkStart w:id="4" w:name="i-3"/>
                            <w:bookmarkEnd w:id="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10155" w:type="dxa"/>
        <w:jc w:val="left"/>
        <w:tblInd w:w="0" w:type="dxa"/>
        <w:tblLayout w:type="fixed"/>
        <w:tblCellMar>
          <w:top w:w="28" w:type="dxa"/>
          <w:left w:w="28" w:type="dxa"/>
          <w:bottom w:w="28" w:type="dxa"/>
          <w:right w:w="28" w:type="dxa"/>
        </w:tblCellMar>
      </w:tblPr>
      <w:tblGrid>
        <w:gridCol w:w="3250"/>
        <w:gridCol w:w="2856"/>
        <w:gridCol w:w="4049"/>
      </w:tblGrid>
      <w:tr>
        <w:trPr/>
        <w:tc>
          <w:tcPr>
            <w:tcW w:w="325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1015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OPERATIONS AND COMPREHENSIVE LOSS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left"/>
        <w:tblInd w:w="0" w:type="dxa"/>
        <w:tblLayout w:type="fixed"/>
        <w:tblCellMar>
          <w:top w:w="28" w:type="dxa"/>
          <w:left w:w="28" w:type="dxa"/>
          <w:bottom w:w="28" w:type="dxa"/>
          <w:right w:w="28" w:type="dxa"/>
        </w:tblCellMar>
      </w:tblPr>
      <w:tblGrid>
        <w:gridCol w:w="2448"/>
        <w:gridCol w:w="2128"/>
        <w:gridCol w:w="2132"/>
        <w:gridCol w:w="231"/>
        <w:gridCol w:w="1057"/>
        <w:gridCol w:w="111"/>
        <w:gridCol w:w="111"/>
        <w:gridCol w:w="111"/>
        <w:gridCol w:w="111"/>
        <w:gridCol w:w="231"/>
        <w:gridCol w:w="934"/>
        <w:gridCol w:w="111"/>
        <w:gridCol w:w="109"/>
        <w:gridCol w:w="109"/>
        <w:gridCol w:w="109"/>
        <w:gridCol w:w="162"/>
      </w:tblGrid>
      <w:tr>
        <w:trPr/>
        <w:tc>
          <w:tcPr>
            <w:tcW w:w="244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39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99"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3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5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31,113 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4"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35,009 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6,040 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8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37,153 </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38,810 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26,333 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3,778 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4,345 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1,343 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4,068 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8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38,524 </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27,528 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(loss) profit</w:t>
            </w:r>
          </w:p>
        </w:tc>
        <w:tc>
          <w:tcPr>
            <w:tcW w:w="128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(1,371)</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11,282 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29,053 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43,455 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40,168 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43,753 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362,042 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8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427,563 </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92,644 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(428,934)</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(81,362)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(1,737)</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(3,575)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4,294 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before benefit from income taxes</w:t>
            </w:r>
          </w:p>
        </w:tc>
        <w:tc>
          <w:tcPr>
            <w:tcW w:w="128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(426,377)</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(78,178)</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(benefit) provision</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(302)</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128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(426,075)</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(78,178)</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1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Unrealized loss on investments </w:t>
            </w:r>
          </w:p>
        </w:tc>
        <w:tc>
          <w:tcPr>
            <w:tcW w:w="128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(41)</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23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5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(426,116)</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(78,703)</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 per share:</w:t>
            </w:r>
          </w:p>
        </w:tc>
        <w:tc>
          <w:tcPr>
            <w:tcW w:w="1399"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23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5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(1.44)</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4"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231"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5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(1.44)</w:t>
            </w:r>
          </w:p>
        </w:tc>
        <w:tc>
          <w:tcPr>
            <w:tcW w:w="111"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(0.29)</w:t>
            </w:r>
          </w:p>
        </w:tc>
        <w:tc>
          <w:tcPr>
            <w:tcW w:w="1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outstanding used in calculating net loss per share:</w:t>
            </w:r>
          </w:p>
        </w:tc>
        <w:tc>
          <w:tcPr>
            <w:tcW w:w="1399"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139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296,858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269,578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1399" w:type="dxa"/>
            <w:gridSpan w:val="3"/>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296,858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269,578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8ceeb5c9aa84416fb9d34124a1b6c44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12520"/>
                <wp:effectExtent l="0" t="0" r="0" b="0"/>
                <wp:wrapNone/>
                <wp:docPr id="9" name="Frame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457200" cy="95250"/>
                                                </a:xfrm>
                                                <a:prstGeom prst="rect">
                                                  <a:avLst/>
                                                </a:prstGeom>
                                              </pic:spPr>
                                            </pic:pic>
                                          </a:graphicData>
                                        </a:graphic>
                                      </wp:inline>
                                    </w:drawing>
                                  </w:r>
                                  <w:bookmarkStart w:id="5" w:name="i-4"/>
                                  <w:bookmarkEnd w:id="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457200" cy="95250"/>
                                          </a:xfrm>
                                          <a:prstGeom prst="rect">
                                            <a:avLst/>
                                          </a:prstGeom>
                                        </pic:spPr>
                                      </pic:pic>
                                    </a:graphicData>
                                  </a:graphic>
                                </wp:inline>
                              </w:drawing>
                            </w:r>
                            <w:bookmarkStart w:id="6" w:name="i-4"/>
                            <w:bookmarkEnd w:id="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8279" w:type="dxa"/>
        <w:jc w:val="left"/>
        <w:tblInd w:w="0" w:type="dxa"/>
        <w:tblLayout w:type="fixed"/>
        <w:tblCellMar>
          <w:top w:w="28" w:type="dxa"/>
          <w:left w:w="28" w:type="dxa"/>
          <w:bottom w:w="28" w:type="dxa"/>
          <w:right w:w="28" w:type="dxa"/>
        </w:tblCellMar>
      </w:tblPr>
      <w:tblGrid>
        <w:gridCol w:w="2650"/>
        <w:gridCol w:w="2328"/>
        <w:gridCol w:w="3301"/>
      </w:tblGrid>
      <w:tr>
        <w:trPr/>
        <w:tc>
          <w:tcPr>
            <w:tcW w:w="265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8279"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STOCKHOLDERS' EQUITY</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center"/>
        <w:tblInd w:w="0" w:type="dxa"/>
        <w:tblLayout w:type="fixed"/>
        <w:tblCellMar>
          <w:top w:w="28" w:type="dxa"/>
          <w:left w:w="28" w:type="dxa"/>
          <w:bottom w:w="28" w:type="dxa"/>
          <w:right w:w="28" w:type="dxa"/>
        </w:tblCellMar>
      </w:tblPr>
      <w:tblGrid>
        <w:gridCol w:w="938"/>
        <w:gridCol w:w="493"/>
        <w:gridCol w:w="446"/>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53"/>
        <w:gridCol w:w="780"/>
        <w:gridCol w:w="184"/>
        <w:gridCol w:w="109"/>
        <w:gridCol w:w="109"/>
        <w:gridCol w:w="109"/>
        <w:gridCol w:w="211"/>
        <w:gridCol w:w="998"/>
        <w:gridCol w:w="109"/>
        <w:gridCol w:w="109"/>
        <w:gridCol w:w="109"/>
        <w:gridCol w:w="109"/>
        <w:gridCol w:w="211"/>
        <w:gridCol w:w="826"/>
        <w:gridCol w:w="158"/>
      </w:tblGrid>
      <w:tr>
        <w:trPr/>
        <w:tc>
          <w:tcPr>
            <w:tcW w:w="9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March 31, 2025</w:t>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7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December 31, 2024</w:t>
            </w:r>
          </w:p>
        </w:tc>
        <w:tc>
          <w:tcPr>
            <w:tcW w:w="7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294,418</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294 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2,654,804 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422 </w:t>
            </w:r>
          </w:p>
        </w:tc>
        <w:tc>
          <w:tcPr>
            <w:tcW w:w="18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(2,148,926)</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506,594 </w:t>
            </w:r>
          </w:p>
        </w:tc>
        <w:tc>
          <w:tcPr>
            <w:tcW w:w="15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Net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(426,075)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(426,075)</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6"/>
              </w:rPr>
            </w:pPr>
            <w:r>
              <w:rPr>
                <w:rFonts w:ascii="Roboto;sans-serif" w:hAnsi="Roboto;sans-serif"/>
                <w:b w:val="false"/>
                <w:color w:val="1383C6"/>
                <w:sz w:val="16"/>
              </w:rPr>
              <w:t>Other comprehensive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(41)</w:t>
            </w:r>
          </w:p>
        </w:tc>
        <w:tc>
          <w:tcPr>
            <w:tcW w:w="18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(41)</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Issuance of common stock in conjunction with equity plans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5,623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1,953 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1,959 </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Share-based compensation expense</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9,201 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9,201 </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March 31, 2025</w:t>
            </w:r>
          </w:p>
        </w:tc>
        <w:tc>
          <w:tcPr>
            <w:tcW w:w="781"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300,041</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2,665,958 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381 </w:t>
            </w:r>
          </w:p>
        </w:tc>
        <w:tc>
          <w:tcPr>
            <w:tcW w:w="18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(2,575,001)</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91,638 </w:t>
            </w:r>
          </w:p>
        </w:tc>
        <w:tc>
          <w:tcPr>
            <w:tcW w:w="15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25"/>
        <w:gridCol w:w="476"/>
        <w:gridCol w:w="429"/>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59"/>
        <w:gridCol w:w="820"/>
        <w:gridCol w:w="186"/>
        <w:gridCol w:w="109"/>
        <w:gridCol w:w="109"/>
        <w:gridCol w:w="109"/>
        <w:gridCol w:w="211"/>
        <w:gridCol w:w="997"/>
        <w:gridCol w:w="109"/>
        <w:gridCol w:w="109"/>
        <w:gridCol w:w="109"/>
        <w:gridCol w:w="109"/>
        <w:gridCol w:w="211"/>
        <w:gridCol w:w="826"/>
        <w:gridCol w:w="158"/>
      </w:tblGrid>
      <w:tr>
        <w:trPr/>
        <w:tc>
          <w:tcPr>
            <w:tcW w:w="9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March 31, 2024</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December 31, 2023</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267,744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2,539,892 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219 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(1,839,075)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701,304 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(78,178)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(78,178)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Other comprehensive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6,891 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March 31, 2024</w:t>
            </w:r>
          </w:p>
        </w:tc>
        <w:tc>
          <w:tcPr>
            <w:tcW w:w="78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272,280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2,566,304 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(306)</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(1,917,253)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649,017 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pPr>
      <w:r>
        <w:rPr>
          <w:rFonts w:ascii="Roboto;sans-serif" w:hAnsi="Roboto;sans-serif"/>
          <w:b w:val="false"/>
          <w:color w:val="000000"/>
          <w:sz w:val="20"/>
        </w:rPr>
        <w:t xml:space="preserve">See accompanying </w:t>
      </w:r>
      <w:hyperlink w:anchor="i8ceeb5c9aa84416fb9d34124a1b6c447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12520"/>
                <wp:effectExtent l="0" t="0" r="0" b="0"/>
                <wp:wrapNone/>
                <wp:docPr id="12" name="Frame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457200" cy="95250"/>
                                                </a:xfrm>
                                                <a:prstGeom prst="rect">
                                                  <a:avLst/>
                                                </a:prstGeom>
                                              </pic:spPr>
                                            </pic:pic>
                                          </a:graphicData>
                                        </a:graphic>
                                      </wp:inline>
                                    </w:drawing>
                                  </w:r>
                                  <w:bookmarkStart w:id="7" w:name="i-5"/>
                                  <w:bookmarkEnd w:id="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457200" cy="95250"/>
                                          </a:xfrm>
                                          <a:prstGeom prst="rect">
                                            <a:avLst/>
                                          </a:prstGeom>
                                        </pic:spPr>
                                      </pic:pic>
                                    </a:graphicData>
                                  </a:graphic>
                                </wp:inline>
                              </w:drawing>
                            </w:r>
                            <w:bookmarkStart w:id="8" w:name="i-5"/>
                            <w:bookmarkEnd w:id="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before="360" w:after="283"/>
        <w:ind w:left="0" w:right="0" w:firstLine="720"/>
        <w:jc w:val="center"/>
        <w:rPr/>
      </w:pPr>
      <w:r>
        <w:rPr/>
      </w:r>
    </w:p>
    <w:tbl>
      <w:tblPr>
        <w:tblW w:w="6990" w:type="dxa"/>
        <w:jc w:val="left"/>
        <w:tblInd w:w="0" w:type="dxa"/>
        <w:tblLayout w:type="fixed"/>
        <w:tblCellMar>
          <w:top w:w="28" w:type="dxa"/>
          <w:left w:w="28" w:type="dxa"/>
          <w:bottom w:w="28" w:type="dxa"/>
          <w:right w:w="28" w:type="dxa"/>
        </w:tblCellMar>
      </w:tblPr>
      <w:tblGrid>
        <w:gridCol w:w="2233"/>
        <w:gridCol w:w="1964"/>
        <w:gridCol w:w="2793"/>
      </w:tblGrid>
      <w:tr>
        <w:trPr/>
        <w:tc>
          <w:tcPr>
            <w:tcW w:w="223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CASH FLOWS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9909" w:type="dxa"/>
        <w:jc w:val="left"/>
        <w:tblInd w:w="0" w:type="dxa"/>
        <w:tblLayout w:type="fixed"/>
        <w:tblCellMar>
          <w:top w:w="28" w:type="dxa"/>
          <w:left w:w="28" w:type="dxa"/>
          <w:bottom w:w="28" w:type="dxa"/>
          <w:right w:w="28" w:type="dxa"/>
        </w:tblCellMar>
      </w:tblPr>
      <w:tblGrid>
        <w:gridCol w:w="2479"/>
        <w:gridCol w:w="2174"/>
        <w:gridCol w:w="2186"/>
        <w:gridCol w:w="239"/>
        <w:gridCol w:w="1023"/>
        <w:gridCol w:w="123"/>
        <w:gridCol w:w="123"/>
        <w:gridCol w:w="123"/>
        <w:gridCol w:w="123"/>
        <w:gridCol w:w="239"/>
        <w:gridCol w:w="903"/>
        <w:gridCol w:w="174"/>
      </w:tblGrid>
      <w:tr>
        <w:trPr/>
        <w:tc>
          <w:tcPr>
            <w:tcW w:w="247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March 31,</w:t>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8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operating activities</w:t>
            </w:r>
          </w:p>
        </w:tc>
        <w:tc>
          <w:tcPr>
            <w:tcW w:w="138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23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23"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bookmarkStart w:id="9" w:name="i621938aabdfd4171831aa7e62a3b61b2_3-1-1-"/>
            <w:bookmarkEnd w:id="9"/>
            <w:r>
              <w:rPr>
                <w:rFonts w:ascii="Roboto;sans-serif" w:hAnsi="Roboto;sans-serif"/>
                <w:b w:val="false"/>
                <w:color w:val="1383C6"/>
                <w:sz w:val="16"/>
              </w:rPr>
              <w:t>(426,075)</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3"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(78,178)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Adjustments to reconcile net loss to net cash used in operating activities</w:t>
            </w:r>
          </w:p>
        </w:tc>
        <w:tc>
          <w:tcPr>
            <w:tcW w:w="138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Depreciation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5,131 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intangible assets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366,390 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6,853 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right-of-use assets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1,258 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1,921 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9,201 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19,525 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Impairment charges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15,000 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Accretion of discount and amortization of premium on marketable securities, net</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(1,706)</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(4,031)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Change in the estimated fair value of contingent consideration</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(18,700)</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 provision</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7,659 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Deferred income taxes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(546)</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Other</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719 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403 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Changes in assets and liabilities </w:t>
            </w:r>
          </w:p>
        </w:tc>
        <w:tc>
          <w:tcPr>
            <w:tcW w:w="138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Accounts receivable, net</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(4,121)</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6,292 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 net</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(2,538)</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(11,655)</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Prepaid expenses and other assets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3,426 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3,051 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Accounts payable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(1,525)</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6,644 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Accrued expenses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311 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(23,753)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Deferred revenue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1,332 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1,601 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Operating lease liabilities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(1,618)</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(2,376)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Other liabilities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2,346 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(5,152)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used in operating activities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(44,056)</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(75,682)</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investing activities</w:t>
            </w:r>
          </w:p>
        </w:tc>
        <w:tc>
          <w:tcPr>
            <w:tcW w:w="138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Purchases of property and equipment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(1,389)</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(3,879)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Purchases of intangible assets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(5,000)</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Purchases of investments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(61,820)</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(191,907)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Maturities of investments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113,443 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161,650 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provided by (used in) investing activities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45,234 </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(34,136)</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financing activities</w:t>
            </w:r>
          </w:p>
        </w:tc>
        <w:tc>
          <w:tcPr>
            <w:tcW w:w="138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Proceeds from issuance of common stock from equity plans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1,959 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6,891 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Notes payable principal payoff</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provided by financing activities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1,959 </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6,553 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increase (decrease) in cash, cash equivalents, and restricted cash</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3,137 </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(103,265)</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beginning of period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57,592 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182,633 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2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60,729 </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79,368 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at end of period </w:t>
            </w:r>
          </w:p>
        </w:tc>
        <w:tc>
          <w:tcPr>
            <w:tcW w:w="1262" w:type="dxa"/>
            <w:gridSpan w:val="2"/>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58,507 </w:t>
            </w:r>
          </w:p>
        </w:tc>
        <w:tc>
          <w:tcPr>
            <w:tcW w:w="123"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76,646 </w:t>
            </w:r>
          </w:p>
        </w:tc>
        <w:tc>
          <w:tcPr>
            <w:tcW w:w="17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Restricted cash at end of period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2,222 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2,722 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2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60,729 </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79,368 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Supplemental disclosure of non-cash investing and financing activities</w:t>
            </w:r>
          </w:p>
        </w:tc>
        <w:tc>
          <w:tcPr>
            <w:tcW w:w="138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Right-of-use asset and lease liability recognized due to lease extension</w:t>
            </w:r>
          </w:p>
        </w:tc>
        <w:tc>
          <w:tcPr>
            <w:tcW w:w="239"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23"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29,575 </w:t>
            </w:r>
          </w:p>
        </w:tc>
        <w:tc>
          <w:tcPr>
            <w:tcW w:w="123"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03"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Roboto;sans-serif" w:hAnsi="Roboto;sans-serif"/>
          <w:b w:val="false"/>
          <w:color w:val="000000"/>
          <w:sz w:val="16"/>
        </w:rPr>
        <w:t xml:space="preserve">See accompanying </w:t>
      </w:r>
      <w:hyperlink w:anchor="i8ceeb5c9aa84416fb9d34124a1b6c447_28">
        <w:r>
          <w:rPr>
            <w:rStyle w:val="InternetLink"/>
            <w:rFonts w:ascii="Roboto;sans-serif" w:hAnsi="Roboto;sans-serif"/>
            <w:b w:val="false"/>
            <w:color w:val="0000FF"/>
            <w:sz w:val="16"/>
            <w:u w:val="single"/>
          </w:rPr>
          <w:t>notes</w:t>
        </w:r>
      </w:hyperlink>
      <w:r>
        <w:rPr>
          <w:color w:val="000000"/>
        </w:rPr>
        <w:t xml:space="preserve"> </w:t>
      </w:r>
      <w:r>
        <w:rPr>
          <w:rFonts w:ascii="Roboto;sans-serif" w:hAnsi="Roboto;sans-serif"/>
          <w:b w:val="false"/>
          <w:color w:val="000000"/>
          <w:sz w:val="16"/>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12520"/>
                <wp:effectExtent l="0" t="0" r="0" b="0"/>
                <wp:wrapNone/>
                <wp:docPr id="15" name="Frame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457200" cy="95250"/>
                                                </a:xfrm>
                                                <a:prstGeom prst="rect">
                                                  <a:avLst/>
                                                </a:prstGeom>
                                              </pic:spPr>
                                            </pic:pic>
                                          </a:graphicData>
                                        </a:graphic>
                                      </wp:inline>
                                    </w:drawing>
                                  </w:r>
                                  <w:bookmarkStart w:id="10" w:name="i-6"/>
                                  <w:bookmarkEnd w:id="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457200" cy="95250"/>
                                          </a:xfrm>
                                          <a:prstGeom prst="rect">
                                            <a:avLst/>
                                          </a:prstGeom>
                                        </pic:spPr>
                                      </pic:pic>
                                    </a:graphicData>
                                  </a:graphic>
                                </wp:inline>
                              </w:drawing>
                            </w:r>
                            <w:bookmarkStart w:id="11" w:name="i-6"/>
                            <w:bookmarkEnd w:id="1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7485" w:type="dxa"/>
        <w:jc w:val="left"/>
        <w:tblInd w:w="0" w:type="dxa"/>
        <w:tblLayout w:type="fixed"/>
        <w:tblCellMar>
          <w:top w:w="28" w:type="dxa"/>
          <w:left w:w="28" w:type="dxa"/>
          <w:bottom w:w="28" w:type="dxa"/>
          <w:right w:w="28" w:type="dxa"/>
        </w:tblCellMar>
      </w:tblPr>
      <w:tblGrid>
        <w:gridCol w:w="2391"/>
        <w:gridCol w:w="2103"/>
        <w:gridCol w:w="2991"/>
      </w:tblGrid>
      <w:tr>
        <w:trPr/>
        <w:tc>
          <w:tcPr>
            <w:tcW w:w="23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NOTES TO CONDENSED CONSOLIDATED FINANCIAL STATEMENTS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0" w:type="dxa"/>
        <w:jc w:val="left"/>
        <w:tblInd w:w="0" w:type="dxa"/>
        <w:tblLayout w:type="fixed"/>
        <w:tblCellMar>
          <w:top w:w="28" w:type="dxa"/>
          <w:left w:w="28" w:type="dxa"/>
          <w:bottom w:w="28" w:type="dxa"/>
          <w:right w:w="28" w:type="dxa"/>
        </w:tblCellMar>
      </w:tblPr>
      <w:tblGrid>
        <w:gridCol w:w="2757"/>
        <w:gridCol w:w="2419"/>
        <w:gridCol w:w="3434"/>
      </w:tblGrid>
      <w:tr>
        <w:trPr/>
        <w:tc>
          <w:tcPr>
            <w:tcW w:w="275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861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 ORGANIZATION AND SIGNIFICANT ACCOUNTING POLICIES</w:t>
            </w:r>
          </w:p>
        </w:tc>
      </w:tr>
    </w:tbl>
    <w:tbl>
      <w:tblPr>
        <w:tblW w:w="2549" w:type="dxa"/>
        <w:jc w:val="left"/>
        <w:tblInd w:w="0" w:type="dxa"/>
        <w:tblLayout w:type="fixed"/>
        <w:tblCellMar>
          <w:top w:w="28" w:type="dxa"/>
          <w:left w:w="28" w:type="dxa"/>
          <w:bottom w:w="28" w:type="dxa"/>
          <w:right w:w="28" w:type="dxa"/>
        </w:tblCellMar>
      </w:tblPr>
      <w:tblGrid>
        <w:gridCol w:w="815"/>
        <w:gridCol w:w="717"/>
        <w:gridCol w:w="1017"/>
      </w:tblGrid>
      <w:tr>
        <w:trPr/>
        <w:tc>
          <w:tcPr>
            <w:tcW w:w="8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Business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and technology, which include our HiFi long-read sequencing technology, address solutions across a broad set of applications including human genetics, plant and animal sciences, infectious disease and microbiology, oncology, and other emerging applications.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focus is on creating some of the world's most advanced sequencing systems to provide our customers with the most complete and accurate view of genomes, transcriptomes, and epigenomes.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tbl>
      <w:tblPr>
        <w:tblW w:w="5204" w:type="dxa"/>
        <w:jc w:val="left"/>
        <w:tblInd w:w="0" w:type="dxa"/>
        <w:tblLayout w:type="fixed"/>
        <w:tblCellMar>
          <w:top w:w="28" w:type="dxa"/>
          <w:left w:w="28" w:type="dxa"/>
          <w:bottom w:w="28" w:type="dxa"/>
          <w:right w:w="28" w:type="dxa"/>
        </w:tblCellMar>
      </w:tblPr>
      <w:tblGrid>
        <w:gridCol w:w="1665"/>
        <w:gridCol w:w="1464"/>
        <w:gridCol w:w="2075"/>
      </w:tblGrid>
      <w:tr>
        <w:trPr/>
        <w:tc>
          <w:tcPr>
            <w:tcW w:w="166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Basis of Presentation and Consolidation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2024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financial statements should be read in conjunction with the audited consolidated financial statements and notes included in our Annual Report on Form 10-K for the year ended December 31, 2024 ("2024 Annual Report").</w:t>
      </w:r>
    </w:p>
    <w:tbl>
      <w:tblPr>
        <w:tblW w:w="2279" w:type="dxa"/>
        <w:jc w:val="left"/>
        <w:tblInd w:w="0" w:type="dxa"/>
        <w:tblLayout w:type="fixed"/>
        <w:tblCellMar>
          <w:top w:w="28" w:type="dxa"/>
          <w:left w:w="28" w:type="dxa"/>
          <w:bottom w:w="28" w:type="dxa"/>
          <w:right w:w="28" w:type="dxa"/>
        </w:tblCellMar>
      </w:tblPr>
      <w:tblGrid>
        <w:gridCol w:w="730"/>
        <w:gridCol w:w="641"/>
        <w:gridCol w:w="908"/>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Use of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March 31, 2025. Actual results could differ materially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12520"/>
                <wp:effectExtent l="0" t="0" r="0" b="0"/>
                <wp:wrapNone/>
                <wp:docPr id="18" name="Frame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457200" cy="95250"/>
                                                </a:xfrm>
                                                <a:prstGeom prst="rect">
                                                  <a:avLst/>
                                                </a:prstGeom>
                                              </pic:spPr>
                                            </pic:pic>
                                          </a:graphicData>
                                        </a:graphic>
                                      </wp:inline>
                                    </w:drawing>
                                  </w:r>
                                  <w:bookmarkStart w:id="12" w:name="i-7"/>
                                  <w:bookmarkEnd w:id="1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457200" cy="95250"/>
                                          </a:xfrm>
                                          <a:prstGeom prst="rect">
                                            <a:avLst/>
                                          </a:prstGeom>
                                        </pic:spPr>
                                      </pic:pic>
                                    </a:graphicData>
                                  </a:graphic>
                                </wp:inline>
                              </w:drawing>
                            </w:r>
                            <w:bookmarkStart w:id="13" w:name="i-7"/>
                            <w:bookmarkEnd w:id="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 We have the ability to hold, and do not intend to sell investments in unrealized loss positions before the recovery of their amortized cost bases.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tbl>
      <w:tblPr>
        <w:tblW w:w="4049" w:type="dxa"/>
        <w:jc w:val="left"/>
        <w:tblInd w:w="0" w:type="dxa"/>
        <w:tblLayout w:type="fixed"/>
        <w:tblCellMar>
          <w:top w:w="28" w:type="dxa"/>
          <w:left w:w="28" w:type="dxa"/>
          <w:bottom w:w="28" w:type="dxa"/>
          <w:right w:w="28" w:type="dxa"/>
        </w:tblCellMar>
      </w:tblPr>
      <w:tblGrid>
        <w:gridCol w:w="1297"/>
        <w:gridCol w:w="1139"/>
        <w:gridCol w:w="1613"/>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Concentration and Other Risks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months ended March 31, 2025 and 2024, no customer accounted for 10% or more of total revenue during the period.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36% of our accounts receivable were from domestic customers, compared to 36% as of December 31, 2024. As of March 31, 2025, one customer exceeded 10% of our net accounts receivable, while no customer represented 10% or more of our net accounts receivable as of December 31, 2024.</w:t>
      </w:r>
    </w:p>
    <w:tbl>
      <w:tblPr>
        <w:tblW w:w="4785" w:type="dxa"/>
        <w:jc w:val="left"/>
        <w:tblInd w:w="0" w:type="dxa"/>
        <w:tblLayout w:type="fixed"/>
        <w:tblCellMar>
          <w:top w:w="28" w:type="dxa"/>
          <w:left w:w="28" w:type="dxa"/>
          <w:bottom w:w="28" w:type="dxa"/>
          <w:right w:w="28" w:type="dxa"/>
        </w:tblCellMar>
      </w:tblPr>
      <w:tblGrid>
        <w:gridCol w:w="1532"/>
        <w:gridCol w:w="1346"/>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Recent Accounting Pronouncements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Accounting Pronouncements Pending Adoption</w:t>
      </w:r>
    </w:p>
    <w:p>
      <w:pPr>
        <w:pStyle w:val="TextBody"/>
        <w:bidi w:val="0"/>
        <w:spacing w:lineRule="auto" w:line="288" w:before="120" w:after="283"/>
        <w:jc w:val="both"/>
        <w:rPr/>
      </w:pPr>
      <w:r>
        <w:rPr>
          <w:rFonts w:ascii="Roboto;sans-serif" w:hAnsi="Roboto;sans-serif"/>
          <w:b w:val="false"/>
          <w:color w:val="000000"/>
          <w:sz w:val="20"/>
        </w:rPr>
        <w:t xml:space="preserve">In December 2023, the FASB issued ASU 2023-09, </w:t>
      </w:r>
      <w:r>
        <w:rPr>
          <w:rFonts w:ascii="Roboto;sans-serif" w:hAnsi="Roboto;sans-serif"/>
          <w:b w:val="false"/>
          <w:i/>
          <w:color w:val="000000"/>
          <w:sz w:val="20"/>
        </w:rPr>
        <w:t>Income Taxes (Topic 740): Improvements to Income Tax Disclosures</w:t>
      </w:r>
      <w:r>
        <w:rPr>
          <w:rFonts w:ascii="Roboto;sans-serif" w:hAnsi="Roboto;sans-serif"/>
          <w:b w:val="false"/>
          <w:color w:val="000000"/>
          <w:sz w:val="20"/>
        </w:rPr>
        <w:t>. This new standard requires a company to expand its existing income tax disclosures, specifically related to the rate reconciliation and income taxes paid. The standard is effective for annual periods beginning in 2025. The new standard is expected to be applied prospectively, but retrospective application is permitted. We are currently evaluating the impact of ASU 2023-09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2024-04, </w:t>
      </w:r>
      <w:r>
        <w:rPr>
          <w:rFonts w:ascii="Roboto;sans-serif" w:hAnsi="Roboto;sans-serif"/>
          <w:b w:val="false"/>
          <w:i/>
          <w:color w:val="000000"/>
          <w:sz w:val="20"/>
        </w:rPr>
        <w:t>Debt—Debt With Conversion and Other Options (Subtopic 470-20): Induced Conversions of Convertible Debt Instruments</w:t>
      </w:r>
      <w:r>
        <w:rPr>
          <w:rFonts w:ascii="Roboto;sans-serif" w:hAnsi="Roboto;sans-serif"/>
          <w:b w:val="false"/>
          <w:color w:val="000000"/>
          <w:sz w:val="20"/>
        </w:rPr>
        <w:t>. This new standard clarifies the requirements for determining whether certain settlements of convertible debt instruments should be accounted for as an induced conversion or extinguishment of convertible debt. The standard will be effective for us beginning in the first quarter of 2026, with early adoption permitted. The new standard is expected to be applied prospectively, but retrospective application is permitted. We are currently evaluating the impact of ASU 2024-04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2024-03, </w:t>
      </w:r>
      <w:r>
        <w:rPr>
          <w:rFonts w:ascii="Roboto;sans-serif" w:hAnsi="Roboto;sans-serif"/>
          <w:b w:val="false"/>
          <w:i/>
          <w:color w:val="000000"/>
          <w:sz w:val="20"/>
        </w:rPr>
        <w:t>Income Statement—Reporting Comprehensive Income—Expense Disaggregation Disclosures (Subtopic 220-40): Disaggregation of Income Statement Expenses</w:t>
      </w:r>
      <w:r>
        <w:rPr>
          <w:rFonts w:ascii="Roboto;sans-serif" w:hAnsi="Roboto;sans-serif"/>
          <w:b w:val="false"/>
          <w:color w:val="000000"/>
          <w:sz w:val="20"/>
        </w:rPr>
        <w:t>. This new standard requires a company to provide disaggregated disclosures, 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12520"/>
                <wp:effectExtent l="0" t="0" r="0" b="0"/>
                <wp:wrapNone/>
                <wp:docPr id="21" name="Frame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457200" cy="95250"/>
                                                </a:xfrm>
                                                <a:prstGeom prst="rect">
                                                  <a:avLst/>
                                                </a:prstGeom>
                                              </pic:spPr>
                                            </pic:pic>
                                          </a:graphicData>
                                        </a:graphic>
                                      </wp:inline>
                                    </w:drawing>
                                  </w:r>
                                  <w:bookmarkStart w:id="14" w:name="i-8"/>
                                  <w:bookmarkEnd w:id="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457200" cy="95250"/>
                                          </a:xfrm>
                                          <a:prstGeom prst="rect">
                                            <a:avLst/>
                                          </a:prstGeom>
                                        </pic:spPr>
                                      </pic:pic>
                                    </a:graphicData>
                                  </a:graphic>
                                </wp:inline>
                              </w:drawing>
                            </w:r>
                            <w:bookmarkStart w:id="15" w:name="i-8"/>
                            <w:bookmarkEnd w:id="1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Significant Accounting Policies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2. FINANCIAL INSTRUMENTS</w:t>
            </w:r>
          </w:p>
        </w:tc>
      </w:tr>
    </w:tbl>
    <w:tbl>
      <w:tblPr>
        <w:tblW w:w="4620" w:type="dxa"/>
        <w:jc w:val="left"/>
        <w:tblInd w:w="0" w:type="dxa"/>
        <w:tblLayout w:type="fixed"/>
        <w:tblCellMar>
          <w:top w:w="28" w:type="dxa"/>
          <w:left w:w="28" w:type="dxa"/>
          <w:bottom w:w="28" w:type="dxa"/>
          <w:right w:w="28" w:type="dxa"/>
        </w:tblCellMar>
      </w:tblPr>
      <w:tblGrid>
        <w:gridCol w:w="1480"/>
        <w:gridCol w:w="1301"/>
        <w:gridCol w:w="1839"/>
      </w:tblGrid>
      <w:tr>
        <w:trPr/>
        <w:tc>
          <w:tcPr>
            <w:tcW w:w="14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Fair Value of Financial Instruments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fair value hierarchy established under U.S. GAAP requires an entity to maximize the use of observable inputs and minimize the use of unobservable inputs when measuring fair value. The three levels of inputs that may be used to measure fair value are as follows: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1: quoted prices in active markets for identical assets or liabilities;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our accounts receivable, prepaid expenses, other current assets, accounts payable, accrued expenses and other liabilities, current, approximate fair value due to their short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12520"/>
                <wp:effectExtent l="0" t="0" r="0" b="0"/>
                <wp:wrapNone/>
                <wp:docPr id="24" name="Frame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457200" cy="95250"/>
                                                </a:xfrm>
                                                <a:prstGeom prst="rect">
                                                  <a:avLst/>
                                                </a:prstGeom>
                                              </pic:spPr>
                                            </pic:pic>
                                          </a:graphicData>
                                        </a:graphic>
                                      </wp:inline>
                                    </w:drawing>
                                  </w:r>
                                  <w:bookmarkStart w:id="16" w:name="i-9"/>
                                  <w:bookmarkEnd w:id="1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457200" cy="95250"/>
                                          </a:xfrm>
                                          <a:prstGeom prst="rect">
                                            <a:avLst/>
                                          </a:prstGeom>
                                        </pic:spPr>
                                      </pic:pic>
                                    </a:graphicData>
                                  </a:graphic>
                                </wp:inline>
                              </w:drawing>
                            </w:r>
                            <w:bookmarkStart w:id="17" w:name="i-9"/>
                            <w:bookmarkEnd w:id="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Assets and Liabilities Measured at Fair Value on a Recurring Basis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and liabilities that were measured on a recurring basis:</w:t>
      </w:r>
    </w:p>
    <w:tbl>
      <w:tblPr>
        <w:tblW w:w="12028" w:type="dxa"/>
        <w:jc w:val="left"/>
        <w:tblInd w:w="0" w:type="dxa"/>
        <w:tblLayout w:type="fixed"/>
        <w:tblCellMar>
          <w:top w:w="28" w:type="dxa"/>
          <w:left w:w="28" w:type="dxa"/>
          <w:bottom w:w="28" w:type="dxa"/>
          <w:right w:w="28" w:type="dxa"/>
        </w:tblCellMar>
      </w:tblPr>
      <w:tblGrid>
        <w:gridCol w:w="629"/>
        <w:gridCol w:w="315"/>
        <w:gridCol w:w="317"/>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 2024</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1</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2</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3</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Assets</w:t>
            </w:r>
          </w:p>
        </w:tc>
        <w:tc>
          <w:tcPr>
            <w:tcW w:w="104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w:t>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42,952 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15,555 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58,507 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Corporate debt securities </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38,790 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38,790 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U.S. government &amp; agency securities</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245,813 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245,813 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287,656 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287,656 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investments </w:t>
            </w:r>
          </w:p>
        </w:tc>
        <w:tc>
          <w:tcPr>
            <w:tcW w:w="93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284,603 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284,603 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334,561 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Short-term restricted cash</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Long-term restricted cash</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assets measured at fair value </w:t>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45,174 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300,158 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345,332 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57,592 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392,153 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Liabilities</w:t>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Contingent consideration</w:t>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liabilities measured at fair value </w:t>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months ended March 31, 2025, there were no transfers between Level 1, Level 2, or Level 3 assets or liabilities reported at fair value on a recurring basis, and our valuation techniques did not change compared to the prior year.</w:t>
      </w:r>
    </w:p>
    <w:p>
      <w:pPr>
        <w:pStyle w:val="TextBody"/>
        <w:bidi w:val="0"/>
        <w:spacing w:lineRule="auto" w:line="288" w:before="180" w:after="283"/>
        <w:jc w:val="both"/>
        <w:rPr>
          <w:rFonts w:ascii="Roboto;sans-serif" w:hAnsi="Roboto;sans-serif"/>
          <w:b/>
          <w:color w:val="DF1995"/>
          <w:sz w:val="20"/>
          <w:u w:val="single"/>
        </w:rPr>
      </w:pPr>
      <w:r>
        <w:rPr>
          <w:rFonts w:ascii="Roboto;sans-serif" w:hAnsi="Roboto;sans-serif"/>
          <w:b/>
          <w:color w:val="DF1995"/>
          <w:sz w:val="20"/>
          <w:u w:val="single"/>
        </w:rPr>
        <w:t>Contingent Consideration</w:t>
      </w:r>
    </w:p>
    <w:p>
      <w:pPr>
        <w:pStyle w:val="TextBody"/>
        <w:bidi w:val="0"/>
        <w:spacing w:lineRule="auto" w:line="288" w:before="120" w:after="283"/>
        <w:jc w:val="both"/>
        <w:rPr/>
      </w:pPr>
      <w:r>
        <w:rPr>
          <w:rFonts w:ascii="Roboto;sans-serif" w:hAnsi="Roboto;sans-serif"/>
          <w:b w:val="false"/>
          <w:color w:val="000000"/>
          <w:sz w:val="20"/>
        </w:rPr>
        <w:t xml:space="preserve">In connection with the August 2023 </w:t>
      </w:r>
      <w:r>
        <w:rPr>
          <w:rFonts w:ascii="Roboto;sans-serif" w:hAnsi="Roboto;sans-serif"/>
          <w:b w:val="false"/>
          <w:color w:val="000000"/>
          <w:sz w:val="20"/>
          <w:shd w:fill="FFFFFF" w:val="clear"/>
        </w:rPr>
        <w:t>Apton Biosystems, Inc. (“Apton”)</w:t>
      </w:r>
      <w:r>
        <w:rPr>
          <w:color w:val="000000"/>
        </w:rPr>
        <w:t xml:space="preserve"> </w:t>
      </w:r>
      <w:r>
        <w:rPr>
          <w:rFonts w:ascii="Roboto;sans-serif" w:hAnsi="Roboto;sans-serif"/>
          <w:b w:val="false"/>
          <w:color w:val="000000"/>
          <w:sz w:val="20"/>
        </w:rPr>
        <w:t>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 At this time,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contingent consideration is accounted for as a liability at fair value, with changes during each reporting period recognized in our condensed consolidated statements of operations and comprehensive loss. The fair value of the contingent consideration liability was calculated using a Monte Carlo Simulation to estimate the volatility and systematic relative risk of revenues subject to sales milestone payments and discounting the associated cash payment amounts to their present values using a credit-risk-adjusted interest rate.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contingent consideration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12520"/>
                <wp:effectExtent l="0" t="0" r="0" b="0"/>
                <wp:wrapNone/>
                <wp:docPr id="27" name="Frame1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457200" cy="95250"/>
                                                </a:xfrm>
                                                <a:prstGeom prst="rect">
                                                  <a:avLst/>
                                                </a:prstGeom>
                                              </pic:spPr>
                                            </pic:pic>
                                          </a:graphicData>
                                        </a:graphic>
                                      </wp:inline>
                                    </w:drawing>
                                  </w:r>
                                  <w:bookmarkStart w:id="18" w:name="i-10"/>
                                  <w:bookmarkEnd w:id="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457200" cy="95250"/>
                                          </a:xfrm>
                                          <a:prstGeom prst="rect">
                                            <a:avLst/>
                                          </a:prstGeom>
                                        </pic:spPr>
                                      </pic:pic>
                                    </a:graphicData>
                                  </a:graphic>
                                </wp:inline>
                              </w:drawing>
                            </w:r>
                            <w:bookmarkStart w:id="19" w:name="i-10"/>
                            <w:bookmarkEnd w:id="1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As of March 31, 2025,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was $0. An acceleration in the timing of projected revenues or an increase in the projected revenues may result in an increase in the fair value of the liability. A decrease in the discount rates, which include the risk-free rate and estimated subordinated credit spread for CCC credit rating, may result in an increase in the fair value of the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estimated fair value of the contingent consideration liability for the three months ended March 31, 2025 were as follows:</w:t>
      </w:r>
    </w:p>
    <w:tbl>
      <w:tblPr>
        <w:tblW w:w="5375" w:type="dxa"/>
        <w:jc w:val="left"/>
        <w:tblInd w:w="0" w:type="dxa"/>
        <w:tblLayout w:type="fixed"/>
        <w:tblCellMar>
          <w:top w:w="28" w:type="dxa"/>
          <w:left w:w="28" w:type="dxa"/>
          <w:bottom w:w="28" w:type="dxa"/>
          <w:right w:w="28" w:type="dxa"/>
        </w:tblCellMar>
      </w:tblPr>
      <w:tblGrid>
        <w:gridCol w:w="1511"/>
        <w:gridCol w:w="1326"/>
        <w:gridCol w:w="1332"/>
        <w:gridCol w:w="226"/>
        <w:gridCol w:w="82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Level 3</w:t>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Beginning balance as of December 31, 2024</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estimated fair value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Ending balance as of March 31,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fair value are recorded as change in fair value of contingent consideration in the condensed consolidated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12520"/>
                <wp:effectExtent l="0" t="0" r="0" b="0"/>
                <wp:wrapNone/>
                <wp:docPr id="30" name="Frame1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457200" cy="95250"/>
                                                </a:xfrm>
                                                <a:prstGeom prst="rect">
                                                  <a:avLst/>
                                                </a:prstGeom>
                                              </pic:spPr>
                                            </pic:pic>
                                          </a:graphicData>
                                        </a:graphic>
                                      </wp:inline>
                                    </w:drawing>
                                  </w:r>
                                  <w:bookmarkStart w:id="20" w:name="i-11"/>
                                  <w:bookmarkEnd w:id="2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457200" cy="95250"/>
                                          </a:xfrm>
                                          <a:prstGeom prst="rect">
                                            <a:avLst/>
                                          </a:prstGeom>
                                        </pic:spPr>
                                      </pic:pic>
                                    </a:graphicData>
                                  </a:graphic>
                                </wp:inline>
                              </w:drawing>
                            </w:r>
                            <w:bookmarkStart w:id="21" w:name="i-11"/>
                            <w:bookmarkEnd w:id="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tables summarize our cash, cash equivalents, restricted cash, and investments:</w:t>
      </w:r>
    </w:p>
    <w:tbl>
      <w:tblPr>
        <w:tblW w:w="9965" w:type="dxa"/>
        <w:jc w:val="left"/>
        <w:tblInd w:w="0" w:type="dxa"/>
        <w:tblLayout w:type="fixed"/>
        <w:tblCellMar>
          <w:top w:w="28" w:type="dxa"/>
          <w:left w:w="28" w:type="dxa"/>
          <w:bottom w:w="28" w:type="dxa"/>
          <w:right w:w="28" w:type="dxa"/>
        </w:tblCellMar>
      </w:tblPr>
      <w:tblGrid>
        <w:gridCol w:w="1561"/>
        <w:gridCol w:w="1368"/>
        <w:gridCol w:w="1376"/>
        <w:gridCol w:w="226"/>
        <w:gridCol w:w="946"/>
        <w:gridCol w:w="109"/>
        <w:gridCol w:w="109"/>
        <w:gridCol w:w="109"/>
        <w:gridCol w:w="109"/>
        <w:gridCol w:w="271"/>
        <w:gridCol w:w="632"/>
        <w:gridCol w:w="133"/>
        <w:gridCol w:w="109"/>
        <w:gridCol w:w="109"/>
        <w:gridCol w:w="109"/>
        <w:gridCol w:w="267"/>
        <w:gridCol w:w="639"/>
        <w:gridCol w:w="130"/>
        <w:gridCol w:w="109"/>
        <w:gridCol w:w="109"/>
        <w:gridCol w:w="109"/>
        <w:gridCol w:w="226"/>
        <w:gridCol w:w="94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As of March 31, 2025</w:t>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1383C6"/>
                <w:sz w:val="16"/>
              </w:rPr>
            </w:pPr>
            <w:r>
              <w:rPr>
                <w:rFonts w:ascii="Roboto;sans-serif" w:hAnsi="Roboto;sans-serif"/>
                <w:b w:val="false"/>
                <w:i/>
                <w:color w:val="1383C6"/>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Amortized</w:t>
              <w:br/>
              <w:t xml:space="preserve">Cost </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Gross</w:t>
              <w:br/>
              <w:t>unrealized</w:t>
              <w:br/>
              <w:t>gains</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Gross</w:t>
              <w:br/>
              <w:t>unrealized</w:t>
              <w:br/>
              <w:t>losses</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Fair</w:t>
              <w:br/>
              <w:t>Value</w:t>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Cash and cash equivalents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58,507 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1 </w:t>
            </w:r>
          </w:p>
        </w:tc>
        <w:tc>
          <w:tcPr>
            <w:tcW w:w="13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58,507 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Investments:</w:t>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Corporate debt securities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38,635 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169 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38,790 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U.S. government &amp; agency securities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245,587 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283 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(57)</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245,813 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Total investments </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284,222 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452 </w:t>
            </w:r>
          </w:p>
        </w:tc>
        <w:tc>
          <w:tcPr>
            <w:tcW w:w="13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(71)</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284,603 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Total cash, cash equivalents and investments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342,729 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453 </w:t>
            </w:r>
          </w:p>
        </w:tc>
        <w:tc>
          <w:tcPr>
            <w:tcW w:w="13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(72)</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343,110 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Short-term restricted cash</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690 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Long-term restricted cash</w:t>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09"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5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2024</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Fair</w:t>
              <w:br/>
              <w:t>Value</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Corporate debt securities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287,393 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287,656 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investments</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cash, cash equivalents and investments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389,931 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cash equivalents and available-for-sale investments, excluding money market funds, as of March 31, 2025:</w:t>
      </w:r>
    </w:p>
    <w:tbl>
      <w:tblPr>
        <w:tblW w:w="4910" w:type="dxa"/>
        <w:jc w:val="left"/>
        <w:tblInd w:w="0" w:type="dxa"/>
        <w:tblLayout w:type="fixed"/>
        <w:tblCellMar>
          <w:top w:w="28" w:type="dxa"/>
          <w:left w:w="28" w:type="dxa"/>
          <w:bottom w:w="28" w:type="dxa"/>
          <w:right w:w="28" w:type="dxa"/>
        </w:tblCellMar>
      </w:tblPr>
      <w:tblGrid>
        <w:gridCol w:w="1299"/>
        <w:gridCol w:w="1140"/>
        <w:gridCol w:w="1145"/>
        <w:gridCol w:w="226"/>
        <w:gridCol w:w="94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Fair Value</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227,680 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five years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72,478 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300,158 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pStyle w:val="TextBody"/>
        <w:bidi w:val="0"/>
        <w:spacing w:lineRule="auto" w:line="288" w:before="120" w:after="283"/>
        <w:jc w:val="both"/>
        <w:rPr/>
      </w:pPr>
      <w:r>
        <w:rPr>
          <w:rFonts w:ascii="Roboto;sans-serif" w:hAnsi="Roboto;sans-serif"/>
          <w:b w:val="false"/>
          <w:color w:val="000000"/>
          <w:sz w:val="20"/>
        </w:rPr>
        <w:t xml:space="preserve">Investment income included in other income, net </w:t>
      </w:r>
      <w:r>
        <w:rPr>
          <w:rFonts w:ascii="Roboto;sans-serif" w:hAnsi="Roboto;sans-serif"/>
          <w:b w:val="false"/>
          <w:color w:val="000000"/>
          <w:sz w:val="20"/>
          <w:shd w:fill="FFFFFF" w:val="clear"/>
        </w:rPr>
        <w:t xml:space="preserve">on the condensed consolidated statements of operations and comprehensive loss </w:t>
      </w:r>
      <w:r>
        <w:rPr>
          <w:rFonts w:ascii="Roboto;sans-serif" w:hAnsi="Roboto;sans-serif"/>
          <w:b w:val="false"/>
          <w:color w:val="000000"/>
          <w:sz w:val="20"/>
        </w:rPr>
        <w:t>was $3.9 million for the three months ended March 31, 2025 and $7.2 million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12520"/>
                <wp:effectExtent l="0" t="0" r="0" b="0"/>
                <wp:wrapNone/>
                <wp:docPr id="33" name="Frame1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457200" cy="95250"/>
                                                </a:xfrm>
                                                <a:prstGeom prst="rect">
                                                  <a:avLst/>
                                                </a:prstGeom>
                                              </pic:spPr>
                                            </pic:pic>
                                          </a:graphicData>
                                        </a:graphic>
                                      </wp:inline>
                                    </w:drawing>
                                  </w:r>
                                  <w:bookmarkStart w:id="22" w:name="i-12"/>
                                  <w:bookmarkEnd w:id="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457200" cy="95250"/>
                                          </a:xfrm>
                                          <a:prstGeom prst="rect">
                                            <a:avLst/>
                                          </a:prstGeom>
                                        </pic:spPr>
                                      </pic:pic>
                                    </a:graphicData>
                                  </a:graphic>
                                </wp:inline>
                              </w:drawing>
                            </w:r>
                            <w:bookmarkStart w:id="23" w:name="i-12"/>
                            <w:bookmarkEnd w:id="2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5264" w:type="dxa"/>
        <w:jc w:val="left"/>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dotted" w:sz="8" w:space="0" w:color="DF1995"/>
            </w:tcBorders>
            <w:shd w:fill="1383C6" w:val="clear"/>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FFFFFF"/>
                <w:sz w:val="22"/>
              </w:rPr>
            </w:pPr>
            <w:r>
              <w:rPr>
                <w:rFonts w:ascii="Roboto;sans-serif" w:hAnsi="Roboto;sans-serif"/>
                <w:b/>
                <w:color w:val="FFFFFF"/>
                <w:sz w:val="22"/>
              </w:rPr>
              <w:t xml:space="preserve">NOTE 3. BALANCE SHEET COMPONENTS </w:t>
            </w:r>
          </w:p>
        </w:tc>
      </w:tr>
    </w:tbl>
    <w:tbl>
      <w:tblPr>
        <w:tblW w:w="2010" w:type="dxa"/>
        <w:jc w:val="left"/>
        <w:tblInd w:w="0" w:type="dxa"/>
        <w:tblLayout w:type="fixed"/>
        <w:tblCellMar>
          <w:top w:w="28" w:type="dxa"/>
          <w:left w:w="28" w:type="dxa"/>
          <w:bottom w:w="28" w:type="dxa"/>
          <w:right w:w="28" w:type="dxa"/>
        </w:tblCellMar>
      </w:tblPr>
      <w:tblGrid>
        <w:gridCol w:w="644"/>
        <w:gridCol w:w="565"/>
        <w:gridCol w:w="801"/>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Inventory,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inventory, net, consisted of the following components:</w:t>
      </w:r>
    </w:p>
    <w:tbl>
      <w:tblPr>
        <w:tblW w:w="4998" w:type="dxa"/>
        <w:jc w:val="left"/>
        <w:tblInd w:w="0" w:type="dxa"/>
        <w:tblLayout w:type="fixed"/>
        <w:tblCellMar>
          <w:top w:w="28" w:type="dxa"/>
          <w:left w:w="28" w:type="dxa"/>
          <w:bottom w:w="28" w:type="dxa"/>
          <w:right w:w="28" w:type="dxa"/>
        </w:tblCellMar>
      </w:tblPr>
      <w:tblGrid>
        <w:gridCol w:w="707"/>
        <w:gridCol w:w="620"/>
        <w:gridCol w:w="623"/>
        <w:gridCol w:w="226"/>
        <w:gridCol w:w="826"/>
        <w:gridCol w:w="109"/>
        <w:gridCol w:w="109"/>
        <w:gridCol w:w="109"/>
        <w:gridCol w:w="109"/>
        <w:gridCol w:w="292"/>
        <w:gridCol w:w="1069"/>
        <w:gridCol w:w="199"/>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2024</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44,479 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45,270 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24,914 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22,172 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13,429 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14,081 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gross</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82,822 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81,523 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reserve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(28,815)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(22,768)</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54,007 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58,755 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94" w:type="dxa"/>
        <w:jc w:val="left"/>
        <w:tblInd w:w="0" w:type="dxa"/>
        <w:tblLayout w:type="fixed"/>
        <w:tblCellMar>
          <w:top w:w="28" w:type="dxa"/>
          <w:left w:w="28" w:type="dxa"/>
          <w:bottom w:w="28" w:type="dxa"/>
          <w:right w:w="28" w:type="dxa"/>
        </w:tblCellMar>
      </w:tblPr>
      <w:tblGrid>
        <w:gridCol w:w="1311"/>
        <w:gridCol w:w="1152"/>
        <w:gridCol w:w="1631"/>
      </w:tblGrid>
      <w:tr>
        <w:trPr/>
        <w:tc>
          <w:tcPr>
            <w:tcW w:w="13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Goodwill and Intangible Assets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Goodwill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We performed our annual assessment for goodwill impairment in the second quarter of 2024, as of the beginning of April 2024, noting no impairment. We recognized a $93.2 million and $51.3 million impairment charge in the second and fourth quarter of 2024, respectively, as a result of quantitative interim impairment tests.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Based primarily on the decline in our stock price and overall market capitalization during the first quarter of 2025, driven in part by macroeconomic uncertainties, as well as our updated strategic plans and restructuring initiatives that prioritize accelerating adoption of HiFi sequencing and ceasing development of our high-throughput short-read platform, we concluded that changes to the timing and amount of expected future cash flows, among other factors, indicated that it was more likely than not that the fair value of the reporting unit was less than its carrying amount, requiring an interim goodwill impairment assessment. As a result of the quantitative interim impairment test performed as of March 31, 2025, we concluded that there was no impairment, as the estimated fair value of the entity-level reporting unit exceeded the carrying value.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determine the fair value of the entity-level reporting unit as of March 31, 2025, we performed our impairment test using a combination of an income approach and a market approach to determine the fair value of the reporting unit. The income approach utilized estimated discounted cash flows, while the market approach utilized comparable company information. Significant assumptions used in the income approach included revenue growth expectations and a selected discount rate of 12.0%. The discount rate was based on the weighted average cost of capital, determined using market, industry data, and related risk factors. The assessment is a level 3 measurement due to its reliance on certain unobservable inputs and significant management judgment. The assumptions used were inherently subject to uncertainty and small changes in these assumptions could have had a significant impact on the concluded value. An increase of 100 basis points to the discount rate used in our assessment would have resulted in a change in the fair value of the reporting unit of approximately $75 million. The assessed fair value was deemed reasonable based on a market capitalization reconciliation and a supportable control premium.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our future operating results, cash flows, share price, market capitalization or discount rates used when conducting future goodwill impairment tests could affect the implied fair value of goodwill and may result in additional impairment charges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Intangible assets include developed technology, customer relationships, and acquired in-process research and development ("IPR&amp;D"). In connection with the Apton acquisition in August 2023, we allocated $55.0 million of the purchase price to IPR&amp;D. This asset is considered indefinite-lived until the associated research and development activities are either completed or abandoned, and is tested for impairment annually and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12520"/>
                <wp:effectExtent l="0" t="0" r="0" b="0"/>
                <wp:wrapNone/>
                <wp:docPr id="36" name="Frame1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457200" cy="95250"/>
                                                </a:xfrm>
                                                <a:prstGeom prst="rect">
                                                  <a:avLst/>
                                                </a:prstGeom>
                                              </pic:spPr>
                                            </pic:pic>
                                          </a:graphicData>
                                        </a:graphic>
                                      </wp:inline>
                                    </w:drawing>
                                  </w:r>
                                  <w:bookmarkStart w:id="24" w:name="i-13"/>
                                  <w:bookmarkEnd w:id="2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457200" cy="95250"/>
                                          </a:xfrm>
                                          <a:prstGeom prst="rect">
                                            <a:avLst/>
                                          </a:prstGeom>
                                        </pic:spPr>
                                      </pic:pic>
                                    </a:graphicData>
                                  </a:graphic>
                                </wp:inline>
                              </w:drawing>
                            </w:r>
                            <w:bookmarkStart w:id="25" w:name="i-13"/>
                            <w:bookmarkEnd w:id="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frequently if events or changes in circumstances indicate that it is more likely than not that the asset is impaired.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$40.0 million impairment charge in the fourth quarter of 2024 as a result of a quantitative interim impairment test.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below carrying value and recorded a $15.0 million impairment charge. The decline in the fair value of the IPR&amp;D below its carrying amount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on our consolidated statements of operations and comprehensive loss for the three months ended March 31, 2025.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significant management judgment. The assumptions used were inherently subject to uncertainty and small changes in these assumptions could have had a significant impact on the concluded value. A decrease of 200 basis points to the discount rate used in our analysis would have resulted in an increase in the estimated fair value of the IPR&amp;D of approximately $3 million, and an increase of one year to the obsolescence factor used in our analysis would have resulted in an increase in the estimated fair value of the IPR&amp;D of approximately $3 million.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IPR&amp;D during the three months ended March 31, 2025 were as follows:</w:t>
      </w:r>
    </w:p>
    <w:tbl>
      <w:tblPr>
        <w:tblW w:w="4727" w:type="dxa"/>
        <w:jc w:val="left"/>
        <w:tblInd w:w="0" w:type="dxa"/>
        <w:tblLayout w:type="fixed"/>
        <w:tblCellMar>
          <w:top w:w="28" w:type="dxa"/>
          <w:left w:w="28" w:type="dxa"/>
          <w:bottom w:w="28" w:type="dxa"/>
          <w:right w:w="28" w:type="dxa"/>
        </w:tblCellMar>
      </w:tblPr>
      <w:tblGrid>
        <w:gridCol w:w="1157"/>
        <w:gridCol w:w="1014"/>
        <w:gridCol w:w="1023"/>
        <w:gridCol w:w="109"/>
        <w:gridCol w:w="109"/>
        <w:gridCol w:w="109"/>
        <w:gridCol w:w="226"/>
        <w:gridCol w:w="82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8"/>
              </w:rPr>
            </w:pPr>
            <w:r>
              <w:rPr>
                <w:rFonts w:ascii="Roboto;sans-serif" w:hAnsi="Roboto;sans-serif"/>
                <w:b w:val="false"/>
                <w:color w:val="1383C6"/>
                <w:sz w:val="18"/>
              </w:rPr>
              <w:t>Impairment charge</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8"/>
              </w:rPr>
            </w:pPr>
            <w:r>
              <w:rPr>
                <w:rFonts w:ascii="Roboto;sans-serif" w:hAnsi="Roboto;sans-serif"/>
                <w:b w:val="false"/>
                <w:color w:val="1383C6"/>
                <w:sz w:val="18"/>
              </w:rPr>
              <w:t>Balance as of March 31,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8ceeb5c9aa84416fb9d34124a1b6c447_49">
        <w:r>
          <w:rPr>
            <w:rStyle w:val="InternetLink"/>
          </w:rPr>
          <w:t xml:space="preserve">Note </w:t>
        </w:r>
      </w:hyperlink>
      <w:hyperlink w:anchor="i8ceeb5c9aa84416fb9d34124a1b6c447_49">
        <w:r>
          <w:rPr>
            <w:rStyle w:val="InternetLink"/>
          </w:rPr>
          <w:t>5</w:t>
        </w:r>
      </w:hyperlink>
      <w:hyperlink w:anchor="i8ceeb5c9aa84416fb9d34124a1b6c447_49">
        <w:r>
          <w:rPr>
            <w:rStyle w:val="InternetLink"/>
          </w:rPr>
          <w:t xml:space="preserve">. </w:t>
        </w:r>
      </w:hyperlink>
      <w:hyperlink w:anchor="i8ceeb5c9aa84416fb9d34124a1b6c447_49">
        <w:r>
          <w:rPr>
            <w:rStyle w:val="InternetLink"/>
          </w:rPr>
          <w:t>Restructuring</w:t>
        </w:r>
      </w:hyperlink>
      <w:r>
        <w:rPr>
          <w:color w:val="000000"/>
        </w:rPr>
        <w:t xml:space="preserve"> </w:t>
      </w:r>
      <w:r>
        <w:rPr>
          <w:rFonts w:ascii="Roboto;sans-serif" w:hAnsi="Roboto;sans-serif"/>
          <w:b w:val="false"/>
          <w:color w:val="000000"/>
          <w:sz w:val="20"/>
        </w:rPr>
        <w:t>for additional information on costs incurred in connection with our current year restructuring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IPR&amp;D, we had the following acquired finite-lived intangible assets:</w:t>
      </w:r>
    </w:p>
    <w:tbl>
      <w:tblPr>
        <w:tblW w:w="11950" w:type="dxa"/>
        <w:jc w:val="left"/>
        <w:tblInd w:w="0" w:type="dxa"/>
        <w:tblLayout w:type="fixed"/>
        <w:tblCellMar>
          <w:top w:w="28" w:type="dxa"/>
          <w:left w:w="28" w:type="dxa"/>
          <w:bottom w:w="28" w:type="dxa"/>
          <w:right w:w="28" w:type="dxa"/>
        </w:tblCellMar>
      </w:tblPr>
      <w:tblGrid>
        <w:gridCol w:w="600"/>
        <w:gridCol w:w="330"/>
        <w:gridCol w:w="331"/>
        <w:gridCol w:w="345"/>
        <w:gridCol w:w="345"/>
        <w:gridCol w:w="346"/>
        <w:gridCol w:w="109"/>
        <w:gridCol w:w="109"/>
        <w:gridCol w:w="109"/>
        <w:gridCol w:w="226"/>
        <w:gridCol w:w="946"/>
        <w:gridCol w:w="109"/>
        <w:gridCol w:w="109"/>
        <w:gridCol w:w="109"/>
        <w:gridCol w:w="109"/>
        <w:gridCol w:w="226"/>
        <w:gridCol w:w="986"/>
        <w:gridCol w:w="109"/>
        <w:gridCol w:w="109"/>
        <w:gridCol w:w="109"/>
        <w:gridCol w:w="109"/>
        <w:gridCol w:w="226"/>
        <w:gridCol w:w="826"/>
        <w:gridCol w:w="109"/>
        <w:gridCol w:w="109"/>
        <w:gridCol w:w="109"/>
        <w:gridCol w:w="109"/>
        <w:gridCol w:w="226"/>
        <w:gridCol w:w="946"/>
        <w:gridCol w:w="109"/>
        <w:gridCol w:w="109"/>
        <w:gridCol w:w="109"/>
        <w:gridCol w:w="109"/>
        <w:gridCol w:w="253"/>
        <w:gridCol w:w="944"/>
        <w:gridCol w:w="124"/>
        <w:gridCol w:w="109"/>
        <w:gridCol w:w="109"/>
        <w:gridCol w:w="109"/>
        <w:gridCol w:w="226"/>
        <w:gridCol w:w="946"/>
        <w:gridCol w:w="154"/>
      </w:tblGrid>
      <w:tr>
        <w:trPr/>
        <w:tc>
          <w:tcPr>
            <w:tcW w:w="6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As of December 31, 2024</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years)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Net</w:t>
              <w:br/>
              <w:t>Carrying</w:t>
              <w:br/>
              <w:t>Amount</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0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3 — 15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421,179 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(402,997)</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18,182 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411,179 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(36,607)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374,572 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03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421,539 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(403,357)</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18,182 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411,539 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(36,967)</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374,572 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12520"/>
                <wp:effectExtent l="0" t="0" r="0" b="0"/>
                <wp:wrapNone/>
                <wp:docPr id="39" name="Frame1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457200" cy="95250"/>
                                                </a:xfrm>
                                                <a:prstGeom prst="rect">
                                                  <a:avLst/>
                                                </a:prstGeom>
                                              </pic:spPr>
                                            </pic:pic>
                                          </a:graphicData>
                                        </a:graphic>
                                      </wp:inline>
                                    </w:drawing>
                                  </w:r>
                                  <w:bookmarkStart w:id="26" w:name="i-14"/>
                                  <w:bookmarkEnd w:id="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457200" cy="95250"/>
                                          </a:xfrm>
                                          <a:prstGeom prst="rect">
                                            <a:avLst/>
                                          </a:prstGeom>
                                        </pic:spPr>
                                      </pic:pic>
                                    </a:graphicData>
                                  </a:graphic>
                                </wp:inline>
                              </w:drawing>
                            </w:r>
                            <w:bookmarkStart w:id="27" w:name="i-14"/>
                            <w:bookmarkEnd w:id="2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intangible assets with finite lives is as follows:</w:t>
      </w:r>
    </w:p>
    <w:tbl>
      <w:tblPr>
        <w:tblW w:w="3171" w:type="dxa"/>
        <w:jc w:val="left"/>
        <w:tblInd w:w="0" w:type="dxa"/>
        <w:tblLayout w:type="fixed"/>
        <w:tblCellMar>
          <w:top w:w="28" w:type="dxa"/>
          <w:left w:w="28" w:type="dxa"/>
          <w:bottom w:w="28" w:type="dxa"/>
          <w:right w:w="28" w:type="dxa"/>
        </w:tblCellMar>
      </w:tblPr>
      <w:tblGrid>
        <w:gridCol w:w="712"/>
        <w:gridCol w:w="625"/>
        <w:gridCol w:w="628"/>
        <w:gridCol w:w="226"/>
        <w:gridCol w:w="82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2025</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3,059 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4,078 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4,078 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2030 and thereafter</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4,921 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18,182 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review finite-lived intangible assets for impairment when indication of potential impairment exists, such as a significant reduction in cash flows associated with the assets.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During the three months ended March 31,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during the three months ended March 31, 2025 we recognized accelerated amortization of $359.3 million within amortization of acquired intangible assets in operating expenses, reflecting our revised estimate that the asset will no longer generate economic benefit beyond March 31, 2025. This expense reduced basic and diluted net loss per share by $1.21.</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March 7, 2025, the Company entered into an agreement to acquire certain developed technology and related intellectual property from The Chinese University of Hong Kong for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March 31, 2025, $5.0 million of intangible assets acquired during the first quarter of 2025 remained unpaid, is included in accrued liabilities on the condensed consolidated balance sheets, and is expected to be paid in 2026.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first quarter of 2025, as part of our interim goodwill impairment test, we also performed a recoverability test for the definite-lived asset group noting no impairment.</w:t>
      </w:r>
    </w:p>
    <w:p>
      <w:pPr>
        <w:pStyle w:val="TextBody"/>
        <w:bidi w:val="0"/>
        <w:spacing w:lineRule="auto" w:line="288" w:before="180" w:after="283"/>
        <w:jc w:val="both"/>
        <w:rPr/>
      </w:pPr>
      <w:r>
        <w:rPr>
          <w:rFonts w:ascii="Roboto;sans-serif" w:hAnsi="Roboto;sans-serif"/>
          <w:b w:val="false"/>
          <w:color w:val="000000"/>
          <w:sz w:val="20"/>
        </w:rPr>
        <w:t xml:space="preserve">See </w:t>
      </w:r>
      <w:hyperlink w:anchor="i8ceeb5c9aa84416fb9d34124a1b6c447_49">
        <w:r>
          <w:rPr>
            <w:rStyle w:val="InternetLink"/>
          </w:rPr>
          <w:t xml:space="preserve">Note </w:t>
        </w:r>
      </w:hyperlink>
      <w:hyperlink w:anchor="i8ceeb5c9aa84416fb9d34124a1b6c447_49">
        <w:r>
          <w:rPr>
            <w:rStyle w:val="InternetLink"/>
          </w:rPr>
          <w:t>5</w:t>
        </w:r>
      </w:hyperlink>
      <w:hyperlink w:anchor="i8ceeb5c9aa84416fb9d34124a1b6c447_49">
        <w:r>
          <w:rPr>
            <w:rStyle w:val="InternetLink"/>
          </w:rPr>
          <w:t>. Restructuring</w:t>
        </w:r>
      </w:hyperlink>
      <w:r>
        <w:rPr>
          <w:color w:val="000000"/>
        </w:rPr>
        <w:t xml:space="preserve"> </w:t>
      </w:r>
      <w:r>
        <w:rPr>
          <w:rFonts w:ascii="Roboto;sans-serif" w:hAnsi="Roboto;sans-serif"/>
          <w:b w:val="false"/>
          <w:color w:val="000000"/>
          <w:sz w:val="20"/>
        </w:rPr>
        <w:t>for additional information on costs incurred in connection with our current year restructuring activities.</w:t>
      </w:r>
    </w:p>
    <w:tbl>
      <w:tblPr>
        <w:tblW w:w="2459" w:type="dxa"/>
        <w:jc w:val="left"/>
        <w:tblInd w:w="0" w:type="dxa"/>
        <w:tblLayout w:type="fixed"/>
        <w:tblCellMar>
          <w:top w:w="28" w:type="dxa"/>
          <w:left w:w="28" w:type="dxa"/>
          <w:bottom w:w="28" w:type="dxa"/>
          <w:right w:w="28" w:type="dxa"/>
        </w:tblCellMar>
      </w:tblPr>
      <w:tblGrid>
        <w:gridCol w:w="786"/>
        <w:gridCol w:w="692"/>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Deferred Revenue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2025, we had a total of $21.1 million of deferred revenue, $15.2 million of which was recorded as deferred revenue, current, and $5.9 million of which was recorded as deferred revenue, non-current, which primarily relates to deferred service contract revenues and is scheduled to be recognized in the next five years. Revenue recorded in the three months ended March 31, 2025 includes $4.6 million that was included in deferred revenue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12520"/>
                <wp:effectExtent l="0" t="0" r="0" b="0"/>
                <wp:wrapNone/>
                <wp:docPr id="42" name="Frame1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457200" cy="95250"/>
                                                </a:xfrm>
                                                <a:prstGeom prst="rect">
                                                  <a:avLst/>
                                                </a:prstGeom>
                                              </pic:spPr>
                                            </pic:pic>
                                          </a:graphicData>
                                        </a:graphic>
                                      </wp:inline>
                                    </w:drawing>
                                  </w:r>
                                  <w:bookmarkStart w:id="28" w:name="i-15"/>
                                  <w:bookmarkEnd w:id="2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457200" cy="95250"/>
                                          </a:xfrm>
                                          <a:prstGeom prst="rect">
                                            <a:avLst/>
                                          </a:prstGeom>
                                        </pic:spPr>
                                      </pic:pic>
                                    </a:graphicData>
                                  </a:graphic>
                                </wp:inline>
                              </w:drawing>
                            </w:r>
                            <w:bookmarkStart w:id="29" w:name="i-15"/>
                            <w:bookmarkEnd w:id="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Performance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March 31, 2025, the aggregate amount of the transaction price allocated to remaining performance obligations was $58.7 million, of which approximately 70% is expected to be converted to revenue over the next twelve months, approximately 23% in the following twelve months, and the remainder thereafter.</w:t>
      </w:r>
    </w:p>
    <w:tbl>
      <w:tblPr>
        <w:tblW w:w="2625" w:type="dxa"/>
        <w:jc w:val="lef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Product Warranties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 for the periods indicated:</w:t>
      </w:r>
    </w:p>
    <w:tbl>
      <w:tblPr>
        <w:tblW w:w="8008" w:type="dxa"/>
        <w:jc w:val="left"/>
        <w:tblInd w:w="0" w:type="dxa"/>
        <w:tblLayout w:type="fixed"/>
        <w:tblCellMar>
          <w:top w:w="28" w:type="dxa"/>
          <w:left w:w="28" w:type="dxa"/>
          <w:bottom w:w="28" w:type="dxa"/>
          <w:right w:w="28" w:type="dxa"/>
        </w:tblCellMar>
      </w:tblPr>
      <w:tblGrid>
        <w:gridCol w:w="1539"/>
        <w:gridCol w:w="1349"/>
        <w:gridCol w:w="1357"/>
        <w:gridCol w:w="308"/>
        <w:gridCol w:w="963"/>
        <w:gridCol w:w="148"/>
        <w:gridCol w:w="148"/>
        <w:gridCol w:w="148"/>
        <w:gridCol w:w="148"/>
        <w:gridCol w:w="308"/>
        <w:gridCol w:w="963"/>
        <w:gridCol w:w="148"/>
        <w:gridCol w:w="109"/>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1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0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3,100 </w:t>
            </w:r>
          </w:p>
        </w:tc>
        <w:tc>
          <w:tcPr>
            <w:tcW w:w="14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4,681 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27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1,311 </w:t>
            </w:r>
          </w:p>
        </w:tc>
        <w:tc>
          <w:tcPr>
            <w:tcW w:w="14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27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(1,552)</w:t>
            </w:r>
          </w:p>
        </w:tc>
        <w:tc>
          <w:tcPr>
            <w:tcW w:w="14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(2,161)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0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2,859 </w:t>
            </w:r>
          </w:p>
        </w:tc>
        <w:tc>
          <w:tcPr>
            <w:tcW w:w="14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4,120 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95" w:type="dxa"/>
        <w:jc w:val="left"/>
        <w:tblInd w:w="0" w:type="dxa"/>
        <w:tblLayout w:type="fixed"/>
        <w:tblCellMar>
          <w:top w:w="28" w:type="dxa"/>
          <w:left w:w="28" w:type="dxa"/>
          <w:bottom w:w="28" w:type="dxa"/>
          <w:right w:w="28" w:type="dxa"/>
        </w:tblCellMar>
      </w:tblPr>
      <w:tblGrid>
        <w:gridCol w:w="1600"/>
        <w:gridCol w:w="1404"/>
        <w:gridCol w:w="1991"/>
      </w:tblGrid>
      <w:tr>
        <w:trPr/>
        <w:tc>
          <w:tcPr>
            <w:tcW w:w="16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4. CONVERTIBLE SENIOR NOTES</w:t>
            </w:r>
          </w:p>
        </w:tc>
      </w:tr>
    </w:tbl>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2029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are subject to certain lock-up restrictions for a six-month period (the “Lock-Up Period”) beginning on the Closing Date of the 2024 Exchange Transaction; the lock-up restrictions will terminate immediately prior to the consummation of any change in control of the Company.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12520"/>
                <wp:effectExtent l="0" t="0" r="0" b="0"/>
                <wp:wrapNone/>
                <wp:docPr id="45" name="Frame1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457200" cy="95250"/>
                                                </a:xfrm>
                                                <a:prstGeom prst="rect">
                                                  <a:avLst/>
                                                </a:prstGeom>
                                              </pic:spPr>
                                            </pic:pic>
                                          </a:graphicData>
                                        </a:graphic>
                                      </wp:inline>
                                    </w:drawing>
                                  </w:r>
                                  <w:bookmarkStart w:id="30" w:name="i-16"/>
                                  <w:bookmarkEnd w:id="3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457200" cy="95250"/>
                                          </a:xfrm>
                                          <a:prstGeom prst="rect">
                                            <a:avLst/>
                                          </a:prstGeom>
                                        </pic:spPr>
                                      </pic:pic>
                                    </a:graphicData>
                                  </a:graphic>
                                </wp:inline>
                              </w:drawing>
                            </w:r>
                            <w:bookmarkStart w:id="31" w:name="i-16"/>
                            <w:bookmarkEnd w:id="3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subject to certain debt and lien covenants as well as springing guarantees, in each case, the terms of which are set forth in a second letter agreement between the Company and SBN entered into in connection with the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Indenture includes customary “events of default,” which may result in the acceleration of the maturity of the 2029 Notes under the 2029 Indenture. The 2029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2029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2029 Notes shall be subject to acceleration as provided for in the 2029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2029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12520"/>
                <wp:effectExtent l="0" t="0" r="0" b="0"/>
                <wp:wrapNone/>
                <wp:docPr id="48" name="Frame1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457200" cy="95250"/>
                                                </a:xfrm>
                                                <a:prstGeom prst="rect">
                                                  <a:avLst/>
                                                </a:prstGeom>
                                              </pic:spPr>
                                            </pic:pic>
                                          </a:graphicData>
                                        </a:graphic>
                                      </wp:inline>
                                    </w:drawing>
                                  </w:r>
                                  <w:bookmarkStart w:id="32" w:name="i-17"/>
                                  <w:bookmarkEnd w:id="3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457200" cy="95250"/>
                                          </a:xfrm>
                                          <a:prstGeom prst="rect">
                                            <a:avLst/>
                                          </a:prstGeom>
                                        </pic:spPr>
                                      </pic:pic>
                                    </a:graphicData>
                                  </a:graphic>
                                </wp:inline>
                              </w:drawing>
                            </w:r>
                            <w:bookmarkStart w:id="33" w:name="i-17"/>
                            <w:bookmarkEnd w:id="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The exchange qualified as a troubled debt restructuring under ASC 470-60 – </w:t>
      </w:r>
      <w:r>
        <w:rPr>
          <w:rFonts w:ascii="Roboto;sans-serif" w:hAnsi="Roboto;sans-serif"/>
          <w:b w:val="false"/>
          <w:i/>
          <w:color w:val="000000"/>
          <w:sz w:val="20"/>
        </w:rPr>
        <w:t>Troubled Debt Restructurings by Debtors</w:t>
      </w:r>
      <w:r>
        <w:rPr>
          <w:rFonts w:ascii="Roboto;sans-serif" w:hAnsi="Roboto;sans-serif"/>
          <w:b w:val="false"/>
          <w:color w:val="000000"/>
          <w:sz w:val="20"/>
        </w:rPr>
        <w:t xml:space="preserve">. Since the undiscounted cash flows of the 2029 Notes were less than the carrying amount of the 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on our consolidated statements of operations and comprehensive loss. The gain was calculated as the difference between the carrying amount of the old debt and the carrying amount of the new debt, adjusted for debt issuance costs.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2029 Notes of approximately $3.1 million, including $0.2 million of lender fees, which were recorded as a reduction to the gain on debt restructuring on our consolidated statements of operations and comprehensive loss. We also paid accrued but unpaid interest of $1.8 million on the 2028 Notes in connection with the 2024 Exchange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the liability for the 2029 Notes as of March 31, 2025 is $213.5 million, of which $210.5 million is included as convertible senior notes, net, non-current, and $3.0 million is included as accrued expenses on our consolidated balance sheets.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2029 Notes during the three months ended March 31, 2025 were as follows:</w:t>
      </w:r>
    </w:p>
    <w:tbl>
      <w:tblPr>
        <w:tblW w:w="5345" w:type="dxa"/>
        <w:jc w:val="left"/>
        <w:tblInd w:w="0" w:type="dxa"/>
        <w:tblLayout w:type="fixed"/>
        <w:tblCellMar>
          <w:top w:w="28" w:type="dxa"/>
          <w:left w:w="28" w:type="dxa"/>
          <w:bottom w:w="28" w:type="dxa"/>
          <w:right w:w="28" w:type="dxa"/>
        </w:tblCellMar>
      </w:tblPr>
      <w:tblGrid>
        <w:gridCol w:w="1457"/>
        <w:gridCol w:w="1278"/>
        <w:gridCol w:w="1284"/>
        <w:gridCol w:w="226"/>
        <w:gridCol w:w="94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Carrying amount as of December 31, 2024</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214,200 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Carrying amount as of March 31,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213,500 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the estimated fair value (Level 2) of the 2029 Notes was $154.0 million. The fair value of the 2029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2030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and the rules and regulations thereunder. The 2030 Notes were issued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12520"/>
                <wp:effectExtent l="0" t="0" r="0" b="0"/>
                <wp:wrapNone/>
                <wp:docPr id="51" name="Frame1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457200" cy="95250"/>
                                                </a:xfrm>
                                                <a:prstGeom prst="rect">
                                                  <a:avLst/>
                                                </a:prstGeom>
                                              </pic:spPr>
                                            </pic:pic>
                                          </a:graphicData>
                                        </a:graphic>
                                      </wp:inline>
                                    </w:drawing>
                                  </w:r>
                                  <w:bookmarkStart w:id="34" w:name="i-18"/>
                                  <w:bookmarkEnd w:id="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457200" cy="95250"/>
                                          </a:xfrm>
                                          <a:prstGeom prst="rect">
                                            <a:avLst/>
                                          </a:prstGeom>
                                        </pic:spPr>
                                      </pic:pic>
                                    </a:graphicData>
                                  </a:graphic>
                                </wp:inline>
                              </w:drawing>
                            </w:r>
                            <w:bookmarkStart w:id="35" w:name="i-18"/>
                            <w:bookmarkEnd w:id="3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Indenture includes customary “events of default,” which may result in the acceleration of the maturity of the 2030 Notes under the 2030 Indenture. The 2030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2030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2030 Notes shall be subject to acceleration as provided for in the 2030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2030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2023 Exchange Transaction was accounted for as an extinguishment driven by the change in fair value of the embedded conversion option. We recorded a loss on extinguishment of debt of approximately $2.0 million in connection with the 2023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2030 Notes of approximately $7.3 million, which were recorded as debt issuance costs and are presented as a reduction to the 2030 Notes on our condensed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2023 Exchange Transaction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did not receive any cash proceeds from the 2023 Exchange Transaction. In exchange for issuing the 2030 Notes pursuant to the 2023 Exchange Transaction, we received and cancelled the exchanged 2028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12520"/>
                <wp:effectExtent l="0" t="0" r="0" b="0"/>
                <wp:wrapNone/>
                <wp:docPr id="54" name="Frame1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457200" cy="95250"/>
                                                </a:xfrm>
                                                <a:prstGeom prst="rect">
                                                  <a:avLst/>
                                                </a:prstGeom>
                                              </pic:spPr>
                                            </pic:pic>
                                          </a:graphicData>
                                        </a:graphic>
                                      </wp:inline>
                                    </w:drawing>
                                  </w:r>
                                  <w:bookmarkStart w:id="36" w:name="i-19"/>
                                  <w:bookmarkEnd w:id="3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457200" cy="95250"/>
                                          </a:xfrm>
                                          <a:prstGeom prst="rect">
                                            <a:avLst/>
                                          </a:prstGeom>
                                        </pic:spPr>
                                      </pic:pic>
                                    </a:graphicData>
                                  </a:graphic>
                                </wp:inline>
                              </w:drawing>
                            </w:r>
                            <w:bookmarkStart w:id="37" w:name="i-19"/>
                            <w:bookmarkEnd w:id="3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Following the closing of the 2023 Exchange Transaction, $459.0 million in aggregate principal amount of 2028 Notes remained outstanding with terms unchanged.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2030 Notes is included as convertible senior notes, net, non-current in the condensed consolidated balance sheets as follows:</w:t>
      </w:r>
    </w:p>
    <w:tbl>
      <w:tblPr>
        <w:tblW w:w="6288" w:type="dxa"/>
        <w:jc w:val="left"/>
        <w:tblInd w:w="0" w:type="dxa"/>
        <w:tblLayout w:type="fixed"/>
        <w:tblCellMar>
          <w:top w:w="28" w:type="dxa"/>
          <w:left w:w="28" w:type="dxa"/>
          <w:bottom w:w="28" w:type="dxa"/>
          <w:right w:w="28" w:type="dxa"/>
        </w:tblCellMar>
      </w:tblPr>
      <w:tblGrid>
        <w:gridCol w:w="1131"/>
        <w:gridCol w:w="993"/>
        <w:gridCol w:w="996"/>
        <w:gridCol w:w="226"/>
        <w:gridCol w:w="946"/>
        <w:gridCol w:w="109"/>
        <w:gridCol w:w="109"/>
        <w:gridCol w:w="109"/>
        <w:gridCol w:w="109"/>
        <w:gridCol w:w="266"/>
        <w:gridCol w:w="1113"/>
        <w:gridCol w:w="18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2024</w:t>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441,000 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premium</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(5,720)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(5,959)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435,714 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435,494 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Interest expense for the 2030 Notes was as follows:</w:t>
      </w:r>
    </w:p>
    <w:tbl>
      <w:tblPr>
        <w:tblW w:w="7093" w:type="dxa"/>
        <w:jc w:val="left"/>
        <w:tblInd w:w="0" w:type="dxa"/>
        <w:tblLayout w:type="fixed"/>
        <w:tblCellMar>
          <w:top w:w="28" w:type="dxa"/>
          <w:left w:w="28" w:type="dxa"/>
          <w:bottom w:w="28" w:type="dxa"/>
          <w:right w:w="28" w:type="dxa"/>
        </w:tblCellMar>
      </w:tblPr>
      <w:tblGrid>
        <w:gridCol w:w="1207"/>
        <w:gridCol w:w="1059"/>
        <w:gridCol w:w="1064"/>
        <w:gridCol w:w="308"/>
        <w:gridCol w:w="963"/>
        <w:gridCol w:w="148"/>
        <w:gridCol w:w="148"/>
        <w:gridCol w:w="148"/>
        <w:gridCol w:w="148"/>
        <w:gridCol w:w="308"/>
        <w:gridCol w:w="963"/>
        <w:gridCol w:w="148"/>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1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30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1,516 </w:t>
            </w:r>
          </w:p>
        </w:tc>
        <w:tc>
          <w:tcPr>
            <w:tcW w:w="14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1,533 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27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239 </w:t>
            </w:r>
          </w:p>
        </w:tc>
        <w:tc>
          <w:tcPr>
            <w:tcW w:w="14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30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1,755 </w:t>
            </w:r>
          </w:p>
        </w:tc>
        <w:tc>
          <w:tcPr>
            <w:tcW w:w="14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1,772 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As of March 31, 2025, the estimated fair value (Level 2) of the 2030 Notes was $276.6 million. The fair value of the 2030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2028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9, 2021, we entered into an investment agreement with SBN relating to the issuance and sale to SBN of $900.0 million in aggregate principal amount of the 2028 Notes. The 2028 Notes were issued on February 16, 2021 and bore interest at a rate of 1.50% per annum. As discussed above, in June 2023 we completed an exchange of $441.0 million in aggregate principal amount of our 2028 Notes for $441.0 million aggregate principal amount of the 2030 Notes, leaving approximately $459.0 million in aggregate principal amount of 2028 Notes outstanding. Also as discussed above, in November 2024 we completed an exchange of the remaining $459.0 million in aggregate principal amount of the 2028 Notes outstanding for (i) $200.0 million aggregate principal amount of the 2029 Notes, (ii) the Exchange Shares and (iii) $50.0 million of cash. As of December 31, 2024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issuance costs related to the 2028 Notes of approximately $4.5 million, which were recorded as debt issuance costs and are presented as a reduction to the 2028 Notes on our consolidated balance sheets. The debt issuance costs were amortized to interest expense using the effective interest method over the term of the 2028 Notes, resulting in an effective interest rate of 1.6%. In connection with the 2024 Exchange Transaction, the remaining unamortized debt issuance costs related to the 2028 Notes of $1.1 million were extinguished by offsetting the carrying amount of the convertible senior notes.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2028 Notes was as follows:</w:t>
      </w:r>
    </w:p>
    <w:tbl>
      <w:tblPr>
        <w:tblW w:w="6656" w:type="dxa"/>
        <w:jc w:val="left"/>
        <w:tblInd w:w="0" w:type="dxa"/>
        <w:tblLayout w:type="fixed"/>
        <w:tblCellMar>
          <w:top w:w="28" w:type="dxa"/>
          <w:left w:w="28" w:type="dxa"/>
          <w:bottom w:w="28" w:type="dxa"/>
          <w:right w:w="28" w:type="dxa"/>
        </w:tblCellMar>
      </w:tblPr>
      <w:tblGrid>
        <w:gridCol w:w="1207"/>
        <w:gridCol w:w="1059"/>
        <w:gridCol w:w="1064"/>
        <w:gridCol w:w="349"/>
        <w:gridCol w:w="627"/>
        <w:gridCol w:w="168"/>
        <w:gridCol w:w="168"/>
        <w:gridCol w:w="168"/>
        <w:gridCol w:w="168"/>
        <w:gridCol w:w="349"/>
        <w:gridCol w:w="1091"/>
        <w:gridCol w:w="238"/>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44"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34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2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6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1,721 </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97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6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34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2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6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1,802 </w:t>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12520"/>
                <wp:effectExtent l="0" t="0" r="0" b="0"/>
                <wp:wrapNone/>
                <wp:docPr id="57" name="Frame2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457200" cy="95250"/>
                                                </a:xfrm>
                                                <a:prstGeom prst="rect">
                                                  <a:avLst/>
                                                </a:prstGeom>
                                              </pic:spPr>
                                            </pic:pic>
                                          </a:graphicData>
                                        </a:graphic>
                                      </wp:inline>
                                    </w:drawing>
                                  </w:r>
                                  <w:bookmarkStart w:id="38" w:name="i-20"/>
                                  <w:bookmarkEnd w:id="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457200" cy="95250"/>
                                          </a:xfrm>
                                          <a:prstGeom prst="rect">
                                            <a:avLst/>
                                          </a:prstGeom>
                                        </pic:spPr>
                                      </pic:pic>
                                    </a:graphicData>
                                  </a:graphic>
                                </wp:inline>
                              </w:drawing>
                            </w:r>
                            <w:bookmarkStart w:id="39" w:name="i-20"/>
                            <w:bookmarkEnd w:id="3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3389" w:type="dxa"/>
        <w:jc w:val="left"/>
        <w:tblInd w:w="0" w:type="dxa"/>
        <w:tblLayout w:type="fixed"/>
        <w:tblCellMar>
          <w:top w:w="28" w:type="dxa"/>
          <w:left w:w="28" w:type="dxa"/>
          <w:bottom w:w="28" w:type="dxa"/>
          <w:right w:w="28" w:type="dxa"/>
        </w:tblCellMar>
      </w:tblPr>
      <w:tblGrid>
        <w:gridCol w:w="1085"/>
        <w:gridCol w:w="954"/>
        <w:gridCol w:w="135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5. RESTRUCTURING</w:t>
            </w:r>
          </w:p>
        </w:tc>
      </w:tr>
    </w:tbl>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2025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first quarter of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10205" w:type="dxa"/>
        <w:jc w:val="left"/>
        <w:tblInd w:w="0" w:type="dxa"/>
        <w:tblLayout w:type="fixed"/>
        <w:tblCellMar>
          <w:top w:w="28" w:type="dxa"/>
          <w:left w:w="28" w:type="dxa"/>
          <w:bottom w:w="28" w:type="dxa"/>
          <w:right w:w="28" w:type="dxa"/>
        </w:tblCellMar>
      </w:tblPr>
      <w:tblGrid>
        <w:gridCol w:w="972"/>
        <w:gridCol w:w="827"/>
        <w:gridCol w:w="831"/>
        <w:gridCol w:w="776"/>
        <w:gridCol w:w="2425"/>
        <w:gridCol w:w="374"/>
        <w:gridCol w:w="109"/>
        <w:gridCol w:w="109"/>
        <w:gridCol w:w="109"/>
        <w:gridCol w:w="761"/>
        <w:gridCol w:w="2383"/>
        <w:gridCol w:w="529"/>
      </w:tblGrid>
      <w:tr>
        <w:trPr/>
        <w:tc>
          <w:tcPr>
            <w:tcW w:w="9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57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26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8"/>
              </w:rPr>
              <w:t xml:space="preserve">Employee separation costs </w:t>
            </w:r>
            <w:r>
              <w:rPr>
                <w:rFonts w:ascii="Roboto;sans-serif" w:hAnsi="Roboto;sans-serif"/>
                <w:b w:val="false"/>
                <w:color w:val="000000"/>
                <w:sz w:val="12"/>
              </w:rPr>
              <w:t>(1)</w:t>
            </w:r>
          </w:p>
        </w:tc>
        <w:tc>
          <w:tcPr>
            <w:tcW w:w="77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42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4,649 </w:t>
            </w:r>
          </w:p>
        </w:tc>
        <w:tc>
          <w:tcPr>
            <w:tcW w:w="37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4,649 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3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3"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Total restructuring charges</w:t>
            </w:r>
          </w:p>
        </w:tc>
        <w:tc>
          <w:tcPr>
            <w:tcW w:w="7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42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4,649 </w:t>
            </w:r>
          </w:p>
        </w:tc>
        <w:tc>
          <w:tcPr>
            <w:tcW w:w="37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4,649 </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$2.5 million was recorded in sales, general and administrative expense and $2.1 million in research and development expense.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Charges included employee separation costs comprised of approximately $2.4 million related to salaries, wages and other employee benefits paid to terminated employees pursuant to the Worker Adjustment and Retraining Notification (WARN) Act and approximately $2.2 million of severance costs.</w:t>
      </w:r>
    </w:p>
    <w:p>
      <w:pPr>
        <w:pStyle w:val="TextBody"/>
        <w:bidi w:val="0"/>
        <w:spacing w:lineRule="auto" w:line="288" w:before="120" w:after="283"/>
        <w:jc w:val="both"/>
        <w:rPr/>
      </w:pPr>
      <w:r>
        <w:rPr>
          <w:rFonts w:ascii="Roboto;sans-serif" w:hAnsi="Roboto;sans-serif"/>
          <w:b w:val="false"/>
          <w:color w:val="000000"/>
          <w:sz w:val="20"/>
        </w:rPr>
        <w:t xml:space="preserve">In connection with the restructuring and strategic shift, we incurred an additional $388.2 million in costs. These include $359.3 million of accelerated amortization of certain intangible assets, $15.0 million of IPR&amp;D impairment charges, $7.7 million related to excess inventory due to decreased external demand and $3.8 million for estimated losses on purchase commitments tied to anticipated future excess inventory included in cost of revenue, and $2.4 million of accelerated depreciation of fixed assets. See </w:t>
      </w:r>
      <w:hyperlink w:anchor="i8ceeb5c9aa84416fb9d34124a1b6c447_40">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for additional information on the IPR&amp;D impairment assessment and the change in estimated useful life of the intangible asset and accelerated amortization.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10178" w:type="dxa"/>
        <w:jc w:val="left"/>
        <w:tblInd w:w="0" w:type="dxa"/>
        <w:tblLayout w:type="fixed"/>
        <w:tblCellMar>
          <w:top w:w="28" w:type="dxa"/>
          <w:left w:w="28" w:type="dxa"/>
          <w:bottom w:w="28" w:type="dxa"/>
          <w:right w:w="28" w:type="dxa"/>
        </w:tblCellMar>
      </w:tblPr>
      <w:tblGrid>
        <w:gridCol w:w="1928"/>
        <w:gridCol w:w="1696"/>
        <w:gridCol w:w="1701"/>
        <w:gridCol w:w="109"/>
        <w:gridCol w:w="109"/>
        <w:gridCol w:w="109"/>
        <w:gridCol w:w="628"/>
        <w:gridCol w:w="1962"/>
        <w:gridCol w:w="305"/>
        <w:gridCol w:w="109"/>
        <w:gridCol w:w="109"/>
        <w:gridCol w:w="109"/>
        <w:gridCol w:w="109"/>
        <w:gridCol w:w="109"/>
        <w:gridCol w:w="226"/>
        <w:gridCol w:w="706"/>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excluding non-cash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Employee Separation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532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20"/>
              </w:rPr>
            </w:pPr>
            <w:r>
              <w:rPr>
                <w:rFonts w:ascii="Roboto;sans-serif" w:hAnsi="Roboto;sans-serif"/>
                <w:b w:val="false"/>
                <w:color w:val="1383C6"/>
                <w:sz w:val="20"/>
              </w:rPr>
              <w:t>Expense recorded in Q1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96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4,649 </w:t>
            </w:r>
          </w:p>
        </w:tc>
        <w:tc>
          <w:tcPr>
            <w:tcW w:w="30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4,649 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20"/>
              </w:rPr>
            </w:pPr>
            <w:r>
              <w:rPr>
                <w:rFonts w:ascii="Roboto;sans-serif" w:hAnsi="Roboto;sans-serif"/>
                <w:b w:val="false"/>
                <w:color w:val="1383C6"/>
                <w:sz w:val="20"/>
              </w:rPr>
              <w:t>Cash paid in Q1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30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20"/>
              </w:rPr>
            </w:pPr>
            <w:r>
              <w:rPr>
                <w:rFonts w:ascii="Roboto;sans-serif" w:hAnsi="Roboto;sans-serif"/>
                <w:b w:val="false"/>
                <w:color w:val="1383C6"/>
                <w:sz w:val="20"/>
              </w:rPr>
              <w:t>Amount recorded in current liabilities</w:t>
            </w:r>
          </w:p>
          <w:p>
            <w:pPr>
              <w:pStyle w:val="TableContents"/>
              <w:bidi w:val="0"/>
              <w:spacing w:lineRule="auto" w:line="288" w:before="0" w:after="0"/>
              <w:jc w:val="left"/>
              <w:rPr>
                <w:rFonts w:ascii="Roboto;sans-serif" w:hAnsi="Roboto;sans-serif"/>
                <w:b w:val="false"/>
                <w:color w:val="1383C6"/>
                <w:sz w:val="20"/>
              </w:rPr>
            </w:pPr>
            <w:r>
              <w:rPr>
                <w:rFonts w:ascii="Roboto;sans-serif" w:hAnsi="Roboto;sans-serif"/>
                <w:b w:val="false"/>
                <w:color w:val="1383C6"/>
                <w:sz w:val="20"/>
              </w:rPr>
              <w:t>as of March 31,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96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4,649 </w:t>
            </w:r>
          </w:p>
        </w:tc>
        <w:tc>
          <w:tcPr>
            <w:tcW w:w="30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4,649 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962"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12520"/>
                <wp:effectExtent l="0" t="0" r="0" b="0"/>
                <wp:wrapNone/>
                <wp:docPr id="60" name="Frame2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457200" cy="95250"/>
                                                </a:xfrm>
                                                <a:prstGeom prst="rect">
                                                  <a:avLst/>
                                                </a:prstGeom>
                                              </pic:spPr>
                                            </pic:pic>
                                          </a:graphicData>
                                        </a:graphic>
                                      </wp:inline>
                                    </w:drawing>
                                  </w:r>
                                  <w:bookmarkStart w:id="40" w:name="i-21"/>
                                  <w:bookmarkEnd w:id="4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457200" cy="95250"/>
                                          </a:xfrm>
                                          <a:prstGeom prst="rect">
                                            <a:avLst/>
                                          </a:prstGeom>
                                        </pic:spPr>
                                      </pic:pic>
                                    </a:graphicData>
                                  </a:graphic>
                                </wp:inline>
                              </w:drawing>
                            </w:r>
                            <w:bookmarkStart w:id="41" w:name="i-21"/>
                            <w:bookmarkEnd w:id="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2024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second quarter of 2024, we implemented an expense reduction initiative that included workforce reductions, the closing of our San Diego office, and other actions to reduce annualized run-rate operating expenses.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10205" w:type="dxa"/>
        <w:jc w:val="left"/>
        <w:tblInd w:w="0" w:type="dxa"/>
        <w:tblLayout w:type="fixed"/>
        <w:tblCellMar>
          <w:top w:w="28" w:type="dxa"/>
          <w:left w:w="28" w:type="dxa"/>
          <w:bottom w:w="28" w:type="dxa"/>
          <w:right w:w="28" w:type="dxa"/>
        </w:tblCellMar>
      </w:tblPr>
      <w:tblGrid>
        <w:gridCol w:w="973"/>
        <w:gridCol w:w="828"/>
        <w:gridCol w:w="832"/>
        <w:gridCol w:w="933"/>
        <w:gridCol w:w="2179"/>
        <w:gridCol w:w="454"/>
        <w:gridCol w:w="109"/>
        <w:gridCol w:w="109"/>
        <w:gridCol w:w="109"/>
        <w:gridCol w:w="687"/>
        <w:gridCol w:w="2515"/>
        <w:gridCol w:w="477"/>
      </w:tblGrid>
      <w:tr>
        <w:trPr/>
        <w:tc>
          <w:tcPr>
            <w:tcW w:w="97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56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Employee separation costs</w:t>
            </w:r>
          </w:p>
        </w:tc>
        <w:tc>
          <w:tcPr>
            <w:tcW w:w="93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17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4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5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10,008 </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costs</w:t>
            </w:r>
          </w:p>
        </w:tc>
        <w:tc>
          <w:tcPr>
            <w:tcW w:w="311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975 </w:t>
            </w:r>
          </w:p>
        </w:tc>
        <w:tc>
          <w:tcPr>
            <w:tcW w:w="4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16,189 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8"/>
              </w:rPr>
              <w:t>Total restructuring charges</w:t>
            </w:r>
            <w:r>
              <w:rPr>
                <w:rFonts w:ascii="Roboto;sans-serif" w:hAnsi="Roboto;sans-serif"/>
                <w:b w:val="false"/>
                <w:color w:val="000000"/>
                <w:sz w:val="12"/>
              </w:rPr>
              <w:t>(1)</w:t>
            </w:r>
          </w:p>
        </w:tc>
        <w:tc>
          <w:tcPr>
            <w:tcW w:w="93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17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975 </w:t>
            </w:r>
          </w:p>
        </w:tc>
        <w:tc>
          <w:tcPr>
            <w:tcW w:w="4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5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26,197 </w:t>
            </w:r>
          </w:p>
        </w:tc>
        <w:tc>
          <w:tcPr>
            <w:tcW w:w="4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For the three months ended March 31, 2025, $1.0 million was recorded in sales, general and administrative expense.</w:t>
      </w:r>
    </w:p>
    <w:p>
      <w:pPr>
        <w:pStyle w:val="TextBody"/>
        <w:bidi w:val="0"/>
        <w:spacing w:lineRule="auto" w:line="288" w:before="60" w:after="283"/>
        <w:jc w:val="both"/>
        <w:rPr>
          <w:rFonts w:ascii="Roboto;sans-serif" w:hAnsi="Roboto;sans-serif"/>
          <w:b w:val="false"/>
          <w:color w:val="000000"/>
          <w:sz w:val="16"/>
        </w:rPr>
      </w:pPr>
      <w:r>
        <w:rPr>
          <w:rFonts w:ascii="Roboto;sans-serif" w:hAnsi="Roboto;sans-serif"/>
          <w:b w:val="false"/>
          <w:color w:val="000000"/>
          <w:sz w:val="16"/>
        </w:rPr>
        <w:t>Cumulative charges incurred to date include $15.9 million in sales, general and administrative expense; $5.9 million in research and development expense; and $4.4 million in cost of revenue.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Cumulative charges incurred to date include employee separation costs comprised of approximately $5.5 million related to salaries, wages and other employee benefits paid to terminated employees pursuant to the Worker Adjustment and Retraining Notification (WARN) Act and approximately $4.5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costs in the three months ended March 31, 2025 are primarily related to a lease termination fee and other costs related to our exit of the San Diego office. Other costs in cumulative charges incurred to date are primarily related to accelerated amortization and depreciation of $8.1 million for the right-of-use asset, leasehold improvements, and furniture and fixtures relating to the abandonment of the San Diego office. We also incurred cumulative charges to date for excess inventory of $3.6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planned to abandon the San Diego office. The lease liability pertaining to the San Diego office was also remeasured during the three months ended June 30, 2024 resulting in a reduction in the operating lease liability balance of $4.4 million, which was offset against the right-of-use asset on the condensed consolidated balance sheets. We fully exited our San Diego office in September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9337" w:type="dxa"/>
        <w:jc w:val="left"/>
        <w:tblInd w:w="0" w:type="dxa"/>
        <w:tblLayout w:type="fixed"/>
        <w:tblCellMar>
          <w:top w:w="28" w:type="dxa"/>
          <w:left w:w="28" w:type="dxa"/>
          <w:bottom w:w="28" w:type="dxa"/>
          <w:right w:w="28" w:type="dxa"/>
        </w:tblCellMar>
      </w:tblPr>
      <w:tblGrid>
        <w:gridCol w:w="2267"/>
        <w:gridCol w:w="1989"/>
        <w:gridCol w:w="1999"/>
        <w:gridCol w:w="109"/>
        <w:gridCol w:w="109"/>
        <w:gridCol w:w="109"/>
        <w:gridCol w:w="109"/>
        <w:gridCol w:w="109"/>
        <w:gridCol w:w="342"/>
        <w:gridCol w:w="797"/>
        <w:gridCol w:w="165"/>
        <w:gridCol w:w="109"/>
        <w:gridCol w:w="109"/>
        <w:gridCol w:w="109"/>
        <w:gridCol w:w="226"/>
        <w:gridCol w:w="526"/>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6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Amount recorded in current liabilities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Additional expense recorded</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9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975 </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5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975 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Cash payments</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(581)</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(581)</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20"/>
              </w:rPr>
            </w:pPr>
            <w:r>
              <w:rPr>
                <w:rFonts w:ascii="Roboto;sans-serif" w:hAnsi="Roboto;sans-serif"/>
                <w:b w:val="false"/>
                <w:color w:val="1383C6"/>
                <w:sz w:val="20"/>
              </w:rPr>
              <w:t>Amount recorded in current liabilities as of March 31,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9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564 </w:t>
            </w:r>
          </w:p>
        </w:tc>
        <w:tc>
          <w:tcPr>
            <w:tcW w:w="16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5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564 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97"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5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table above excludes noncash activities and amounts incurred relating to the San Diego office lease liability. The ending balance of the San Diego office lease liability as of March 31, 2025 is $1.8 million, and is included in operating lease liabilities, current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12520"/>
                <wp:effectExtent l="0" t="0" r="0" b="0"/>
                <wp:wrapNone/>
                <wp:docPr id="63" name="Frame2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457200" cy="95250"/>
                                                </a:xfrm>
                                                <a:prstGeom prst="rect">
                                                  <a:avLst/>
                                                </a:prstGeom>
                                              </pic:spPr>
                                            </pic:pic>
                                          </a:graphicData>
                                        </a:graphic>
                                      </wp:inline>
                                    </w:drawing>
                                  </w:r>
                                  <w:bookmarkStart w:id="42" w:name="i-22"/>
                                  <w:bookmarkEnd w:id="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457200" cy="95250"/>
                                          </a:xfrm>
                                          <a:prstGeom prst="rect">
                                            <a:avLst/>
                                          </a:prstGeom>
                                        </pic:spPr>
                                      </pic:pic>
                                    </a:graphicData>
                                  </a:graphic>
                                </wp:inline>
                              </w:drawing>
                            </w:r>
                            <w:bookmarkStart w:id="43" w:name="i-22"/>
                            <w:bookmarkEnd w:id="4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5969" w:type="dxa"/>
        <w:jc w:val="left"/>
        <w:tblInd w:w="0" w:type="dxa"/>
        <w:tblLayout w:type="fixed"/>
        <w:tblCellMar>
          <w:top w:w="28" w:type="dxa"/>
          <w:left w:w="28" w:type="dxa"/>
          <w:bottom w:w="28" w:type="dxa"/>
          <w:right w:w="28" w:type="dxa"/>
        </w:tblCellMar>
      </w:tblPr>
      <w:tblGrid>
        <w:gridCol w:w="1912"/>
        <w:gridCol w:w="1680"/>
        <w:gridCol w:w="2377"/>
      </w:tblGrid>
      <w:tr>
        <w:trPr/>
        <w:tc>
          <w:tcPr>
            <w:tcW w:w="191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6. COMMITMENTS AND CONTINGENCIES</w:t>
            </w:r>
          </w:p>
        </w:tc>
      </w:tr>
    </w:tbl>
    <w:tbl>
      <w:tblPr>
        <w:tblW w:w="1036" w:type="dxa"/>
        <w:jc w:val="left"/>
        <w:tblInd w:w="0" w:type="dxa"/>
        <w:tblLayout w:type="fixed"/>
        <w:tblCellMar>
          <w:top w:w="28" w:type="dxa"/>
          <w:left w:w="28" w:type="dxa"/>
          <w:bottom w:w="28" w:type="dxa"/>
          <w:right w:w="28" w:type="dxa"/>
        </w:tblCellMar>
      </w:tblPr>
      <w:tblGrid>
        <w:gridCol w:w="331"/>
        <w:gridCol w:w="291"/>
        <w:gridCol w:w="41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Leases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often have options to renew lease terms for buildings.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March 7, 2025, we amended our existing lease covering our corporate headquarters, as well as our research and development, manufacturing, and distribution facilities in Menlo Park, California. The lease amendment extends the term to April 30, 2034. We will pay approximately $97.7 million in base rent over the life of the amended lease and receive base rent abatement of approximately $11.6 million for the period beginning on March 1, 2025 and ending on July 31, 2026. We are also entitled to a tenant improvement allowance of $7.2 million. The lease amendment increased our operating lease right-of-use assets and operating lease liabilities by $29.6 million on our condensed consolidated balance sheets.</w:t>
      </w:r>
    </w:p>
    <w:p>
      <w:pPr>
        <w:pStyle w:val="TextBody"/>
        <w:bidi w:val="0"/>
        <w:spacing w:before="120" w:after="283"/>
        <w:jc w:val="both"/>
        <w:rPr/>
      </w:pPr>
      <w:r>
        <w:rPr/>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the maturities of our operating lease liabilities were as follows:</w:t>
      </w:r>
    </w:p>
    <w:tbl>
      <w:tblPr>
        <w:tblW w:w="5466" w:type="dxa"/>
        <w:jc w:val="left"/>
        <w:tblInd w:w="0" w:type="dxa"/>
        <w:tblLayout w:type="fixed"/>
        <w:tblCellMar>
          <w:top w:w="28" w:type="dxa"/>
          <w:left w:w="28" w:type="dxa"/>
          <w:bottom w:w="28" w:type="dxa"/>
          <w:right w:w="28" w:type="dxa"/>
        </w:tblCellMar>
      </w:tblPr>
      <w:tblGrid>
        <w:gridCol w:w="1684"/>
        <w:gridCol w:w="1285"/>
        <w:gridCol w:w="1291"/>
        <w:gridCol w:w="226"/>
        <w:gridCol w:w="82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2,327 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3,941 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9,165 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12,389 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12,761 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Thereafter</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59,897 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undiscounted operating lease payments</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100,480 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Less: imputed interest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(47,583)</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Present value of operating lease liabilities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52,897 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Sheet Classification</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2,417 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50,480 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operating lease liabilities</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52,897 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use our incremental borrowing rate to determine the present value of lease payments, as the implicit rates in our leases are not readily determinable. The weighted-average discount rate used to measure our operating lease liabilities was 10.1%. The weighted-average remaining lease term for our operating leases as of March 31, 2025 was 9.0 years.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Cash Flows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paid for amounts included in the present value of operating lease liabilities was $2.4 million and $3.0 million for the three months ended March 31, 2025 and 2024, respectively, and were included in operating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12520"/>
                <wp:effectExtent l="0" t="0" r="0" b="0"/>
                <wp:wrapNone/>
                <wp:docPr id="66" name="Frame2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457200" cy="95250"/>
                                                </a:xfrm>
                                                <a:prstGeom prst="rect">
                                                  <a:avLst/>
                                                </a:prstGeom>
                                              </pic:spPr>
                                            </pic:pic>
                                          </a:graphicData>
                                        </a:graphic>
                                      </wp:inline>
                                    </w:drawing>
                                  </w:r>
                                  <w:bookmarkStart w:id="44" w:name="i-23"/>
                                  <w:bookmarkEnd w:id="4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457200" cy="95250"/>
                                          </a:xfrm>
                                          <a:prstGeom prst="rect">
                                            <a:avLst/>
                                          </a:prstGeom>
                                        </pic:spPr>
                                      </pic:pic>
                                    </a:graphicData>
                                  </a:graphic>
                                </wp:inline>
                              </w:drawing>
                            </w:r>
                            <w:bookmarkStart w:id="45" w:name="i-23"/>
                            <w:bookmarkEnd w:id="4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Operating Lease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Operating lease costs were $2.0 million and $2.6 million for the three months ended March 31, 2025 and 2024, respectively.</w:t>
      </w:r>
    </w:p>
    <w:tbl>
      <w:tblPr>
        <w:tblW w:w="1966" w:type="dxa"/>
        <w:jc w:val="left"/>
        <w:tblInd w:w="0" w:type="dxa"/>
        <w:tblLayout w:type="fixed"/>
        <w:tblCellMar>
          <w:top w:w="28" w:type="dxa"/>
          <w:left w:w="28" w:type="dxa"/>
          <w:bottom w:w="28" w:type="dxa"/>
          <w:right w:w="28" w:type="dxa"/>
        </w:tblCellMar>
      </w:tblPr>
      <w:tblGrid>
        <w:gridCol w:w="629"/>
        <w:gridCol w:w="553"/>
        <w:gridCol w:w="78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Contingencies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bidi w:val="0"/>
        <w:spacing w:lineRule="auto" w:line="288" w:before="120" w:after="283"/>
        <w:jc w:val="both"/>
        <w:rPr/>
      </w:pPr>
      <w:r>
        <w:rPr>
          <w:rFonts w:ascii="Roboto;sans-serif" w:hAnsi="Roboto;sans-serif"/>
          <w:b w:val="false"/>
          <w:color w:val="000000"/>
          <w:sz w:val="20"/>
        </w:rPr>
        <w:t xml:space="preserve">Please see subsection titled </w:t>
      </w:r>
      <w:hyperlink w:anchor="i8ceeb5c9aa84416fb9d34124a1b6c447_100">
        <w:r>
          <w:rPr>
            <w:rStyle w:val="InternetLink"/>
            <w:rFonts w:ascii="Roboto;sans-serif" w:hAnsi="Roboto;sans-serif"/>
            <w:b w:val="false"/>
            <w:color w:val="0000FF"/>
            <w:sz w:val="20"/>
            <w:u w:val="single"/>
          </w:rPr>
          <w:t>Legal Proceedings, in Part II, Item 1</w:t>
        </w:r>
      </w:hyperlink>
      <w:r>
        <w:rPr>
          <w:color w:val="000000"/>
        </w:rPr>
        <w:t xml:space="preserve"> </w:t>
      </w:r>
      <w:r>
        <w:rPr>
          <w:rFonts w:ascii="Roboto;sans-serif" w:hAnsi="Roboto;sans-serif"/>
          <w:b w:val="false"/>
          <w:color w:val="000000"/>
          <w:sz w:val="20"/>
        </w:rPr>
        <w:t>of this Quarterly Report on Form 10-Q.</w:t>
      </w:r>
    </w:p>
    <w:tbl>
      <w:tblPr>
        <w:tblW w:w="2161" w:type="dxa"/>
        <w:jc w:val="left"/>
        <w:tblInd w:w="0" w:type="dxa"/>
        <w:tblLayout w:type="fixed"/>
        <w:tblCellMar>
          <w:top w:w="28" w:type="dxa"/>
          <w:left w:w="28" w:type="dxa"/>
          <w:bottom w:w="28" w:type="dxa"/>
          <w:right w:w="28" w:type="dxa"/>
        </w:tblCellMar>
      </w:tblPr>
      <w:tblGrid>
        <w:gridCol w:w="692"/>
        <w:gridCol w:w="608"/>
        <w:gridCol w:w="861"/>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Indemnification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4" w:type="dxa"/>
        <w:jc w:val="left"/>
        <w:tblInd w:w="0" w:type="dxa"/>
        <w:tblLayout w:type="fixed"/>
        <w:tblCellMar>
          <w:top w:w="28" w:type="dxa"/>
          <w:left w:w="28" w:type="dxa"/>
          <w:bottom w:w="28" w:type="dxa"/>
          <w:right w:w="28" w:type="dxa"/>
        </w:tblCellMar>
      </w:tblPr>
      <w:tblGrid>
        <w:gridCol w:w="2483"/>
        <w:gridCol w:w="2178"/>
        <w:gridCol w:w="3093"/>
      </w:tblGrid>
      <w:tr>
        <w:trPr/>
        <w:tc>
          <w:tcPr>
            <w:tcW w:w="2483"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7. EQUITY PLANS AND SHARE-BASED COMPENSATION</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Equity Plans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2025,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we had 11.3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pStyle w:val="TextBody"/>
        <w:bidi w:val="0"/>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9 – Stockholders' Equity</w:t>
      </w:r>
      <w:r>
        <w:rPr>
          <w:rFonts w:ascii="Roboto;sans-serif" w:hAnsi="Roboto;sans-serif"/>
          <w:b w:val="false"/>
          <w:color w:val="000000"/>
          <w:sz w:val="20"/>
        </w:rPr>
        <w:t>, in Part II, Item 8 of our 2024 Annual Report for more information on the Company's equity plans</w:t>
      </w:r>
      <w:r>
        <w:rPr>
          <w:rFonts w:ascii="Roboto;sans-serif" w:hAnsi="Roboto;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12520"/>
                <wp:effectExtent l="0" t="0" r="0" b="0"/>
                <wp:wrapNone/>
                <wp:docPr id="69" name="Frame2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457200" cy="95250"/>
                                                </a:xfrm>
                                                <a:prstGeom prst="rect">
                                                  <a:avLst/>
                                                </a:prstGeom>
                                              </pic:spPr>
                                            </pic:pic>
                                          </a:graphicData>
                                        </a:graphic>
                                      </wp:inline>
                                    </w:drawing>
                                  </w:r>
                                  <w:bookmarkStart w:id="46" w:name="i-24"/>
                                  <w:bookmarkEnd w:id="4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457200" cy="95250"/>
                                          </a:xfrm>
                                          <a:prstGeom prst="rect">
                                            <a:avLst/>
                                          </a:prstGeom>
                                        </pic:spPr>
                                      </pic:pic>
                                    </a:graphicData>
                                  </a:graphic>
                                </wp:inline>
                              </w:drawing>
                            </w:r>
                            <w:bookmarkStart w:id="47" w:name="i-24"/>
                            <w:bookmarkEnd w:id="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1935" w:type="dxa"/>
        <w:jc w:val="left"/>
        <w:tblInd w:w="0" w:type="dxa"/>
        <w:tblLayout w:type="fixed"/>
        <w:tblCellMar>
          <w:top w:w="28" w:type="dxa"/>
          <w:left w:w="28" w:type="dxa"/>
          <w:bottom w:w="28" w:type="dxa"/>
          <w:right w:w="28" w:type="dxa"/>
        </w:tblCellMar>
      </w:tblPr>
      <w:tblGrid>
        <w:gridCol w:w="619"/>
        <w:gridCol w:w="544"/>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Stock Options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w:t>
      </w:r>
    </w:p>
    <w:tbl>
      <w:tblPr>
        <w:tblW w:w="6513" w:type="dxa"/>
        <w:jc w:val="left"/>
        <w:tblInd w:w="0" w:type="dxa"/>
        <w:tblLayout w:type="fixed"/>
        <w:tblCellMar>
          <w:top w:w="28" w:type="dxa"/>
          <w:left w:w="28" w:type="dxa"/>
          <w:bottom w:w="28" w:type="dxa"/>
          <w:right w:w="28" w:type="dxa"/>
        </w:tblCellMar>
      </w:tblPr>
      <w:tblGrid>
        <w:gridCol w:w="1222"/>
        <w:gridCol w:w="1073"/>
        <w:gridCol w:w="1079"/>
        <w:gridCol w:w="344"/>
        <w:gridCol w:w="344"/>
        <w:gridCol w:w="346"/>
        <w:gridCol w:w="109"/>
        <w:gridCol w:w="109"/>
        <w:gridCol w:w="109"/>
        <w:gridCol w:w="109"/>
        <w:gridCol w:w="109"/>
        <w:gridCol w:w="324"/>
        <w:gridCol w:w="1013"/>
        <w:gridCol w:w="223"/>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w:t>
              <w:br/>
              <w:t>average</w:t>
              <w:br/>
              <w:t>exercise price</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2024</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11.09 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Granted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7,562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1.24 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Canceled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(1,287)</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9.20 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Expired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(236)</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6.91 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Outstanding at March 31, 2025</w:t>
            </w:r>
          </w:p>
        </w:tc>
        <w:tc>
          <w:tcPr>
            <w:tcW w:w="1034"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16,548</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13"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6.80 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4" w:type="dxa"/>
        <w:jc w:val="left"/>
        <w:tblInd w:w="0" w:type="dxa"/>
        <w:tblLayout w:type="fixed"/>
        <w:tblCellMar>
          <w:top w:w="28" w:type="dxa"/>
          <w:left w:w="28" w:type="dxa"/>
          <w:bottom w:w="28" w:type="dxa"/>
          <w:right w:w="28" w:type="dxa"/>
        </w:tblCellMar>
      </w:tblPr>
      <w:tblGrid>
        <w:gridCol w:w="2829"/>
        <w:gridCol w:w="2488"/>
        <w:gridCol w:w="3517"/>
      </w:tblGrid>
      <w:tr>
        <w:trPr/>
        <w:tc>
          <w:tcPr>
            <w:tcW w:w="282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Restricted Stock Units ("RSU") and Performance Stock Units ("PSU")</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issue RSUs for which the respective shares vest when the requisite service period is achieved. We issue PSUs for which the number of shares issuable is based on performance relative to specified revenue targets and continued employment through the vesting period. The PSUs are issuable following the third year of the performance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 </w:t>
      </w:r>
    </w:p>
    <w:tbl>
      <w:tblPr>
        <w:tblW w:w="10205" w:type="dxa"/>
        <w:jc w:val="left"/>
        <w:tblInd w:w="0" w:type="dxa"/>
        <w:tblLayout w:type="fixed"/>
        <w:tblCellMar>
          <w:top w:w="28" w:type="dxa"/>
          <w:left w:w="28" w:type="dxa"/>
          <w:bottom w:w="28" w:type="dxa"/>
          <w:right w:w="28" w:type="dxa"/>
        </w:tblCellMar>
      </w:tblPr>
      <w:tblGrid>
        <w:gridCol w:w="903"/>
        <w:gridCol w:w="716"/>
        <w:gridCol w:w="720"/>
        <w:gridCol w:w="730"/>
        <w:gridCol w:w="703"/>
        <w:gridCol w:w="705"/>
        <w:gridCol w:w="109"/>
        <w:gridCol w:w="109"/>
        <w:gridCol w:w="109"/>
        <w:gridCol w:w="788"/>
        <w:gridCol w:w="788"/>
        <w:gridCol w:w="789"/>
        <w:gridCol w:w="109"/>
        <w:gridCol w:w="109"/>
        <w:gridCol w:w="109"/>
        <w:gridCol w:w="276"/>
        <w:gridCol w:w="717"/>
        <w:gridCol w:w="133"/>
        <w:gridCol w:w="133"/>
        <w:gridCol w:w="133"/>
        <w:gridCol w:w="133"/>
        <w:gridCol w:w="276"/>
        <w:gridCol w:w="717"/>
        <w:gridCol w:w="191"/>
      </w:tblGrid>
      <w:tr>
        <w:trPr/>
        <w:tc>
          <w:tcPr>
            <w:tcW w:w="90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Restricted Stock Units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Performance Stock Units (PSU)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 average grant date</w:t>
              <w:br/>
              <w:t>fair value</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21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2024</w:t>
            </w:r>
          </w:p>
        </w:tc>
        <w:tc>
          <w:tcPr>
            <w:tcW w:w="14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14,211 </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392 </w:t>
            </w:r>
          </w:p>
        </w:tc>
        <w:tc>
          <w:tcPr>
            <w:tcW w:w="7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7.41 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Granted</w:t>
            </w:r>
          </w:p>
        </w:tc>
        <w:tc>
          <w:tcPr>
            <w:tcW w:w="14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11,618 </w:t>
            </w:r>
          </w:p>
        </w:tc>
        <w:tc>
          <w:tcPr>
            <w:tcW w:w="70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78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1.25 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Vested</w:t>
            </w:r>
          </w:p>
        </w:tc>
        <w:tc>
          <w:tcPr>
            <w:tcW w:w="14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(3,870)</w:t>
            </w:r>
          </w:p>
        </w:tc>
        <w:tc>
          <w:tcPr>
            <w:tcW w:w="70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78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9.51 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Forfeited</w:t>
            </w:r>
          </w:p>
        </w:tc>
        <w:tc>
          <w:tcPr>
            <w:tcW w:w="143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(552)</w:t>
            </w:r>
          </w:p>
        </w:tc>
        <w:tc>
          <w:tcPr>
            <w:tcW w:w="70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78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5.79 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Outstanding at March 31, 2025</w:t>
            </w:r>
          </w:p>
        </w:tc>
        <w:tc>
          <w:tcPr>
            <w:tcW w:w="1433"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21,407 </w:t>
            </w:r>
          </w:p>
        </w:tc>
        <w:tc>
          <w:tcPr>
            <w:tcW w:w="70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392 </w:t>
            </w:r>
          </w:p>
        </w:tc>
        <w:tc>
          <w:tcPr>
            <w:tcW w:w="78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1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3.73 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1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9.43 </w:t>
            </w:r>
          </w:p>
        </w:tc>
        <w:tc>
          <w:tcPr>
            <w:tcW w:w="1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19" w:type="dxa"/>
        <w:jc w:val="left"/>
        <w:tblInd w:w="0" w:type="dxa"/>
        <w:tblLayout w:type="fixed"/>
        <w:tblCellMar>
          <w:top w:w="28" w:type="dxa"/>
          <w:left w:w="28" w:type="dxa"/>
          <w:bottom w:w="28" w:type="dxa"/>
          <w:right w:w="28" w:type="dxa"/>
        </w:tblCellMar>
      </w:tblPr>
      <w:tblGrid>
        <w:gridCol w:w="1671"/>
        <w:gridCol w:w="1469"/>
        <w:gridCol w:w="2079"/>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Employee Stock Purchase Plan ("ESPP")</w:t>
            </w:r>
          </w:p>
        </w:tc>
      </w:tr>
    </w:tbl>
    <w:p>
      <w:pPr>
        <w:pStyle w:val="TextBody"/>
        <w:bidi w:val="0"/>
        <w:spacing w:lineRule="auto" w:line="288" w:before="120" w:after="283"/>
        <w:jc w:val="both"/>
        <w:rPr/>
      </w:pPr>
      <w:r>
        <w:rPr>
          <w:rFonts w:ascii="Roboto;sans-serif" w:hAnsi="Roboto;sans-serif"/>
          <w:b w:val="false"/>
          <w:color w:val="000000"/>
          <w:sz w:val="20"/>
          <w:shd w:fill="FFFFFF" w:val="clear"/>
        </w:rPr>
        <w:t>Shares issued under our ESPP wer</w:t>
      </w:r>
      <w:r>
        <w:rPr>
          <w:rFonts w:ascii="Roboto;sans-serif" w:hAnsi="Roboto;sans-serif"/>
          <w:b w:val="false"/>
          <w:color w:val="000000"/>
          <w:sz w:val="20"/>
        </w:rPr>
        <w:t>e 1,752,417 and 1,194,436</w:t>
      </w:r>
      <w:r>
        <w:rPr>
          <w:color w:val="000000"/>
          <w:shd w:fill="FFFFFF" w:val="clear"/>
        </w:rPr>
        <w:t xml:space="preserve"> </w:t>
      </w:r>
      <w:r>
        <w:rPr>
          <w:rFonts w:ascii="Roboto;sans-serif" w:hAnsi="Roboto;sans-serif"/>
          <w:b w:val="false"/>
          <w:color w:val="000000"/>
          <w:sz w:val="20"/>
          <w:shd w:fill="FFFFFF" w:val="clear"/>
        </w:rPr>
        <w:t>durin</w:t>
      </w:r>
      <w:r>
        <w:rPr>
          <w:rFonts w:ascii="Roboto;sans-serif" w:hAnsi="Roboto;sans-serif"/>
          <w:b w:val="false"/>
          <w:color w:val="000000"/>
          <w:sz w:val="20"/>
        </w:rPr>
        <w:t>g the three months ended March 31, 2025 and 2024, respectively. In the first quarter of 2025, an additional 4.0 million shares were reserved under the ESPP. As of March 31, 2025, 16.5 million shares of our common stock remain avai</w:t>
      </w:r>
      <w:r>
        <w:rPr>
          <w:rFonts w:ascii="Roboto;sans-serif" w:hAnsi="Roboto;sans-serif"/>
          <w:b w:val="false"/>
          <w:color w:val="000000"/>
          <w:sz w:val="20"/>
          <w:shd w:fill="FFFFFF" w:val="clear"/>
        </w:rPr>
        <w:t>lable for issuance under our ESPP.</w:t>
      </w: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Share-based Compensation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share-based compensation expense:</w:t>
      </w:r>
    </w:p>
    <w:tbl>
      <w:tblPr>
        <w:tblW w:w="7616" w:type="dxa"/>
        <w:jc w:val="left"/>
        <w:tblInd w:w="0" w:type="dxa"/>
        <w:tblLayout w:type="fixed"/>
        <w:tblCellMar>
          <w:top w:w="28" w:type="dxa"/>
          <w:left w:w="28" w:type="dxa"/>
          <w:bottom w:w="28" w:type="dxa"/>
          <w:right w:w="28" w:type="dxa"/>
        </w:tblCellMar>
      </w:tblPr>
      <w:tblGrid>
        <w:gridCol w:w="1397"/>
        <w:gridCol w:w="1225"/>
        <w:gridCol w:w="1232"/>
        <w:gridCol w:w="293"/>
        <w:gridCol w:w="917"/>
        <w:gridCol w:w="141"/>
        <w:gridCol w:w="141"/>
        <w:gridCol w:w="141"/>
        <w:gridCol w:w="141"/>
        <w:gridCol w:w="293"/>
        <w:gridCol w:w="1073"/>
        <w:gridCol w:w="141"/>
        <w:gridCol w:w="109"/>
        <w:gridCol w:w="109"/>
        <w:gridCol w:w="109"/>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5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29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1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1,165 </w:t>
            </w:r>
          </w:p>
        </w:tc>
        <w:tc>
          <w:tcPr>
            <w:tcW w:w="14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2,106 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2,607 </w:t>
            </w:r>
          </w:p>
        </w:tc>
        <w:tc>
          <w:tcPr>
            <w:tcW w:w="14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5,788 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general and administrative</w:t>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5,429 </w:t>
            </w:r>
          </w:p>
        </w:tc>
        <w:tc>
          <w:tcPr>
            <w:tcW w:w="14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11,631 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share-based compensation expense</w:t>
            </w:r>
          </w:p>
        </w:tc>
        <w:tc>
          <w:tcPr>
            <w:tcW w:w="29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1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9,201 </w:t>
            </w:r>
          </w:p>
        </w:tc>
        <w:tc>
          <w:tcPr>
            <w:tcW w:w="14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19,525 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12520"/>
                <wp:effectExtent l="0" t="0" r="0" b="0"/>
                <wp:wrapNone/>
                <wp:docPr id="72" name="Frame2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457200" cy="95250"/>
                                                </a:xfrm>
                                                <a:prstGeom prst="rect">
                                                  <a:avLst/>
                                                </a:prstGeom>
                                              </pic:spPr>
                                            </pic:pic>
                                          </a:graphicData>
                                        </a:graphic>
                                      </wp:inline>
                                    </w:drawing>
                                  </w:r>
                                  <w:bookmarkStart w:id="48" w:name="i-25"/>
                                  <w:bookmarkEnd w:id="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457200" cy="95250"/>
                                          </a:xfrm>
                                          <a:prstGeom prst="rect">
                                            <a:avLst/>
                                          </a:prstGeom>
                                        </pic:spPr>
                                      </pic:pic>
                                    </a:graphicData>
                                  </a:graphic>
                                </wp:inline>
                              </w:drawing>
                            </w:r>
                            <w:bookmarkStart w:id="49" w:name="i-25"/>
                            <w:bookmarkEnd w:id="4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3089" w:type="dxa"/>
        <w:jc w:val="left"/>
        <w:tblInd w:w="0" w:type="dxa"/>
        <w:tblLayout w:type="fixed"/>
        <w:tblCellMar>
          <w:top w:w="28" w:type="dxa"/>
          <w:left w:w="28" w:type="dxa"/>
          <w:bottom w:w="28" w:type="dxa"/>
          <w:right w:w="28" w:type="dxa"/>
        </w:tblCellMar>
      </w:tblPr>
      <w:tblGrid>
        <w:gridCol w:w="988"/>
        <w:gridCol w:w="869"/>
        <w:gridCol w:w="1232"/>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Determining Fair Value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employee stock options was estimated using the following assumptions:</w:t>
      </w:r>
    </w:p>
    <w:tbl>
      <w:tblPr>
        <w:tblW w:w="9153" w:type="dxa"/>
        <w:jc w:val="left"/>
        <w:tblInd w:w="0" w:type="dxa"/>
        <w:tblLayout w:type="fixed"/>
        <w:tblCellMar>
          <w:top w:w="28" w:type="dxa"/>
          <w:left w:w="28" w:type="dxa"/>
          <w:bottom w:w="28" w:type="dxa"/>
          <w:right w:w="28" w:type="dxa"/>
        </w:tblCellMar>
      </w:tblPr>
      <w:tblGrid>
        <w:gridCol w:w="1660"/>
        <w:gridCol w:w="1463"/>
        <w:gridCol w:w="1467"/>
        <w:gridCol w:w="109"/>
        <w:gridCol w:w="109"/>
        <w:gridCol w:w="656"/>
        <w:gridCol w:w="656"/>
        <w:gridCol w:w="656"/>
        <w:gridCol w:w="656"/>
        <w:gridCol w:w="660"/>
        <w:gridCol w:w="109"/>
        <w:gridCol w:w="109"/>
        <w:gridCol w:w="109"/>
        <w:gridCol w:w="214"/>
        <w:gridCol w:w="214"/>
        <w:gridCol w:w="306"/>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61"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4.9</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color w:val="1383C6"/>
              </w:rPr>
            </w:pPr>
            <w:r>
              <w:rPr>
                <w:color w:val="1383C6"/>
              </w:rPr>
              <w:t> </w:t>
            </w:r>
            <w:r>
              <w:rPr>
                <w:rFonts w:ascii="Roboto;sans-serif" w:hAnsi="Roboto;sans-serif"/>
                <w:b w:val="false"/>
                <w:color w:val="1383C6"/>
                <w:sz w:val="18"/>
              </w:rPr>
              <w:t>95% — 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color w:val="1383C6"/>
              </w:rPr>
            </w:pPr>
            <w:r>
              <w:rPr>
                <w:color w:val="1383C6"/>
              </w:rPr>
              <w:t> </w:t>
            </w:r>
            <w:r>
              <w:rPr>
                <w:rFonts w:ascii="Roboto;sans-serif" w:hAnsi="Roboto;sans-serif"/>
                <w:b w:val="false"/>
                <w:color w:val="1383C6"/>
                <w:sz w:val="18"/>
              </w:rPr>
              <w:t>3.92% — 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4.32%</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$2.45</w:t>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10039" w:type="dxa"/>
        <w:jc w:val="left"/>
        <w:tblInd w:w="0" w:type="dxa"/>
        <w:tblLayout w:type="fixed"/>
        <w:tblCellMar>
          <w:top w:w="28" w:type="dxa"/>
          <w:left w:w="28" w:type="dxa"/>
          <w:bottom w:w="28" w:type="dxa"/>
          <w:right w:w="28" w:type="dxa"/>
        </w:tblCellMar>
      </w:tblPr>
      <w:tblGrid>
        <w:gridCol w:w="1660"/>
        <w:gridCol w:w="1463"/>
        <w:gridCol w:w="1467"/>
        <w:gridCol w:w="109"/>
        <w:gridCol w:w="109"/>
        <w:gridCol w:w="656"/>
        <w:gridCol w:w="656"/>
        <w:gridCol w:w="656"/>
        <w:gridCol w:w="656"/>
        <w:gridCol w:w="660"/>
        <w:gridCol w:w="109"/>
        <w:gridCol w:w="109"/>
        <w:gridCol w:w="109"/>
        <w:gridCol w:w="471"/>
        <w:gridCol w:w="471"/>
        <w:gridCol w:w="678"/>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947"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0.5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3.96% — 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4.54% — 5.27%</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$2.78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left"/>
        <w:tblInd w:w="0" w:type="dxa"/>
        <w:tblLayout w:type="fixed"/>
        <w:tblCellMar>
          <w:top w:w="28" w:type="dxa"/>
          <w:left w:w="28" w:type="dxa"/>
          <w:bottom w:w="28" w:type="dxa"/>
          <w:right w:w="28" w:type="dxa"/>
        </w:tblCellMar>
      </w:tblPr>
      <w:tblGrid>
        <w:gridCol w:w="1283"/>
        <w:gridCol w:w="1128"/>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8. NET LOSS PER SHARE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Notes, using the if-converted method, and outstanding equity awards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12520"/>
                <wp:effectExtent l="0" t="0" r="0" b="0"/>
                <wp:wrapNone/>
                <wp:docPr id="75" name="Frame2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457200" cy="95250"/>
                                                </a:xfrm>
                                                <a:prstGeom prst="rect">
                                                  <a:avLst/>
                                                </a:prstGeom>
                                              </pic:spPr>
                                            </pic:pic>
                                          </a:graphicData>
                                        </a:graphic>
                                      </wp:inline>
                                    </w:drawing>
                                  </w:r>
                                  <w:bookmarkStart w:id="50" w:name="i-26"/>
                                  <w:bookmarkEnd w:id="5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457200" cy="95250"/>
                                          </a:xfrm>
                                          <a:prstGeom prst="rect">
                                            <a:avLst/>
                                          </a:prstGeom>
                                        </pic:spPr>
                                      </pic:pic>
                                    </a:graphicData>
                                  </a:graphic>
                                </wp:inline>
                              </w:drawing>
                            </w:r>
                            <w:bookmarkStart w:id="51" w:name="i-26"/>
                            <w:bookmarkEnd w:id="5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calculation of the basic and diluted net loss per share amounts presented in the condensed consolidated statements of operations and comprehensive loss:</w:t>
      </w:r>
    </w:p>
    <w:tbl>
      <w:tblPr>
        <w:tblW w:w="7947" w:type="dxa"/>
        <w:jc w:val="left"/>
        <w:tblInd w:w="0" w:type="dxa"/>
        <w:tblLayout w:type="fixed"/>
        <w:tblCellMar>
          <w:top w:w="28" w:type="dxa"/>
          <w:left w:w="28" w:type="dxa"/>
          <w:bottom w:w="28" w:type="dxa"/>
          <w:right w:w="28" w:type="dxa"/>
        </w:tblCellMar>
      </w:tblPr>
      <w:tblGrid>
        <w:gridCol w:w="1515"/>
        <w:gridCol w:w="1333"/>
        <w:gridCol w:w="1337"/>
        <w:gridCol w:w="251"/>
        <w:gridCol w:w="1154"/>
        <w:gridCol w:w="121"/>
        <w:gridCol w:w="121"/>
        <w:gridCol w:w="121"/>
        <w:gridCol w:w="121"/>
        <w:gridCol w:w="251"/>
        <w:gridCol w:w="1020"/>
        <w:gridCol w:w="121"/>
        <w:gridCol w:w="109"/>
        <w:gridCol w:w="109"/>
        <w:gridCol w:w="109"/>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52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5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5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54"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(426,075)</w:t>
            </w:r>
          </w:p>
        </w:tc>
        <w:tc>
          <w:tcPr>
            <w:tcW w:w="12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(78,178)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5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5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w:t>
              <w:br/>
              <w:t>basic net loss per share</w:t>
            </w:r>
          </w:p>
        </w:tc>
        <w:tc>
          <w:tcPr>
            <w:tcW w:w="15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296,858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269,578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 net loss per share</w:t>
            </w:r>
          </w:p>
        </w:tc>
        <w:tc>
          <w:tcPr>
            <w:tcW w:w="25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5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(1.44)</w:t>
            </w:r>
          </w:p>
        </w:tc>
        <w:tc>
          <w:tcPr>
            <w:tcW w:w="12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5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w:t>
              <w:br/>
              <w:t>diluted net loss per share</w:t>
            </w:r>
          </w:p>
        </w:tc>
        <w:tc>
          <w:tcPr>
            <w:tcW w:w="15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296,858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269,578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 net loss per share</w:t>
            </w:r>
          </w:p>
        </w:tc>
        <w:tc>
          <w:tcPr>
            <w:tcW w:w="25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(1.44)</w:t>
            </w:r>
          </w:p>
        </w:tc>
        <w:tc>
          <w:tcPr>
            <w:tcW w:w="12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(0.29)</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Notes and outstanding equity awards were excluded from the computation of diluted net loss per share for the periods presented because the effect of including such shares would have been antidilutive:</w:t>
      </w:r>
    </w:p>
    <w:tbl>
      <w:tblPr>
        <w:tblW w:w="9025" w:type="dxa"/>
        <w:jc w:val="left"/>
        <w:tblInd w:w="0" w:type="dxa"/>
        <w:tblLayout w:type="fixed"/>
        <w:tblCellMar>
          <w:top w:w="28" w:type="dxa"/>
          <w:left w:w="28" w:type="dxa"/>
          <w:bottom w:w="28" w:type="dxa"/>
          <w:right w:w="28" w:type="dxa"/>
        </w:tblCellMar>
      </w:tblPr>
      <w:tblGrid>
        <w:gridCol w:w="2001"/>
        <w:gridCol w:w="1755"/>
        <w:gridCol w:w="1764"/>
        <w:gridCol w:w="336"/>
        <w:gridCol w:w="336"/>
        <w:gridCol w:w="336"/>
        <w:gridCol w:w="336"/>
        <w:gridCol w:w="336"/>
        <w:gridCol w:w="336"/>
        <w:gridCol w:w="336"/>
        <w:gridCol w:w="336"/>
        <w:gridCol w:w="336"/>
        <w:gridCol w:w="109"/>
        <w:gridCol w:w="109"/>
        <w:gridCol w:w="109"/>
        <w:gridCol w:w="154"/>
      </w:tblGrid>
      <w:tr>
        <w:trPr/>
        <w:tc>
          <w:tcPr>
            <w:tcW w:w="20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08"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Shares issuable upon conversion of convertible senior notes</w:t>
            </w:r>
          </w:p>
        </w:tc>
        <w:tc>
          <w:tcPr>
            <w:tcW w:w="1008"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61,415</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Equity Awards</w:t>
            </w:r>
          </w:p>
        </w:tc>
        <w:tc>
          <w:tcPr>
            <w:tcW w:w="1008"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47,133</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36,924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8ceeb5c9aa84416fb9d34124a1b6c447_55">
        <w:r>
          <w:rPr>
            <w:rStyle w:val="InternetLink"/>
          </w:rPr>
          <w:t xml:space="preserve">Note </w:t>
        </w:r>
      </w:hyperlink>
      <w:hyperlink w:anchor="i8ceeb5c9aa84416fb9d34124a1b6c447_55">
        <w:r>
          <w:rPr>
            <w:rStyle w:val="InternetLink"/>
          </w:rPr>
          <w:t>7</w:t>
        </w:r>
      </w:hyperlink>
      <w:hyperlink w:anchor="i8ceeb5c9aa84416fb9d34124a1b6c447_55">
        <w:r>
          <w:rPr>
            <w:rStyle w:val="InternetLink"/>
          </w:rPr>
          <w:t xml:space="preserve">. </w:t>
        </w:r>
      </w:hyperlink>
      <w:hyperlink w:anchor="i8ceeb5c9aa84416fb9d34124a1b6c447_55">
        <w:r>
          <w:rPr>
            <w:rStyle w:val="InternetLink"/>
          </w:rPr>
          <w:t>Equity Plans and Sha</w:t>
        </w:r>
      </w:hyperlink>
      <w:hyperlink w:anchor="i8ceeb5c9aa84416fb9d34124a1b6c447_55">
        <w:r>
          <w:rPr>
            <w:rStyle w:val="InternetLink"/>
          </w:rPr>
          <w:t>re-Based Compensation</w:t>
        </w:r>
      </w:hyperlink>
      <w:r>
        <w:rPr>
          <w:color w:val="000000"/>
        </w:rPr>
        <w:t xml:space="preserve"> </w:t>
      </w:r>
      <w:r>
        <w:rPr>
          <w:rFonts w:ascii="Roboto;sans-serif" w:hAnsi="Roboto;sans-serif"/>
          <w:b w:val="false"/>
          <w:color w:val="000000"/>
          <w:sz w:val="20"/>
        </w:rPr>
        <w:t>for detailed information on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64" w:type="dxa"/>
        <w:jc w:val="left"/>
        <w:tblInd w:w="0" w:type="dxa"/>
        <w:tblLayout w:type="fixed"/>
        <w:tblCellMar>
          <w:top w:w="28" w:type="dxa"/>
          <w:left w:w="28" w:type="dxa"/>
          <w:bottom w:w="28" w:type="dxa"/>
          <w:right w:w="28" w:type="dxa"/>
        </w:tblCellMar>
      </w:tblPr>
      <w:tblGrid>
        <w:gridCol w:w="2166"/>
        <w:gridCol w:w="1901"/>
        <w:gridCol w:w="2697"/>
      </w:tblGrid>
      <w:tr>
        <w:trPr/>
        <w:tc>
          <w:tcPr>
            <w:tcW w:w="2166"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9. SEGMENT AND GEOGRAPHIC INFORMATION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 regular basis, our CODM reviews: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revenues by category</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expenses and expenses by function, including sales and marketing and general and administrative, which include depreciation and share-based compensation</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net loss per share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12520"/>
                <wp:effectExtent l="0" t="0" r="0" b="0"/>
                <wp:wrapNone/>
                <wp:docPr id="78" name="Frame2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457200" cy="95250"/>
                                                </a:xfrm>
                                                <a:prstGeom prst="rect">
                                                  <a:avLst/>
                                                </a:prstGeom>
                                              </pic:spPr>
                                            </pic:pic>
                                          </a:graphicData>
                                        </a:graphic>
                                      </wp:inline>
                                    </w:drawing>
                                  </w:r>
                                  <w:bookmarkStart w:id="52" w:name="i-27"/>
                                  <w:bookmarkEnd w:id="5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457200" cy="95250"/>
                                          </a:xfrm>
                                          <a:prstGeom prst="rect">
                                            <a:avLst/>
                                          </a:prstGeom>
                                        </pic:spPr>
                                      </pic:pic>
                                    </a:graphicData>
                                  </a:graphic>
                                </wp:inline>
                              </w:drawing>
                            </w:r>
                            <w:bookmarkStart w:id="53" w:name="i-27"/>
                            <w:bookmarkEnd w:id="5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segment profit or loss, including significant segment expenses is as follows:</w:t>
      </w:r>
    </w:p>
    <w:tbl>
      <w:tblPr>
        <w:tblW w:w="8808" w:type="dxa"/>
        <w:jc w:val="left"/>
        <w:tblInd w:w="0" w:type="dxa"/>
        <w:tblLayout w:type="fixed"/>
        <w:tblCellMar>
          <w:top w:w="28" w:type="dxa"/>
          <w:left w:w="28" w:type="dxa"/>
          <w:bottom w:w="28" w:type="dxa"/>
          <w:right w:w="28" w:type="dxa"/>
        </w:tblCellMar>
      </w:tblPr>
      <w:tblGrid>
        <w:gridCol w:w="1619"/>
        <w:gridCol w:w="1421"/>
        <w:gridCol w:w="1430"/>
        <w:gridCol w:w="656"/>
        <w:gridCol w:w="379"/>
        <w:gridCol w:w="365"/>
        <w:gridCol w:w="365"/>
        <w:gridCol w:w="365"/>
        <w:gridCol w:w="365"/>
        <w:gridCol w:w="632"/>
        <w:gridCol w:w="365"/>
        <w:gridCol w:w="365"/>
        <w:gridCol w:w="109"/>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00"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03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37,153 </w:t>
            </w:r>
          </w:p>
        </w:tc>
        <w:tc>
          <w:tcPr>
            <w:tcW w:w="36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38,810 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14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38,524 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27,528 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29,053 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43,455 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20,076 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22,537 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20,092 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21,216 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362,042 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5,506 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Other income, net</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2,557 </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3,184 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(302)</w:t>
            </w:r>
          </w:p>
        </w:tc>
        <w:tc>
          <w:tcPr>
            <w:tcW w:w="3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Consolidated net loss</w:t>
            </w:r>
          </w:p>
        </w:tc>
        <w:tc>
          <w:tcPr>
            <w:tcW w:w="1035"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(426,075)</w:t>
            </w:r>
          </w:p>
        </w:tc>
        <w:tc>
          <w:tcPr>
            <w:tcW w:w="36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(78,178)</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 summary of our revenue by geographic location is as follows:</w:t>
      </w:r>
    </w:p>
    <w:tbl>
      <w:tblPr>
        <w:tblW w:w="6658" w:type="dxa"/>
        <w:jc w:val="left"/>
        <w:tblInd w:w="0" w:type="dxa"/>
        <w:tblLayout w:type="fixed"/>
        <w:tblCellMar>
          <w:top w:w="28" w:type="dxa"/>
          <w:left w:w="28" w:type="dxa"/>
          <w:bottom w:w="28" w:type="dxa"/>
          <w:right w:w="28" w:type="dxa"/>
        </w:tblCellMar>
      </w:tblPr>
      <w:tblGrid>
        <w:gridCol w:w="1049"/>
        <w:gridCol w:w="920"/>
        <w:gridCol w:w="925"/>
        <w:gridCol w:w="280"/>
        <w:gridCol w:w="1024"/>
        <w:gridCol w:w="135"/>
        <w:gridCol w:w="135"/>
        <w:gridCol w:w="135"/>
        <w:gridCol w:w="135"/>
        <w:gridCol w:w="280"/>
        <w:gridCol w:w="1024"/>
        <w:gridCol w:w="135"/>
        <w:gridCol w:w="109"/>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3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Americas</w:t>
            </w:r>
          </w:p>
        </w:tc>
        <w:tc>
          <w:tcPr>
            <w:tcW w:w="28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16,303 </w:t>
            </w:r>
          </w:p>
        </w:tc>
        <w:tc>
          <w:tcPr>
            <w:tcW w:w="13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17,678 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Europe, Middle East and Africa</w:t>
            </w:r>
          </w:p>
        </w:tc>
        <w:tc>
          <w:tcPr>
            <w:tcW w:w="130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9,240 </w:t>
            </w:r>
          </w:p>
        </w:tc>
        <w:tc>
          <w:tcPr>
            <w:tcW w:w="13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8,356 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Asia-Pacific</w:t>
            </w:r>
          </w:p>
        </w:tc>
        <w:tc>
          <w:tcPr>
            <w:tcW w:w="130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11,610 </w:t>
            </w:r>
          </w:p>
        </w:tc>
        <w:tc>
          <w:tcPr>
            <w:tcW w:w="13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12,776 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28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37,153 </w:t>
            </w:r>
          </w:p>
        </w:tc>
        <w:tc>
          <w:tcPr>
            <w:tcW w:w="13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38,810 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category is as follows: </w:t>
      </w:r>
    </w:p>
    <w:tbl>
      <w:tblPr>
        <w:tblW w:w="6283" w:type="dxa"/>
        <w:jc w:val="left"/>
        <w:tblInd w:w="0" w:type="dxa"/>
        <w:tblLayout w:type="fixed"/>
        <w:tblCellMar>
          <w:top w:w="28" w:type="dxa"/>
          <w:left w:w="28" w:type="dxa"/>
          <w:bottom w:w="28" w:type="dxa"/>
          <w:right w:w="28" w:type="dxa"/>
        </w:tblCellMar>
      </w:tblPr>
      <w:tblGrid>
        <w:gridCol w:w="913"/>
        <w:gridCol w:w="801"/>
        <w:gridCol w:w="805"/>
        <w:gridCol w:w="280"/>
        <w:gridCol w:w="1024"/>
        <w:gridCol w:w="135"/>
        <w:gridCol w:w="135"/>
        <w:gridCol w:w="135"/>
        <w:gridCol w:w="135"/>
        <w:gridCol w:w="280"/>
        <w:gridCol w:w="1024"/>
        <w:gridCol w:w="135"/>
        <w:gridCol w:w="109"/>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3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Instrument revenue</w:t>
            </w:r>
          </w:p>
        </w:tc>
        <w:tc>
          <w:tcPr>
            <w:tcW w:w="28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11,016 </w:t>
            </w:r>
          </w:p>
        </w:tc>
        <w:tc>
          <w:tcPr>
            <w:tcW w:w="13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19,025 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Consumable revenue</w:t>
            </w:r>
          </w:p>
        </w:tc>
        <w:tc>
          <w:tcPr>
            <w:tcW w:w="130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20,097 </w:t>
            </w:r>
          </w:p>
        </w:tc>
        <w:tc>
          <w:tcPr>
            <w:tcW w:w="13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15,984 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Product revenue</w:t>
            </w:r>
          </w:p>
        </w:tc>
        <w:tc>
          <w:tcPr>
            <w:tcW w:w="130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31,113 </w:t>
            </w:r>
          </w:p>
        </w:tc>
        <w:tc>
          <w:tcPr>
            <w:tcW w:w="13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35,009 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Service and other revenue</w:t>
            </w:r>
          </w:p>
        </w:tc>
        <w:tc>
          <w:tcPr>
            <w:tcW w:w="130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6,040 </w:t>
            </w:r>
          </w:p>
        </w:tc>
        <w:tc>
          <w:tcPr>
            <w:tcW w:w="13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8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37,153 </w:t>
            </w:r>
          </w:p>
        </w:tc>
        <w:tc>
          <w:tcPr>
            <w:tcW w:w="13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38,810 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12520"/>
                <wp:effectExtent l="0" t="0" r="0" b="0"/>
                <wp:wrapNone/>
                <wp:docPr id="81" name="Frame2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457200" cy="95250"/>
                                                </a:xfrm>
                                                <a:prstGeom prst="rect">
                                                  <a:avLst/>
                                                </a:prstGeom>
                                              </pic:spPr>
                                            </pic:pic>
                                          </a:graphicData>
                                        </a:graphic>
                                      </wp:inline>
                                    </w:drawing>
                                  </w:r>
                                  <w:bookmarkStart w:id="54" w:name="i-28"/>
                                  <w:bookmarkEnd w:id="5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457200" cy="95250"/>
                                          </a:xfrm>
                                          <a:prstGeom prst="rect">
                                            <a:avLst/>
                                          </a:prstGeom>
                                        </pic:spPr>
                                      </pic:pic>
                                    </a:graphicData>
                                  </a:graphic>
                                </wp:inline>
                              </w:drawing>
                            </w:r>
                            <w:bookmarkStart w:id="55" w:name="i-28"/>
                            <w:bookmarkEnd w:id="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2. MANAGEMENT’S DISCUSSION AND ANALYSIS OF FINANCIAL CONDITION AND RESULTS OF OPERATIONS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read the following discussion and analysis of our financial condition and results of operations together with (i) our unaudited condensed consolidated financial statements and related notes that are included elsewhere in this Quarterly Report on Form 10-Q and (ii) our 2024 Annual Report filed with the U.S. Securities and Exchange Commission, or the SEC, on March 17, 2025.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Management's Discussion and Analysis ("MD&amp;A"), we presume that readers have access to and have read the MD&amp;A in our 2024 Annual Report on Form 10-K, pursuant to Instruction 2 to paragraph (b) of Item 303 of Regulation S-K.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MD&amp;A is organized into the following sections: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Overview and Outlook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Results of Operations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Liquidity and Capital Resources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Critical Accounting Policies and Estimates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Recent Accounting Pronouncements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Off 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9"/>
        <w:gridCol w:w="980"/>
        <w:gridCol w:w="1395"/>
      </w:tblGrid>
      <w:tr>
        <w:trPr/>
        <w:tc>
          <w:tcPr>
            <w:tcW w:w="111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OVERVIEW AND OUTLOOK</w:t>
            </w:r>
          </w:p>
        </w:tc>
      </w:tr>
    </w:tbl>
    <w:tbl>
      <w:tblPr>
        <w:tblW w:w="1844" w:type="dxa"/>
        <w:jc w:val="left"/>
        <w:tblInd w:w="0" w:type="dxa"/>
        <w:tblLayout w:type="fixed"/>
        <w:tblCellMar>
          <w:top w:w="28" w:type="dxa"/>
          <w:left w:w="28" w:type="dxa"/>
          <w:bottom w:w="28" w:type="dxa"/>
          <w:right w:w="28" w:type="dxa"/>
        </w:tblCellMar>
      </w:tblPr>
      <w:tblGrid>
        <w:gridCol w:w="590"/>
        <w:gridCol w:w="519"/>
        <w:gridCol w:w="735"/>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About PacBio</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pPr>
      <w:r>
        <w:rPr>
          <w:rFonts w:ascii="Roboto;sans-serif" w:hAnsi="Roboto;sans-serif"/>
          <w:b w:val="false"/>
          <w:color w:val="000000"/>
          <w:sz w:val="20"/>
        </w:rPr>
        <w:t xml:space="preserve">Our products and technology, which include our HiFi long-read sequencing technology, address solutions across a broad set of applications including human genetics, plant and animal sciences, infectious disease and microbiology, oncology, and other emerging applications. Long-read sequencing was recognized by the journal Nature Methods as its “method of the year” for 2022 for its contributions to biological understanding and future potential. </w:t>
      </w:r>
      <w:r>
        <w:rPr>
          <w:rFonts w:ascii="Roboto;sans-serif" w:hAnsi="Roboto;sans-serif"/>
          <w:b w:val="false"/>
          <w:color w:val="000000"/>
          <w:sz w:val="20"/>
          <w:shd w:fill="FFFFFF" w:val="clear"/>
        </w:rPr>
        <w:t>Long-read sequencing</w:t>
      </w:r>
      <w:r>
        <w:rPr>
          <w:color w:val="000000"/>
        </w:rPr>
        <w:t xml:space="preserve"> </w:t>
      </w:r>
      <w:r>
        <w:rPr>
          <w:rFonts w:ascii="Roboto;sans-serif" w:hAnsi="Roboto;sans-serif"/>
          <w:b w:val="false"/>
          <w:color w:val="000000"/>
          <w:sz w:val="20"/>
        </w:rPr>
        <w:t>has been applied to produce telomere-to-telomere genomes of humans, pangenome references, and has been recognized for its ability to provide more complete views of human variation</w:t>
      </w:r>
      <w:r>
        <w:rPr>
          <w:rFonts w:ascii="Roboto;sans-serif" w:hAnsi="Roboto;sans-serif"/>
          <w:b w:val="false"/>
          <w:color w:val="000000"/>
          <w:sz w:val="20"/>
          <w:shd w:fill="FFFFFF" w:val="clear"/>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focus on creating some of the world’s most advanced sequencing systems to provide our customers with the most complete and accurate view of genomes, transcriptomes, and epigenomes.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12520"/>
                <wp:effectExtent l="0" t="0" r="0" b="0"/>
                <wp:wrapNone/>
                <wp:docPr id="84" name="Frame2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457200" cy="95250"/>
                                                </a:xfrm>
                                                <a:prstGeom prst="rect">
                                                  <a:avLst/>
                                                </a:prstGeom>
                                              </pic:spPr>
                                            </pic:pic>
                                          </a:graphicData>
                                        </a:graphic>
                                      </wp:inline>
                                    </w:drawing>
                                  </w:r>
                                  <w:bookmarkStart w:id="56" w:name="i-29"/>
                                  <w:bookmarkEnd w:id="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457200" cy="95250"/>
                                          </a:xfrm>
                                          <a:prstGeom prst="rect">
                                            <a:avLst/>
                                          </a:prstGeom>
                                        </pic:spPr>
                                      </pic:pic>
                                    </a:graphicData>
                                  </a:graphic>
                                </wp:inline>
                              </w:drawing>
                            </w:r>
                            <w:bookmarkStart w:id="57" w:name="i-29"/>
                            <w:bookmarkEnd w:id="5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2729" w:type="dxa"/>
        <w:jc w:val="left"/>
        <w:tblInd w:w="0" w:type="dxa"/>
        <w:tblLayout w:type="fixed"/>
        <w:tblCellMar>
          <w:top w:w="28" w:type="dxa"/>
          <w:left w:w="28" w:type="dxa"/>
          <w:bottom w:w="28" w:type="dxa"/>
          <w:right w:w="28" w:type="dxa"/>
        </w:tblCellMar>
      </w:tblPr>
      <w:tblGrid>
        <w:gridCol w:w="873"/>
        <w:gridCol w:w="767"/>
        <w:gridCol w:w="108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Strategic Objectives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2025 strategic objectives are to grow revenue and expand gross margins through the following four activities: </w:t>
      </w:r>
    </w:p>
    <w:p>
      <w:pPr>
        <w:pStyle w:val="TextBody"/>
        <w:bidi w:val="0"/>
        <w:spacing w:lineRule="auto" w:line="288" w:before="180" w:after="283"/>
        <w:ind w:left="0" w:right="0" w:hanging="360"/>
        <w:jc w:val="both"/>
        <w:rPr/>
      </w:pPr>
      <w:r>
        <w:rPr>
          <w:color w:val="DF1995"/>
        </w:rPr>
        <w:t>•</w:t>
      </w:r>
      <w:r>
        <w:rPr>
          <w:rFonts w:ascii="Roboto;sans-serif" w:hAnsi="Roboto;sans-serif"/>
          <w:b/>
          <w:color w:val="DF1995"/>
          <w:sz w:val="20"/>
        </w:rPr>
        <w:t>Enabling the full-scale release of the Vega benchtop platform to broaden our market reach.</w:t>
      </w:r>
      <w:r>
        <w:rPr>
          <w:color w:val="000000"/>
        </w:rPr>
        <w:t xml:space="preserve"> </w:t>
      </w:r>
      <w:r>
        <w:rPr>
          <w:rFonts w:ascii="Roboto;sans-serif" w:hAnsi="Roboto;sans-serif"/>
          <w:b w:val="false"/>
          <w:color w:val="000000"/>
          <w:sz w:val="20"/>
        </w:rPr>
        <w:t>We believe this platform broadens the long-read market opportunity.</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Accelerating samples onto the Revio platform via SPRQ chemistry and application kits.</w:t>
      </w:r>
      <w:r>
        <w:rPr>
          <w:color w:val="000000"/>
        </w:rPr>
        <w:t xml:space="preserve"> </w:t>
      </w:r>
      <w:r>
        <w:rPr>
          <w:rFonts w:ascii="Roboto;sans-serif" w:hAnsi="Roboto;sans-serif"/>
          <w:b w:val="false"/>
          <w:color w:val="000000"/>
          <w:sz w:val="20"/>
        </w:rPr>
        <w:t>The SPRQ chemistry enables the sub-$500 HiFi genome, improves methylation detection capabilities, and achieves a 75% reduction in DNA input requirements for human whole genome sequencing.</w:t>
      </w:r>
      <w:r>
        <w:rPr>
          <w:color w:val="000000"/>
        </w:rPr>
        <w:t xml:space="preserve"> </w:t>
      </w:r>
      <w:r>
        <w:rPr>
          <w:rFonts w:ascii="Roboto;sans-serif" w:hAnsi="Roboto;sans-serif"/>
          <w:b w:val="false"/>
          <w:color w:val="000000"/>
          <w:sz w:val="20"/>
        </w:rPr>
        <w:t xml:space="preserve">These features can drive more samples onto HiFi sequencing than ever before.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Investing in future product launches to diversify our offerings.</w:t>
      </w:r>
      <w:r>
        <w:rPr>
          <w:color w:val="000000"/>
        </w:rPr>
        <w:t xml:space="preserve"> </w:t>
      </w:r>
      <w:r>
        <w:rPr>
          <w:rFonts w:ascii="Roboto;sans-serif" w:hAnsi="Roboto;sans-serif"/>
          <w:b w:val="false"/>
          <w:color w:val="000000"/>
          <w:sz w:val="20"/>
        </w:rPr>
        <w:t xml:space="preserve">We continue to develop sequencing systems designed to increase throughput and lower the cost to sequence a genome, which we believe will allow us to address an even larger part of the market. Additionally, we continue to develop kitted-solutions, like our Kinnex Full-length RNA kits and PureTarget, and enhance our on-market sequencers with products like SPRQ chemistry to drive more sequencing volume.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Progressing our clinical strategy to improve outcomes and create durability.</w:t>
      </w:r>
      <w:r>
        <w:rPr>
          <w:color w:val="000000"/>
        </w:rPr>
        <w:t xml:space="preserve"> </w:t>
      </w:r>
      <w:r>
        <w:rPr>
          <w:rFonts w:ascii="Roboto;sans-serif" w:hAnsi="Roboto;sans-serif"/>
          <w:b w:val="false"/>
          <w:color w:val="000000"/>
          <w:sz w:val="20"/>
        </w:rPr>
        <w:t xml:space="preserve">Revio is increasingly being used in laboratory developed tests ("LDT") and clinical research settings to consolidate multiple tests and address complex genetic challenges. </w:t>
      </w:r>
    </w:p>
    <w:p>
      <w:pPr>
        <w:pStyle w:val="TextBody"/>
        <w:bidi w:val="0"/>
        <w:spacing w:lineRule="auto" w:line="288" w:before="120" w:after="283"/>
        <w:jc w:val="both"/>
        <w:rPr/>
      </w:pPr>
      <w:r>
        <w:rPr>
          <w:rFonts w:ascii="Roboto;sans-serif" w:hAnsi="Roboto;sans-serif"/>
          <w:b w:val="false"/>
          <w:color w:val="000000"/>
          <w:sz w:val="20"/>
        </w:rPr>
        <w:t>We continue to believe that with the capabilities of our HiFi chemistry and SMRT</w:t>
      </w:r>
      <w:r>
        <w:rPr>
          <w:rFonts w:ascii="Roboto;sans-serif" w:hAnsi="Roboto;sans-serif"/>
          <w:b w:val="false"/>
          <w:color w:val="000000"/>
          <w:sz w:val="13"/>
        </w:rPr>
        <w:t>®</w:t>
      </w:r>
      <w:r>
        <w:rPr>
          <w:color w:val="000000"/>
        </w:rPr>
        <w:t xml:space="preserve"> </w:t>
      </w:r>
      <w:r>
        <w:rPr>
          <w:rFonts w:ascii="Roboto;sans-serif" w:hAnsi="Roboto;sans-serif"/>
          <w:b w:val="false"/>
          <w:color w:val="000000"/>
          <w:sz w:val="20"/>
        </w:rPr>
        <w:t>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tbl>
      <w:tblPr>
        <w:tblW w:w="2564" w:type="dxa"/>
        <w:jc w:val="left"/>
        <w:tblInd w:w="0" w:type="dxa"/>
        <w:tblLayout w:type="fixed"/>
        <w:tblCellMar>
          <w:top w:w="28" w:type="dxa"/>
          <w:left w:w="28" w:type="dxa"/>
          <w:bottom w:w="28" w:type="dxa"/>
          <w:right w:w="28" w:type="dxa"/>
        </w:tblCellMar>
      </w:tblPr>
      <w:tblGrid>
        <w:gridCol w:w="820"/>
        <w:gridCol w:w="721"/>
        <w:gridCol w:w="102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Financial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the three months ended March 31, 2025 consolidated financial results include the following:</w:t>
      </w:r>
    </w:p>
    <w:tbl>
      <w:tblPr>
        <w:tblW w:w="10205" w:type="dxa"/>
        <w:jc w:val="center"/>
        <w:tblInd w:w="0" w:type="dxa"/>
        <w:tblLayout w:type="fixed"/>
        <w:tblCellMar>
          <w:top w:w="28" w:type="dxa"/>
          <w:left w:w="28" w:type="dxa"/>
          <w:bottom w:w="28" w:type="dxa"/>
          <w:right w:w="28" w:type="dxa"/>
        </w:tblCellMar>
      </w:tblPr>
      <w:tblGrid>
        <w:gridCol w:w="797"/>
        <w:gridCol w:w="701"/>
        <w:gridCol w:w="706"/>
        <w:gridCol w:w="109"/>
        <w:gridCol w:w="109"/>
        <w:gridCol w:w="109"/>
        <w:gridCol w:w="895"/>
        <w:gridCol w:w="796"/>
        <w:gridCol w:w="687"/>
        <w:gridCol w:w="109"/>
        <w:gridCol w:w="109"/>
        <w:gridCol w:w="109"/>
        <w:gridCol w:w="859"/>
        <w:gridCol w:w="845"/>
        <w:gridCol w:w="681"/>
        <w:gridCol w:w="109"/>
        <w:gridCol w:w="109"/>
        <w:gridCol w:w="109"/>
        <w:gridCol w:w="765"/>
        <w:gridCol w:w="615"/>
        <w:gridCol w:w="87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283"/>
              <w:jc w:val="left"/>
              <w:rPr>
                <w:rFonts w:ascii="Roboto;sans-serif" w:hAnsi="Roboto;sans-serif"/>
                <w:b w:val="false"/>
                <w:color w:val="FFFFFF"/>
                <w:sz w:val="20"/>
              </w:rPr>
            </w:pPr>
            <w:r>
              <w:rPr>
                <w:rFonts w:ascii="Roboto;sans-serif" w:hAnsi="Roboto;sans-serif"/>
                <w:b w:val="false"/>
                <w:color w:val="FFFFFF"/>
                <w:sz w:val="20"/>
              </w:rPr>
              <w:t>Revenue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Gross loss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Operating loss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9CA2"/>
              <w:left w:val="single" w:sz="8" w:space="0" w:color="009CA2"/>
              <w:right w:val="single" w:sz="8" w:space="0" w:color="009CA2"/>
            </w:tcBorders>
            <w:shd w:fill="009CA2" w:val="clear"/>
            <w:tcMar>
              <w:top w:w="30" w:type="dxa"/>
              <w:bottom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Cash, cash equivalents, and investments of</w:t>
            </w:r>
          </w:p>
        </w:tc>
      </w:tr>
      <w:tr>
        <w:trPr/>
        <w:tc>
          <w:tcPr>
            <w:tcW w:w="2204"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36"/>
              </w:rPr>
            </w:pPr>
            <w:r>
              <w:rPr>
                <w:rFonts w:ascii="Roboto;sans-serif" w:hAnsi="Roboto;sans-serif"/>
                <w:b/>
                <w:color w:val="FFFFFF"/>
                <w:sz w:val="36"/>
              </w:rPr>
              <w:t>$37.2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$1.4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$428.9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9CA2"/>
              <w:left w:val="single" w:sz="8" w:space="0" w:color="009CA2"/>
              <w:right w:val="single" w:sz="8" w:space="0" w:color="009CA2"/>
            </w:tcBorders>
            <w:shd w:fill="009CA2" w:val="clear"/>
            <w:tcMar>
              <w:top w:w="30" w:type="dxa"/>
              <w:bottom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$343.1 M</w:t>
            </w:r>
          </w:p>
        </w:tc>
      </w:tr>
      <w:tr>
        <w:trPr/>
        <w:tc>
          <w:tcPr>
            <w:tcW w:w="2204"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$38.8 M during the same period of 2024</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gross profit of $11.3 M during the same period of 2024</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$81.4 M during the same period of 2024</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9CA2"/>
              <w:left w:val="single" w:sz="8" w:space="0" w:color="009CA2"/>
              <w:bottom w:val="single" w:sz="8" w:space="0" w:color="009CA2"/>
              <w:right w:val="single" w:sz="8" w:space="0" w:color="009CA2"/>
            </w:tcBorders>
            <w:shd w:fill="009CA2" w:val="clear"/>
            <w:tcMar>
              <w:top w:w="30" w:type="dxa"/>
              <w:bottom w:w="3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$389.9 M at December 31, 2024</w:t>
            </w:r>
          </w:p>
        </w:tc>
      </w:tr>
    </w:tbl>
    <w:p>
      <w:pPr>
        <w:pStyle w:val="TextBody"/>
        <w:bidi w:val="0"/>
        <w:spacing w:lineRule="auto" w:line="288" w:before="120" w:after="283"/>
        <w:ind w:left="0" w:right="0" w:hanging="270"/>
        <w:jc w:val="both"/>
        <w:rPr/>
      </w:pPr>
      <w:r>
        <w:rPr>
          <w:color w:val="000000"/>
        </w:rPr>
        <w:t>•</w:t>
      </w:r>
      <w:r>
        <w:rPr>
          <w:rFonts w:ascii="Roboto;sans-serif" w:hAnsi="Roboto;sans-serif"/>
          <w:b w:val="false"/>
          <w:color w:val="000000"/>
          <w:sz w:val="20"/>
        </w:rPr>
        <w:t>Revenue was comprised of $11.0 million in instrument revenue, $20.1 million in consumables revenue and $6.0 million in service and other revenue for the first quarter of 2025. Revenue was comprised of $19.0 million in instrument revenue, $16.0 million in consumables revenue and $3.8 million in service and other revenue for the first quarter of 2024. The decrease was primarily due to lower Revio unit sales, which was partially offset by higher Vega unit sales, consumable sales, and service and other revenue.</w:t>
      </w:r>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 xml:space="preserve">We recorded a gross loss for the first quarter of 2025 primarily due to $12.0 million of restructuring charges, which include $7.7 million in inventory adjustments and $3.8 million of losses on purchase commitments, and an increase of $3.0 million in amortization of acquired intangible assets, partially offset by lower per unit costs to manufacture our products. See </w:t>
      </w:r>
      <w:hyperlink w:anchor="i8ceeb5c9aa84416fb9d34124a1b6c447_49">
        <w:r>
          <w:rPr>
            <w:rStyle w:val="InternetLink"/>
          </w:rPr>
          <w:t xml:space="preserve">Note </w:t>
        </w:r>
      </w:hyperlink>
      <w:hyperlink w:anchor="i8ceeb5c9aa84416fb9d34124a1b6c447_49">
        <w:r>
          <w:rPr>
            <w:rStyle w:val="InternetLink"/>
          </w:rPr>
          <w:t>5</w:t>
        </w:r>
      </w:hyperlink>
      <w:hyperlink w:anchor="i8ceeb5c9aa84416fb9d34124a1b6c447_49">
        <w:r>
          <w:rPr>
            <w:rStyle w:val="InternetLink"/>
          </w:rPr>
          <w:t xml:space="preserve">. </w:t>
        </w:r>
      </w:hyperlink>
      <w:hyperlink w:anchor="i8ceeb5c9aa84416fb9d34124a1b6c447_49">
        <w:r>
          <w:rPr>
            <w:rStyle w:val="InternetLink"/>
          </w:rPr>
          <w:t>Restructuring</w:t>
        </w:r>
      </w:hyperlink>
      <w:r>
        <w:rPr>
          <w:color w:val="000000"/>
        </w:rPr>
        <w:t xml:space="preserve"> </w:t>
      </w:r>
      <w:r>
        <w:rPr>
          <w:rFonts w:ascii="Roboto;sans-serif" w:hAnsi="Roboto;sans-serif"/>
          <w:b w:val="false"/>
          <w:color w:val="000000"/>
          <w:sz w:val="20"/>
        </w:rPr>
        <w:t>in Part I, Item 1 of this Quarterly Report on Form 10-Q for additional information. Gross margins may be affected by product mix, manufacturing efficiencies, warranty cost improvements, average selling price fluctuations, future product launches, changes to inventory reserves, costs of raw materials, and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12520"/>
                <wp:effectExtent l="0" t="0" r="0" b="0"/>
                <wp:wrapNone/>
                <wp:docPr id="87" name="Frame3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457200" cy="95250"/>
                                                </a:xfrm>
                                                <a:prstGeom prst="rect">
                                                  <a:avLst/>
                                                </a:prstGeom>
                                              </pic:spPr>
                                            </pic:pic>
                                          </a:graphicData>
                                        </a:graphic>
                                      </wp:inline>
                                    </w:drawing>
                                  </w:r>
                                  <w:bookmarkStart w:id="58" w:name="i-30"/>
                                  <w:bookmarkEnd w:id="5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457200" cy="95250"/>
                                          </a:xfrm>
                                          <a:prstGeom prst="rect">
                                            <a:avLst/>
                                          </a:prstGeom>
                                        </pic:spPr>
                                      </pic:pic>
                                    </a:graphicData>
                                  </a:graphic>
                                </wp:inline>
                              </w:drawing>
                            </w:r>
                            <w:bookmarkStart w:id="59" w:name="i-30"/>
                            <w:bookmarkEnd w:id="5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Loss from operations increased $347.6 million for the first quarter of 2025 compared with the same quarter of 2024. Operating expenses increased $334.9 million primarily due to $381.8 million of costs incurred in connection with the restructuring and strategic shift, which include $359.3 million of accelerated amortization of acquired intangible assets, $15.0 million of impairment charges, and $4.6 million of employee separation costs. The increase was partially offset by an $18.7 million decrease in the change in the fair value of the contingent consideration and a decrease in research and development expenses.</w:t>
      </w:r>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Cash, cash equivalents, and short-term investments were $343.1 million at March 31, 2025, which represents a 12% decrease compared to the balance at December 31,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sales cycle for Revio instrument purchases continues to be elongated. We believe this has been caused by, among other reasons, the uncertainty surrounding the funding for new capital equipment, in particular, uncertainty in the United States related to the National Institutes of Health ("NIH") and academic funding; procurement delays; small-to-mid-size existing customers yet to increase their sample volumes to drive an upgrade to Revio; new customers, which have shown they have longer sales cycles compared to existing PacBio customers; and sample volumes materializing slower than expected for some potential Revio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Macroeconomic dynamics impacting the Company in the future may include rising inflation, geopolitical tensions, volatile capital markets, tariffs, uncertainty in the United States related to NIH and academic funding, and fluctuating exchange rates. These factors could continue to impact our revenues and results of operations in future periods; however, the magnitude and duration of these impacts is highly uncertain and inherently unpredictable.</w:t>
      </w:r>
    </w:p>
    <w:p>
      <w:pPr>
        <w:pStyle w:val="TextBody"/>
        <w:bidi w:val="0"/>
        <w:spacing w:lineRule="auto" w:line="288" w:before="120" w:after="283"/>
        <w:jc w:val="both"/>
        <w:rPr/>
      </w:pPr>
      <w:r>
        <w:rPr>
          <w:rFonts w:ascii="Roboto;sans-serif" w:hAnsi="Roboto;sans-serif"/>
          <w:b w:val="false"/>
          <w:color w:val="000000"/>
          <w:sz w:val="20"/>
        </w:rPr>
        <w:t xml:space="preserve">On an ongoing basis, we evaluate our significant estimates, including those related to the valuation of goodwill and finite-lived assets. However, these estimates could change in future periods based on events or changes in circumstances, which could result in material future impairment charges. We recorded $15.0 million of impairment charges for the first quarter of 2025. See additional discussion below in Results of Operations, as well as </w:t>
      </w:r>
      <w:hyperlink w:anchor="i8ceeb5c9aa84416fb9d34124a1b6c447_40">
        <w:r>
          <w:rPr>
            <w:rStyle w:val="InternetLink"/>
          </w:rPr>
          <w:t xml:space="preserve">Note </w:t>
        </w:r>
      </w:hyperlink>
      <w:hyperlink w:anchor="i8ceeb5c9aa84416fb9d34124a1b6c447_40">
        <w:r>
          <w:rPr>
            <w:rStyle w:val="InternetLink"/>
          </w:rPr>
          <w:t>3</w:t>
        </w:r>
      </w:hyperlink>
      <w:hyperlink w:anchor="i8ceeb5c9aa84416fb9d34124a1b6c447_40">
        <w:r>
          <w:rPr>
            <w:rStyle w:val="InternetLink"/>
          </w:rPr>
          <w:t xml:space="preserve">. </w:t>
        </w:r>
      </w:hyperlink>
      <w:hyperlink w:anchor="i8ceeb5c9aa84416fb9d34124a1b6c447_40">
        <w:r>
          <w:rPr>
            <w:rStyle w:val="InternetLink"/>
          </w:rPr>
          <w:t>B</w:t>
        </w:r>
      </w:hyperlink>
      <w:hyperlink w:anchor="i8ceeb5c9aa84416fb9d34124a1b6c447_40">
        <w:r>
          <w:rPr>
            <w:rStyle w:val="InternetLink"/>
          </w:rPr>
          <w:t>alance Sheet Components</w:t>
        </w:r>
      </w:hyperlink>
      <w:r>
        <w:rPr>
          <w:color w:val="000000"/>
        </w:rPr>
        <w:t xml:space="preserve"> </w:t>
      </w:r>
      <w:r>
        <w:rPr>
          <w:rFonts w:ascii="Roboto;sans-serif" w:hAnsi="Roboto;sans-serif"/>
          <w:b w:val="false"/>
          <w:color w:val="000000"/>
          <w:sz w:val="20"/>
        </w:rPr>
        <w:t>in Part I, Item 1 of this Quarterly Report on Form 10-Q for further information. Additionally, refer to the Critical Accounting Policies and Estimates section of our 2024 Annual Report for further discussion on the Company's asset impairment assessments.</w:t>
      </w:r>
    </w:p>
    <w:p>
      <w:pPr>
        <w:pStyle w:val="TextBody"/>
        <w:bidi w:val="0"/>
        <w:spacing w:lineRule="auto" w:line="288" w:before="120" w:after="283"/>
        <w:jc w:val="both"/>
        <w:rPr/>
      </w:pPr>
      <w:r>
        <w:rPr>
          <w:rFonts w:ascii="Roboto;sans-serif" w:hAnsi="Roboto;sans-serif"/>
          <w:b w:val="false"/>
          <w:color w:val="000000"/>
          <w:sz w:val="20"/>
        </w:rPr>
        <w:t xml:space="preserve">See the </w:t>
      </w:r>
      <w:hyperlink w:anchor="i8ceeb5c9aa84416fb9d34124a1b6c447_446">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12520"/>
                <wp:effectExtent l="0" t="0" r="0" b="0"/>
                <wp:wrapNone/>
                <wp:docPr id="90" name="Frame3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457200" cy="95250"/>
                                                </a:xfrm>
                                                <a:prstGeom prst="rect">
                                                  <a:avLst/>
                                                </a:prstGeom>
                                              </pic:spPr>
                                            </pic:pic>
                                          </a:graphicData>
                                        </a:graphic>
                                      </wp:inline>
                                    </w:drawing>
                                  </w:r>
                                  <w:bookmarkStart w:id="60" w:name="i-31"/>
                                  <w:bookmarkEnd w:id="6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457200" cy="95250"/>
                                          </a:xfrm>
                                          <a:prstGeom prst="rect">
                                            <a:avLst/>
                                          </a:prstGeom>
                                        </pic:spPr>
                                      </pic:pic>
                                    </a:graphicData>
                                  </a:graphic>
                                </wp:inline>
                              </w:drawing>
                            </w:r>
                            <w:bookmarkStart w:id="61" w:name="i-31"/>
                            <w:bookmarkEnd w:id="6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3464" w:type="dxa"/>
        <w:jc w:val="left"/>
        <w:tblInd w:w="0" w:type="dxa"/>
        <w:tblLayout w:type="fixed"/>
        <w:tblCellMar>
          <w:top w:w="28" w:type="dxa"/>
          <w:left w:w="28" w:type="dxa"/>
          <w:bottom w:w="28" w:type="dxa"/>
          <w:right w:w="28" w:type="dxa"/>
        </w:tblCellMar>
      </w:tblPr>
      <w:tblGrid>
        <w:gridCol w:w="1108"/>
        <w:gridCol w:w="972"/>
        <w:gridCol w:w="138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RESULTS OF OPERATIONS</w:t>
            </w:r>
          </w:p>
        </w:tc>
      </w:tr>
    </w:tbl>
    <w:tbl>
      <w:tblPr>
        <w:tblW w:w="8399" w:type="dxa"/>
        <w:jc w:val="left"/>
        <w:tblInd w:w="0" w:type="dxa"/>
        <w:tblLayout w:type="fixed"/>
        <w:tblCellMar>
          <w:top w:w="28" w:type="dxa"/>
          <w:left w:w="28" w:type="dxa"/>
          <w:bottom w:w="28" w:type="dxa"/>
          <w:right w:w="28" w:type="dxa"/>
        </w:tblCellMar>
      </w:tblPr>
      <w:tblGrid>
        <w:gridCol w:w="2687"/>
        <w:gridCol w:w="2364"/>
        <w:gridCol w:w="3348"/>
      </w:tblGrid>
      <w:tr>
        <w:trPr/>
        <w:tc>
          <w:tcPr>
            <w:tcW w:w="2687"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Comparison of the Three Months Ended March 31, 2025 and 2024</w:t>
            </w:r>
          </w:p>
        </w:tc>
      </w:tr>
    </w:tbl>
    <w:tbl>
      <w:tblPr>
        <w:tblW w:w="10205" w:type="dxa"/>
        <w:jc w:val="left"/>
        <w:tblInd w:w="0" w:type="dxa"/>
        <w:tblLayout w:type="fixed"/>
        <w:tblCellMar>
          <w:top w:w="28" w:type="dxa"/>
          <w:left w:w="28" w:type="dxa"/>
          <w:bottom w:w="28" w:type="dxa"/>
          <w:right w:w="28" w:type="dxa"/>
        </w:tblCellMar>
      </w:tblPr>
      <w:tblGrid>
        <w:gridCol w:w="1398"/>
        <w:gridCol w:w="1181"/>
        <w:gridCol w:w="1183"/>
        <w:gridCol w:w="230"/>
        <w:gridCol w:w="1040"/>
        <w:gridCol w:w="111"/>
        <w:gridCol w:w="111"/>
        <w:gridCol w:w="111"/>
        <w:gridCol w:w="111"/>
        <w:gridCol w:w="230"/>
        <w:gridCol w:w="917"/>
        <w:gridCol w:w="111"/>
        <w:gridCol w:w="109"/>
        <w:gridCol w:w="109"/>
        <w:gridCol w:w="109"/>
        <w:gridCol w:w="226"/>
        <w:gridCol w:w="1018"/>
        <w:gridCol w:w="109"/>
        <w:gridCol w:w="109"/>
        <w:gridCol w:w="109"/>
        <w:gridCol w:w="109"/>
        <w:gridCol w:w="410"/>
        <w:gridCol w:w="416"/>
        <w:gridCol w:w="638"/>
      </w:tblGrid>
      <w:tr>
        <w:trPr/>
        <w:tc>
          <w:tcPr>
            <w:tcW w:w="139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percentages)</w:t>
            </w:r>
          </w:p>
        </w:tc>
        <w:tc>
          <w:tcPr>
            <w:tcW w:w="13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30"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40"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31,113 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35,009 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6,040 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37,153 </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38,810 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26,333 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3,778 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4,345 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1,343 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4,068 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38,524 </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27,528 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10,996 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(loss) profit</w:t>
            </w:r>
          </w:p>
        </w:tc>
        <w:tc>
          <w:tcPr>
            <w:tcW w:w="12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(1,371)</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11,282 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(12,653)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29,053 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43,455 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40,168 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43,753 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362,042 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356,536 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6475 </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(18,630)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26,614 </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427,563 </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92,644 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334,919 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(428,934)</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(81,362)</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(347,572)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427 </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(1,737)</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(3,575)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4,294 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before benefit from income taxes</w:t>
            </w:r>
          </w:p>
        </w:tc>
        <w:tc>
          <w:tcPr>
            <w:tcW w:w="12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(426,377)</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(78,178)</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(348,199)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445 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benefit</w:t>
            </w:r>
          </w:p>
        </w:tc>
        <w:tc>
          <w:tcPr>
            <w:tcW w:w="12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(302)</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3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4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(426,075)</w:t>
            </w:r>
          </w:p>
        </w:tc>
        <w:tc>
          <w:tcPr>
            <w:tcW w:w="1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(78,178)</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(347,897)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445 </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12520"/>
                <wp:effectExtent l="0" t="0" r="0" b="0"/>
                <wp:wrapNone/>
                <wp:docPr id="93" name="Frame3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457200" cy="95250"/>
                                                </a:xfrm>
                                                <a:prstGeom prst="rect">
                                                  <a:avLst/>
                                                </a:prstGeom>
                                              </pic:spPr>
                                            </pic:pic>
                                          </a:graphicData>
                                        </a:graphic>
                                      </wp:inline>
                                    </w:drawing>
                                  </w:r>
                                  <w:bookmarkStart w:id="62" w:name="i-32"/>
                                  <w:bookmarkEnd w:id="6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457200" cy="95250"/>
                                          </a:xfrm>
                                          <a:prstGeom prst="rect">
                                            <a:avLst/>
                                          </a:prstGeom>
                                        </pic:spPr>
                                      </pic:pic>
                                    </a:graphicData>
                                  </a:graphic>
                                </wp:inline>
                              </w:drawing>
                            </w:r>
                            <w:bookmarkStart w:id="63" w:name="i-32"/>
                            <w:bookmarkEnd w:id="6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1276" w:type="dxa"/>
        <w:jc w:val="left"/>
        <w:tblInd w:w="0" w:type="dxa"/>
        <w:tblLayout w:type="fixed"/>
        <w:tblCellMar>
          <w:top w:w="28" w:type="dxa"/>
          <w:left w:w="28" w:type="dxa"/>
          <w:bottom w:w="28" w:type="dxa"/>
          <w:right w:w="28" w:type="dxa"/>
        </w:tblCellMar>
      </w:tblPr>
      <w:tblGrid>
        <w:gridCol w:w="408"/>
        <w:gridCol w:w="359"/>
        <w:gridCol w:w="50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Total Revenue</w:t>
            </w:r>
          </w:p>
        </w:tc>
      </w:tr>
    </w:tbl>
    <w:p>
      <w:pPr>
        <w:pStyle w:val="TextBody"/>
        <w:bidi w:val="0"/>
        <w:spacing w:before="120" w:after="283"/>
        <w:jc w:val="both"/>
        <w:rPr/>
      </w:pPr>
      <w:r>
        <w:rPr/>
        <w:drawing>
          <wp:inline distT="0" distB="0" distL="0" distR="0">
            <wp:extent cx="1638300" cy="1457325"/>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5"/>
                    <a:stretch>
                      <a:fillRect/>
                    </a:stretch>
                  </pic:blipFill>
                  <pic:spPr bwMode="auto">
                    <a:xfrm>
                      <a:off x="0" y="0"/>
                      <a:ext cx="1638300" cy="1457325"/>
                    </a:xfrm>
                    <a:prstGeom prst="rect">
                      <a:avLst/>
                    </a:prstGeom>
                  </pic:spPr>
                </pic:pic>
              </a:graphicData>
            </a:graphic>
          </wp:inline>
        </w:drawing>
      </w:r>
      <w:bookmarkStart w:id="64" w:name="i-33"/>
      <w:bookmarkEnd w:id="64"/>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Total revenue decreased $1.7 million, or 4%, for the first quarter of 2025 compared with the same quarter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 revenue decreased $3.9 million, or 11%, primarily due to a decrease of $8.0 million, or 42%, in instrument revenue, partially offset by an increase of $4.1 million, or 26%, in consumable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increased $2.2 million, or 59%, primarily driven by an increase in Revio service contracts.</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Instrument Revenue</w:t>
            </w:r>
          </w:p>
        </w:tc>
      </w:tr>
    </w:tbl>
    <w:p>
      <w:pPr>
        <w:pStyle w:val="TextBody"/>
        <w:bidi w:val="0"/>
        <w:spacing w:before="120" w:after="283"/>
        <w:jc w:val="both"/>
        <w:rPr/>
      </w:pPr>
      <w:r>
        <w:rPr/>
        <w:drawing>
          <wp:inline distT="0" distB="0" distL="0" distR="0">
            <wp:extent cx="1638300" cy="1457325"/>
            <wp:effectExtent l="0" t="0" r="0" b="0"/>
            <wp:docPr id="9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4" descr=""/>
                    <pic:cNvPicPr>
                      <a:picLocks noChangeAspect="1" noChangeArrowheads="1"/>
                    </pic:cNvPicPr>
                  </pic:nvPicPr>
                  <pic:blipFill>
                    <a:blip r:embed="rId66"/>
                    <a:stretch>
                      <a:fillRect/>
                    </a:stretch>
                  </pic:blipFill>
                  <pic:spPr bwMode="auto">
                    <a:xfrm>
                      <a:off x="0" y="0"/>
                      <a:ext cx="1638300" cy="1457325"/>
                    </a:xfrm>
                    <a:prstGeom prst="rect">
                      <a:avLst/>
                    </a:prstGeom>
                  </pic:spPr>
                </pic:pic>
              </a:graphicData>
            </a:graphic>
          </wp:inline>
        </w:drawing>
      </w:r>
      <w:bookmarkStart w:id="65" w:name="i-34"/>
      <w:bookmarkEnd w:id="65"/>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Instrument revenue decreased primarily due to the sale of 12 Revio systems in the first quarter of 2025 compared to 28 Revio systems in the first quarter of 2024, partially offset by the sale of 28 Vega systems in the first quarter of 2025.</w: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Consumables Revenue</w:t>
            </w:r>
          </w:p>
        </w:tc>
      </w:tr>
    </w:tbl>
    <w:p>
      <w:pPr>
        <w:pStyle w:val="TextBody"/>
        <w:bidi w:val="0"/>
        <w:spacing w:before="240" w:after="283"/>
        <w:jc w:val="both"/>
        <w:rPr/>
      </w:pPr>
      <w:r>
        <w:rPr/>
        <w:drawing>
          <wp:inline distT="0" distB="0" distL="0" distR="0">
            <wp:extent cx="1638300" cy="1552575"/>
            <wp:effectExtent l="0" t="0" r="0" b="0"/>
            <wp:docPr id="9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5" descr=""/>
                    <pic:cNvPicPr>
                      <a:picLocks noChangeAspect="1" noChangeArrowheads="1"/>
                    </pic:cNvPicPr>
                  </pic:nvPicPr>
                  <pic:blipFill>
                    <a:blip r:embed="rId67"/>
                    <a:stretch>
                      <a:fillRect/>
                    </a:stretch>
                  </pic:blipFill>
                  <pic:spPr bwMode="auto">
                    <a:xfrm>
                      <a:off x="0" y="0"/>
                      <a:ext cx="1638300" cy="1552575"/>
                    </a:xfrm>
                    <a:prstGeom prst="rect">
                      <a:avLst/>
                    </a:prstGeom>
                  </pic:spPr>
                </pic:pic>
              </a:graphicData>
            </a:graphic>
          </wp:inline>
        </w:drawing>
      </w:r>
      <w:bookmarkStart w:id="66" w:name="i-35"/>
      <w:bookmarkEnd w:id="66"/>
    </w:p>
    <w:p>
      <w:pPr>
        <w:pStyle w:val="TextBody"/>
        <w:bidi w:val="0"/>
        <w:spacing w:lineRule="auto" w:line="288" w:before="240" w:after="283"/>
        <w:jc w:val="both"/>
        <w:rPr/>
      </w:pPr>
      <w:r>
        <w:rPr>
          <w:rFonts w:ascii="Roboto;sans-serif" w:hAnsi="Roboto;sans-serif"/>
          <w:b w:val="false"/>
          <w:color w:val="000000"/>
          <w:sz w:val="20"/>
        </w:rPr>
        <w:t>Consumables revenue increased primarily due to higher Revio consumables sales attributable to the growth in the Revio instrument installed base, partially offset by a decline in Sequel</w:t>
      </w:r>
      <w:r>
        <w:rPr>
          <w:rFonts w:ascii="Roboto;sans-serif" w:hAnsi="Roboto;sans-serif"/>
          <w:b w:val="false"/>
          <w:color w:val="000000"/>
          <w:sz w:val="13"/>
        </w:rPr>
        <w:t>®</w:t>
      </w:r>
      <w:r>
        <w:rPr>
          <w:color w:val="000000"/>
        </w:rPr>
        <w:t xml:space="preserve"> </w:t>
      </w:r>
      <w:r>
        <w:rPr>
          <w:rFonts w:ascii="Roboto;sans-serif" w:hAnsi="Roboto;sans-serif"/>
          <w:b w:val="false"/>
          <w:color w:val="000000"/>
          <w:sz w:val="20"/>
        </w:rPr>
        <w:t>II and IIe consumables as customers transition to Revio. We expect Revio consumable sales to increase as the installed base grows. While we expect to see a decline in Sequel II and IIe consumable sales resulting from the product transition, there is uncertainty as to the rate at which these sales will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12520"/>
                <wp:effectExtent l="0" t="0" r="0" b="0"/>
                <wp:wrapNone/>
                <wp:docPr id="99" name="Frame3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68"/>
                                                <a:stretch>
                                                  <a:fillRect/>
                                                </a:stretch>
                                              </pic:blipFill>
                                              <pic:spPr bwMode="auto">
                                                <a:xfrm>
                                                  <a:off x="0" y="0"/>
                                                  <a:ext cx="457200" cy="95250"/>
                                                </a:xfrm>
                                                <a:prstGeom prst="rect">
                                                  <a:avLst/>
                                                </a:prstGeom>
                                              </pic:spPr>
                                            </pic:pic>
                                          </a:graphicData>
                                        </a:graphic>
                                      </wp:inline>
                                    </w:drawing>
                                  </w:r>
                                  <w:bookmarkStart w:id="67" w:name="i-36"/>
                                  <w:bookmarkEnd w:id="6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6" descr=""/>
                                          <pic:cNvPicPr>
                                            <a:picLocks noChangeAspect="1" noChangeArrowheads="1"/>
                                          </pic:cNvPicPr>
                                        </pic:nvPicPr>
                                        <pic:blipFill>
                                          <a:blip r:embed="rId69"/>
                                          <a:stretch>
                                            <a:fillRect/>
                                          </a:stretch>
                                        </pic:blipFill>
                                        <pic:spPr bwMode="auto">
                                          <a:xfrm>
                                            <a:off x="0" y="0"/>
                                            <a:ext cx="457200" cy="95250"/>
                                          </a:xfrm>
                                          <a:prstGeom prst="rect">
                                            <a:avLst/>
                                          </a:prstGeom>
                                        </pic:spPr>
                                      </pic:pic>
                                    </a:graphicData>
                                  </a:graphic>
                                </wp:inline>
                              </w:drawing>
                            </w:r>
                            <w:bookmarkStart w:id="68" w:name="i-36"/>
                            <w:bookmarkEnd w:id="6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5189" w:type="dxa"/>
        <w:jc w:val="left"/>
        <w:tblInd w:w="0" w:type="dxa"/>
        <w:tblLayout w:type="fixed"/>
        <w:tblCellMar>
          <w:top w:w="28" w:type="dxa"/>
          <w:left w:w="28" w:type="dxa"/>
          <w:bottom w:w="28" w:type="dxa"/>
          <w:right w:w="28" w:type="dxa"/>
        </w:tblCellMar>
      </w:tblPr>
      <w:tblGrid>
        <w:gridCol w:w="1659"/>
        <w:gridCol w:w="1460"/>
        <w:gridCol w:w="2070"/>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 and Gross (Loss) Profit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Total cost of revenue increased $11.0 million, or 40% due to an increase in cost of product revenue, $3.8 million of restructuring costs relating to loss on purchase commitments which is based on an estimate of future excess inventory related to supply agreements for which we do not expect to have related sales, and an increase of $3.0 million in amortization attributable to acquired intangible assets that are related to sales generating activities. Cost of product revenue increased $3.9 million, or 17%, for the first quarter of 2025 compared with the same quarter of 2024 primarily due to $7.7 million of charges for excess inventory due to our updated strategy to prioritize long-read technology and decrease in demand for short-read related inventory partially offset by lower per unit costs to manufacture our products. Total cost of revenue included share-based compensation expense of $1.2 million and $2.1 million during the first quarter of 2025 and 2024, respectively.</w:t>
      </w:r>
    </w:p>
    <w:p>
      <w:pPr>
        <w:pStyle w:val="TextBody"/>
        <w:bidi w:val="0"/>
        <w:spacing w:lineRule="auto" w:line="288" w:before="120" w:after="283"/>
        <w:jc w:val="both"/>
        <w:rPr/>
      </w:pPr>
      <w:r>
        <w:rPr>
          <w:rFonts w:ascii="Roboto;sans-serif" w:hAnsi="Roboto;sans-serif"/>
          <w:b w:val="false"/>
          <w:color w:val="000000"/>
          <w:sz w:val="20"/>
        </w:rPr>
        <w:t xml:space="preserve">We recorded a gross loss of $1.4 million for the first quarter of 2025, compared to a gross profit of $11.3 million in the same quarter of 2024, primarily driven by the increase in cost of revenue from restructuring activities and the decrease in revenue described above. See </w:t>
      </w:r>
      <w:hyperlink w:anchor="i8ceeb5c9aa84416fb9d34124a1b6c447_49">
        <w:r>
          <w:rPr>
            <w:rStyle w:val="InternetLink"/>
          </w:rPr>
          <w:t xml:space="preserve">Note </w:t>
        </w:r>
      </w:hyperlink>
      <w:hyperlink w:anchor="i8ceeb5c9aa84416fb9d34124a1b6c447_49">
        <w:r>
          <w:rPr>
            <w:rStyle w:val="InternetLink"/>
          </w:rPr>
          <w:t>5</w:t>
        </w:r>
      </w:hyperlink>
      <w:hyperlink w:anchor="i8ceeb5c9aa84416fb9d34124a1b6c447_49">
        <w:r>
          <w:rPr>
            <w:rStyle w:val="InternetLink"/>
          </w:rPr>
          <w:t>. Restructuring</w:t>
        </w:r>
      </w:hyperlink>
      <w:r>
        <w:rPr>
          <w:color w:val="000000"/>
        </w:rPr>
        <w:t xml:space="preserve"> </w:t>
      </w:r>
      <w:r>
        <w:rPr>
          <w:rFonts w:ascii="Roboto;sans-serif" w:hAnsi="Roboto;sans-serif"/>
          <w:b w:val="false"/>
          <w:color w:val="000000"/>
          <w:sz w:val="20"/>
        </w:rPr>
        <w:t>in Part I, Item 1 of this Quarterly Report on Form 10-Q for additional information about restructuring activities. Gross margins may be affected by product mix, manufacturing efficiencies, warranty cost improvements, average selling price fluctuations, future product launches, changes to inventory reserves, costs of raw materials and tariffs.</w:t>
      </w:r>
    </w:p>
    <w:tbl>
      <w:tblPr>
        <w:tblW w:w="4785" w:type="dxa"/>
        <w:jc w:val="left"/>
        <w:tblInd w:w="0" w:type="dxa"/>
        <w:tblLayout w:type="fixed"/>
        <w:tblCellMar>
          <w:top w:w="28" w:type="dxa"/>
          <w:left w:w="28" w:type="dxa"/>
          <w:bottom w:w="28" w:type="dxa"/>
          <w:right w:w="28" w:type="dxa"/>
        </w:tblCellMar>
      </w:tblPr>
      <w:tblGrid>
        <w:gridCol w:w="1532"/>
        <w:gridCol w:w="1345"/>
        <w:gridCol w:w="190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$14.4 million, or 33%, for the first quarter of 2025, compared to the same quarter of 2024. The decrease was primarily driven by a decrease in personnel and related expenses due to prior year restructuring activities, as well as the transition of launched products from development to commercialization. Research and development expense included share-based compensation expense of $2.6 million and $5.8 million during the first quarter of 2025 and 2024, respectively.</w:t>
      </w:r>
    </w:p>
    <w:tbl>
      <w:tblPr>
        <w:tblW w:w="5714" w:type="dxa"/>
        <w:jc w:val="left"/>
        <w:tblInd w:w="0" w:type="dxa"/>
        <w:tblLayout w:type="fixed"/>
        <w:tblCellMar>
          <w:top w:w="28" w:type="dxa"/>
          <w:left w:w="28" w:type="dxa"/>
          <w:bottom w:w="28" w:type="dxa"/>
          <w:right w:w="28" w:type="dxa"/>
        </w:tblCellMar>
      </w:tblPr>
      <w:tblGrid>
        <w:gridCol w:w="1828"/>
        <w:gridCol w:w="1607"/>
        <w:gridCol w:w="2279"/>
      </w:tblGrid>
      <w:tr>
        <w:trPr/>
        <w:tc>
          <w:tcPr>
            <w:tcW w:w="182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Sales, General, and Administrative Expense</w:t>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decreased by $3.6 million, or 8%, for the first quarter of 2025, compared to the same quarter of 2024. The decrease was primarily due to a net decrease in personnel and related expenses due to restructuring activities. Sales, general, and administrative expense included share-based compensation expense of $5.4 million and $11.6 million during the first quarter of 2025 and 2024, respectively.</w:t>
      </w:r>
    </w:p>
    <w:tbl>
      <w:tblPr>
        <w:tblW w:w="2759" w:type="dxa"/>
        <w:jc w:val="left"/>
        <w:tblInd w:w="0" w:type="dxa"/>
        <w:tblLayout w:type="fixed"/>
        <w:tblCellMar>
          <w:top w:w="28" w:type="dxa"/>
          <w:left w:w="28" w:type="dxa"/>
          <w:bottom w:w="28" w:type="dxa"/>
          <w:right w:w="28" w:type="dxa"/>
        </w:tblCellMar>
      </w:tblPr>
      <w:tblGrid>
        <w:gridCol w:w="884"/>
        <w:gridCol w:w="777"/>
        <w:gridCol w:w="1098"/>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Impairment Charges</w:t>
            </w:r>
          </w:p>
        </w:tc>
      </w:tr>
    </w:tbl>
    <w:p>
      <w:pPr>
        <w:pStyle w:val="TextBody"/>
        <w:bidi w:val="0"/>
        <w:spacing w:lineRule="auto" w:line="288" w:before="120" w:after="283"/>
        <w:jc w:val="both"/>
        <w:rPr/>
      </w:pPr>
      <w:r>
        <w:rPr>
          <w:rFonts w:ascii="Roboto;sans-serif" w:hAnsi="Roboto;sans-serif"/>
          <w:b w:val="false"/>
          <w:color w:val="000000"/>
          <w:sz w:val="20"/>
        </w:rPr>
        <w:t xml:space="preserve">We identified indicators of impairment during the first quarter of 2025 and performed an interim impairment assessment. Impairment testing demonstrated that the carrying value of our in-process research and development ("IPR&amp;D") exceeded its estimated fair value. As a result, we recorded $15.0 million of impairment charges for the first quarter of 2025. See </w:t>
      </w:r>
      <w:hyperlink w:anchor="i8ceeb5c9aa84416fb9d34124a1b6c447_40">
        <w:r>
          <w:rPr>
            <w:rStyle w:val="InternetLink"/>
          </w:rPr>
          <w:t xml:space="preserve">Note </w:t>
        </w:r>
      </w:hyperlink>
      <w:hyperlink w:anchor="i8ceeb5c9aa84416fb9d34124a1b6c447_40">
        <w:r>
          <w:rPr>
            <w:rStyle w:val="InternetLink"/>
          </w:rPr>
          <w:t>3</w:t>
        </w:r>
      </w:hyperlink>
      <w:hyperlink w:anchor="i8ceeb5c9aa84416fb9d34124a1b6c447_40">
        <w:r>
          <w:rPr>
            <w:rStyle w:val="InternetLink"/>
          </w:rPr>
          <w:t xml:space="preserve">. </w:t>
        </w:r>
      </w:hyperlink>
      <w:hyperlink w:anchor="i8ceeb5c9aa84416fb9d34124a1b6c447_40">
        <w:r>
          <w:rPr>
            <w:rStyle w:val="InternetLink"/>
          </w:rPr>
          <w:t>Balance Sheet Components</w:t>
        </w:r>
      </w:hyperlink>
      <w:r>
        <w:rPr>
          <w:color w:val="000000"/>
        </w:rPr>
        <w:t xml:space="preserve"> </w:t>
      </w:r>
      <w:r>
        <w:rPr>
          <w:rFonts w:ascii="Roboto;sans-serif" w:hAnsi="Roboto;sans-serif"/>
          <w:b w:val="false"/>
          <w:color w:val="000000"/>
          <w:sz w:val="20"/>
        </w:rPr>
        <w:t>in Part I, Item 1 of this Quarterly Report on Form 10-Q for further information.</w:t>
      </w:r>
    </w:p>
    <w:tbl>
      <w:tblPr>
        <w:tblW w:w="5639" w:type="dxa"/>
        <w:jc w:val="left"/>
        <w:tblInd w:w="0" w:type="dxa"/>
        <w:tblLayout w:type="fixed"/>
        <w:tblCellMar>
          <w:top w:w="28" w:type="dxa"/>
          <w:left w:w="28" w:type="dxa"/>
          <w:bottom w:w="28" w:type="dxa"/>
          <w:right w:w="28" w:type="dxa"/>
        </w:tblCellMar>
      </w:tblPr>
      <w:tblGrid>
        <w:gridCol w:w="1807"/>
        <w:gridCol w:w="1587"/>
        <w:gridCol w:w="2245"/>
      </w:tblGrid>
      <w:tr>
        <w:trPr/>
        <w:tc>
          <w:tcPr>
            <w:tcW w:w="18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Amortization of Acquired Intangible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Operating expenses for the first quarter of 2025 included $362.0 million of amortization expense, primarily driven by $359.3 million of accelerated amortization related to developed technology from the 2021 Omniome acquisition, reflecting our revised estimate that the asset will no longer generate economic benefit beyond March 31, 2025. We expect significantly lower amortization expense for the remainder of 2025.</w:t>
      </w:r>
    </w:p>
    <w:tbl>
      <w:tblPr>
        <w:tblW w:w="6435" w:type="dxa"/>
        <w:jc w:val="left"/>
        <w:tblInd w:w="0" w:type="dxa"/>
        <w:tblLayout w:type="fixed"/>
        <w:tblCellMar>
          <w:top w:w="28" w:type="dxa"/>
          <w:left w:w="28" w:type="dxa"/>
          <w:bottom w:w="28" w:type="dxa"/>
          <w:right w:w="28" w:type="dxa"/>
        </w:tblCellMar>
      </w:tblPr>
      <w:tblGrid>
        <w:gridCol w:w="2060"/>
        <w:gridCol w:w="1812"/>
        <w:gridCol w:w="2563"/>
      </w:tblGrid>
      <w:tr>
        <w:trPr/>
        <w:tc>
          <w:tcPr>
            <w:tcW w:w="206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 in Fair Value of 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Change in fair value of contingent consideration during the first quarter of 2025 and 2024 represents the remeasurement impact of the contingent consideration due upon the achievement of the milestone. As of March 31, 2025,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12520"/>
                <wp:effectExtent l="0" t="0" r="0" b="0"/>
                <wp:wrapNone/>
                <wp:docPr id="102" name="Frame3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70"/>
                                                <a:stretch>
                                                  <a:fillRect/>
                                                </a:stretch>
                                              </pic:blipFill>
                                              <pic:spPr bwMode="auto">
                                                <a:xfrm>
                                                  <a:off x="0" y="0"/>
                                                  <a:ext cx="457200" cy="95250"/>
                                                </a:xfrm>
                                                <a:prstGeom prst="rect">
                                                  <a:avLst/>
                                                </a:prstGeom>
                                              </pic:spPr>
                                            </pic:pic>
                                          </a:graphicData>
                                        </a:graphic>
                                      </wp:inline>
                                    </w:drawing>
                                  </w:r>
                                  <w:bookmarkStart w:id="69" w:name="i-37"/>
                                  <w:bookmarkEnd w:id="6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71"/>
                                          <a:stretch>
                                            <a:fillRect/>
                                          </a:stretch>
                                        </pic:blipFill>
                                        <pic:spPr bwMode="auto">
                                          <a:xfrm>
                                            <a:off x="0" y="0"/>
                                            <a:ext cx="457200" cy="95250"/>
                                          </a:xfrm>
                                          <a:prstGeom prst="rect">
                                            <a:avLst/>
                                          </a:prstGeom>
                                        </pic:spPr>
                                      </pic:pic>
                                    </a:graphicData>
                                  </a:graphic>
                                </wp:inline>
                              </w:drawing>
                            </w:r>
                            <w:bookmarkStart w:id="70" w:name="i-37"/>
                            <w:bookmarkEnd w:id="7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estimated fair value of the contingent consideration liability was $0, resulting in a change in fair value for the first quarter of 2025 of $18.7 million.</w:t>
      </w:r>
    </w:p>
    <w:tbl>
      <w:tblPr>
        <w:tblW w:w="2309" w:type="dxa"/>
        <w:jc w:val="left"/>
        <w:tblInd w:w="0" w:type="dxa"/>
        <w:tblLayout w:type="fixed"/>
        <w:tblCellMar>
          <w:top w:w="28" w:type="dxa"/>
          <w:left w:w="28" w:type="dxa"/>
          <w:bottom w:w="28" w:type="dxa"/>
          <w:right w:w="28" w:type="dxa"/>
        </w:tblCellMar>
      </w:tblPr>
      <w:tblGrid>
        <w:gridCol w:w="739"/>
        <w:gridCol w:w="649"/>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first quarter of 2025, was $1.7 million compared to $3.6 million for the first quarter of 2024 and was primarily comprised of interest on the Notes.</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Income,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for the first quarter of 2025, was $4.3 million compared to $6.8 million for the first quarter of 2024. The decrease was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45" w:type="dxa"/>
        <w:jc w:val="left"/>
        <w:tblInd w:w="0" w:type="dxa"/>
        <w:tblLayout w:type="fixed"/>
        <w:tblCellMar>
          <w:top w:w="28" w:type="dxa"/>
          <w:left w:w="28" w:type="dxa"/>
          <w:bottom w:w="28" w:type="dxa"/>
          <w:right w:w="28" w:type="dxa"/>
        </w:tblCellMar>
      </w:tblPr>
      <w:tblGrid>
        <w:gridCol w:w="1551"/>
        <w:gridCol w:w="1359"/>
        <w:gridCol w:w="1935"/>
      </w:tblGrid>
      <w:tr>
        <w:trPr/>
        <w:tc>
          <w:tcPr>
            <w:tcW w:w="15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LIQUIDITY AND CAPITAL RESOURCES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we had cash, cash equivalents and investments of $343.1 million compared to $389.9 million as of December 31, 2024. We believe that our existing cash, cash equivalents and investments will be sufficient to fund our projected operating requirements beyond the next 12 months from the date of filing of this Quarterly Report on Form 10-Q for the quarter ended March 31,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began implementing expense reduction initiatives in the second quarter of 2024, including workforce reductions, facility downsizing, and a streamlined development pipeline, with the goal of lowering annualized run-rate operating expenses by year-end. In the first quarter of 2025, we implemented additional actions, including further workforce reductions, to support continued cost savings.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Factors that may affect our capital needs include, but are not limited to, the pace of adoption of our products, which affects the sales of our products and services; our ability to efficiently manage our operations; the effectiveness of our expense reduction initiatives; our ability to obtain new collaboration and customer arrangements and maintain existing collaborations and arrangements; the progress of our research and development programs; initiation, expansion, or funding of research programs and collaborations; the purchase of patent licenses;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tbl>
      <w:tblPr>
        <w:tblW w:w="3405" w:type="dxa"/>
        <w:jc w:val="left"/>
        <w:tblInd w:w="0" w:type="dxa"/>
        <w:tblLayout w:type="fixed"/>
        <w:tblCellMar>
          <w:top w:w="28" w:type="dxa"/>
          <w:left w:w="28" w:type="dxa"/>
          <w:bottom w:w="28" w:type="dxa"/>
          <w:right w:w="28" w:type="dxa"/>
        </w:tblCellMar>
      </w:tblPr>
      <w:tblGrid>
        <w:gridCol w:w="1090"/>
        <w:gridCol w:w="959"/>
        <w:gridCol w:w="1356"/>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the 2023 Apton acquisition, we entered into an arrangement where we are obligated to pay former holders of Apton's outstanding equity interests $25.0 million upon the achievement of $50.0 million in revenue associated with a high throughput sequencer using Apton's technology, provided that the milestone event occurs prior to the five-year anniversary of the closing date of the acquisition, which we may elect to pay in cash, shares of our common stock or a combination of cash and shares of our common stock. As of March 31, 2025,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was $0.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12520"/>
                <wp:effectExtent l="0" t="0" r="0" b="0"/>
                <wp:wrapNone/>
                <wp:docPr id="105" name="Frame3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72"/>
                                                <a:stretch>
                                                  <a:fillRect/>
                                                </a:stretch>
                                              </pic:blipFill>
                                              <pic:spPr bwMode="auto">
                                                <a:xfrm>
                                                  <a:off x="0" y="0"/>
                                                  <a:ext cx="457200" cy="95250"/>
                                                </a:xfrm>
                                                <a:prstGeom prst="rect">
                                                  <a:avLst/>
                                                </a:prstGeom>
                                              </pic:spPr>
                                            </pic:pic>
                                          </a:graphicData>
                                        </a:graphic>
                                      </wp:inline>
                                    </w:drawing>
                                  </w:r>
                                  <w:bookmarkStart w:id="71" w:name="i-38"/>
                                  <w:bookmarkEnd w:id="7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8" descr=""/>
                                          <pic:cNvPicPr>
                                            <a:picLocks noChangeAspect="1" noChangeArrowheads="1"/>
                                          </pic:cNvPicPr>
                                        </pic:nvPicPr>
                                        <pic:blipFill>
                                          <a:blip r:embed="rId73"/>
                                          <a:stretch>
                                            <a:fillRect/>
                                          </a:stretch>
                                        </pic:blipFill>
                                        <pic:spPr bwMode="auto">
                                          <a:xfrm>
                                            <a:off x="0" y="0"/>
                                            <a:ext cx="457200" cy="95250"/>
                                          </a:xfrm>
                                          <a:prstGeom prst="rect">
                                            <a:avLst/>
                                          </a:prstGeom>
                                        </pic:spPr>
                                      </pic:pic>
                                    </a:graphicData>
                                  </a:graphic>
                                </wp:inline>
                              </w:drawing>
                            </w:r>
                            <w:bookmarkStart w:id="72" w:name="i-38"/>
                            <w:bookmarkEnd w:id="7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2730" w:type="dxa"/>
        <w:jc w:val="left"/>
        <w:tblInd w:w="0" w:type="dxa"/>
        <w:tblLayout w:type="fixed"/>
        <w:tblCellMar>
          <w:top w:w="28" w:type="dxa"/>
          <w:left w:w="28" w:type="dxa"/>
          <w:bottom w:w="28" w:type="dxa"/>
          <w:right w:w="28" w:type="dxa"/>
        </w:tblCellMar>
      </w:tblPr>
      <w:tblGrid>
        <w:gridCol w:w="874"/>
        <w:gridCol w:w="767"/>
        <w:gridCol w:w="1089"/>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Flow Summary</w:t>
            </w:r>
          </w:p>
        </w:tc>
      </w:tr>
    </w:tbl>
    <w:tbl>
      <w:tblPr>
        <w:tblW w:w="9550" w:type="dxa"/>
        <w:jc w:val="left"/>
        <w:tblInd w:w="0" w:type="dxa"/>
        <w:tblLayout w:type="fixed"/>
        <w:tblCellMar>
          <w:top w:w="28" w:type="dxa"/>
          <w:left w:w="28" w:type="dxa"/>
          <w:bottom w:w="28" w:type="dxa"/>
          <w:right w:w="28" w:type="dxa"/>
        </w:tblCellMar>
      </w:tblPr>
      <w:tblGrid>
        <w:gridCol w:w="2348"/>
        <w:gridCol w:w="2060"/>
        <w:gridCol w:w="2071"/>
        <w:gridCol w:w="232"/>
        <w:gridCol w:w="941"/>
        <w:gridCol w:w="111"/>
        <w:gridCol w:w="111"/>
        <w:gridCol w:w="111"/>
        <w:gridCol w:w="111"/>
        <w:gridCol w:w="232"/>
        <w:gridCol w:w="1064"/>
        <w:gridCol w:w="158"/>
      </w:tblGrid>
      <w:tr>
        <w:trPr/>
        <w:tc>
          <w:tcPr>
            <w:tcW w:w="2348"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March 31,</w:t>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4"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Net cash used in operating activities </w:t>
            </w:r>
          </w:p>
        </w:tc>
        <w:tc>
          <w:tcPr>
            <w:tcW w:w="2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(44,056)</w:t>
            </w:r>
          </w:p>
        </w:tc>
        <w:tc>
          <w:tcPr>
            <w:tcW w:w="11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(75,682)</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Net cash provided by (used in) investing activities </w:t>
            </w:r>
          </w:p>
        </w:tc>
        <w:tc>
          <w:tcPr>
            <w:tcW w:w="117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45,234 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(34,136)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Net cash provided by financing activities </w:t>
            </w:r>
          </w:p>
        </w:tc>
        <w:tc>
          <w:tcPr>
            <w:tcW w:w="117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1,959 </w:t>
            </w:r>
          </w:p>
        </w:tc>
        <w:tc>
          <w:tcPr>
            <w:tcW w:w="11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6,553 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increase (decrease) in cash, cash equivalents, and restricted cash</w:t>
            </w:r>
          </w:p>
        </w:tc>
        <w:tc>
          <w:tcPr>
            <w:tcW w:w="23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3,137 </w:t>
            </w:r>
          </w:p>
        </w:tc>
        <w:tc>
          <w:tcPr>
            <w:tcW w:w="1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(103,265)</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Operating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first quarter of 2025 of $44.1 million was due primarily to a $426.1 million net loss that included non-cash items such as amortization of acquired intangible assets of $366.4 million, an impairment charge of $15.0 million, share-based compensation of $9.2 million,$7.7 million of inventory adjustments, depreciation expense of $5.1 million, and $2.4 million in net changes to operating assets and liabilities, partially offset by an $18.7 million decrease in the change in the fair value of the contingent consideration. Cash flow impact from changes in net operating assets and liabilities was primarily driven by an increase in accrued expenses partially offset by an increase in accounts receivable.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first quarter of 2024 of $75.7 million was due primarily to a $78.2 million net loss that included non-cash items such as share-based compensation of $19.5 million, amortization of intangible assets of $6.9 million, depreciation expense of $3.2 million, and amortization of right-of-use assets of $1.9 million. This was offset by the accretion of discount and amortization of premium on marketable securities, net of $4.0 million, and $25.3 million in net changes to operating assets and liabilities. Cash flow impact from changes in net operating assets and liabilities was primarily driven by an increase in inventory, as well as decreases in accrued expenses, other liabilities, and operating lease liabilities. These uses of cash were partially offset by decreases in accounts receivable and prepaid expenses and other assets and increases in accounts payable and deferred revenue.</w:t>
      </w: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Investing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for the first quarter of 2025, was primarily from $113.4 million of maturities of investments partially offset by $61.8 million of purchases of investments and $5.0 million in purchases of 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investing activities for the first quarter of 2024, was primarily due to $191.9 million in purchases of investments and $3.9 million in purchases of property and equipment partially offset by $161.7 million of maturities of investments.</w:t>
      </w: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Financing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first quarter of 2025 resulted from $2.0 million from the issuance of common stock through our equity compensation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first quarter of 2024 resulted from $6.9 million from the issuance of common stock through our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12520"/>
                <wp:effectExtent l="0" t="0" r="0" b="0"/>
                <wp:wrapNone/>
                <wp:docPr id="108" name="Frame3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74"/>
                                                <a:stretch>
                                                  <a:fillRect/>
                                                </a:stretch>
                                              </pic:blipFill>
                                              <pic:spPr bwMode="auto">
                                                <a:xfrm>
                                                  <a:off x="0" y="0"/>
                                                  <a:ext cx="457200" cy="95250"/>
                                                </a:xfrm>
                                                <a:prstGeom prst="rect">
                                                  <a:avLst/>
                                                </a:prstGeom>
                                              </pic:spPr>
                                            </pic:pic>
                                          </a:graphicData>
                                        </a:graphic>
                                      </wp:inline>
                                    </w:drawing>
                                  </w:r>
                                  <w:bookmarkStart w:id="73" w:name="i-39"/>
                                  <w:bookmarkEnd w:id="7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9" descr=""/>
                                          <pic:cNvPicPr>
                                            <a:picLocks noChangeAspect="1" noChangeArrowheads="1"/>
                                          </pic:cNvPicPr>
                                        </pic:nvPicPr>
                                        <pic:blipFill>
                                          <a:blip r:embed="rId75"/>
                                          <a:stretch>
                                            <a:fillRect/>
                                          </a:stretch>
                                        </pic:blipFill>
                                        <pic:spPr bwMode="auto">
                                          <a:xfrm>
                                            <a:off x="0" y="0"/>
                                            <a:ext cx="457200" cy="95250"/>
                                          </a:xfrm>
                                          <a:prstGeom prst="rect">
                                            <a:avLst/>
                                          </a:prstGeom>
                                        </pic:spPr>
                                      </pic:pic>
                                    </a:graphicData>
                                  </a:graphic>
                                </wp:inline>
                              </w:drawing>
                            </w:r>
                            <w:bookmarkStart w:id="74" w:name="i-39"/>
                            <w:bookmarkEnd w:id="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Contractual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presented our contractual obligations at December 31, 2024 in our 2024 Annual Report. There were no material changes outside the ordinary course of business to our contractual obligations during the first quarter of 2025.</w:t>
      </w:r>
    </w:p>
    <w:tbl>
      <w:tblPr>
        <w:tblW w:w="6480" w:type="dxa"/>
        <w:jc w:val="left"/>
        <w:tblInd w:w="0" w:type="dxa"/>
        <w:tblLayout w:type="fixed"/>
        <w:tblCellMar>
          <w:top w:w="28" w:type="dxa"/>
          <w:left w:w="28" w:type="dxa"/>
          <w:bottom w:w="28" w:type="dxa"/>
          <w:right w:w="28" w:type="dxa"/>
        </w:tblCellMar>
      </w:tblPr>
      <w:tblGrid>
        <w:gridCol w:w="2076"/>
        <w:gridCol w:w="1823"/>
        <w:gridCol w:w="2581"/>
      </w:tblGrid>
      <w:tr>
        <w:trPr/>
        <w:tc>
          <w:tcPr>
            <w:tcW w:w="207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CRITICAL ACCOUNTING POLICIES AND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05" w:type="dxa"/>
        <w:jc w:val="left"/>
        <w:tblInd w:w="0" w:type="dxa"/>
        <w:tblLayout w:type="fixed"/>
        <w:tblCellMar>
          <w:top w:w="28" w:type="dxa"/>
          <w:left w:w="28" w:type="dxa"/>
          <w:bottom w:w="28" w:type="dxa"/>
          <w:right w:w="28" w:type="dxa"/>
        </w:tblCellMar>
      </w:tblPr>
      <w:tblGrid>
        <w:gridCol w:w="1762"/>
        <w:gridCol w:w="1549"/>
        <w:gridCol w:w="2194"/>
      </w:tblGrid>
      <w:tr>
        <w:trPr/>
        <w:tc>
          <w:tcPr>
            <w:tcW w:w="176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RECENT ACCOUNTING PRONOUNCEMENTS</w:t>
            </w:r>
          </w:p>
        </w:tc>
      </w:tr>
    </w:tbl>
    <w:p>
      <w:pPr>
        <w:pStyle w:val="TextBody"/>
        <w:bidi w:val="0"/>
        <w:spacing w:lineRule="auto" w:line="288" w:before="120" w:after="283"/>
        <w:jc w:val="both"/>
        <w:rPr/>
      </w:pPr>
      <w:r>
        <w:rPr>
          <w:rFonts w:ascii="Roboto;sans-serif" w:hAnsi="Roboto;sans-serif"/>
          <w:b w:val="false"/>
          <w:color w:val="000000"/>
          <w:sz w:val="20"/>
        </w:rPr>
        <w:t xml:space="preserve">Please see </w:t>
      </w:r>
      <w:hyperlink w:anchor="i8ceeb5c9aa84416fb9d34124a1b6c447_31">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xml:space="preserve">, subsection titled “Recent Accounting Pronouncements”, in Part I, Item 1 of this Quarterly Report on Form 10-Q for information regarding applicable recent accounting pronouncements. </w:t>
      </w:r>
    </w:p>
    <w:tbl>
      <w:tblPr>
        <w:tblW w:w="5025" w:type="dxa"/>
        <w:jc w:val="left"/>
        <w:tblInd w:w="0" w:type="dxa"/>
        <w:tblLayout w:type="fixed"/>
        <w:tblCellMar>
          <w:top w:w="28" w:type="dxa"/>
          <w:left w:w="28" w:type="dxa"/>
          <w:bottom w:w="28" w:type="dxa"/>
          <w:right w:w="28" w:type="dxa"/>
        </w:tblCellMar>
      </w:tblPr>
      <w:tblGrid>
        <w:gridCol w:w="1608"/>
        <w:gridCol w:w="1412"/>
        <w:gridCol w:w="2005"/>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OFF-BALANCE SHEET ARRANGEMENTS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we did not have any 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88" w:before="120" w:after="283"/>
        <w:jc w:val="both"/>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8ceeb5c9aa84416fb9d34124a1b6c447_52">
        <w:r>
          <w:rPr>
            <w:rStyle w:val="InternetLink"/>
          </w:rPr>
          <w:t xml:space="preserve">Note </w:t>
        </w:r>
      </w:hyperlink>
      <w:hyperlink w:anchor="i8ceeb5c9aa84416fb9d34124a1b6c447_52">
        <w:r>
          <w:rPr>
            <w:rStyle w:val="InternetLink"/>
          </w:rPr>
          <w:t>6</w:t>
        </w:r>
      </w:hyperlink>
      <w:hyperlink w:anchor="i8ceeb5c9aa84416fb9d34124a1b6c447_52">
        <w:r>
          <w:rPr>
            <w:rStyle w:val="InternetLink"/>
          </w:rPr>
          <w:t>. Commitments and Contingencies</w:t>
        </w:r>
      </w:hyperlink>
      <w:r>
        <w:rPr>
          <w:color w:val="000000"/>
        </w:rPr>
        <w:t xml:space="preserve"> </w:t>
      </w:r>
      <w:r>
        <w:rPr>
          <w:rFonts w:ascii="Roboto;sans-serif" w:hAnsi="Roboto;sans-serif"/>
          <w:b w:val="false"/>
          <w:color w:val="000000"/>
          <w:sz w:val="20"/>
        </w:rPr>
        <w:t>in Part I, Item 1 of this Quarterly Report on Form 10-Q, any associated expenses incurred are included within the related accrued litigation expense amounts. No additional liability associated with such indemnification agreements has been recorded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12520"/>
                <wp:effectExtent l="0" t="0" r="0" b="0"/>
                <wp:wrapNone/>
                <wp:docPr id="111" name="Frame3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0" descr=""/>
                                                <pic:cNvPicPr>
                                                  <a:picLocks noChangeAspect="1" noChangeArrowheads="1"/>
                                                </pic:cNvPicPr>
                                              </pic:nvPicPr>
                                              <pic:blipFill>
                                                <a:blip r:embed="rId76"/>
                                                <a:stretch>
                                                  <a:fillRect/>
                                                </a:stretch>
                                              </pic:blipFill>
                                              <pic:spPr bwMode="auto">
                                                <a:xfrm>
                                                  <a:off x="0" y="0"/>
                                                  <a:ext cx="457200" cy="95250"/>
                                                </a:xfrm>
                                                <a:prstGeom prst="rect">
                                                  <a:avLst/>
                                                </a:prstGeom>
                                              </pic:spPr>
                                            </pic:pic>
                                          </a:graphicData>
                                        </a:graphic>
                                      </wp:inline>
                                    </w:drawing>
                                  </w:r>
                                  <w:bookmarkStart w:id="75" w:name="i-40"/>
                                  <w:bookmarkEnd w:id="7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0" descr=""/>
                                          <pic:cNvPicPr>
                                            <a:picLocks noChangeAspect="1" noChangeArrowheads="1"/>
                                          </pic:cNvPicPr>
                                        </pic:nvPicPr>
                                        <pic:blipFill>
                                          <a:blip r:embed="rId77"/>
                                          <a:stretch>
                                            <a:fillRect/>
                                          </a:stretch>
                                        </pic:blipFill>
                                        <pic:spPr bwMode="auto">
                                          <a:xfrm>
                                            <a:off x="0" y="0"/>
                                            <a:ext cx="457200" cy="95250"/>
                                          </a:xfrm>
                                          <a:prstGeom prst="rect">
                                            <a:avLst/>
                                          </a:prstGeom>
                                        </pic:spPr>
                                      </pic:pic>
                                    </a:graphicData>
                                  </a:graphic>
                                </wp:inline>
                              </w:drawing>
                            </w:r>
                            <w:bookmarkStart w:id="76" w:name="i-40"/>
                            <w:bookmarkEnd w:id="7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 xml:space="preserve">ITEM 3. QUANTITATIVE AND QUALITATIVE DISCLOSURES ABOUT MARKET RISK </w:t>
            </w:r>
          </w:p>
        </w:tc>
      </w:tr>
    </w:tbl>
    <w:tbl>
      <w:tblPr>
        <w:tblW w:w="3959" w:type="dxa"/>
        <w:jc w:val="left"/>
        <w:tblInd w:w="0" w:type="dxa"/>
        <w:tblLayout w:type="fixed"/>
        <w:tblCellMar>
          <w:top w:w="28" w:type="dxa"/>
          <w:left w:w="28" w:type="dxa"/>
          <w:bottom w:w="28" w:type="dxa"/>
          <w:right w:w="28" w:type="dxa"/>
        </w:tblCellMar>
      </w:tblPr>
      <w:tblGrid>
        <w:gridCol w:w="1268"/>
        <w:gridCol w:w="1112"/>
        <w:gridCol w:w="1579"/>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shd w:fill="FFFFFF" w:val="clear"/>
              </w:rPr>
            </w:pPr>
            <w:r>
              <w:rPr>
                <w:rFonts w:ascii="Roboto;sans-serif" w:hAnsi="Roboto;sans-serif"/>
                <w:b/>
                <w:color w:val="DF1995"/>
                <w:sz w:val="22"/>
                <w:shd w:fill="FFFFFF" w:val="clear"/>
              </w:rPr>
              <w:t>Interest Rate and Market Risk</w:t>
            </w:r>
          </w:p>
        </w:tc>
      </w:tr>
    </w:tbl>
    <w:p>
      <w:pPr>
        <w:pStyle w:val="TextBody"/>
        <w:bidi w:val="0"/>
        <w:spacing w:lineRule="auto" w:line="288" w:before="120" w:after="283"/>
        <w:jc w:val="both"/>
        <w:rPr/>
      </w:pPr>
      <w:r>
        <w:rPr>
          <w:rFonts w:ascii="Roboto;sans-serif" w:hAnsi="Roboto;sans-serif"/>
          <w:b w:val="false"/>
          <w:color w:val="000000"/>
          <w:sz w:val="20"/>
        </w:rPr>
        <w:t xml:space="preserve">The 2030 Notes and 2029 Notes have fixed annual interest rates of 1.375% and 1.50%, respectively, and accordingly we do not have any economic interest rate exposure or financial statement risk associated with changes in interest rates. The fair value of the notes, however, may fluctuate when interest rates and the market price of our stock changes. See </w:t>
      </w:r>
      <w:hyperlink w:anchor="i8ceeb5c9aa84416fb9d34124a1b6c447_43">
        <w:r>
          <w:rPr>
            <w:rStyle w:val="InternetLink"/>
          </w:rPr>
          <w:t xml:space="preserve">Note </w:t>
        </w:r>
      </w:hyperlink>
      <w:hyperlink w:anchor="i8ceeb5c9aa84416fb9d34124a1b6c447_43">
        <w:r>
          <w:rPr>
            <w:rStyle w:val="InternetLink"/>
          </w:rPr>
          <w:t>4</w:t>
        </w:r>
      </w:hyperlink>
      <w:hyperlink w:anchor="i8ceeb5c9aa84416fb9d34124a1b6c447_43">
        <w:r>
          <w:rPr>
            <w:rStyle w:val="InternetLink"/>
          </w:rPr>
          <w:t>.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three months ended March 31, 2025, we invested in cash equivalents, U.S. government and agency securities, and corporate debt securities which were designated as cash equivalents and available-for-sale investments. Our cash equivalents and available-for-sale securities as of March 31, 2025 was $343.1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March 31, 2025 would have affected the fair value of our investment portfolio by approximately $1.8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other material changes in market risk from the information provided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10" w:type="dxa"/>
        <w:jc w:val="left"/>
        <w:tblInd w:w="0" w:type="dxa"/>
        <w:tblLayout w:type="fixed"/>
        <w:tblCellMar>
          <w:top w:w="28" w:type="dxa"/>
          <w:left w:w="28" w:type="dxa"/>
          <w:bottom w:w="28" w:type="dxa"/>
          <w:right w:w="28" w:type="dxa"/>
        </w:tblCellMar>
      </w:tblPr>
      <w:tblGrid>
        <w:gridCol w:w="1699"/>
        <w:gridCol w:w="1494"/>
        <w:gridCol w:w="2117"/>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4. CONTROLS AND PROCEDURES</w:t>
            </w:r>
          </w:p>
        </w:tc>
      </w:tr>
    </w:tbl>
    <w:tbl>
      <w:tblPr>
        <w:tblW w:w="4649" w:type="dxa"/>
        <w:jc w:val="left"/>
        <w:tblInd w:w="0" w:type="dxa"/>
        <w:tblLayout w:type="fixed"/>
        <w:tblCellMar>
          <w:top w:w="28" w:type="dxa"/>
          <w:left w:w="28" w:type="dxa"/>
          <w:bottom w:w="28" w:type="dxa"/>
          <w:right w:w="28" w:type="dxa"/>
        </w:tblCellMar>
      </w:tblPr>
      <w:tblGrid>
        <w:gridCol w:w="1487"/>
        <w:gridCol w:w="1309"/>
        <w:gridCol w:w="1853"/>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shd w:fill="FFFFFF" w:val="clear"/>
              </w:rPr>
            </w:pPr>
            <w:r>
              <w:rPr>
                <w:rFonts w:ascii="Roboto;sans-serif" w:hAnsi="Roboto;sans-serif"/>
                <w:b/>
                <w:color w:val="DF1995"/>
                <w:sz w:val="22"/>
                <w:shd w:fill="FFFFFF" w:val="clear"/>
              </w:rPr>
              <w:t>Disclosure Controls and Procedures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w:t>
      </w:r>
    </w:p>
    <w:tbl>
      <w:tblPr>
        <w:tblW w:w="6870" w:type="dxa"/>
        <w:jc w:val="left"/>
        <w:tblInd w:w="0" w:type="dxa"/>
        <w:tblLayout w:type="fixed"/>
        <w:tblCellMar>
          <w:top w:w="28" w:type="dxa"/>
          <w:left w:w="28" w:type="dxa"/>
          <w:bottom w:w="28" w:type="dxa"/>
          <w:right w:w="28" w:type="dxa"/>
        </w:tblCellMar>
      </w:tblPr>
      <w:tblGrid>
        <w:gridCol w:w="2197"/>
        <w:gridCol w:w="1932"/>
        <w:gridCol w:w="2741"/>
      </w:tblGrid>
      <w:tr>
        <w:trPr/>
        <w:tc>
          <w:tcPr>
            <w:tcW w:w="219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shd w:fill="FFFFFF" w:val="clear"/>
              </w:rPr>
            </w:pPr>
            <w:r>
              <w:rPr>
                <w:rFonts w:ascii="Roboto;sans-serif" w:hAnsi="Roboto;sans-serif"/>
                <w:b/>
                <w:color w:val="DF1995"/>
                <w:sz w:val="22"/>
                <w:shd w:fill="FFFFFF" w:val="clear"/>
              </w:rPr>
              <w:t>Changes in Internal Control Over Financial Reporting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quarter ended March 31, 2025 that materially affected, or is reasonably likely to materially affect, our internal control over financial reporting. There were no material changes in our internal control over financial reporting during the quarter ended March 31, 2025, that have materially affected, or were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12520"/>
                <wp:effectExtent l="0" t="0" r="0" b="0"/>
                <wp:wrapNone/>
                <wp:docPr id="114" name="Frame3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78"/>
                                                <a:stretch>
                                                  <a:fillRect/>
                                                </a:stretch>
                                              </pic:blipFill>
                                              <pic:spPr bwMode="auto">
                                                <a:xfrm>
                                                  <a:off x="0" y="0"/>
                                                  <a:ext cx="457200" cy="95250"/>
                                                </a:xfrm>
                                                <a:prstGeom prst="rect">
                                                  <a:avLst/>
                                                </a:prstGeom>
                                              </pic:spPr>
                                            </pic:pic>
                                          </a:graphicData>
                                        </a:graphic>
                                      </wp:inline>
                                    </w:drawing>
                                  </w:r>
                                  <w:bookmarkStart w:id="77" w:name="i-41"/>
                                  <w:bookmarkEnd w:id="7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1" descr=""/>
                                          <pic:cNvPicPr>
                                            <a:picLocks noChangeAspect="1" noChangeArrowheads="1"/>
                                          </pic:cNvPicPr>
                                        </pic:nvPicPr>
                                        <pic:blipFill>
                                          <a:blip r:embed="rId79"/>
                                          <a:stretch>
                                            <a:fillRect/>
                                          </a:stretch>
                                        </pic:blipFill>
                                        <pic:spPr bwMode="auto">
                                          <a:xfrm>
                                            <a:off x="0" y="0"/>
                                            <a:ext cx="457200" cy="95250"/>
                                          </a:xfrm>
                                          <a:prstGeom prst="rect">
                                            <a:avLst/>
                                          </a:prstGeom>
                                        </pic:spPr>
                                      </pic:pic>
                                    </a:graphicData>
                                  </a:graphic>
                                </wp:inline>
                              </w:drawing>
                            </w:r>
                            <w:bookmarkStart w:id="78" w:name="i-41"/>
                            <w:bookmarkEnd w:id="7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24" w:type="dxa"/>
        <w:jc w:val="left"/>
        <w:tblInd w:w="0" w:type="dxa"/>
        <w:tblLayout w:type="fixed"/>
        <w:tblCellMar>
          <w:top w:w="28" w:type="dxa"/>
          <w:left w:w="28" w:type="dxa"/>
          <w:bottom w:w="28" w:type="dxa"/>
          <w:right w:w="28" w:type="dxa"/>
        </w:tblCellMar>
      </w:tblPr>
      <w:tblGrid>
        <w:gridCol w:w="1321"/>
        <w:gridCol w:w="1160"/>
        <w:gridCol w:w="1643"/>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4"/>
              </w:rPr>
            </w:pPr>
            <w:r>
              <w:rPr>
                <w:rFonts w:ascii="Roboto;sans-serif" w:hAnsi="Roboto;sans-serif"/>
                <w:b/>
                <w:color w:val="DF1995"/>
                <w:sz w:val="24"/>
              </w:rPr>
              <w:t>ITEM 1. LEGAL PROCEEDINGS</w:t>
            </w:r>
          </w:p>
        </w:tc>
      </w:tr>
    </w:tbl>
    <w:tbl>
      <w:tblPr>
        <w:tblW w:w="4080" w:type="dxa"/>
        <w:jc w:val="left"/>
        <w:tblInd w:w="0" w:type="dxa"/>
        <w:tblLayout w:type="fixed"/>
        <w:tblCellMar>
          <w:top w:w="28" w:type="dxa"/>
          <w:left w:w="28" w:type="dxa"/>
          <w:bottom w:w="28" w:type="dxa"/>
          <w:right w:w="28" w:type="dxa"/>
        </w:tblCellMar>
      </w:tblPr>
      <w:tblGrid>
        <w:gridCol w:w="1307"/>
        <w:gridCol w:w="1149"/>
        <w:gridCol w:w="1624"/>
      </w:tblGrid>
      <w:tr>
        <w:trPr/>
        <w:tc>
          <w:tcPr>
            <w:tcW w:w="13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 District Court Proceedings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 We plan to vigorously defend against the remaining claims.</w:t>
      </w:r>
    </w:p>
    <w:p>
      <w:pPr>
        <w:pStyle w:val="TextBody"/>
        <w:bidi w:val="0"/>
        <w:spacing w:lineRule="auto" w:line="288" w:before="120" w:after="283"/>
        <w:jc w:val="both"/>
        <w:rPr/>
      </w:pPr>
      <w:r>
        <w:rPr>
          <w:rFonts w:ascii="Roboto;sans-serif" w:hAnsi="Roboto;sans-serif"/>
          <w:b w:val="false"/>
          <w:color w:val="000000"/>
          <w:sz w:val="20"/>
        </w:rPr>
        <w:t xml:space="preserve">On December 14, 2022, Take2 Technologies, Ltd. ("Take2") and the Chinese University of Hong Kong (“CUHK”) filed a complaint in the U.S. District Court for Delaware against us alleging infringement of U.S. Patent No. 11,091,794 (the “’794 Patent”) (C.A. No. 22- cv-01595) (the "Take2 District Court matter").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which was denied on March 25, 2024. We also filed a motion to transfer the case from the District of Delaware to the Northern District of California which was granted on August 2, 2023. The case was transferred on August 16, 2023 (C.A. No. 5:23-cv-04166).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issued orders on November 6 and December 4 of 2023 partially granting the motion. While some members of the in-house legal department were disqualified, General Counsel for PacBio was not disqualified and continues to represent PacBio in the Take2 District Court matter. We filed a petition for inter partes review at the Board (IPR2024-00028) challenging the validity of all claims of the ’794 patent on October 17, 2023. The CUHK filed a preliminary response to the petition on January 26, 2024. On April 22, 2024, we filed our answer to the complaint, denying infringement and seeking declaratory judgments of non-infringement and invalidity of the ‘794 Patent. On April 24, 2024, the Board granted institution of IPR2024-00028 on the validity of all claims of the ’794 patent. On May 2, 2024, the parties filed a joint stipulation and proposed order to stay the Take2 District Court matter pending inter partes review. On May 3, 2024, the Court granted the motion to stay. </w:t>
      </w:r>
      <w:r>
        <w:rPr>
          <w:rFonts w:ascii="Roboto;sans-serif" w:hAnsi="Roboto;sans-serif"/>
          <w:b w:val="false"/>
          <w:color w:val="000000"/>
          <w:sz w:val="20"/>
          <w:shd w:fill="FFFFFF" w:val="clear"/>
        </w:rPr>
        <w:t xml:space="preserve">Briefing is complete in IPR2024-00028 and an oral hearing took place on January 23, 2025. On March 7, 2025, we entered into a purchase agreement with CUHK to purchase the ‘794 patent. In connection with our purchase of the ‘794 Patent, each of Take2 and CUHK, on the one hand, and PacBio, on the other hand, agreed to waive and seek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12520"/>
                <wp:effectExtent l="0" t="0" r="0" b="0"/>
                <wp:wrapNone/>
                <wp:docPr id="117" name="Frame3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2" descr=""/>
                                                <pic:cNvPicPr>
                                                  <a:picLocks noChangeAspect="1" noChangeArrowheads="1"/>
                                                </pic:cNvPicPr>
                                              </pic:nvPicPr>
                                              <pic:blipFill>
                                                <a:blip r:embed="rId80"/>
                                                <a:stretch>
                                                  <a:fillRect/>
                                                </a:stretch>
                                              </pic:blipFill>
                                              <pic:spPr bwMode="auto">
                                                <a:xfrm>
                                                  <a:off x="0" y="0"/>
                                                  <a:ext cx="457200" cy="95250"/>
                                                </a:xfrm>
                                                <a:prstGeom prst="rect">
                                                  <a:avLst/>
                                                </a:prstGeom>
                                              </pic:spPr>
                                            </pic:pic>
                                          </a:graphicData>
                                        </a:graphic>
                                      </wp:inline>
                                    </w:drawing>
                                  </w:r>
                                  <w:bookmarkStart w:id="79" w:name="i-42"/>
                                  <w:bookmarkEnd w:id="7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2" descr=""/>
                                          <pic:cNvPicPr>
                                            <a:picLocks noChangeAspect="1" noChangeArrowheads="1"/>
                                          </pic:cNvPicPr>
                                        </pic:nvPicPr>
                                        <pic:blipFill>
                                          <a:blip r:embed="rId81"/>
                                          <a:stretch>
                                            <a:fillRect/>
                                          </a:stretch>
                                        </pic:blipFill>
                                        <pic:spPr bwMode="auto">
                                          <a:xfrm>
                                            <a:off x="0" y="0"/>
                                            <a:ext cx="457200" cy="95250"/>
                                          </a:xfrm>
                                          <a:prstGeom prst="rect">
                                            <a:avLst/>
                                          </a:prstGeom>
                                        </pic:spPr>
                                      </pic:pic>
                                    </a:graphicData>
                                  </a:graphic>
                                </wp:inline>
                              </w:drawing>
                            </w:r>
                            <w:bookmarkStart w:id="80" w:name="i-42"/>
                            <w:bookmarkEnd w:id="8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discharge of all outstanding litigation claims and patent-related challenges, including with respect to the Take2 District Court matter and IPR2024-00028. The agreement to discharge the litigation claims and the patent challenge has been granted by the Northern District of California and the Board, respectively.</w:t>
      </w:r>
    </w:p>
    <w:tbl>
      <w:tblPr>
        <w:tblW w:w="2834" w:type="dxa"/>
        <w:jc w:val="left"/>
        <w:tblInd w:w="0" w:type="dxa"/>
        <w:tblLayout w:type="fixed"/>
        <w:tblCellMar>
          <w:top w:w="28" w:type="dxa"/>
          <w:left w:w="28" w:type="dxa"/>
          <w:bottom w:w="28" w:type="dxa"/>
          <w:right w:w="28" w:type="dxa"/>
        </w:tblCellMar>
      </w:tblPr>
      <w:tblGrid>
        <w:gridCol w:w="908"/>
        <w:gridCol w:w="798"/>
        <w:gridCol w:w="1128"/>
      </w:tblGrid>
      <w:tr>
        <w:trPr/>
        <w:tc>
          <w:tcPr>
            <w:tcW w:w="9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Proceedings in China</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tbl>
      <w:tblPr>
        <w:tblW w:w="2519" w:type="dxa"/>
        <w:jc w:val="left"/>
        <w:tblInd w:w="0" w:type="dxa"/>
        <w:tblLayout w:type="fixed"/>
        <w:tblCellMar>
          <w:top w:w="28" w:type="dxa"/>
          <w:left w:w="28" w:type="dxa"/>
          <w:bottom w:w="28" w:type="dxa"/>
          <w:right w:w="28" w:type="dxa"/>
        </w:tblCellMar>
      </w:tblPr>
      <w:tblGrid>
        <w:gridCol w:w="807"/>
        <w:gridCol w:w="709"/>
        <w:gridCol w:w="1003"/>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shd w:fill="FFFFFF" w:val="clear"/>
              </w:rPr>
            </w:pPr>
            <w:r>
              <w:rPr>
                <w:rFonts w:ascii="Roboto;sans-serif" w:hAnsi="Roboto;sans-serif"/>
                <w:b/>
                <w:color w:val="DF1995"/>
                <w:sz w:val="22"/>
                <w:shd w:fill="FFFFFF" w:val="clear"/>
              </w:rPr>
              <w:t>Other Proceedings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12520"/>
                <wp:effectExtent l="0" t="0" r="0" b="0"/>
                <wp:wrapNone/>
                <wp:docPr id="120" name="Frame4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3" descr=""/>
                                                <pic:cNvPicPr>
                                                  <a:picLocks noChangeAspect="1" noChangeArrowheads="1"/>
                                                </pic:cNvPicPr>
                                              </pic:nvPicPr>
                                              <pic:blipFill>
                                                <a:blip r:embed="rId82"/>
                                                <a:stretch>
                                                  <a:fillRect/>
                                                </a:stretch>
                                              </pic:blipFill>
                                              <pic:spPr bwMode="auto">
                                                <a:xfrm>
                                                  <a:off x="0" y="0"/>
                                                  <a:ext cx="457200" cy="95250"/>
                                                </a:xfrm>
                                                <a:prstGeom prst="rect">
                                                  <a:avLst/>
                                                </a:prstGeom>
                                              </pic:spPr>
                                            </pic:pic>
                                          </a:graphicData>
                                        </a:graphic>
                                      </wp:inline>
                                    </w:drawing>
                                  </w:r>
                                  <w:bookmarkStart w:id="81" w:name="i-43"/>
                                  <w:bookmarkEnd w:id="8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3" descr=""/>
                                          <pic:cNvPicPr>
                                            <a:picLocks noChangeAspect="1" noChangeArrowheads="1"/>
                                          </pic:cNvPicPr>
                                        </pic:nvPicPr>
                                        <pic:blipFill>
                                          <a:blip r:embed="rId83"/>
                                          <a:stretch>
                                            <a:fillRect/>
                                          </a:stretch>
                                        </pic:blipFill>
                                        <pic:spPr bwMode="auto">
                                          <a:xfrm>
                                            <a:off x="0" y="0"/>
                                            <a:ext cx="457200" cy="95250"/>
                                          </a:xfrm>
                                          <a:prstGeom prst="rect">
                                            <a:avLst/>
                                          </a:prstGeom>
                                        </pic:spPr>
                                      </pic:pic>
                                    </a:graphicData>
                                  </a:graphic>
                                </wp:inline>
                              </w:drawing>
                            </w:r>
                            <w:bookmarkStart w:id="82" w:name="i-43"/>
                            <w:bookmarkEnd w:id="8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3420" w:type="dxa"/>
        <w:jc w:val="left"/>
        <w:tblInd w:w="0" w:type="dxa"/>
        <w:tblLayout w:type="fixed"/>
        <w:tblCellMar>
          <w:top w:w="28" w:type="dxa"/>
          <w:left w:w="28" w:type="dxa"/>
          <w:bottom w:w="28" w:type="dxa"/>
          <w:right w:w="28" w:type="dxa"/>
        </w:tblCellMar>
      </w:tblPr>
      <w:tblGrid>
        <w:gridCol w:w="1093"/>
        <w:gridCol w:w="962"/>
        <w:gridCol w:w="1365"/>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1A. RISK FACTORS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tbl>
      <w:tblPr>
        <w:tblW w:w="3000" w:type="dxa"/>
        <w:jc w:val="left"/>
        <w:tblInd w:w="0" w:type="dxa"/>
        <w:tblLayout w:type="fixed"/>
        <w:tblCellMar>
          <w:top w:w="28" w:type="dxa"/>
          <w:left w:w="28" w:type="dxa"/>
          <w:bottom w:w="28" w:type="dxa"/>
          <w:right w:w="28" w:type="dxa"/>
        </w:tblCellMar>
      </w:tblPr>
      <w:tblGrid>
        <w:gridCol w:w="960"/>
        <w:gridCol w:w="843"/>
        <w:gridCol w:w="119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Summary Risk Factors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market, commercialize, and sell current and future products and related maintenance services;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profitability for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implement required expense reduction initiatives;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repay our debt and fund our long-term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leverage and integrate our acquisitions and future acquisitions;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research, develop and timely manufacture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management of new product introductions and transitions, resultant costs, and ability of new products to generate promised performance;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recent significant changes to our leadership team and resultant disruptions to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retention, recruitment, and training of senior management, key personnel, scientists and engineers;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further penetrate nucleic acid sequencing applications, as well as grow product demand;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outsourcing to other companies for manufacturing certain components and sub-assemblies, some of which are sole-sourced;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consistently manufacture our instruments and consumables to meet customers’ specifications, quantity, cost, or performance requirements;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high amount of competition we face in our industry;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customers and increase sales of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a limited number of customers for a significant portion of our revenues, including academic, research and government institutions, which may be impacted by reductions in funding or targeted cancellations of certain grants or contracts by the U.S. federal government;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complexity of our products giving rise to defects or errors;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unpredictable and lengthy sales cycles;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possibility that our goodwill or intangible assets could become impaired;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political and economic tensions between the United States and other countries, including China and Russia, and other geopolitical uncertainties;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securing and maintaining patent or other intellectual property protection for our products and related improvements;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current and future legal proceedings filed against us claiming intellectual property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12520"/>
                <wp:effectExtent l="0" t="0" r="0" b="0"/>
                <wp:wrapNone/>
                <wp:docPr id="123" name="Frame4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84"/>
                                                <a:stretch>
                                                  <a:fillRect/>
                                                </a:stretch>
                                              </pic:blipFill>
                                              <pic:spPr bwMode="auto">
                                                <a:xfrm>
                                                  <a:off x="0" y="0"/>
                                                  <a:ext cx="457200" cy="95250"/>
                                                </a:xfrm>
                                                <a:prstGeom prst="rect">
                                                  <a:avLst/>
                                                </a:prstGeom>
                                              </pic:spPr>
                                            </pic:pic>
                                          </a:graphicData>
                                        </a:graphic>
                                      </wp:inline>
                                    </w:drawing>
                                  </w:r>
                                  <w:bookmarkStart w:id="83" w:name="i-44"/>
                                  <w:bookmarkEnd w:id="8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4" descr=""/>
                                          <pic:cNvPicPr>
                                            <a:picLocks noChangeAspect="1" noChangeArrowheads="1"/>
                                          </pic:cNvPicPr>
                                        </pic:nvPicPr>
                                        <pic:blipFill>
                                          <a:blip r:embed="rId85"/>
                                          <a:stretch>
                                            <a:fillRect/>
                                          </a:stretch>
                                        </pic:blipFill>
                                        <pic:spPr bwMode="auto">
                                          <a:xfrm>
                                            <a:off x="0" y="0"/>
                                            <a:ext cx="457200" cy="95250"/>
                                          </a:xfrm>
                                          <a:prstGeom prst="rect">
                                            <a:avLst/>
                                          </a:prstGeom>
                                        </pic:spPr>
                                      </pic:pic>
                                    </a:graphicData>
                                  </a:graphic>
                                </wp:inline>
                              </w:drawing>
                            </w:r>
                            <w:bookmarkStart w:id="84" w:name="i-44"/>
                            <w:bookmarkEnd w:id="8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adverse impact of health epidemics;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cybersecurity incidents and security breaches;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governmental regulations that burden operations or narrow the market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enhanced trade tariffs, import restrictions, export restrictions, or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evolving ethical, legal, privacy, social, and regulatory concerns regarding genetic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volatility of the price of our common stock;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stock price falling as a result of future offerings or sales of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tbl>
      <w:tblPr>
        <w:tblW w:w="3960" w:type="dxa"/>
        <w:jc w:val="left"/>
        <w:tblInd w:w="0" w:type="dxa"/>
        <w:tblLayout w:type="fixed"/>
        <w:tblCellMar>
          <w:top w:w="28" w:type="dxa"/>
          <w:left w:w="28" w:type="dxa"/>
          <w:bottom w:w="28" w:type="dxa"/>
          <w:right w:w="28" w:type="dxa"/>
        </w:tblCellMar>
      </w:tblPr>
      <w:tblGrid>
        <w:gridCol w:w="1267"/>
        <w:gridCol w:w="1113"/>
        <w:gridCol w:w="1580"/>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Risks Related to Our Business</w:t>
            </w:r>
          </w:p>
        </w:tc>
      </w:tr>
    </w:tbl>
    <w:p>
      <w:pPr>
        <w:pStyle w:val="TextBody"/>
        <w:bidi w:val="0"/>
        <w:spacing w:lineRule="auto" w:line="288" w:before="120" w:after="283"/>
        <w:jc w:val="both"/>
        <w:rPr>
          <w:rFonts w:ascii="Roboto;sans-serif" w:hAnsi="Roboto;sans-serif"/>
          <w:b/>
          <w:i/>
          <w:color w:val="DF1995"/>
          <w:sz w:val="20"/>
        </w:rPr>
      </w:pPr>
      <w:bookmarkStart w:id="85" w:name="i8f6c895010734eacbbfa7762111ecdf4_193035"/>
      <w:bookmarkEnd w:id="85"/>
      <w:r>
        <w:rPr>
          <w:rFonts w:ascii="Roboto;sans-serif" w:hAnsi="Roboto;sans-serif"/>
          <w:b/>
          <w:i/>
          <w:color w:val="DF1995"/>
          <w:sz w:val="20"/>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commenced commercial shipments of Revio, our new long-read sequencing system in the first quarter of 2023, and commenced commercial shipments of Onso, our SBB short-read platform, in the third quarter of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timeliness of our new product introductions and the rate at which sales of our new products may cannibalize sales of our existing products or manage sales and marketing of multiple sequencing platforms;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drive adoption of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our competitive position by continuing to attract and retain customers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appropriate levels of customer training and support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implement an effective marketing strategy to promote awareness of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and implement an effective sales and distribution strategy for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manufacture and commercialize new products or achieve an acceptable return on our manufacturing or research and development efforts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comply with regulatory requirements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anticipate and adapt to changes in our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early access systems to our external early access testing sites or complete our external early access testing program on our currently expected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12520"/>
                <wp:effectExtent l="0" t="0" r="0" b="0"/>
                <wp:wrapNone/>
                <wp:docPr id="126" name="Frame4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5" descr=""/>
                                                <pic:cNvPicPr>
                                                  <a:picLocks noChangeAspect="1" noChangeArrowheads="1"/>
                                                </pic:cNvPicPr>
                                              </pic:nvPicPr>
                                              <pic:blipFill>
                                                <a:blip r:embed="rId86"/>
                                                <a:stretch>
                                                  <a:fillRect/>
                                                </a:stretch>
                                              </pic:blipFill>
                                              <pic:spPr bwMode="auto">
                                                <a:xfrm>
                                                  <a:off x="0" y="0"/>
                                                  <a:ext cx="457200" cy="95250"/>
                                                </a:xfrm>
                                                <a:prstGeom prst="rect">
                                                  <a:avLst/>
                                                </a:prstGeom>
                                              </pic:spPr>
                                            </pic:pic>
                                          </a:graphicData>
                                        </a:graphic>
                                      </wp:inline>
                                    </w:drawing>
                                  </w:r>
                                  <w:bookmarkStart w:id="86" w:name="i-45"/>
                                  <w:bookmarkEnd w:id="8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5" descr=""/>
                                          <pic:cNvPicPr>
                                            <a:picLocks noChangeAspect="1" noChangeArrowheads="1"/>
                                          </pic:cNvPicPr>
                                        </pic:nvPicPr>
                                        <pic:blipFill>
                                          <a:blip r:embed="rId87"/>
                                          <a:stretch>
                                            <a:fillRect/>
                                          </a:stretch>
                                        </pic:blipFill>
                                        <pic:spPr bwMode="auto">
                                          <a:xfrm>
                                            <a:off x="0" y="0"/>
                                            <a:ext cx="457200" cy="95250"/>
                                          </a:xfrm>
                                          <a:prstGeom prst="rect">
                                            <a:avLst/>
                                          </a:prstGeom>
                                        </pic:spPr>
                                      </pic:pic>
                                    </a:graphicData>
                                  </a:graphic>
                                </wp:inline>
                              </w:drawing>
                            </w:r>
                            <w:bookmarkStart w:id="87" w:name="i-45"/>
                            <w:bookmarkEnd w:id="8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overcome unexpected challenges discovered during early access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complete the scientific and technical validation of new products on our currently expected timeline or at all;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future products in a timely manner to our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grow our market share by marketing and selling our products for new and additional applications;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adapt or scale our manufacturing activities to meet performance specifications and potential demand at a reasonable cost;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avoid infringement and misappropriation of third-party intellectual property;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and maintain any necessary licenses to third-party intellectual property on commercially reasonable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valid and enforceable patents that give us a competitive advantage or enforce existing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protect our proprietary technology;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attract, retain, and motivate qualified personnel.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lineRule="auto" w:line="288" w:before="120" w:after="283"/>
        <w:jc w:val="both"/>
        <w:rPr/>
      </w:pPr>
      <w:r>
        <w:rPr>
          <w:rFonts w:ascii="Roboto;sans-serif" w:hAnsi="Roboto;sans-serif"/>
          <w:b w:val="false"/>
          <w:color w:val="000000"/>
          <w:sz w:val="20"/>
        </w:rPr>
        <w:t xml:space="preserve">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unexpected adverse business conditions, weak demand for a specific product line or business, economic factors, shifting focus to certain lines of business, unanticipated technological changes or competitive activities, loss of key personnel, changes in business strategy, and acts by governments or courts. The occurrence of any of these events, may require us to record future impairment charges. For example, we recorded $184.5 million of impairment charges during the year ended December 31, 2024 as described in additional detail in Note 4. </w:t>
      </w:r>
      <w:r>
        <w:rPr>
          <w:rFonts w:ascii="Roboto;sans-serif" w:hAnsi="Roboto;sans-serif"/>
          <w:b w:val="false"/>
          <w:i/>
          <w:color w:val="000000"/>
          <w:sz w:val="20"/>
        </w:rPr>
        <w:t>Balance Sheet Components</w:t>
      </w:r>
      <w:r>
        <w:rPr>
          <w:color w:val="000000"/>
        </w:rPr>
        <w:t xml:space="preserve"> </w:t>
      </w:r>
      <w:r>
        <w:rPr>
          <w:rFonts w:ascii="Roboto;sans-serif" w:hAnsi="Roboto;sans-serif"/>
          <w:b w:val="false"/>
          <w:color w:val="000000"/>
          <w:sz w:val="20"/>
        </w:rPr>
        <w:t xml:space="preserve">in Part II, Item 8 of our 2024 Annual Report, </w:t>
      </w:r>
      <w:r>
        <w:rPr>
          <w:rFonts w:ascii="Arial;sans-serif" w:hAnsi="Arial;sans-serif"/>
          <w:b w:val="false"/>
          <w:color w:val="000000"/>
          <w:sz w:val="20"/>
        </w:rPr>
        <w:t xml:space="preserve">and </w:t>
      </w:r>
      <w:r>
        <w:rPr>
          <w:rFonts w:ascii="Roboto;sans-serif" w:hAnsi="Roboto;sans-serif"/>
          <w:b w:val="false"/>
          <w:color w:val="000000"/>
          <w:sz w:val="20"/>
        </w:rPr>
        <w:t xml:space="preserve">$15.0 million of impairment charges during the three months ended March 31, 2025, as described in additional detail in </w:t>
      </w:r>
      <w:hyperlink w:anchor="i8ceeb5c9aa84416fb9d34124a1b6c447_40">
        <w:r>
          <w:rPr>
            <w:rStyle w:val="InternetLink"/>
          </w:rPr>
          <w:t xml:space="preserve">Note </w:t>
        </w:r>
      </w:hyperlink>
      <w:hyperlink w:anchor="i8ceeb5c9aa84416fb9d34124a1b6c447_40">
        <w:r>
          <w:rPr>
            <w:rStyle w:val="InternetLink"/>
          </w:rPr>
          <w:t>3</w:t>
        </w:r>
      </w:hyperlink>
      <w:hyperlink w:anchor="i8ceeb5c9aa84416fb9d34124a1b6c447_40">
        <w:r>
          <w:rPr>
            <w:rStyle w:val="InternetLink"/>
          </w:rPr>
          <w:t>. Balance Sheet Components</w:t>
        </w:r>
      </w:hyperlink>
      <w:r>
        <w:rPr>
          <w:color w:val="000000"/>
        </w:rPr>
        <w:t xml:space="preserve"> </w:t>
      </w:r>
      <w:r>
        <w:rPr>
          <w:rFonts w:ascii="Roboto;sans-serif" w:hAnsi="Roboto;sans-serif"/>
          <w:b w:val="false"/>
          <w:color w:val="000000"/>
          <w:sz w:val="20"/>
        </w:rPr>
        <w:t xml:space="preserve">in Part I, Item 1 of this Quarterly Report on Form 10-Q. Additionally, amortization of acquired intangible assets during the three months ended March 31, 2025 included $359.3 million of accelerated amortization pertaining to the Company's change in estimate of its remaining useful life of the developed technology acquired in connection with the 2021 Omniome acquisition as described in additional detail in </w:t>
      </w:r>
      <w:hyperlink w:anchor="i8ceeb5c9aa84416fb9d34124a1b6c447_49">
        <w:r>
          <w:rPr>
            <w:rStyle w:val="InternetLink"/>
          </w:rPr>
          <w:t xml:space="preserve">Note </w:t>
        </w:r>
      </w:hyperlink>
      <w:hyperlink w:anchor="i8ceeb5c9aa84416fb9d34124a1b6c447_49">
        <w:r>
          <w:rPr>
            <w:rStyle w:val="InternetLink"/>
          </w:rPr>
          <w:t>5</w:t>
        </w:r>
      </w:hyperlink>
      <w:hyperlink w:anchor="i8ceeb5c9aa84416fb9d34124a1b6c447_49">
        <w:r>
          <w:rPr>
            <w:rStyle w:val="InternetLink"/>
          </w:rPr>
          <w:t>. Restructuring</w:t>
        </w:r>
      </w:hyperlink>
      <w:r>
        <w:rPr>
          <w:color w:val="000000"/>
        </w:rPr>
        <w:t xml:space="preserve"> </w:t>
      </w:r>
      <w:r>
        <w:rPr>
          <w:rFonts w:ascii="Roboto;sans-serif" w:hAnsi="Roboto;sans-serif"/>
          <w:b w:val="false"/>
          <w:color w:val="000000"/>
          <w:sz w:val="20"/>
        </w:rPr>
        <w:t>in Part I, Item 1 of this Quarterly Report on Form 10-Q. Any such charges may adversely affect our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incurred losses to date, and we expect to continue to incur significant losses as we develop our business and we may never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further expense reduction plans during the first quarter of 2025, we do not expect to be profitable in 2025, and there can be no assurance that these expense reduction initiatives will be successful in helping us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12520"/>
                <wp:effectExtent l="0" t="0" r="0" b="0"/>
                <wp:wrapNone/>
                <wp:docPr id="129" name="Frame4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6" descr=""/>
                                                <pic:cNvPicPr>
                                                  <a:picLocks noChangeAspect="1" noChangeArrowheads="1"/>
                                                </pic:cNvPicPr>
                                              </pic:nvPicPr>
                                              <pic:blipFill>
                                                <a:blip r:embed="rId88"/>
                                                <a:stretch>
                                                  <a:fillRect/>
                                                </a:stretch>
                                              </pic:blipFill>
                                              <pic:spPr bwMode="auto">
                                                <a:xfrm>
                                                  <a:off x="0" y="0"/>
                                                  <a:ext cx="457200" cy="95250"/>
                                                </a:xfrm>
                                                <a:prstGeom prst="rect">
                                                  <a:avLst/>
                                                </a:prstGeom>
                                              </pic:spPr>
                                            </pic:pic>
                                          </a:graphicData>
                                        </a:graphic>
                                      </wp:inline>
                                    </w:drawing>
                                  </w:r>
                                  <w:bookmarkStart w:id="88" w:name="i-46"/>
                                  <w:bookmarkEnd w:id="8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6" descr=""/>
                                          <pic:cNvPicPr>
                                            <a:picLocks noChangeAspect="1" noChangeArrowheads="1"/>
                                          </pic:cNvPicPr>
                                        </pic:nvPicPr>
                                        <pic:blipFill>
                                          <a:blip r:embed="rId89"/>
                                          <a:stretch>
                                            <a:fillRect/>
                                          </a:stretch>
                                        </pic:blipFill>
                                        <pic:spPr bwMode="auto">
                                          <a:xfrm>
                                            <a:off x="0" y="0"/>
                                            <a:ext cx="457200" cy="95250"/>
                                          </a:xfrm>
                                          <a:prstGeom prst="rect">
                                            <a:avLst/>
                                          </a:prstGeom>
                                        </pic:spPr>
                                      </pic:pic>
                                    </a:graphicData>
                                  </a:graphic>
                                </wp:inline>
                              </w:drawing>
                            </w:r>
                            <w:bookmarkStart w:id="89" w:name="i-46"/>
                            <w:bookmarkEnd w:id="8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make it more difficult for us to satisfy our obligations;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our vulnerability to general adverse economic and industry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fund future working capital, capital expenditures, research and development and other business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the volatility of the price of our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flexibility to react to changes in our business and the industry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place us at a disadvantage to other companies that offer nucleic acid sequencing equipment or consumables;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borrow additional funds.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bidi w:val="0"/>
        <w:spacing w:lineRule="auto" w:line="288" w:before="120" w:after="283"/>
        <w:jc w:val="both"/>
        <w:rPr/>
      </w:pPr>
      <w:r>
        <w:rPr>
          <w:rFonts w:ascii="Roboto;sans-serif" w:hAnsi="Roboto;sans-serif"/>
          <w:b w:val="false"/>
          <w:color w:val="000000"/>
          <w:sz w:val="20"/>
        </w:rPr>
        <w:t xml:space="preserve">Any or all of the foregoing may have a material adverse effect on our business, operations, financial condition, and prospects.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For more information on impairment considerations, see “</w:t>
      </w:r>
      <w:r>
        <w:rPr>
          <w:color w:val="000000"/>
        </w:rPr>
        <w:t>—</w:t>
      </w:r>
      <w:hyperlink w:anchor="i8f6c895010734eacbbfa7762111ecdf4_193035">
        <w:r>
          <w:rPr>
            <w:rStyle w:val="InternetLink"/>
          </w:rPr>
          <w:t>The commercialization and sales of our current or future products may be unsuccessful or less successful than anticipated. While we plan to continue pursuing new products and expand</w:t>
        </w:r>
      </w:hyperlink>
      <w:hyperlink w:anchor="i8f6c895010734eacbbfa7762111ecdf4_193035">
        <w:r>
          <w:rPr>
            <w:rStyle w:val="InternetLink"/>
          </w:rPr>
          <w:t>ing</w:t>
        </w:r>
      </w:hyperlink>
      <w:hyperlink w:anchor="i8f6c895010734eacbbfa7762111ecdf4_193035">
        <w:r>
          <w:rPr>
            <w:rStyle w:val="InternetLink"/>
          </w:rPr>
          <w:t xml:space="preserve">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expense reduction initiatives comprise, among other things, workforce reductions, facilities downsizing and a refined pipeline of development activities.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of new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12520"/>
                <wp:effectExtent l="0" t="0" r="0" b="0"/>
                <wp:wrapNone/>
                <wp:docPr id="132" name="Frame4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7" descr=""/>
                                                <pic:cNvPicPr>
                                                  <a:picLocks noChangeAspect="1" noChangeArrowheads="1"/>
                                                </pic:cNvPicPr>
                                              </pic:nvPicPr>
                                              <pic:blipFill>
                                                <a:blip r:embed="rId90"/>
                                                <a:stretch>
                                                  <a:fillRect/>
                                                </a:stretch>
                                              </pic:blipFill>
                                              <pic:spPr bwMode="auto">
                                                <a:xfrm>
                                                  <a:off x="0" y="0"/>
                                                  <a:ext cx="457200" cy="95250"/>
                                                </a:xfrm>
                                                <a:prstGeom prst="rect">
                                                  <a:avLst/>
                                                </a:prstGeom>
                                              </pic:spPr>
                                            </pic:pic>
                                          </a:graphicData>
                                        </a:graphic>
                                      </wp:inline>
                                    </w:drawing>
                                  </w:r>
                                  <w:bookmarkStart w:id="90" w:name="i-47"/>
                                  <w:bookmarkEnd w:id="9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7" descr=""/>
                                          <pic:cNvPicPr>
                                            <a:picLocks noChangeAspect="1" noChangeArrowheads="1"/>
                                          </pic:cNvPicPr>
                                        </pic:nvPicPr>
                                        <pic:blipFill>
                                          <a:blip r:embed="rId91"/>
                                          <a:stretch>
                                            <a:fillRect/>
                                          </a:stretch>
                                        </pic:blipFill>
                                        <pic:spPr bwMode="auto">
                                          <a:xfrm>
                                            <a:off x="0" y="0"/>
                                            <a:ext cx="457200" cy="95250"/>
                                          </a:xfrm>
                                          <a:prstGeom prst="rect">
                                            <a:avLst/>
                                          </a:prstGeom>
                                        </pic:spPr>
                                      </pic:pic>
                                    </a:graphicData>
                                  </a:graphic>
                                </wp:inline>
                              </w:drawing>
                            </w:r>
                            <w:bookmarkStart w:id="91" w:name="i-47"/>
                            <w:bookmarkEnd w:id="9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not cash flow positive and may not have sufficient cash to make required payments under the terms of our debt or fund our long-term planned operations.</w:t>
      </w:r>
    </w:p>
    <w:p>
      <w:pPr>
        <w:pStyle w:val="TextBody"/>
        <w:bidi w:val="0"/>
        <w:spacing w:lineRule="auto" w:line="288" w:before="120" w:after="283"/>
        <w:jc w:val="both"/>
        <w:rPr/>
      </w:pPr>
      <w:r>
        <w:rPr>
          <w:rFonts w:ascii="Roboto;sans-serif" w:hAnsi="Roboto;sans-serif"/>
          <w:b w:val="false"/>
          <w:color w:val="000000"/>
          <w:sz w:val="20"/>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December 31, 2024,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hyperlink w:anchor="i8ceeb5c9aa84416fb9d34124a1b6c447_43">
        <w:r>
          <w:rPr>
            <w:rStyle w:val="InternetLink"/>
          </w:rPr>
          <w:t xml:space="preserve">Note </w:t>
        </w:r>
      </w:hyperlink>
      <w:hyperlink w:anchor="i8ceeb5c9aa84416fb9d34124a1b6c447_43">
        <w:r>
          <w:rPr>
            <w:rStyle w:val="InternetLink"/>
          </w:rPr>
          <w:t>4</w:t>
        </w:r>
      </w:hyperlink>
      <w:hyperlink w:anchor="i8ceeb5c9aa84416fb9d34124a1b6c447_43">
        <w:r>
          <w:rPr>
            <w:rStyle w:val="InternetLink"/>
          </w:rPr>
          <w:t>. Convertible Senior Notes</w:t>
        </w:r>
      </w:hyperlink>
      <w:r>
        <w:rPr>
          <w:color w:val="000000"/>
        </w:rPr>
        <w:t xml:space="preserve"> </w:t>
      </w:r>
      <w:r>
        <w:rPr>
          <w:rFonts w:ascii="Roboto;sans-serif" w:hAnsi="Roboto;sans-serif"/>
          <w:b w:val="false"/>
          <w:color w:val="000000"/>
          <w:sz w:val="20"/>
        </w:rPr>
        <w:t>in Part I, Item 1 of this Quarterly Report on Form 10-Q, we exchanged the remaining approximately $459.0 million in 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or material delay in closing a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12520"/>
                <wp:effectExtent l="0" t="0" r="0" b="0"/>
                <wp:wrapNone/>
                <wp:docPr id="135" name="Frame4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8" descr=""/>
                                                <pic:cNvPicPr>
                                                  <a:picLocks noChangeAspect="1" noChangeArrowheads="1"/>
                                                </pic:cNvPicPr>
                                              </pic:nvPicPr>
                                              <pic:blipFill>
                                                <a:blip r:embed="rId92"/>
                                                <a:stretch>
                                                  <a:fillRect/>
                                                </a:stretch>
                                              </pic:blipFill>
                                              <pic:spPr bwMode="auto">
                                                <a:xfrm>
                                                  <a:off x="0" y="0"/>
                                                  <a:ext cx="457200" cy="95250"/>
                                                </a:xfrm>
                                                <a:prstGeom prst="rect">
                                                  <a:avLst/>
                                                </a:prstGeom>
                                              </pic:spPr>
                                            </pic:pic>
                                          </a:graphicData>
                                        </a:graphic>
                                      </wp:inline>
                                    </w:drawing>
                                  </w:r>
                                  <w:bookmarkStart w:id="92" w:name="i-48"/>
                                  <w:bookmarkEnd w:id="9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8" descr=""/>
                                          <pic:cNvPicPr>
                                            <a:picLocks noChangeAspect="1" noChangeArrowheads="1"/>
                                          </pic:cNvPicPr>
                                        </pic:nvPicPr>
                                        <pic:blipFill>
                                          <a:blip r:embed="rId93"/>
                                          <a:stretch>
                                            <a:fillRect/>
                                          </a:stretch>
                                        </pic:blipFill>
                                        <pic:spPr bwMode="auto">
                                          <a:xfrm>
                                            <a:off x="0" y="0"/>
                                            <a:ext cx="457200" cy="95250"/>
                                          </a:xfrm>
                                          <a:prstGeom prst="rect">
                                            <a:avLst/>
                                          </a:prstGeom>
                                        </pic:spPr>
                                      </pic:pic>
                                    </a:graphicData>
                                  </a:graphic>
                                </wp:inline>
                              </w:drawing>
                            </w:r>
                            <w:bookmarkStart w:id="93" w:name="i-48"/>
                            <w:bookmarkEnd w:id="9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transaction-related lawsuits or claims;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integrating the technologies, operations, existing contracts, and personnel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key employees or business partners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suppliers, partners, or customers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integrating the brand identity of an acquired company with our own;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diversion of financial and management resources from existing operations or alternative acquisition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realize the anticipated benefits or synergies of a transaction;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developing technology post-acquisition;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may enact new laws or promulgate new regulations that are adverse to an acquired company or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do not approve our acquisitions or business combinations or delay such approvals;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theft of our trade secrets or confidential information that we share with potential acquisition candidates or other potential strategic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 that an acquired company or investment in new services cannibalizes a portion of our existing business;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market reaction to an acquisition or other strategic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12520"/>
                <wp:effectExtent l="0" t="0" r="0" b="0"/>
                <wp:wrapNone/>
                <wp:docPr id="138" name="Frame4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9" descr=""/>
                                                <pic:cNvPicPr>
                                                  <a:picLocks noChangeAspect="1" noChangeArrowheads="1"/>
                                                </pic:cNvPicPr>
                                              </pic:nvPicPr>
                                              <pic:blipFill>
                                                <a:blip r:embed="rId94"/>
                                                <a:stretch>
                                                  <a:fillRect/>
                                                </a:stretch>
                                              </pic:blipFill>
                                              <pic:spPr bwMode="auto">
                                                <a:xfrm>
                                                  <a:off x="0" y="0"/>
                                                  <a:ext cx="457200" cy="95250"/>
                                                </a:xfrm>
                                                <a:prstGeom prst="rect">
                                                  <a:avLst/>
                                                </a:prstGeom>
                                              </pic:spPr>
                                            </pic:pic>
                                          </a:graphicData>
                                        </a:graphic>
                                      </wp:inline>
                                    </w:drawing>
                                  </w:r>
                                  <w:bookmarkStart w:id="94" w:name="i-49"/>
                                  <w:bookmarkEnd w:id="9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9" descr=""/>
                                          <pic:cNvPicPr>
                                            <a:picLocks noChangeAspect="1" noChangeArrowheads="1"/>
                                          </pic:cNvPicPr>
                                        </pic:nvPicPr>
                                        <pic:blipFill>
                                          <a:blip r:embed="rId95"/>
                                          <a:stretch>
                                            <a:fillRect/>
                                          </a:stretch>
                                        </pic:blipFill>
                                        <pic:spPr bwMode="auto">
                                          <a:xfrm>
                                            <a:off x="0" y="0"/>
                                            <a:ext cx="457200" cy="95250"/>
                                          </a:xfrm>
                                          <a:prstGeom prst="rect">
                                            <a:avLst/>
                                          </a:prstGeom>
                                        </pic:spPr>
                                      </pic:pic>
                                    </a:graphicData>
                                  </a:graphic>
                                </wp:inline>
                              </w:drawing>
                            </w:r>
                            <w:bookmarkStart w:id="95" w:name="i-49"/>
                            <w:bookmarkEnd w:id="9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are unable to successfully develop and timely manufacture our current and future products our business may be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Onso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Sequel, Sequel II/IIe, Revio, Onso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Sequel, Sequel II/IIe, Revio, Onso and Vega systems could materially and adversely affect our business,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12520"/>
                <wp:effectExtent l="0" t="0" r="0" b="0"/>
                <wp:wrapNone/>
                <wp:docPr id="141" name="Frame4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0" descr=""/>
                                                <pic:cNvPicPr>
                                                  <a:picLocks noChangeAspect="1" noChangeArrowheads="1"/>
                                                </pic:cNvPicPr>
                                              </pic:nvPicPr>
                                              <pic:blipFill>
                                                <a:blip r:embed="rId96"/>
                                                <a:stretch>
                                                  <a:fillRect/>
                                                </a:stretch>
                                              </pic:blipFill>
                                              <pic:spPr bwMode="auto">
                                                <a:xfrm>
                                                  <a:off x="0" y="0"/>
                                                  <a:ext cx="457200" cy="95250"/>
                                                </a:xfrm>
                                                <a:prstGeom prst="rect">
                                                  <a:avLst/>
                                                </a:prstGeom>
                                              </pic:spPr>
                                            </pic:pic>
                                          </a:graphicData>
                                        </a:graphic>
                                      </wp:inline>
                                    </w:drawing>
                                  </w:r>
                                  <w:bookmarkStart w:id="96" w:name="i-50"/>
                                  <w:bookmarkEnd w:id="9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0" descr=""/>
                                          <pic:cNvPicPr>
                                            <a:picLocks noChangeAspect="1" noChangeArrowheads="1"/>
                                          </pic:cNvPicPr>
                                        </pic:nvPicPr>
                                        <pic:blipFill>
                                          <a:blip r:embed="rId97"/>
                                          <a:stretch>
                                            <a:fillRect/>
                                          </a:stretch>
                                        </pic:blipFill>
                                        <pic:spPr bwMode="auto">
                                          <a:xfrm>
                                            <a:off x="0" y="0"/>
                                            <a:ext cx="457200" cy="95250"/>
                                          </a:xfrm>
                                          <a:prstGeom prst="rect">
                                            <a:avLst/>
                                          </a:prstGeom>
                                        </pic:spPr>
                                      </pic:pic>
                                    </a:graphicData>
                                  </a:graphic>
                                </wp:inline>
                              </w:drawing>
                            </w:r>
                            <w:bookmarkStart w:id="97" w:name="i-50"/>
                            <w:bookmarkEnd w:id="9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Sequel II/IIe, Revio, Onso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Revio and Vega systems,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Onso and Vega systems and each of their related consumables, and any future long-read products, our business, operations, financial condition, and prospects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may be adversely affected by epidemics or other public health emergencies.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could be adversely impacted by the effects of epidemics or other public health emergencies. These impacts could include, but are not necessarily limited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shutdowns or business disruptions experienced by manufacturers, suppliers and other third parties with whom we conduct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or interruptions to our supply chains;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applicable public health regulations that require us to modify our business practices and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12520"/>
                <wp:effectExtent l="0" t="0" r="0" b="0"/>
                <wp:wrapNone/>
                <wp:docPr id="144" name="Frame4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1" descr=""/>
                                                <pic:cNvPicPr>
                                                  <a:picLocks noChangeAspect="1" noChangeArrowheads="1"/>
                                                </pic:cNvPicPr>
                                              </pic:nvPicPr>
                                              <pic:blipFill>
                                                <a:blip r:embed="rId98"/>
                                                <a:stretch>
                                                  <a:fillRect/>
                                                </a:stretch>
                                              </pic:blipFill>
                                              <pic:spPr bwMode="auto">
                                                <a:xfrm>
                                                  <a:off x="0" y="0"/>
                                                  <a:ext cx="457200" cy="95250"/>
                                                </a:xfrm>
                                                <a:prstGeom prst="rect">
                                                  <a:avLst/>
                                                </a:prstGeom>
                                              </pic:spPr>
                                            </pic:pic>
                                          </a:graphicData>
                                        </a:graphic>
                                      </wp:inline>
                                    </w:drawing>
                                  </w:r>
                                  <w:bookmarkStart w:id="98" w:name="i-51"/>
                                  <w:bookmarkEnd w:id="9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1" descr=""/>
                                          <pic:cNvPicPr>
                                            <a:picLocks noChangeAspect="1" noChangeArrowheads="1"/>
                                          </pic:cNvPicPr>
                                        </pic:nvPicPr>
                                        <pic:blipFill>
                                          <a:blip r:embed="rId99"/>
                                          <a:stretch>
                                            <a:fillRect/>
                                          </a:stretch>
                                        </pic:blipFill>
                                        <pic:spPr bwMode="auto">
                                          <a:xfrm>
                                            <a:off x="0" y="0"/>
                                            <a:ext cx="457200" cy="95250"/>
                                          </a:xfrm>
                                          <a:prstGeom prst="rect">
                                            <a:avLst/>
                                          </a:prstGeom>
                                        </pic:spPr>
                                      </pic:pic>
                                    </a:graphicData>
                                  </a:graphic>
                                </wp:inline>
                              </w:drawing>
                            </w:r>
                            <w:bookmarkStart w:id="99" w:name="i-51"/>
                            <w:bookmarkEnd w:id="9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 to customer demand for our products.</w:t>
      </w:r>
    </w:p>
    <w:p>
      <w:pPr>
        <w:pStyle w:val="TextBody"/>
        <w:bidi w:val="0"/>
        <w:spacing w:lineRule="auto" w:line="288" w:before="120" w:after="283"/>
        <w:jc w:val="both"/>
        <w:rPr/>
      </w:pPr>
      <w:r>
        <w:rPr>
          <w:rFonts w:ascii="Roboto;sans-serif" w:hAnsi="Roboto;sans-serif"/>
          <w:b w:val="false"/>
          <w:color w:val="000000"/>
          <w:sz w:val="20"/>
          <w:shd w:fill="FFFFFF" w:val="clear"/>
        </w:rPr>
        <w:t xml:space="preserve">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t>
      </w:r>
      <w:r>
        <w:rPr>
          <w:rFonts w:ascii="Roboto;sans-serif" w:hAnsi="Roboto;sans-serif"/>
          <w:b w:val="false"/>
          <w:color w:val="000000"/>
          <w:sz w:val="20"/>
        </w:rPr>
        <w:t>we may continue to experience an adverse impact to our business as a result of economic aftershocks, including recessionary effects and inflationary pressures.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Significant changes to our leadership team and the resulting management transitions might harm our future operating results.</w:t>
      </w:r>
    </w:p>
    <w:p>
      <w:pPr>
        <w:pStyle w:val="TextBody"/>
        <w:bidi w:val="0"/>
        <w:spacing w:lineRule="auto" w:line="288" w:before="120" w:after="283"/>
        <w:jc w:val="both"/>
        <w:rPr/>
      </w:pPr>
      <w:r>
        <w:rPr>
          <w:rFonts w:ascii="Roboto;sans-serif" w:hAnsi="Roboto;sans-serif"/>
          <w:b w:val="false"/>
          <w:color w:val="000000"/>
          <w:sz w:val="20"/>
        </w:rPr>
        <w:t xml:space="preserve">We have in recent years experienced significant changes to our leadership team, and 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shd w:fill="FFFFFF" w:val="clear"/>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qualified personnel. If some of our employees’ temporary work permits expire and are not renewed, we may face increased turnover rates and labor shortages, which could result in higher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12520"/>
                <wp:effectExtent l="0" t="0" r="0" b="0"/>
                <wp:wrapNone/>
                <wp:docPr id="147" name="Frame4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2" descr=""/>
                                                <pic:cNvPicPr>
                                                  <a:picLocks noChangeAspect="1" noChangeArrowheads="1"/>
                                                </pic:cNvPicPr>
                                              </pic:nvPicPr>
                                              <pic:blipFill>
                                                <a:blip r:embed="rId100"/>
                                                <a:stretch>
                                                  <a:fillRect/>
                                                </a:stretch>
                                              </pic:blipFill>
                                              <pic:spPr bwMode="auto">
                                                <a:xfrm>
                                                  <a:off x="0" y="0"/>
                                                  <a:ext cx="457200" cy="95250"/>
                                                </a:xfrm>
                                                <a:prstGeom prst="rect">
                                                  <a:avLst/>
                                                </a:prstGeom>
                                              </pic:spPr>
                                            </pic:pic>
                                          </a:graphicData>
                                        </a:graphic>
                                      </wp:inline>
                                    </w:drawing>
                                  </w:r>
                                  <w:bookmarkStart w:id="100" w:name="i-52"/>
                                  <w:bookmarkEnd w:id="10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2" descr=""/>
                                          <pic:cNvPicPr>
                                            <a:picLocks noChangeAspect="1" noChangeArrowheads="1"/>
                                          </pic:cNvPicPr>
                                        </pic:nvPicPr>
                                        <pic:blipFill>
                                          <a:blip r:embed="rId101"/>
                                          <a:stretch>
                                            <a:fillRect/>
                                          </a:stretch>
                                        </pic:blipFill>
                                        <pic:spPr bwMode="auto">
                                          <a:xfrm>
                                            <a:off x="0" y="0"/>
                                            <a:ext cx="457200" cy="95250"/>
                                          </a:xfrm>
                                          <a:prstGeom prst="rect">
                                            <a:avLst/>
                                          </a:prstGeom>
                                        </pic:spPr>
                                      </pic:pic>
                                    </a:graphicData>
                                  </a:graphic>
                                </wp:inline>
                              </w:drawing>
                            </w:r>
                            <w:bookmarkStart w:id="101" w:name="i-52"/>
                            <w:bookmarkEnd w:id="10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12520"/>
                <wp:effectExtent l="0" t="0" r="0" b="0"/>
                <wp:wrapNone/>
                <wp:docPr id="150" name="Frame5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3" descr=""/>
                                                <pic:cNvPicPr>
                                                  <a:picLocks noChangeAspect="1" noChangeArrowheads="1"/>
                                                </pic:cNvPicPr>
                                              </pic:nvPicPr>
                                              <pic:blipFill>
                                                <a:blip r:embed="rId102"/>
                                                <a:stretch>
                                                  <a:fillRect/>
                                                </a:stretch>
                                              </pic:blipFill>
                                              <pic:spPr bwMode="auto">
                                                <a:xfrm>
                                                  <a:off x="0" y="0"/>
                                                  <a:ext cx="457200" cy="95250"/>
                                                </a:xfrm>
                                                <a:prstGeom prst="rect">
                                                  <a:avLst/>
                                                </a:prstGeom>
                                              </pic:spPr>
                                            </pic:pic>
                                          </a:graphicData>
                                        </a:graphic>
                                      </wp:inline>
                                    </w:drawing>
                                  </w:r>
                                  <w:bookmarkStart w:id="102" w:name="i-53"/>
                                  <w:bookmarkEnd w:id="10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3" descr=""/>
                                          <pic:cNvPicPr>
                                            <a:picLocks noChangeAspect="1" noChangeArrowheads="1"/>
                                          </pic:cNvPicPr>
                                        </pic:nvPicPr>
                                        <pic:blipFill>
                                          <a:blip r:embed="rId103"/>
                                          <a:stretch>
                                            <a:fillRect/>
                                          </a:stretch>
                                        </pic:blipFill>
                                        <pic:spPr bwMode="auto">
                                          <a:xfrm>
                                            <a:off x="0" y="0"/>
                                            <a:ext cx="457200" cy="95250"/>
                                          </a:xfrm>
                                          <a:prstGeom prst="rect">
                                            <a:avLst/>
                                          </a:prstGeom>
                                        </pic:spPr>
                                      </pic:pic>
                                    </a:graphicData>
                                  </a:graphic>
                                </wp:inline>
                              </w:drawing>
                            </w:r>
                            <w:bookmarkStart w:id="103" w:name="i-53"/>
                            <w:bookmarkEnd w:id="10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and at an acceptable cost,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components may increase or the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such as the uncertainty in the Middle East,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or product components may be affected.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12520"/>
                <wp:effectExtent l="0" t="0" r="0" b="0"/>
                <wp:wrapNone/>
                <wp:docPr id="153" name="Frame5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4" descr=""/>
                                                <pic:cNvPicPr>
                                                  <a:picLocks noChangeAspect="1" noChangeArrowheads="1"/>
                                                </pic:cNvPicPr>
                                              </pic:nvPicPr>
                                              <pic:blipFill>
                                                <a:blip r:embed="rId104"/>
                                                <a:stretch>
                                                  <a:fillRect/>
                                                </a:stretch>
                                              </pic:blipFill>
                                              <pic:spPr bwMode="auto">
                                                <a:xfrm>
                                                  <a:off x="0" y="0"/>
                                                  <a:ext cx="457200" cy="95250"/>
                                                </a:xfrm>
                                                <a:prstGeom prst="rect">
                                                  <a:avLst/>
                                                </a:prstGeom>
                                              </pic:spPr>
                                            </pic:pic>
                                          </a:graphicData>
                                        </a:graphic>
                                      </wp:inline>
                                    </w:drawing>
                                  </w:r>
                                  <w:bookmarkStart w:id="104" w:name="i-54"/>
                                  <w:bookmarkEnd w:id="10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4" descr=""/>
                                          <pic:cNvPicPr>
                                            <a:picLocks noChangeAspect="1" noChangeArrowheads="1"/>
                                          </pic:cNvPicPr>
                                        </pic:nvPicPr>
                                        <pic:blipFill>
                                          <a:blip r:embed="rId105"/>
                                          <a:stretch>
                                            <a:fillRect/>
                                          </a:stretch>
                                        </pic:blipFill>
                                        <pic:spPr bwMode="auto">
                                          <a:xfrm>
                                            <a:off x="0" y="0"/>
                                            <a:ext cx="457200" cy="95250"/>
                                          </a:xfrm>
                                          <a:prstGeom prst="rect">
                                            <a:avLst/>
                                          </a:prstGeom>
                                        </pic:spPr>
                                      </pic:pic>
                                    </a:graphicData>
                                  </a:graphic>
                                </wp:inline>
                              </w:drawing>
                            </w:r>
                            <w:bookmarkStart w:id="105" w:name="i-54"/>
                            <w:bookmarkEnd w:id="10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current manufacturing process is also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TextBody"/>
        <w:bidi w:val="0"/>
        <w:spacing w:lineRule="auto" w:line="288" w:before="120" w:after="283"/>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shd w:fill="FFFFFF" w:val="clear"/>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Sequel, Sequel II/IIe, Revio, Onso and Vega systems, could diminish future demand for our products and may materially and adversely harm our future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12520"/>
                <wp:effectExtent l="0" t="0" r="0" b="0"/>
                <wp:wrapNone/>
                <wp:docPr id="156" name="Frame5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5" descr=""/>
                                                <pic:cNvPicPr>
                                                  <a:picLocks noChangeAspect="1" noChangeArrowheads="1"/>
                                                </pic:cNvPicPr>
                                              </pic:nvPicPr>
                                              <pic:blipFill>
                                                <a:blip r:embed="rId106"/>
                                                <a:stretch>
                                                  <a:fillRect/>
                                                </a:stretch>
                                              </pic:blipFill>
                                              <pic:spPr bwMode="auto">
                                                <a:xfrm>
                                                  <a:off x="0" y="0"/>
                                                  <a:ext cx="457200" cy="95250"/>
                                                </a:xfrm>
                                                <a:prstGeom prst="rect">
                                                  <a:avLst/>
                                                </a:prstGeom>
                                              </pic:spPr>
                                            </pic:pic>
                                          </a:graphicData>
                                        </a:graphic>
                                      </wp:inline>
                                    </w:drawing>
                                  </w:r>
                                  <w:bookmarkStart w:id="106" w:name="i-55"/>
                                  <w:bookmarkEnd w:id="10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5" descr=""/>
                                          <pic:cNvPicPr>
                                            <a:picLocks noChangeAspect="1" noChangeArrowheads="1"/>
                                          </pic:cNvPicPr>
                                        </pic:nvPicPr>
                                        <pic:blipFill>
                                          <a:blip r:embed="rId107"/>
                                          <a:stretch>
                                            <a:fillRect/>
                                          </a:stretch>
                                        </pic:blipFill>
                                        <pic:spPr bwMode="auto">
                                          <a:xfrm>
                                            <a:off x="0" y="0"/>
                                            <a:ext cx="457200" cy="95250"/>
                                          </a:xfrm>
                                          <a:prstGeom prst="rect">
                                            <a:avLst/>
                                          </a:prstGeom>
                                        </pic:spPr>
                                      </pic:pic>
                                    </a:graphicData>
                                  </a:graphic>
                                </wp:inline>
                              </w:drawing>
                            </w:r>
                            <w:bookmarkStart w:id="107" w:name="i-55"/>
                            <w:bookmarkEnd w:id="10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size of the markets for our products, including our Revio, Onso and Vega instruments, may be smaller than estimated, and new market opportunities may not develop as quickly as we expect, or at all, limiting our ability to successfully sell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for sequencing systems and consumables products is evolving, making it difficult to accurately predict the size of the markets for our current and future products, including our Revio, Onso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market adoption of our products by customers may depend on the availability of sample preparation and informatics tools, some of which may be developed by third parties.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operate in a highly competitive industry and if we are not able to compete effectively, our business and operating results will likely be harmed.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12520"/>
                <wp:effectExtent l="0" t="0" r="0" b="0"/>
                <wp:wrapNone/>
                <wp:docPr id="159" name="Frame5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6" descr=""/>
                                                <pic:cNvPicPr>
                                                  <a:picLocks noChangeAspect="1" noChangeArrowheads="1"/>
                                                </pic:cNvPicPr>
                                              </pic:nvPicPr>
                                              <pic:blipFill>
                                                <a:blip r:embed="rId108"/>
                                                <a:stretch>
                                                  <a:fillRect/>
                                                </a:stretch>
                                              </pic:blipFill>
                                              <pic:spPr bwMode="auto">
                                                <a:xfrm>
                                                  <a:off x="0" y="0"/>
                                                  <a:ext cx="457200" cy="95250"/>
                                                </a:xfrm>
                                                <a:prstGeom prst="rect">
                                                  <a:avLst/>
                                                </a:prstGeom>
                                              </pic:spPr>
                                            </pic:pic>
                                          </a:graphicData>
                                        </a:graphic>
                                      </wp:inline>
                                    </w:drawing>
                                  </w:r>
                                  <w:bookmarkStart w:id="108" w:name="i-56"/>
                                  <w:bookmarkEnd w:id="10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6" descr=""/>
                                          <pic:cNvPicPr>
                                            <a:picLocks noChangeAspect="1" noChangeArrowheads="1"/>
                                          </pic:cNvPicPr>
                                        </pic:nvPicPr>
                                        <pic:blipFill>
                                          <a:blip r:embed="rId109"/>
                                          <a:stretch>
                                            <a:fillRect/>
                                          </a:stretch>
                                        </pic:blipFill>
                                        <pic:spPr bwMode="auto">
                                          <a:xfrm>
                                            <a:off x="0" y="0"/>
                                            <a:ext cx="457200" cy="95250"/>
                                          </a:xfrm>
                                          <a:prstGeom prst="rect">
                                            <a:avLst/>
                                          </a:prstGeom>
                                        </pic:spPr>
                                      </pic:pic>
                                    </a:graphicData>
                                  </a:graphic>
                                </wp:inline>
                              </w:drawing>
                            </w:r>
                            <w:bookmarkStart w:id="109" w:name="i-56"/>
                            <w:bookmarkEnd w:id="10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successfully increase sales of our current products or market and sell our future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retain and manage qualified sales, marketing, and service personnel necessary to expand market acceptance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performance and commercial availability expectations of our existing and potential customers with respect to new and existing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availability of potential sales and distribution partners to sell our technologies, and our ability to attract and retain such sales and distribution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sales, marketing and service force may be unable to execute successful commercial activities.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We have, and may in the future, use promotional pricing and similar measures to attract purchases of our products. These measures may not be successful in attracting purchases and, even if successful, may negatively impact our gross margins.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While for the three months ended March 31, 2025, and 2024,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12520"/>
                <wp:effectExtent l="0" t="0" r="0" b="0"/>
                <wp:wrapNone/>
                <wp:docPr id="162" name="Frame5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7" descr=""/>
                                                <pic:cNvPicPr>
                                                  <a:picLocks noChangeAspect="1" noChangeArrowheads="1"/>
                                                </pic:cNvPicPr>
                                              </pic:nvPicPr>
                                              <pic:blipFill>
                                                <a:blip r:embed="rId110"/>
                                                <a:stretch>
                                                  <a:fillRect/>
                                                </a:stretch>
                                              </pic:blipFill>
                                              <pic:spPr bwMode="auto">
                                                <a:xfrm>
                                                  <a:off x="0" y="0"/>
                                                  <a:ext cx="457200" cy="95250"/>
                                                </a:xfrm>
                                                <a:prstGeom prst="rect">
                                                  <a:avLst/>
                                                </a:prstGeom>
                                              </pic:spPr>
                                            </pic:pic>
                                          </a:graphicData>
                                        </a:graphic>
                                      </wp:inline>
                                    </w:drawing>
                                  </w:r>
                                  <w:bookmarkStart w:id="110" w:name="i-57"/>
                                  <w:bookmarkEnd w:id="1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7" descr=""/>
                                          <pic:cNvPicPr>
                                            <a:picLocks noChangeAspect="1" noChangeArrowheads="1"/>
                                          </pic:cNvPicPr>
                                        </pic:nvPicPr>
                                        <pic:blipFill>
                                          <a:blip r:embed="rId111"/>
                                          <a:stretch>
                                            <a:fillRect/>
                                          </a:stretch>
                                        </pic:blipFill>
                                        <pic:spPr bwMode="auto">
                                          <a:xfrm>
                                            <a:off x="0" y="0"/>
                                            <a:ext cx="457200" cy="95250"/>
                                          </a:xfrm>
                                          <a:prstGeom prst="rect">
                                            <a:avLst/>
                                          </a:prstGeom>
                                        </pic:spPr>
                                      </pic:pic>
                                    </a:graphicData>
                                  </a:graphic>
                                </wp:inline>
                              </w:drawing>
                            </w:r>
                            <w:bookmarkStart w:id="111" w:name="i-57"/>
                            <w:bookmarkEnd w:id="11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Sequel II/IIe, Revio, Onso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Onso and Vega systems, or enhancements to our existing products, including the SMRT Cell and the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 significant portion of our sales depends on customers’ spending budgets that may be subject to significant and unexpected variation which could have a negative effect on the demand for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12520"/>
                <wp:effectExtent l="0" t="0" r="0" b="0"/>
                <wp:wrapNone/>
                <wp:docPr id="165" name="Frame5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8" descr=""/>
                                                <pic:cNvPicPr>
                                                  <a:picLocks noChangeAspect="1" noChangeArrowheads="1"/>
                                                </pic:cNvPicPr>
                                              </pic:nvPicPr>
                                              <pic:blipFill>
                                                <a:blip r:embed="rId112"/>
                                                <a:stretch>
                                                  <a:fillRect/>
                                                </a:stretch>
                                              </pic:blipFill>
                                              <pic:spPr bwMode="auto">
                                                <a:xfrm>
                                                  <a:off x="0" y="0"/>
                                                  <a:ext cx="457200" cy="95250"/>
                                                </a:xfrm>
                                                <a:prstGeom prst="rect">
                                                  <a:avLst/>
                                                </a:prstGeom>
                                              </pic:spPr>
                                            </pic:pic>
                                          </a:graphicData>
                                        </a:graphic>
                                      </wp:inline>
                                    </w:drawing>
                                  </w:r>
                                  <w:bookmarkStart w:id="112" w:name="i-58"/>
                                  <w:bookmarkEnd w:id="11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8" descr=""/>
                                          <pic:cNvPicPr>
                                            <a:picLocks noChangeAspect="1" noChangeArrowheads="1"/>
                                          </pic:cNvPicPr>
                                        </pic:nvPicPr>
                                        <pic:blipFill>
                                          <a:blip r:embed="rId113"/>
                                          <a:stretch>
                                            <a:fillRect/>
                                          </a:stretch>
                                        </pic:blipFill>
                                        <pic:spPr bwMode="auto">
                                          <a:xfrm>
                                            <a:off x="0" y="0"/>
                                            <a:ext cx="457200" cy="95250"/>
                                          </a:xfrm>
                                          <a:prstGeom prst="rect">
                                            <a:avLst/>
                                          </a:prstGeom>
                                        </pic:spPr>
                                      </pic:pic>
                                    </a:graphicData>
                                  </a:graphic>
                                </wp:inline>
                              </w:drawing>
                            </w:r>
                            <w:bookmarkStart w:id="113" w:name="i-58"/>
                            <w:bookmarkEnd w:id="1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not be able to convert our orders in backlog into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sales cycles are unpredictable and lengthy, which makes it difficult to forecast revenue and may increase the magnitude of quarterly or annual fluctuations in our operating results.</w:t>
      </w:r>
    </w:p>
    <w:p>
      <w:pPr>
        <w:pStyle w:val="TextBody"/>
        <w:bidi w:val="0"/>
        <w:spacing w:lineRule="auto" w:line="288" w:before="120" w:after="283"/>
        <w:jc w:val="both"/>
        <w:rPr/>
      </w:pPr>
      <w:r>
        <w:rPr>
          <w:rFonts w:ascii="Roboto;sans-serif" w:hAnsi="Roboto;sans-serif"/>
          <w:b w:val="false"/>
          <w:color w:val="000000"/>
          <w:sz w:val="20"/>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hyperlink w:anchor="i8f6c895010734eacbbfa7762111ecdf4_193518">
        <w:r>
          <w:rPr>
            <w:rStyle w:val="InternetLink"/>
            <w:color w:val="0000FF"/>
            <w:u w:val="single"/>
          </w:rPr>
          <w:t>—</w:t>
        </w:r>
      </w:hyperlink>
      <w:hyperlink w:anchor="i8f6c895010734eacbbfa7762111ecdf4_193518">
        <w:r>
          <w:rPr>
            <w:rStyle w:val="InternetLink"/>
            <w:rFonts w:ascii="Roboto;sans-serif" w:hAnsi="Roboto;sans-serif"/>
            <w:b w:val="false"/>
            <w:i/>
            <w:color w:val="0000FF"/>
            <w:sz w:val="20"/>
            <w:u w:val="single"/>
          </w:rPr>
          <w:t>Our operating results fluctuate from quarter to quarter and year over year, which makes our future results difficult to predict and could negatively impact the market price of our common stock</w:t>
        </w:r>
      </w:hyperlink>
      <w:r>
        <w:rPr>
          <w:rFonts w:ascii="Roboto;sans-serif" w:hAnsi="Roboto;sans-serif"/>
          <w:b w:val="false"/>
          <w:color w:val="000000"/>
          <w:sz w:val="20"/>
        </w:rPr>
        <w:t>,” below.</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risks associated with political conflicts between the U.S. and China. While for the three months ended March 31, 2025 and 2024,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12520"/>
                <wp:effectExtent l="0" t="0" r="0" b="0"/>
                <wp:wrapNone/>
                <wp:docPr id="168" name="Frame5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9" descr=""/>
                                                <pic:cNvPicPr>
                                                  <a:picLocks noChangeAspect="1" noChangeArrowheads="1"/>
                                                </pic:cNvPicPr>
                                              </pic:nvPicPr>
                                              <pic:blipFill>
                                                <a:blip r:embed="rId114"/>
                                                <a:stretch>
                                                  <a:fillRect/>
                                                </a:stretch>
                                              </pic:blipFill>
                                              <pic:spPr bwMode="auto">
                                                <a:xfrm>
                                                  <a:off x="0" y="0"/>
                                                  <a:ext cx="457200" cy="95250"/>
                                                </a:xfrm>
                                                <a:prstGeom prst="rect">
                                                  <a:avLst/>
                                                </a:prstGeom>
                                              </pic:spPr>
                                            </pic:pic>
                                          </a:graphicData>
                                        </a:graphic>
                                      </wp:inline>
                                    </w:drawing>
                                  </w:r>
                                  <w:bookmarkStart w:id="114" w:name="i-59"/>
                                  <w:bookmarkEnd w:id="1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9" descr=""/>
                                          <pic:cNvPicPr>
                                            <a:picLocks noChangeAspect="1" noChangeArrowheads="1"/>
                                          </pic:cNvPicPr>
                                        </pic:nvPicPr>
                                        <pic:blipFill>
                                          <a:blip r:embed="rId115"/>
                                          <a:stretch>
                                            <a:fillRect/>
                                          </a:stretch>
                                        </pic:blipFill>
                                        <pic:spPr bwMode="auto">
                                          <a:xfrm>
                                            <a:off x="0" y="0"/>
                                            <a:ext cx="457200" cy="95250"/>
                                          </a:xfrm>
                                          <a:prstGeom prst="rect">
                                            <a:avLst/>
                                          </a:prstGeom>
                                        </pic:spPr>
                                      </pic:pic>
                                    </a:graphicData>
                                  </a:graphic>
                                </wp:inline>
                              </w:drawing>
                            </w:r>
                            <w:bookmarkStart w:id="115" w:name="i-59"/>
                            <w:bookmarkEnd w:id="11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8f6c895010734eacbbfa7762111ecdf4_193832">
        <w:r>
          <w:rPr>
            <w:rStyle w:val="InternetLink"/>
            <w:color w:val="0000FF"/>
            <w:u w:val="single"/>
          </w:rPr>
          <w:t>—</w:t>
        </w:r>
      </w:hyperlink>
      <w:hyperlink w:anchor="i8f6c895010734eacbbfa7762111ecdf4_193832">
        <w:r>
          <w:rPr>
            <w:rStyle w:val="InternetLink"/>
          </w:rPr>
          <w:t>Enhanced trade tariffs, import restrictions, export restrictions or other trade barriers may materially harm our business</w:t>
        </w:r>
      </w:hyperlink>
      <w:hyperlink w:anchor="i8f6c895010734eacbbfa7762111ecdf4_193832">
        <w:r>
          <w:rPr>
            <w:rStyle w:val="InternetLink"/>
          </w:rPr>
          <w:t>.</w:t>
        </w:r>
      </w:hyperlink>
      <w:r>
        <w:rPr>
          <w:color w:val="000000"/>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risks could include: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nationalization or other expropriation of private enterprises or intellectual property by the Chinese government.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face significant risks associated with doing business with Taiwanese suppliers and manufacturers due to the tense relationship between Taiwan and mainland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bidi w:val="0"/>
        <w:spacing w:lineRule="auto" w:line="288" w:before="180" w:after="283"/>
        <w:jc w:val="both"/>
        <w:rPr>
          <w:rFonts w:ascii="Roboto;sans-serif" w:hAnsi="Roboto;sans-serif"/>
          <w:b/>
          <w:i/>
          <w:color w:val="DF1995"/>
          <w:sz w:val="20"/>
        </w:rPr>
      </w:pPr>
      <w:bookmarkStart w:id="116" w:name="i8f6c895010734eacbbfa7762111ecdf4_193518"/>
      <w:bookmarkEnd w:id="116"/>
      <w:r>
        <w:rPr>
          <w:rFonts w:ascii="Roboto;sans-serif" w:hAnsi="Roboto;sans-serif"/>
          <w:b/>
          <w:i/>
          <w:color w:val="DF1995"/>
          <w:sz w:val="20"/>
        </w:rPr>
        <w:t>Our operating results fluctuate from quarter to quarter and year over year, which makes our future results difficult to predict and could negatively impact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market acceptance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new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length of our sales cycles, as discussed above;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economies of scale and other manufacturing efficiencies at the rate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12520"/>
                <wp:effectExtent l="0" t="0" r="0" b="0"/>
                <wp:wrapNone/>
                <wp:docPr id="171" name="Frame5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0" descr=""/>
                                                <pic:cNvPicPr>
                                                  <a:picLocks noChangeAspect="1" noChangeArrowheads="1"/>
                                                </pic:cNvPicPr>
                                              </pic:nvPicPr>
                                              <pic:blipFill>
                                                <a:blip r:embed="rId116"/>
                                                <a:stretch>
                                                  <a:fillRect/>
                                                </a:stretch>
                                              </pic:blipFill>
                                              <pic:spPr bwMode="auto">
                                                <a:xfrm>
                                                  <a:off x="0" y="0"/>
                                                  <a:ext cx="457200" cy="95250"/>
                                                </a:xfrm>
                                                <a:prstGeom prst="rect">
                                                  <a:avLst/>
                                                </a:prstGeom>
                                              </pic:spPr>
                                            </pic:pic>
                                          </a:graphicData>
                                        </a:graphic>
                                      </wp:inline>
                                    </w:drawing>
                                  </w:r>
                                  <w:bookmarkStart w:id="117" w:name="i-60"/>
                                  <w:bookmarkEnd w:id="1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0" descr=""/>
                                          <pic:cNvPicPr>
                                            <a:picLocks noChangeAspect="1" noChangeArrowheads="1"/>
                                          </pic:cNvPicPr>
                                        </pic:nvPicPr>
                                        <pic:blipFill>
                                          <a:blip r:embed="rId117"/>
                                          <a:stretch>
                                            <a:fillRect/>
                                          </a:stretch>
                                        </pic:blipFill>
                                        <pic:spPr bwMode="auto">
                                          <a:xfrm>
                                            <a:off x="0" y="0"/>
                                            <a:ext cx="457200" cy="95250"/>
                                          </a:xfrm>
                                          <a:prstGeom prst="rect">
                                            <a:avLst/>
                                          </a:prstGeom>
                                        </pic:spPr>
                                      </pic:pic>
                                    </a:graphicData>
                                  </a:graphic>
                                </wp:inline>
                              </w:drawing>
                            </w:r>
                            <w:bookmarkStart w:id="118" w:name="i-60"/>
                            <w:bookmarkEnd w:id="1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publications of studies by us, our competitors or third parties;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amount and timing of our costs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general economic, industry and market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catastrophic events, including health epidemics or pandemics and military or other armed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regulatory environment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expenses associated with warranty obligations or unforeseen product quality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hiring, training, and retention of key employees, including our ability to grow our sales organization;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litigation or other claims against us for intellectual property infringement or otherwise;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obtain additional financing as necessary;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or trends in new technologies and industry standards.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ability to use net operating losses and certain other tax attributes to offset future taxable income may be subject to substantial limitations.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Changes in tax law and differences in interpretation of tax laws and regulations could adversely impact our business and financial condition.</w:t>
      </w:r>
    </w:p>
    <w:p>
      <w:pPr>
        <w:pStyle w:val="TextBody"/>
        <w:bidi w:val="0"/>
        <w:spacing w:lineRule="auto" w:line="288" w:before="120" w:after="283"/>
        <w:jc w:val="both"/>
        <w:rPr/>
      </w:pPr>
      <w:r>
        <w:rPr>
          <w:rFonts w:ascii="Roboto;sans-serif" w:hAnsi="Roboto;sans-serif"/>
          <w:b w:val="false"/>
          <w:color w:val="000000"/>
          <w:sz w:val="20"/>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w:t>
      </w:r>
      <w:r>
        <w:rPr>
          <w:color w:val="000000"/>
        </w:rPr>
        <w:t xml:space="preserve"> </w:t>
      </w:r>
      <w:r>
        <w:rPr>
          <w:rFonts w:ascii="Roboto;sans-serif" w:hAnsi="Roboto;sans-serif"/>
          <w:b w:val="false"/>
          <w:color w:val="000000"/>
          <w:sz w:val="20"/>
        </w:rPr>
        <w:t>Changes in tax laws, regulations or rulings, changes in interpretations of existing laws and regulations or changes in accounting principles could negatively and materially affect our financial position, cash flows,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12520"/>
                <wp:effectExtent l="0" t="0" r="0" b="0"/>
                <wp:wrapNone/>
                <wp:docPr id="174" name="Frame5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1" descr=""/>
                                                <pic:cNvPicPr>
                                                  <a:picLocks noChangeAspect="1" noChangeArrowheads="1"/>
                                                </pic:cNvPicPr>
                                              </pic:nvPicPr>
                                              <pic:blipFill>
                                                <a:blip r:embed="rId118"/>
                                                <a:stretch>
                                                  <a:fillRect/>
                                                </a:stretch>
                                              </pic:blipFill>
                                              <pic:spPr bwMode="auto">
                                                <a:xfrm>
                                                  <a:off x="0" y="0"/>
                                                  <a:ext cx="457200" cy="95250"/>
                                                </a:xfrm>
                                                <a:prstGeom prst="rect">
                                                  <a:avLst/>
                                                </a:prstGeom>
                                              </pic:spPr>
                                            </pic:pic>
                                          </a:graphicData>
                                        </a:graphic>
                                      </wp:inline>
                                    </w:drawing>
                                  </w:r>
                                  <w:bookmarkStart w:id="119" w:name="i-61"/>
                                  <w:bookmarkEnd w:id="11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1" descr=""/>
                                          <pic:cNvPicPr>
                                            <a:picLocks noChangeAspect="1" noChangeArrowheads="1"/>
                                          </pic:cNvPicPr>
                                        </pic:nvPicPr>
                                        <pic:blipFill>
                                          <a:blip r:embed="rId119"/>
                                          <a:stretch>
                                            <a:fillRect/>
                                          </a:stretch>
                                        </pic:blipFill>
                                        <pic:spPr bwMode="auto">
                                          <a:xfrm>
                                            <a:off x="0" y="0"/>
                                            <a:ext cx="457200" cy="95250"/>
                                          </a:xfrm>
                                          <a:prstGeom prst="rect">
                                            <a:avLst/>
                                          </a:prstGeom>
                                        </pic:spPr>
                                      </pic:pic>
                                    </a:graphicData>
                                  </a:graphic>
                                </wp:inline>
                              </w:drawing>
                            </w:r>
                            <w:bookmarkStart w:id="120" w:name="i-61"/>
                            <w:bookmarkEnd w:id="12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tbl>
      <w:tblPr>
        <w:tblW w:w="5444" w:type="dxa"/>
        <w:jc w:val="left"/>
        <w:tblInd w:w="0" w:type="dxa"/>
        <w:tblLayout w:type="fixed"/>
        <w:tblCellMar>
          <w:top w:w="28" w:type="dxa"/>
          <w:left w:w="28" w:type="dxa"/>
          <w:bottom w:w="28" w:type="dxa"/>
          <w:right w:w="28" w:type="dxa"/>
        </w:tblCellMar>
      </w:tblPr>
      <w:tblGrid>
        <w:gridCol w:w="1742"/>
        <w:gridCol w:w="1532"/>
        <w:gridCol w:w="2170"/>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Risks Related to Our Intellectual Property</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make the inventions covered by each of our pending patent applications or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file patent applications for these inventions;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it is possible that neither our pending patent applications nor the pending patent applications of our licensors will result in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enforcement of patents and proprietary rights in other countries may be problematic or unpredictable;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partners may not adequately protect our trade secrets;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develop additional proprietary technologies that are patentable; or</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patents of others may limit our freedom to operate and prevent us from commercializing our technology in accordance with our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12520"/>
                <wp:effectExtent l="0" t="0" r="0" b="0"/>
                <wp:wrapNone/>
                <wp:docPr id="177" name="Frame5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2" descr=""/>
                                                <pic:cNvPicPr>
                                                  <a:picLocks noChangeAspect="1" noChangeArrowheads="1"/>
                                                </pic:cNvPicPr>
                                              </pic:nvPicPr>
                                              <pic:blipFill>
                                                <a:blip r:embed="rId120"/>
                                                <a:stretch>
                                                  <a:fillRect/>
                                                </a:stretch>
                                              </pic:blipFill>
                                              <pic:spPr bwMode="auto">
                                                <a:xfrm>
                                                  <a:off x="0" y="0"/>
                                                  <a:ext cx="457200" cy="95250"/>
                                                </a:xfrm>
                                                <a:prstGeom prst="rect">
                                                  <a:avLst/>
                                                </a:prstGeom>
                                              </pic:spPr>
                                            </pic:pic>
                                          </a:graphicData>
                                        </a:graphic>
                                      </wp:inline>
                                    </w:drawing>
                                  </w:r>
                                  <w:bookmarkStart w:id="121" w:name="i-62"/>
                                  <w:bookmarkEnd w:id="1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2" descr=""/>
                                          <pic:cNvPicPr>
                                            <a:picLocks noChangeAspect="1" noChangeArrowheads="1"/>
                                          </pic:cNvPicPr>
                                        </pic:nvPicPr>
                                        <pic:blipFill>
                                          <a:blip r:embed="rId121"/>
                                          <a:stretch>
                                            <a:fillRect/>
                                          </a:stretch>
                                        </pic:blipFill>
                                        <pic:spPr bwMode="auto">
                                          <a:xfrm>
                                            <a:off x="0" y="0"/>
                                            <a:ext cx="457200" cy="95250"/>
                                          </a:xfrm>
                                          <a:prstGeom prst="rect">
                                            <a:avLst/>
                                          </a:prstGeom>
                                        </pic:spPr>
                                      </pic:pic>
                                    </a:graphicData>
                                  </a:graphic>
                                </wp:inline>
                              </w:drawing>
                            </w:r>
                            <w:bookmarkStart w:id="122" w:name="i-62"/>
                            <w:bookmarkEnd w:id="1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Variability in intellectual property laws may adversely affect our intellectual property position.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12520"/>
                <wp:effectExtent l="0" t="0" r="0" b="0"/>
                <wp:wrapNone/>
                <wp:docPr id="180" name="Frame6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3" descr=""/>
                                                <pic:cNvPicPr>
                                                  <a:picLocks noChangeAspect="1" noChangeArrowheads="1"/>
                                                </pic:cNvPicPr>
                                              </pic:nvPicPr>
                                              <pic:blipFill>
                                                <a:blip r:embed="rId122"/>
                                                <a:stretch>
                                                  <a:fillRect/>
                                                </a:stretch>
                                              </pic:blipFill>
                                              <pic:spPr bwMode="auto">
                                                <a:xfrm>
                                                  <a:off x="0" y="0"/>
                                                  <a:ext cx="457200" cy="95250"/>
                                                </a:xfrm>
                                                <a:prstGeom prst="rect">
                                                  <a:avLst/>
                                                </a:prstGeom>
                                              </pic:spPr>
                                            </pic:pic>
                                          </a:graphicData>
                                        </a:graphic>
                                      </wp:inline>
                                    </w:drawing>
                                  </w:r>
                                  <w:bookmarkStart w:id="123" w:name="i-63"/>
                                  <w:bookmarkEnd w:id="12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3" descr=""/>
                                          <pic:cNvPicPr>
                                            <a:picLocks noChangeAspect="1" noChangeArrowheads="1"/>
                                          </pic:cNvPicPr>
                                        </pic:nvPicPr>
                                        <pic:blipFill>
                                          <a:blip r:embed="rId123"/>
                                          <a:stretch>
                                            <a:fillRect/>
                                          </a:stretch>
                                        </pic:blipFill>
                                        <pic:spPr bwMode="auto">
                                          <a:xfrm>
                                            <a:off x="0" y="0"/>
                                            <a:ext cx="457200" cy="95250"/>
                                          </a:xfrm>
                                          <a:prstGeom prst="rect">
                                            <a:avLst/>
                                          </a:prstGeom>
                                        </pic:spPr>
                                      </pic:pic>
                                    </a:graphicData>
                                  </a:graphic>
                                </wp:inline>
                              </w:drawing>
                            </w:r>
                            <w:bookmarkStart w:id="124" w:name="i-63"/>
                            <w:bookmarkEnd w:id="12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intellectual property may be subject to challenges in the United States or foreign jurisdictions that could adversely affect our intellectual property position.</w:t>
      </w:r>
    </w:p>
    <w:p>
      <w:pPr>
        <w:pStyle w:val="TextBody"/>
        <w:bidi w:val="0"/>
        <w:spacing w:lineRule="auto" w:line="288" w:before="120" w:after="283"/>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shd w:fill="FFFFFF" w:val="clear"/>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12520"/>
                <wp:effectExtent l="0" t="0" r="0" b="0"/>
                <wp:wrapNone/>
                <wp:docPr id="183" name="Frame6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4" descr=""/>
                                                <pic:cNvPicPr>
                                                  <a:picLocks noChangeAspect="1" noChangeArrowheads="1"/>
                                                </pic:cNvPicPr>
                                              </pic:nvPicPr>
                                              <pic:blipFill>
                                                <a:blip r:embed="rId124"/>
                                                <a:stretch>
                                                  <a:fillRect/>
                                                </a:stretch>
                                              </pic:blipFill>
                                              <pic:spPr bwMode="auto">
                                                <a:xfrm>
                                                  <a:off x="0" y="0"/>
                                                  <a:ext cx="457200" cy="95250"/>
                                                </a:xfrm>
                                                <a:prstGeom prst="rect">
                                                  <a:avLst/>
                                                </a:prstGeom>
                                              </pic:spPr>
                                            </pic:pic>
                                          </a:graphicData>
                                        </a:graphic>
                                      </wp:inline>
                                    </w:drawing>
                                  </w:r>
                                  <w:bookmarkStart w:id="125" w:name="i-64"/>
                                  <w:bookmarkEnd w:id="1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4" descr=""/>
                                          <pic:cNvPicPr>
                                            <a:picLocks noChangeAspect="1" noChangeArrowheads="1"/>
                                          </pic:cNvPicPr>
                                        </pic:nvPicPr>
                                        <pic:blipFill>
                                          <a:blip r:embed="rId125"/>
                                          <a:stretch>
                                            <a:fillRect/>
                                          </a:stretch>
                                        </pic:blipFill>
                                        <pic:spPr bwMode="auto">
                                          <a:xfrm>
                                            <a:off x="0" y="0"/>
                                            <a:ext cx="457200" cy="95250"/>
                                          </a:xfrm>
                                          <a:prstGeom prst="rect">
                                            <a:avLst/>
                                          </a:prstGeom>
                                        </pic:spPr>
                                      </pic:pic>
                                    </a:graphicData>
                                  </a:graphic>
                                </wp:inline>
                              </w:drawing>
                            </w:r>
                            <w:bookmarkStart w:id="126" w:name="i-64"/>
                            <w:bookmarkEnd w:id="1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our technology is subject to “march-in” rights by the U.S. government.</w:t>
      </w:r>
    </w:p>
    <w:p>
      <w:pPr>
        <w:pStyle w:val="TextBody"/>
        <w:bidi w:val="0"/>
        <w:spacing w:lineRule="auto" w:line="288" w:before="120" w:after="283"/>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shd w:fill="FFFFFF" w:val="clear"/>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involved in legal proceedings to enforce our intellectual property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12520"/>
                <wp:effectExtent l="0" t="0" r="0" b="0"/>
                <wp:wrapNone/>
                <wp:docPr id="186" name="Frame6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5" descr=""/>
                                                <pic:cNvPicPr>
                                                  <a:picLocks noChangeAspect="1" noChangeArrowheads="1"/>
                                                </pic:cNvPicPr>
                                              </pic:nvPicPr>
                                              <pic:blipFill>
                                                <a:blip r:embed="rId126"/>
                                                <a:stretch>
                                                  <a:fillRect/>
                                                </a:stretch>
                                              </pic:blipFill>
                                              <pic:spPr bwMode="auto">
                                                <a:xfrm>
                                                  <a:off x="0" y="0"/>
                                                  <a:ext cx="457200" cy="95250"/>
                                                </a:xfrm>
                                                <a:prstGeom prst="rect">
                                                  <a:avLst/>
                                                </a:prstGeom>
                                              </pic:spPr>
                                            </pic:pic>
                                          </a:graphicData>
                                        </a:graphic>
                                      </wp:inline>
                                    </w:drawing>
                                  </w:r>
                                  <w:bookmarkStart w:id="127" w:name="i-65"/>
                                  <w:bookmarkEnd w:id="12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5" descr=""/>
                                          <pic:cNvPicPr>
                                            <a:picLocks noChangeAspect="1" noChangeArrowheads="1"/>
                                          </pic:cNvPicPr>
                                        </pic:nvPicPr>
                                        <pic:blipFill>
                                          <a:blip r:embed="rId127"/>
                                          <a:stretch>
                                            <a:fillRect/>
                                          </a:stretch>
                                        </pic:blipFill>
                                        <pic:spPr bwMode="auto">
                                          <a:xfrm>
                                            <a:off x="0" y="0"/>
                                            <a:ext cx="457200" cy="95250"/>
                                          </a:xfrm>
                                          <a:prstGeom prst="rect">
                                            <a:avLst/>
                                          </a:prstGeom>
                                        </pic:spPr>
                                      </pic:pic>
                                    </a:graphicData>
                                  </a:graphic>
                                </wp:inline>
                              </w:drawing>
                            </w:r>
                            <w:bookmarkStart w:id="128" w:name="i-65"/>
                            <w:bookmarkEnd w:id="12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been, are currently, and could in the future be, subject to legal proceedings with third parties who may claim that our products infringe or misappropriate their intellectual property rights.</w:t>
      </w:r>
    </w:p>
    <w:p>
      <w:pPr>
        <w:pStyle w:val="TextBody"/>
        <w:bidi w:val="0"/>
        <w:spacing w:lineRule="auto" w:line="288" w:before="120" w:after="283"/>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shd w:fill="FFFFFF" w:val="clear"/>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not yet registered some of our trademarks in all of our potential markets, and failure to secure those registrations could adversely affect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12520"/>
                <wp:effectExtent l="0" t="0" r="0" b="0"/>
                <wp:wrapNone/>
                <wp:docPr id="189" name="Frame6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6" descr=""/>
                                                <pic:cNvPicPr>
                                                  <a:picLocks noChangeAspect="1" noChangeArrowheads="1"/>
                                                </pic:cNvPicPr>
                                              </pic:nvPicPr>
                                              <pic:blipFill>
                                                <a:blip r:embed="rId128"/>
                                                <a:stretch>
                                                  <a:fillRect/>
                                                </a:stretch>
                                              </pic:blipFill>
                                              <pic:spPr bwMode="auto">
                                                <a:xfrm>
                                                  <a:off x="0" y="0"/>
                                                  <a:ext cx="457200" cy="95250"/>
                                                </a:xfrm>
                                                <a:prstGeom prst="rect">
                                                  <a:avLst/>
                                                </a:prstGeom>
                                              </pic:spPr>
                                            </pic:pic>
                                          </a:graphicData>
                                        </a:graphic>
                                      </wp:inline>
                                    </w:drawing>
                                  </w:r>
                                  <w:bookmarkStart w:id="129" w:name="i-66"/>
                                  <w:bookmarkEnd w:id="1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6" descr=""/>
                                          <pic:cNvPicPr>
                                            <a:picLocks noChangeAspect="1" noChangeArrowheads="1"/>
                                          </pic:cNvPicPr>
                                        </pic:nvPicPr>
                                        <pic:blipFill>
                                          <a:blip r:embed="rId129"/>
                                          <a:stretch>
                                            <a:fillRect/>
                                          </a:stretch>
                                        </pic:blipFill>
                                        <pic:spPr bwMode="auto">
                                          <a:xfrm>
                                            <a:off x="0" y="0"/>
                                            <a:ext cx="457200" cy="95250"/>
                                          </a:xfrm>
                                          <a:prstGeom prst="rect">
                                            <a:avLst/>
                                          </a:prstGeom>
                                        </pic:spPr>
                                      </pic:pic>
                                    </a:graphicData>
                                  </a:graphic>
                                </wp:inline>
                              </w:drawing>
                            </w:r>
                            <w:bookmarkStart w:id="130" w:name="i-66"/>
                            <w:bookmarkEnd w:id="13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“open source” software could adversely affect our ability to sell our products and subject us to possible litigation.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tbl>
      <w:tblPr>
        <w:tblW w:w="3674" w:type="dxa"/>
        <w:jc w:val="left"/>
        <w:tblInd w:w="0" w:type="dxa"/>
        <w:tblLayout w:type="fixed"/>
        <w:tblCellMar>
          <w:top w:w="28" w:type="dxa"/>
          <w:left w:w="28" w:type="dxa"/>
          <w:bottom w:w="28" w:type="dxa"/>
          <w:right w:w="28" w:type="dxa"/>
        </w:tblCellMar>
      </w:tblPr>
      <w:tblGrid>
        <w:gridCol w:w="1176"/>
        <w:gridCol w:w="1034"/>
        <w:gridCol w:w="1464"/>
      </w:tblGrid>
      <w:tr>
        <w:trPr/>
        <w:tc>
          <w:tcPr>
            <w:tcW w:w="11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Risks Related to Regulation</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are, and may become, subject to governmental regulations that may impose burdens on our operations, and the markets for our products may be narrowed.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lineRule="auto" w:line="288" w:before="120" w:after="283"/>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12520"/>
                <wp:effectExtent l="0" t="0" r="0" b="0"/>
                <wp:wrapNone/>
                <wp:docPr id="192" name="Frame6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7" descr=""/>
                                                <pic:cNvPicPr>
                                                  <a:picLocks noChangeAspect="1" noChangeArrowheads="1"/>
                                                </pic:cNvPicPr>
                                              </pic:nvPicPr>
                                              <pic:blipFill>
                                                <a:blip r:embed="rId130"/>
                                                <a:stretch>
                                                  <a:fillRect/>
                                                </a:stretch>
                                              </pic:blipFill>
                                              <pic:spPr bwMode="auto">
                                                <a:xfrm>
                                                  <a:off x="0" y="0"/>
                                                  <a:ext cx="457200" cy="95250"/>
                                                </a:xfrm>
                                                <a:prstGeom prst="rect">
                                                  <a:avLst/>
                                                </a:prstGeom>
                                              </pic:spPr>
                                            </pic:pic>
                                          </a:graphicData>
                                        </a:graphic>
                                      </wp:inline>
                                    </w:drawing>
                                  </w:r>
                                  <w:bookmarkStart w:id="131" w:name="i-67"/>
                                  <w:bookmarkEnd w:id="13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7" descr=""/>
                                          <pic:cNvPicPr>
                                            <a:picLocks noChangeAspect="1" noChangeArrowheads="1"/>
                                          </pic:cNvPicPr>
                                        </pic:nvPicPr>
                                        <pic:blipFill>
                                          <a:blip r:embed="rId131"/>
                                          <a:stretch>
                                            <a:fillRect/>
                                          </a:stretch>
                                        </pic:blipFill>
                                        <pic:spPr bwMode="auto">
                                          <a:xfrm>
                                            <a:off x="0" y="0"/>
                                            <a:ext cx="457200" cy="95250"/>
                                          </a:xfrm>
                                          <a:prstGeom prst="rect">
                                            <a:avLst/>
                                          </a:prstGeom>
                                        </pic:spPr>
                                      </pic:pic>
                                    </a:graphicData>
                                  </a:graphic>
                                </wp:inline>
                              </w:drawing>
                            </w:r>
                            <w:bookmarkStart w:id="132" w:name="i-67"/>
                            <w:bookmarkEnd w:id="13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U.S. District Court in Texas ruled that FDA exceeded its authority and vacated and set aside this LDT final rule in its entirety. We will continue to monitor this case, as well as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under the new leadership at the Department of Health and Human Services under the Trump administration, agency reorganization, departure of high-profile regulators at the FDA, layoffs due to the reduction in force initiative may impact the normal operations of federal agencies, including FDA. NIH funding cuts can impact the business operations of our customers and decrease the demand for our products. It is unclear how our industry and the businesses of our customers will be impacted by executive orders, policies and regulations implemented under the Trump administration. There is significant uncertainty in the industry.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12520"/>
                <wp:effectExtent l="0" t="0" r="0" b="0"/>
                <wp:wrapNone/>
                <wp:docPr id="195" name="Frame6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8" descr=""/>
                                                <pic:cNvPicPr>
                                                  <a:picLocks noChangeAspect="1" noChangeArrowheads="1"/>
                                                </pic:cNvPicPr>
                                              </pic:nvPicPr>
                                              <pic:blipFill>
                                                <a:blip r:embed="rId132"/>
                                                <a:stretch>
                                                  <a:fillRect/>
                                                </a:stretch>
                                              </pic:blipFill>
                                              <pic:spPr bwMode="auto">
                                                <a:xfrm>
                                                  <a:off x="0" y="0"/>
                                                  <a:ext cx="457200" cy="95250"/>
                                                </a:xfrm>
                                                <a:prstGeom prst="rect">
                                                  <a:avLst/>
                                                </a:prstGeom>
                                              </pic:spPr>
                                            </pic:pic>
                                          </a:graphicData>
                                        </a:graphic>
                                      </wp:inline>
                                    </w:drawing>
                                  </w:r>
                                  <w:bookmarkStart w:id="133" w:name="i-68"/>
                                  <w:bookmarkEnd w:id="1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8" descr=""/>
                                          <pic:cNvPicPr>
                                            <a:picLocks noChangeAspect="1" noChangeArrowheads="1"/>
                                          </pic:cNvPicPr>
                                        </pic:nvPicPr>
                                        <pic:blipFill>
                                          <a:blip r:embed="rId133"/>
                                          <a:stretch>
                                            <a:fillRect/>
                                          </a:stretch>
                                        </pic:blipFill>
                                        <pic:spPr bwMode="auto">
                                          <a:xfrm>
                                            <a:off x="0" y="0"/>
                                            <a:ext cx="457200" cy="95250"/>
                                          </a:xfrm>
                                          <a:prstGeom prst="rect">
                                            <a:avLst/>
                                          </a:prstGeom>
                                        </pic:spPr>
                                      </pic:pic>
                                    </a:graphicData>
                                  </a:graphic>
                                </wp:inline>
                              </w:drawing>
                            </w:r>
                            <w:bookmarkStart w:id="134" w:name="i-68"/>
                            <w:bookmarkEnd w:id="1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lineRule="auto" w:line="288" w:before="120" w:after="283"/>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12520"/>
                <wp:effectExtent l="0" t="0" r="0" b="0"/>
                <wp:wrapNone/>
                <wp:docPr id="198" name="Frame6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9" descr=""/>
                                                <pic:cNvPicPr>
                                                  <a:picLocks noChangeAspect="1" noChangeArrowheads="1"/>
                                                </pic:cNvPicPr>
                                              </pic:nvPicPr>
                                              <pic:blipFill>
                                                <a:blip r:embed="rId134"/>
                                                <a:stretch>
                                                  <a:fillRect/>
                                                </a:stretch>
                                              </pic:blipFill>
                                              <pic:spPr bwMode="auto">
                                                <a:xfrm>
                                                  <a:off x="0" y="0"/>
                                                  <a:ext cx="457200" cy="95250"/>
                                                </a:xfrm>
                                                <a:prstGeom prst="rect">
                                                  <a:avLst/>
                                                </a:prstGeom>
                                              </pic:spPr>
                                            </pic:pic>
                                          </a:graphicData>
                                        </a:graphic>
                                      </wp:inline>
                                    </w:drawing>
                                  </w:r>
                                  <w:bookmarkStart w:id="135" w:name="i-69"/>
                                  <w:bookmarkEnd w:id="13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9" descr=""/>
                                          <pic:cNvPicPr>
                                            <a:picLocks noChangeAspect="1" noChangeArrowheads="1"/>
                                          </pic:cNvPicPr>
                                        </pic:nvPicPr>
                                        <pic:blipFill>
                                          <a:blip r:embed="rId135"/>
                                          <a:stretch>
                                            <a:fillRect/>
                                          </a:stretch>
                                        </pic:blipFill>
                                        <pic:spPr bwMode="auto">
                                          <a:xfrm>
                                            <a:off x="0" y="0"/>
                                            <a:ext cx="457200" cy="95250"/>
                                          </a:xfrm>
                                          <a:prstGeom prst="rect">
                                            <a:avLst/>
                                          </a:prstGeom>
                                        </pic:spPr>
                                      </pic:pic>
                                    </a:graphicData>
                                  </a:graphic>
                                </wp:inline>
                              </w:drawing>
                            </w:r>
                            <w:bookmarkStart w:id="136" w:name="i-69"/>
                            <w:bookmarkEnd w:id="13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lineRule="auto" w:line="288" w:before="180" w:after="283"/>
        <w:jc w:val="both"/>
        <w:rPr>
          <w:rFonts w:ascii="Roboto;sans-serif" w:hAnsi="Roboto;sans-serif"/>
          <w:b/>
          <w:i/>
          <w:color w:val="DF1995"/>
          <w:sz w:val="20"/>
        </w:rPr>
      </w:pPr>
      <w:bookmarkStart w:id="137" w:name="i8f6c895010734eacbbfa7762111ecdf4_193832"/>
      <w:bookmarkEnd w:id="137"/>
      <w:r>
        <w:rPr>
          <w:rFonts w:ascii="Roboto;sans-serif" w:hAnsi="Roboto;sans-serif"/>
          <w:b/>
          <w:i/>
          <w:color w:val="DF1995"/>
          <w:sz w:val="20"/>
        </w:rPr>
        <w:t>Enhanced trade tariffs, import restrictions, export restrictions, or other trade barriers may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ranging from 7.5% to 25% on the import of Chinese products, including non-U.S. components and materials that may be used in our products. Since that time, USTR has enacted further tariff increases on certain Chinese products, in some instances raising this additional tariff on these products to up to 100%. In February 2025, the U.S. government also enacted an additional 10% ad valorem tariff on almost all imports of Chinese-origin goods, and in March 2025, this tariff was further escalated to 20% ad valorem. An additional reciprocal 125% ad valorem tariff has been imposed by the U.S. on many Chinese-origin goods since April 2025—alongside an 10% ad valorem tariff on almost all imports from trading partners other than China, Canada, Mexico, and countries with which the U.S. does not have normal trade relations—with limited exceptions for pharmaceuticals, semiconductors, computers, and certain other imports.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In February 2025, the Trump Administration also announced new 25% tariffs on imports from Canada and Mexico, which were temporarily suspended subject to further negotiations, and partially implemented with respect to goods not eligible for duty-free import under the U.S.-Mexico-Canada Agreement as of March 2025. U.S. tariffs of 25% have also been implemented on a wider array of imported steel and aluminum items as of March 2025, on automobiles as of April 2025 and on automobile components as of May 2025. Additional reciprocal tariffs on a wide range of U.S. trading partners were briefly implemented in April 2025 and have been temporarily suspended through July 2025. Additional tariffs may be forthcoming, including tariffs on items that have been the subject of recent U.S. executive orders and U.S. government tariff investigations, including (i) critical minerals and derivative products thereof (e.g., semiconductor wafers, semiconductors, and semiconductor manufacturing equipment) and (ii) pharmaceuticals and pharmaceutical products. Further tariffs may be imposed that could cover imports of additional components and materials used in our products and our business may be adversely impacted by these measures or by retaliatory trade measures taken by China, Canada, the EU, or other countries, including restricted access to components or materials used in our products or increased amounts that must be paid for our products, which could materially harm our business, financial condition, and results of operations.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 or indirectly affected by macroeconomic effects resulting from these or other tariff related actions, including potential risks associated with inflation or economic recession.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12520"/>
                <wp:effectExtent l="0" t="0" r="0" b="0"/>
                <wp:wrapNone/>
                <wp:docPr id="201" name="Frame6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0" descr=""/>
                                                <pic:cNvPicPr>
                                                  <a:picLocks noChangeAspect="1" noChangeArrowheads="1"/>
                                                </pic:cNvPicPr>
                                              </pic:nvPicPr>
                                              <pic:blipFill>
                                                <a:blip r:embed="rId136"/>
                                                <a:stretch>
                                                  <a:fillRect/>
                                                </a:stretch>
                                              </pic:blipFill>
                                              <pic:spPr bwMode="auto">
                                                <a:xfrm>
                                                  <a:off x="0" y="0"/>
                                                  <a:ext cx="457200" cy="95250"/>
                                                </a:xfrm>
                                                <a:prstGeom prst="rect">
                                                  <a:avLst/>
                                                </a:prstGeom>
                                              </pic:spPr>
                                            </pic:pic>
                                          </a:graphicData>
                                        </a:graphic>
                                      </wp:inline>
                                    </w:drawing>
                                  </w:r>
                                  <w:bookmarkStart w:id="138" w:name="i-70"/>
                                  <w:bookmarkEnd w:id="1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0" descr=""/>
                                          <pic:cNvPicPr>
                                            <a:picLocks noChangeAspect="1" noChangeArrowheads="1"/>
                                          </pic:cNvPicPr>
                                        </pic:nvPicPr>
                                        <pic:blipFill>
                                          <a:blip r:embed="rId137"/>
                                          <a:stretch>
                                            <a:fillRect/>
                                          </a:stretch>
                                        </pic:blipFill>
                                        <pic:spPr bwMode="auto">
                                          <a:xfrm>
                                            <a:off x="0" y="0"/>
                                            <a:ext cx="457200" cy="95250"/>
                                          </a:xfrm>
                                          <a:prstGeom prst="rect">
                                            <a:avLst/>
                                          </a:prstGeom>
                                        </pic:spPr>
                                      </pic:pic>
                                    </a:graphicData>
                                  </a:graphic>
                                </wp:inline>
                              </w:drawing>
                            </w:r>
                            <w:bookmarkStart w:id="139" w:name="i-70"/>
                            <w:bookmarkEnd w:id="13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subject to U.S. export control laws and regulations, including the Export Administration Regulations administered by the U.S. Department of Commerce’s Bureau of Industry and Security. Under these laws and regulations, exports of our products as well as the 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imposed in 2022 restricting the ability to send certain products and technology related to semiconductors, semiconductor manufacturing, and supercomputing. In 2023 and 2024, the U.S. government expanded the list of advanced integrated circuits subject to heightened export controls, including certain hardware containing these specified integrated circuits, expanded the list of destinations requiring export authorization for such items, and added new restrictions based on the headquarters location of the parties involved. Regulations further expanding the controls to impose a worldwide licensing requirement on certain integrated circuits and computing resources that are used for training of AI models are currently in effect and have a scheduled compliance date of May 15, 2025, after which time companies may be subject to further enforcement. In many cases, these licenses are subject to a policy of denial and will not be issued.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restrict our ability to use certain integrated circuits in our products. Should we violate such existing or similar laws or regulations, we may be subject to substantial monetary fines or suffer reputational damage and other penalties that could negatively impact our business. If we need to obtain any necessary export licenses or other authorizations for a particular sale, the process may be time-consuming and may result in the delay or loss of opportunities to sell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Since 2018, the U.S. government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Chinese government has introduced retaliatory measures in response to existing or future U.S. export controls, tariffs and other trade restrictions and it is possible that the Chinese or U.S. governments will implement additional retaliatory measures which could impact our business. For example, in December 2024, China announced a new export control regime that includes stringent export controls on exports of germanium and gallium, and in February 2025 implemented additional export controls regulating the export of resources including tungsten, tellurium, bismuth, indium, and molybdenum. Export controls on these and other rare earth materials further increased in retaliation to the increase in U.S. tariffs on products of Chinese origin in April 2025, which has resulted in a pause of the export of these materials from China.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or indirectly, adversely impact our financial results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12520"/>
                <wp:effectExtent l="0" t="0" r="0" b="0"/>
                <wp:wrapNone/>
                <wp:docPr id="204" name="Frame6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1" descr=""/>
                                                <pic:cNvPicPr>
                                                  <a:picLocks noChangeAspect="1" noChangeArrowheads="1"/>
                                                </pic:cNvPicPr>
                                              </pic:nvPicPr>
                                              <pic:blipFill>
                                                <a:blip r:embed="rId138"/>
                                                <a:stretch>
                                                  <a:fillRect/>
                                                </a:stretch>
                                              </pic:blipFill>
                                              <pic:spPr bwMode="auto">
                                                <a:xfrm>
                                                  <a:off x="0" y="0"/>
                                                  <a:ext cx="457200" cy="95250"/>
                                                </a:xfrm>
                                                <a:prstGeom prst="rect">
                                                  <a:avLst/>
                                                </a:prstGeom>
                                              </pic:spPr>
                                            </pic:pic>
                                          </a:graphicData>
                                        </a:graphic>
                                      </wp:inline>
                                    </w:drawing>
                                  </w:r>
                                  <w:bookmarkStart w:id="140" w:name="i-71"/>
                                  <w:bookmarkEnd w:id="14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1" descr=""/>
                                          <pic:cNvPicPr>
                                            <a:picLocks noChangeAspect="1" noChangeArrowheads="1"/>
                                          </pic:cNvPicPr>
                                        </pic:nvPicPr>
                                        <pic:blipFill>
                                          <a:blip r:embed="rId139"/>
                                          <a:stretch>
                                            <a:fillRect/>
                                          </a:stretch>
                                        </pic:blipFill>
                                        <pic:spPr bwMode="auto">
                                          <a:xfrm>
                                            <a:off x="0" y="0"/>
                                            <a:ext cx="457200" cy="95250"/>
                                          </a:xfrm>
                                          <a:prstGeom prst="rect">
                                            <a:avLst/>
                                          </a:prstGeom>
                                        </pic:spPr>
                                      </pic:pic>
                                    </a:graphicData>
                                  </a:graphic>
                                </wp:inline>
                              </w:drawing>
                            </w:r>
                            <w:bookmarkStart w:id="141" w:name="i-71"/>
                            <w:bookmarkEnd w:id="1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international business could expose us to business, regulatory, political, operational, financial, and economic risks associated with doing business outside of the United States.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export requirements and import or trade restrictions;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laws and business practices favoring local companies;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foreign currency exchange, longer payment cycles and difficulties in enforcing agreements and collecting receivables through certain foreign legal systems;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adverse tax consequences, tariffs, customs charges, bureaucratic requirements,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and costs of staffing and managing foreign operations;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12520"/>
                <wp:effectExtent l="0" t="0" r="0" b="0"/>
                <wp:wrapNone/>
                <wp:docPr id="207" name="Frame6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2" descr=""/>
                                                <pic:cNvPicPr>
                                                  <a:picLocks noChangeAspect="1" noChangeArrowheads="1"/>
                                                </pic:cNvPicPr>
                                              </pic:nvPicPr>
                                              <pic:blipFill>
                                                <a:blip r:embed="rId140"/>
                                                <a:stretch>
                                                  <a:fillRect/>
                                                </a:stretch>
                                              </pic:blipFill>
                                              <pic:spPr bwMode="auto">
                                                <a:xfrm>
                                                  <a:off x="0" y="0"/>
                                                  <a:ext cx="457200" cy="95250"/>
                                                </a:xfrm>
                                                <a:prstGeom prst="rect">
                                                  <a:avLst/>
                                                </a:prstGeom>
                                              </pic:spPr>
                                            </pic:pic>
                                          </a:graphicData>
                                        </a:graphic>
                                      </wp:inline>
                                    </w:drawing>
                                  </w:r>
                                  <w:bookmarkStart w:id="142" w:name="i-72"/>
                                  <w:bookmarkEnd w:id="1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2" descr=""/>
                                          <pic:cNvPicPr>
                                            <a:picLocks noChangeAspect="1" noChangeArrowheads="1"/>
                                          </pic:cNvPicPr>
                                        </pic:nvPicPr>
                                        <pic:blipFill>
                                          <a:blip r:embed="rId141"/>
                                          <a:stretch>
                                            <a:fillRect/>
                                          </a:stretch>
                                        </pic:blipFill>
                                        <pic:spPr bwMode="auto">
                                          <a:xfrm>
                                            <a:off x="0" y="0"/>
                                            <a:ext cx="457200" cy="95250"/>
                                          </a:xfrm>
                                          <a:prstGeom prst="rect">
                                            <a:avLst/>
                                          </a:prstGeom>
                                        </pic:spPr>
                                      </pic:pic>
                                    </a:graphicData>
                                  </a:graphic>
                                </wp:inline>
                              </w:drawing>
                            </w:r>
                            <w:bookmarkStart w:id="143" w:name="i-72"/>
                            <w:bookmarkEnd w:id="14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Ethical, legal, privacy, data protection and social concerns or governmental restrictions surrounding the use of genetic information could reduce demand for our technology.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tbl>
      <w:tblPr>
        <w:tblW w:w="5775" w:type="dxa"/>
        <w:jc w:val="left"/>
        <w:tblInd w:w="0" w:type="dxa"/>
        <w:tblLayout w:type="fixed"/>
        <w:tblCellMar>
          <w:top w:w="28" w:type="dxa"/>
          <w:left w:w="28" w:type="dxa"/>
          <w:bottom w:w="28" w:type="dxa"/>
          <w:right w:w="28" w:type="dxa"/>
        </w:tblCellMar>
      </w:tblPr>
      <w:tblGrid>
        <w:gridCol w:w="1846"/>
        <w:gridCol w:w="1625"/>
        <w:gridCol w:w="2304"/>
      </w:tblGrid>
      <w:tr>
        <w:trPr/>
        <w:tc>
          <w:tcPr>
            <w:tcW w:w="18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Risks Related to Owning Our Common Stock</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The price of our common stock has been, is, and may continue to be, highly volatile, and you may be unable to sell your shares at or above the price you paid to acquire them.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of new products, technological innovations or strategic partnerships by us or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our customers, partners, or suppliers relating directly or indirectly to our products, services or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overall conditions in our industry and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 or loss of significant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laws or regulations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changes in our growth rate relative to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12520"/>
                <wp:effectExtent l="0" t="0" r="0" b="0"/>
                <wp:wrapNone/>
                <wp:docPr id="210" name="Frame7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3" descr=""/>
                                                <pic:cNvPicPr>
                                                  <a:picLocks noChangeAspect="1" noChangeArrowheads="1"/>
                                                </pic:cNvPicPr>
                                              </pic:nvPicPr>
                                              <pic:blipFill>
                                                <a:blip r:embed="rId142"/>
                                                <a:stretch>
                                                  <a:fillRect/>
                                                </a:stretch>
                                              </pic:blipFill>
                                              <pic:spPr bwMode="auto">
                                                <a:xfrm>
                                                  <a:off x="0" y="0"/>
                                                  <a:ext cx="457200" cy="95250"/>
                                                </a:xfrm>
                                                <a:prstGeom prst="rect">
                                                  <a:avLst/>
                                                </a:prstGeom>
                                              </pic:spPr>
                                            </pic:pic>
                                          </a:graphicData>
                                        </a:graphic>
                                      </wp:inline>
                                    </w:drawing>
                                  </w:r>
                                  <w:bookmarkStart w:id="144" w:name="i-73"/>
                                  <w:bookmarkEnd w:id="14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3" descr=""/>
                                          <pic:cNvPicPr>
                                            <a:picLocks noChangeAspect="1" noChangeArrowheads="1"/>
                                          </pic:cNvPicPr>
                                        </pic:nvPicPr>
                                        <pic:blipFill>
                                          <a:blip r:embed="rId143"/>
                                          <a:stretch>
                                            <a:fillRect/>
                                          </a:stretch>
                                        </pic:blipFill>
                                        <pic:spPr bwMode="auto">
                                          <a:xfrm>
                                            <a:off x="0" y="0"/>
                                            <a:ext cx="457200" cy="95250"/>
                                          </a:xfrm>
                                          <a:prstGeom prst="rect">
                                            <a:avLst/>
                                          </a:prstGeom>
                                        </pic:spPr>
                                      </pic:pic>
                                    </a:graphicData>
                                  </a:graphic>
                                </wp:inline>
                              </w:drawing>
                            </w:r>
                            <w:bookmarkStart w:id="145" w:name="i-73"/>
                            <w:bookmarkEnd w:id="14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additions or departures of key personnel;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competition from existing products or new products that may emerge;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issuance of new or updated research or reports by securities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 or expectation of additional financing efforts;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sales of our common stock by us or our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stock price and volume fluctuations attributable to inconsistent trading volume levels of our shares;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reports, guidance and ratings issued by securities or industry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operating results below the expectations of securities analysts or investors;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general economic and market conditions, which could be impacted by various events including health epidemics or pandemics, interest rate fluctuations, increases in fuel prices, foreign currency fluctuations, changing international trade policies,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Concentration of ownership by our principal stockholders may result in control by such stockholders of the composition of our board of directors.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12520"/>
                <wp:effectExtent l="0" t="0" r="0" b="0"/>
                <wp:wrapNone/>
                <wp:docPr id="213" name="Frame7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4" descr=""/>
                                                <pic:cNvPicPr>
                                                  <a:picLocks noChangeAspect="1" noChangeArrowheads="1"/>
                                                </pic:cNvPicPr>
                                              </pic:nvPicPr>
                                              <pic:blipFill>
                                                <a:blip r:embed="rId144"/>
                                                <a:stretch>
                                                  <a:fillRect/>
                                                </a:stretch>
                                              </pic:blipFill>
                                              <pic:spPr bwMode="auto">
                                                <a:xfrm>
                                                  <a:off x="0" y="0"/>
                                                  <a:ext cx="457200" cy="95250"/>
                                                </a:xfrm>
                                                <a:prstGeom prst="rect">
                                                  <a:avLst/>
                                                </a:prstGeom>
                                              </pic:spPr>
                                            </pic:pic>
                                          </a:graphicData>
                                        </a:graphic>
                                      </wp:inline>
                                    </w:drawing>
                                  </w:r>
                                  <w:bookmarkStart w:id="146" w:name="i-74"/>
                                  <w:bookmarkEnd w:id="14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4" descr=""/>
                                          <pic:cNvPicPr>
                                            <a:picLocks noChangeAspect="1" noChangeArrowheads="1"/>
                                          </pic:cNvPicPr>
                                        </pic:nvPicPr>
                                        <pic:blipFill>
                                          <a:blip r:embed="rId145"/>
                                          <a:stretch>
                                            <a:fillRect/>
                                          </a:stretch>
                                        </pic:blipFill>
                                        <pic:spPr bwMode="auto">
                                          <a:xfrm>
                                            <a:off x="0" y="0"/>
                                            <a:ext cx="457200" cy="95250"/>
                                          </a:xfrm>
                                          <a:prstGeom prst="rect">
                                            <a:avLst/>
                                          </a:prstGeom>
                                        </pic:spPr>
                                      </pic:pic>
                                    </a:graphicData>
                                  </a:graphic>
                                </wp:inline>
                              </w:drawing>
                            </w:r>
                            <w:bookmarkStart w:id="147" w:name="i-74"/>
                            <w:bookmarkEnd w:id="1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management and will make the approval of certain transactions difficult or impossible without the support of these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that our board of directors is divided into three classes, Class I, Class II and Class III, with each class serving staggered terms (until our board of directors is fully declassified beginning with the 2027 annual meeting of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our directors may be removed only for cause;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 xml:space="preserve">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12520"/>
                <wp:effectExtent l="0" t="0" r="0" b="0"/>
                <wp:wrapNone/>
                <wp:docPr id="216" name="Frame7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5" descr=""/>
                                                <pic:cNvPicPr>
                                                  <a:picLocks noChangeAspect="1" noChangeArrowheads="1"/>
                                                </pic:cNvPicPr>
                                              </pic:nvPicPr>
                                              <pic:blipFill>
                                                <a:blip r:embed="rId146"/>
                                                <a:stretch>
                                                  <a:fillRect/>
                                                </a:stretch>
                                              </pic:blipFill>
                                              <pic:spPr bwMode="auto">
                                                <a:xfrm>
                                                  <a:off x="0" y="0"/>
                                                  <a:ext cx="457200" cy="95250"/>
                                                </a:xfrm>
                                                <a:prstGeom prst="rect">
                                                  <a:avLst/>
                                                </a:prstGeom>
                                              </pic:spPr>
                                            </pic:pic>
                                          </a:graphicData>
                                        </a:graphic>
                                      </wp:inline>
                                    </w:drawing>
                                  </w:r>
                                  <w:bookmarkStart w:id="148" w:name="i-75"/>
                                  <w:bookmarkEnd w:id="1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5" descr=""/>
                                          <pic:cNvPicPr>
                                            <a:picLocks noChangeAspect="1" noChangeArrowheads="1"/>
                                          </pic:cNvPicPr>
                                        </pic:nvPicPr>
                                        <pic:blipFill>
                                          <a:blip r:embed="rId147"/>
                                          <a:stretch>
                                            <a:fillRect/>
                                          </a:stretch>
                                        </pic:blipFill>
                                        <pic:spPr bwMode="auto">
                                          <a:xfrm>
                                            <a:off x="0" y="0"/>
                                            <a:ext cx="457200" cy="95250"/>
                                          </a:xfrm>
                                          <a:prstGeom prst="rect">
                                            <a:avLst/>
                                          </a:prstGeom>
                                        </pic:spPr>
                                      </pic:pic>
                                    </a:graphicData>
                                  </a:graphic>
                                </wp:inline>
                              </w:drawing>
                            </w:r>
                            <w:bookmarkStart w:id="149" w:name="i-75"/>
                            <w:bookmarkEnd w:id="14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Securities Act including, without limitation and for the avoidance of doubt, any auditor, underwriter, expert, control person or other defendant.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large number of authorized but unissued shares of common stock may potentially dilute existing stockholders’ stockholdings.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do not intend to pay dividends for the foreseeable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tbl>
      <w:tblPr>
        <w:tblW w:w="3570" w:type="dxa"/>
        <w:jc w:val="left"/>
        <w:tblInd w:w="0" w:type="dxa"/>
        <w:tblLayout w:type="fixed"/>
        <w:tblCellMar>
          <w:top w:w="28" w:type="dxa"/>
          <w:left w:w="28" w:type="dxa"/>
          <w:bottom w:w="28" w:type="dxa"/>
          <w:right w:w="28" w:type="dxa"/>
        </w:tblCellMar>
      </w:tblPr>
      <w:tblGrid>
        <w:gridCol w:w="1142"/>
        <w:gridCol w:w="1004"/>
        <w:gridCol w:w="1424"/>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Risks Related to Our Notes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March 31, 2025,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12520"/>
                <wp:effectExtent l="0" t="0" r="0" b="0"/>
                <wp:wrapNone/>
                <wp:docPr id="219" name="Frame7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6" descr=""/>
                                                <pic:cNvPicPr>
                                                  <a:picLocks noChangeAspect="1" noChangeArrowheads="1"/>
                                                </pic:cNvPicPr>
                                              </pic:nvPicPr>
                                              <pic:blipFill>
                                                <a:blip r:embed="rId148"/>
                                                <a:stretch>
                                                  <a:fillRect/>
                                                </a:stretch>
                                              </pic:blipFill>
                                              <pic:spPr bwMode="auto">
                                                <a:xfrm>
                                                  <a:off x="0" y="0"/>
                                                  <a:ext cx="457200" cy="95250"/>
                                                </a:xfrm>
                                                <a:prstGeom prst="rect">
                                                  <a:avLst/>
                                                </a:prstGeom>
                                              </pic:spPr>
                                            </pic:pic>
                                          </a:graphicData>
                                        </a:graphic>
                                      </wp:inline>
                                    </w:drawing>
                                  </w:r>
                                  <w:bookmarkStart w:id="150" w:name="i-76"/>
                                  <w:bookmarkEnd w:id="15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6" descr=""/>
                                          <pic:cNvPicPr>
                                            <a:picLocks noChangeAspect="1" noChangeArrowheads="1"/>
                                          </pic:cNvPicPr>
                                        </pic:nvPicPr>
                                        <pic:blipFill>
                                          <a:blip r:embed="rId149"/>
                                          <a:stretch>
                                            <a:fillRect/>
                                          </a:stretch>
                                        </pic:blipFill>
                                        <pic:spPr bwMode="auto">
                                          <a:xfrm>
                                            <a:off x="0" y="0"/>
                                            <a:ext cx="457200" cy="95250"/>
                                          </a:xfrm>
                                          <a:prstGeom prst="rect">
                                            <a:avLst/>
                                          </a:prstGeom>
                                        </pic:spPr>
                                      </pic:pic>
                                    </a:graphicData>
                                  </a:graphic>
                                </wp:inline>
                              </w:drawing>
                            </w:r>
                            <w:bookmarkStart w:id="151" w:name="i-76"/>
                            <w:bookmarkEnd w:id="15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Side Letter to our 2029 Notes imposes operating restrictions on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21, 2024, in connection with the issuance of the 2029 Notes, the Company and SB Northstar LP (“SBN”) entered into a letter agreement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These covenants may adversely affect our ability to finance our operations, meet or otherwise address our capital needs, pursue business opportunities or react to market conditions, or otherwise restrict our activities or business plans.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breach of any of the covenants under the Letter Agreement could result in an event of default under the 2029 Notes. As of March 31, 2025,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the Notes are converted, it may adversely affect our financial condition and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12520"/>
                <wp:effectExtent l="0" t="0" r="0" b="0"/>
                <wp:wrapNone/>
                <wp:docPr id="222" name="Frame7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7" descr=""/>
                                                <pic:cNvPicPr>
                                                  <a:picLocks noChangeAspect="1" noChangeArrowheads="1"/>
                                                </pic:cNvPicPr>
                                              </pic:nvPicPr>
                                              <pic:blipFill>
                                                <a:blip r:embed="rId150"/>
                                                <a:stretch>
                                                  <a:fillRect/>
                                                </a:stretch>
                                              </pic:blipFill>
                                              <pic:spPr bwMode="auto">
                                                <a:xfrm>
                                                  <a:off x="0" y="0"/>
                                                  <a:ext cx="457200" cy="95250"/>
                                                </a:xfrm>
                                                <a:prstGeom prst="rect">
                                                  <a:avLst/>
                                                </a:prstGeom>
                                              </pic:spPr>
                                            </pic:pic>
                                          </a:graphicData>
                                        </a:graphic>
                                      </wp:inline>
                                    </w:drawing>
                                  </w:r>
                                  <w:bookmarkStart w:id="152" w:name="i-77"/>
                                  <w:bookmarkEnd w:id="15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7" descr=""/>
                                          <pic:cNvPicPr>
                                            <a:picLocks noChangeAspect="1" noChangeArrowheads="1"/>
                                          </pic:cNvPicPr>
                                        </pic:nvPicPr>
                                        <pic:blipFill>
                                          <a:blip r:embed="rId151"/>
                                          <a:stretch>
                                            <a:fillRect/>
                                          </a:stretch>
                                        </pic:blipFill>
                                        <pic:spPr bwMode="auto">
                                          <a:xfrm>
                                            <a:off x="0" y="0"/>
                                            <a:ext cx="457200" cy="95250"/>
                                          </a:xfrm>
                                          <a:prstGeom prst="rect">
                                            <a:avLst/>
                                          </a:prstGeom>
                                        </pic:spPr>
                                      </pic:pic>
                                    </a:graphicData>
                                  </a:graphic>
                                </wp:inline>
                              </w:drawing>
                            </w:r>
                            <w:bookmarkStart w:id="153" w:name="i-77"/>
                            <w:bookmarkEnd w:id="15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2760" w:type="dxa"/>
        <w:jc w:val="left"/>
        <w:tblInd w:w="0" w:type="dxa"/>
        <w:tblLayout w:type="fixed"/>
        <w:tblCellMar>
          <w:top w:w="28" w:type="dxa"/>
          <w:left w:w="28" w:type="dxa"/>
          <w:bottom w:w="28" w:type="dxa"/>
          <w:right w:w="28" w:type="dxa"/>
        </w:tblCellMar>
      </w:tblPr>
      <w:tblGrid>
        <w:gridCol w:w="883"/>
        <w:gridCol w:w="776"/>
        <w:gridCol w:w="1101"/>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shd w:fill="FFFFFF" w:val="clear"/>
              </w:rPr>
            </w:pPr>
            <w:r>
              <w:rPr>
                <w:rFonts w:ascii="Roboto;sans-serif" w:hAnsi="Roboto;sans-serif"/>
                <w:b/>
                <w:color w:val="1383C6"/>
                <w:sz w:val="22"/>
                <w:shd w:fill="FFFFFF" w:val="clear"/>
              </w:rPr>
              <w:t>General Risk Factors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Unfavorable global economic or political conditions could adversely affect our business, financial condition or results of operations.</w:t>
      </w:r>
    </w:p>
    <w:p>
      <w:pPr>
        <w:pStyle w:val="TextBody"/>
        <w:bidi w:val="0"/>
        <w:spacing w:lineRule="auto" w:line="288" w:before="120" w:after="283"/>
        <w:jc w:val="both"/>
        <w:rPr/>
      </w:pPr>
      <w:r>
        <w:rPr>
          <w:rFonts w:ascii="Roboto;sans-serif" w:hAnsi="Roboto;sans-serif"/>
          <w:b w:val="false"/>
          <w:color w:val="000000"/>
          <w:sz w:val="20"/>
        </w:rPr>
        <w:t xml:space="preserve">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escalation of the conflict in the Middle East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Any of the foregoing could harm our business and we cannot anticipate all of the ways in which the political or economic climate and financial market conditions could adversely impact our business. For more information on impairment considerations, see “</w:t>
      </w:r>
      <w:hyperlink w:anchor="i8f6c895010734eacbbfa7762111ecdf4_193035">
        <w:r>
          <w:rPr>
            <w:rStyle w:val="InternetLink"/>
            <w:color w:val="0000FF"/>
            <w:u w:val="single"/>
          </w:rPr>
          <w:t>—</w:t>
        </w:r>
      </w:hyperlink>
      <w:hyperlink w:anchor="i8f6c895010734eacbbfa7762111ecdf4_193035">
        <w:r>
          <w:rPr>
            <w:rStyle w:val="InternetLink"/>
            <w:rFonts w:ascii="Roboto;sans-serif" w:hAnsi="Roboto;sans-serif"/>
            <w:b w:val="false"/>
            <w:i/>
            <w:color w:val="0000FF"/>
            <w:sz w:val="20"/>
            <w:u w:val="single"/>
          </w:rPr>
          <w:t>The commercialization and sales of our current or future products may be unsuccessful or less successful than anticipated. While we plan to continue pursuing new products and expand</w:t>
        </w:r>
      </w:hyperlink>
      <w:hyperlink w:anchor="i8f6c895010734eacbbfa7762111ecdf4_193035">
        <w:r>
          <w:rPr>
            <w:rStyle w:val="InternetLink"/>
          </w:rPr>
          <w:t>ing</w:t>
        </w:r>
      </w:hyperlink>
      <w:hyperlink w:anchor="i8f6c895010734eacbbfa7762111ecdf4_193035">
        <w:r>
          <w:rPr>
            <w:rStyle w:val="InternetLink"/>
          </w:rPr>
          <w:t xml:space="preserve">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Delivery of our products could be delayed or disrupted by factors beyond our control, and we could lose customers as a result.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Doing business internationally creates operational and financial risks for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in staffing and managing foreign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longer sales cycles and more time required to engage and educate customers on the benefits of our platform outside of the United States;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need for localized software and documentation;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reduced protection for intellectual property rights in some countries and practical difficulties of enforcing intellectual property and contract rights abroad;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defending against intellectual property claims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12520"/>
                <wp:effectExtent l="0" t="0" r="0" b="0"/>
                <wp:wrapNone/>
                <wp:docPr id="225" name="Frame7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8" descr=""/>
                                                <pic:cNvPicPr>
                                                  <a:picLocks noChangeAspect="1" noChangeArrowheads="1"/>
                                                </pic:cNvPicPr>
                                              </pic:nvPicPr>
                                              <pic:blipFill>
                                                <a:blip r:embed="rId152"/>
                                                <a:stretch>
                                                  <a:fillRect/>
                                                </a:stretch>
                                              </pic:blipFill>
                                              <pic:spPr bwMode="auto">
                                                <a:xfrm>
                                                  <a:off x="0" y="0"/>
                                                  <a:ext cx="457200" cy="95250"/>
                                                </a:xfrm>
                                                <a:prstGeom prst="rect">
                                                  <a:avLst/>
                                                </a:prstGeom>
                                              </pic:spPr>
                                            </pic:pic>
                                          </a:graphicData>
                                        </a:graphic>
                                      </wp:inline>
                                    </w:drawing>
                                  </w:r>
                                  <w:bookmarkStart w:id="154" w:name="i-78"/>
                                  <w:bookmarkEnd w:id="15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8" descr=""/>
                                          <pic:cNvPicPr>
                                            <a:picLocks noChangeAspect="1" noChangeArrowheads="1"/>
                                          </pic:cNvPicPr>
                                        </pic:nvPicPr>
                                        <pic:blipFill>
                                          <a:blip r:embed="rId153"/>
                                          <a:stretch>
                                            <a:fillRect/>
                                          </a:stretch>
                                        </pic:blipFill>
                                        <pic:spPr bwMode="auto">
                                          <a:xfrm>
                                            <a:off x="0" y="0"/>
                                            <a:ext cx="457200" cy="95250"/>
                                          </a:xfrm>
                                          <a:prstGeom prst="rect">
                                            <a:avLst/>
                                          </a:prstGeom>
                                        </pic:spPr>
                                      </pic:pic>
                                    </a:graphicData>
                                  </a:graphic>
                                </wp:inline>
                              </w:drawing>
                            </w:r>
                            <w:bookmarkStart w:id="155" w:name="i-78"/>
                            <w:bookmarkEnd w:id="1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diplomatic and trade relationships, including new tariffs, trade protection measures, import or export licensing requirements, trade embargoes,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tariffs imposed by the U.S. on goods from other countries and tariffs imposed by other countries on U.S. goods, which may be imposed on products such as ours, the scope and duration of which, if implemented, remains uncertain;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deterioration of political relations among, between, and within the U.S., Russia, China, Japan, Korea, Mexico, Canada, the United Kingdom (“U.K.”), and the European Union ("E.U."), which could have a material adverse effect on our sales and operations in these countries;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obtaining export licenses or in overcoming other trade barriers and restrictions resulting in delivery delays;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currency exchange rates and the related effect on our results of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limits to travel as a result of epidemics or pandemics;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to global trade due to disease outbreaks or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increases on tariffs or restrictions on trade generally;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12520"/>
                <wp:effectExtent l="0" t="0" r="0" b="0"/>
                <wp:wrapNone/>
                <wp:docPr id="228" name="Frame7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9" descr=""/>
                                                <pic:cNvPicPr>
                                                  <a:picLocks noChangeAspect="1" noChangeArrowheads="1"/>
                                                </pic:cNvPicPr>
                                              </pic:nvPicPr>
                                              <pic:blipFill>
                                                <a:blip r:embed="rId154"/>
                                                <a:stretch>
                                                  <a:fillRect/>
                                                </a:stretch>
                                              </pic:blipFill>
                                              <pic:spPr bwMode="auto">
                                                <a:xfrm>
                                                  <a:off x="0" y="0"/>
                                                  <a:ext cx="457200" cy="95250"/>
                                                </a:xfrm>
                                                <a:prstGeom prst="rect">
                                                  <a:avLst/>
                                                </a:prstGeom>
                                              </pic:spPr>
                                            </pic:pic>
                                          </a:graphicData>
                                        </a:graphic>
                                      </wp:inline>
                                    </w:drawing>
                                  </w:r>
                                  <w:bookmarkStart w:id="156" w:name="i-79"/>
                                  <w:bookmarkEnd w:id="1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9" descr=""/>
                                          <pic:cNvPicPr>
                                            <a:picLocks noChangeAspect="1" noChangeArrowheads="1"/>
                                          </pic:cNvPicPr>
                                        </pic:nvPicPr>
                                        <pic:blipFill>
                                          <a:blip r:embed="rId155"/>
                                          <a:stretch>
                                            <a:fillRect/>
                                          </a:stretch>
                                        </pic:blipFill>
                                        <pic:spPr bwMode="auto">
                                          <a:xfrm>
                                            <a:off x="0" y="0"/>
                                            <a:ext cx="457200" cy="95250"/>
                                          </a:xfrm>
                                          <a:prstGeom prst="rect">
                                            <a:avLst/>
                                          </a:prstGeom>
                                        </pic:spPr>
                                      </pic:pic>
                                    </a:graphicData>
                                  </a:graphic>
                                </wp:inline>
                              </w:drawing>
                            </w:r>
                            <w:bookmarkStart w:id="157" w:name="i-79"/>
                            <w:bookmarkEnd w:id="15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could be negatively impacted by changes in the United States political environment.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12520"/>
                <wp:effectExtent l="0" t="0" r="0" b="0"/>
                <wp:wrapNone/>
                <wp:docPr id="231" name="Frame7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0" descr=""/>
                                                <pic:cNvPicPr>
                                                  <a:picLocks noChangeAspect="1" noChangeArrowheads="1"/>
                                                </pic:cNvPicPr>
                                              </pic:nvPicPr>
                                              <pic:blipFill>
                                                <a:blip r:embed="rId156"/>
                                                <a:stretch>
                                                  <a:fillRect/>
                                                </a:stretch>
                                              </pic:blipFill>
                                              <pic:spPr bwMode="auto">
                                                <a:xfrm>
                                                  <a:off x="0" y="0"/>
                                                  <a:ext cx="457200" cy="95250"/>
                                                </a:xfrm>
                                                <a:prstGeom prst="rect">
                                                  <a:avLst/>
                                                </a:prstGeom>
                                              </pic:spPr>
                                            </pic:pic>
                                          </a:graphicData>
                                        </a:graphic>
                                      </wp:inline>
                                    </w:drawing>
                                  </w:r>
                                  <w:bookmarkStart w:id="158" w:name="i-80"/>
                                  <w:bookmarkEnd w:id="15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0" descr=""/>
                                          <pic:cNvPicPr>
                                            <a:picLocks noChangeAspect="1" noChangeArrowheads="1"/>
                                          </pic:cNvPicPr>
                                        </pic:nvPicPr>
                                        <pic:blipFill>
                                          <a:blip r:embed="rId157"/>
                                          <a:stretch>
                                            <a:fillRect/>
                                          </a:stretch>
                                        </pic:blipFill>
                                        <pic:spPr bwMode="auto">
                                          <a:xfrm>
                                            <a:off x="0" y="0"/>
                                            <a:ext cx="457200" cy="95250"/>
                                          </a:xfrm>
                                          <a:prstGeom prst="rect">
                                            <a:avLst/>
                                          </a:prstGeom>
                                        </pic:spPr>
                                      </pic:pic>
                                    </a:graphicData>
                                  </a:graphic>
                                </wp:inline>
                              </w:drawing>
                            </w:r>
                            <w:bookmarkStart w:id="159" w:name="i-80"/>
                            <w:bookmarkEnd w:id="15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Disruption of critical information technology systems or material breaches in the security of our systems could harm our business, customer relations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and conflict in the Middle East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12520"/>
                <wp:effectExtent l="0" t="0" r="0" b="0"/>
                <wp:wrapNone/>
                <wp:docPr id="234" name="Frame7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1" descr=""/>
                                                <pic:cNvPicPr>
                                                  <a:picLocks noChangeAspect="1" noChangeArrowheads="1"/>
                                                </pic:cNvPicPr>
                                              </pic:nvPicPr>
                                              <pic:blipFill>
                                                <a:blip r:embed="rId158"/>
                                                <a:stretch>
                                                  <a:fillRect/>
                                                </a:stretch>
                                              </pic:blipFill>
                                              <pic:spPr bwMode="auto">
                                                <a:xfrm>
                                                  <a:off x="0" y="0"/>
                                                  <a:ext cx="457200" cy="95250"/>
                                                </a:xfrm>
                                                <a:prstGeom prst="rect">
                                                  <a:avLst/>
                                                </a:prstGeom>
                                              </pic:spPr>
                                            </pic:pic>
                                          </a:graphicData>
                                        </a:graphic>
                                      </wp:inline>
                                    </w:drawing>
                                  </w:r>
                                  <w:bookmarkStart w:id="160" w:name="i-81"/>
                                  <w:bookmarkEnd w:id="16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1" descr=""/>
                                          <pic:cNvPicPr>
                                            <a:picLocks noChangeAspect="1" noChangeArrowheads="1"/>
                                          </pic:cNvPicPr>
                                        </pic:nvPicPr>
                                        <pic:blipFill>
                                          <a:blip r:embed="rId159"/>
                                          <a:stretch>
                                            <a:fillRect/>
                                          </a:stretch>
                                        </pic:blipFill>
                                        <pic:spPr bwMode="auto">
                                          <a:xfrm>
                                            <a:off x="0" y="0"/>
                                            <a:ext cx="457200" cy="95250"/>
                                          </a:xfrm>
                                          <a:prstGeom prst="rect">
                                            <a:avLst/>
                                          </a:prstGeom>
                                        </pic:spPr>
                                      </pic:pic>
                                    </a:graphicData>
                                  </a:graphic>
                                </wp:inline>
                              </w:drawing>
                            </w:r>
                            <w:bookmarkStart w:id="161" w:name="i-81"/>
                            <w:bookmarkEnd w:id="16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Security breaches and other disruptions could compromise our information and expose us to liability, which would cause our business and reputation to suffer.</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12520"/>
                <wp:effectExtent l="0" t="0" r="0" b="0"/>
                <wp:wrapNone/>
                <wp:docPr id="237" name="Frame7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2" descr=""/>
                                                <pic:cNvPicPr>
                                                  <a:picLocks noChangeAspect="1" noChangeArrowheads="1"/>
                                                </pic:cNvPicPr>
                                              </pic:nvPicPr>
                                              <pic:blipFill>
                                                <a:blip r:embed="rId160"/>
                                                <a:stretch>
                                                  <a:fillRect/>
                                                </a:stretch>
                                              </pic:blipFill>
                                              <pic:spPr bwMode="auto">
                                                <a:xfrm>
                                                  <a:off x="0" y="0"/>
                                                  <a:ext cx="457200" cy="95250"/>
                                                </a:xfrm>
                                                <a:prstGeom prst="rect">
                                                  <a:avLst/>
                                                </a:prstGeom>
                                              </pic:spPr>
                                            </pic:pic>
                                          </a:graphicData>
                                        </a:graphic>
                                      </wp:inline>
                                    </w:drawing>
                                  </w:r>
                                  <w:bookmarkStart w:id="162" w:name="i-82"/>
                                  <w:bookmarkEnd w:id="16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2" descr=""/>
                                          <pic:cNvPicPr>
                                            <a:picLocks noChangeAspect="1" noChangeArrowheads="1"/>
                                          </pic:cNvPicPr>
                                        </pic:nvPicPr>
                                        <pic:blipFill>
                                          <a:blip r:embed="rId161"/>
                                          <a:stretch>
                                            <a:fillRect/>
                                          </a:stretch>
                                        </pic:blipFill>
                                        <pic:spPr bwMode="auto">
                                          <a:xfrm>
                                            <a:off x="0" y="0"/>
                                            <a:ext cx="457200" cy="95250"/>
                                          </a:xfrm>
                                          <a:prstGeom prst="rect">
                                            <a:avLst/>
                                          </a:prstGeom>
                                        </pic:spPr>
                                      </pic:pic>
                                    </a:graphicData>
                                  </a:graphic>
                                </wp:inline>
                              </w:drawing>
                            </w:r>
                            <w:bookmarkStart w:id="163" w:name="i-82"/>
                            <w:bookmarkEnd w:id="16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artificial intelligence and machine learning technologies may result in reputational harm or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12520"/>
                <wp:effectExtent l="0" t="0" r="0" b="0"/>
                <wp:wrapNone/>
                <wp:docPr id="240" name="Frame8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3" descr=""/>
                                                <pic:cNvPicPr>
                                                  <a:picLocks noChangeAspect="1" noChangeArrowheads="1"/>
                                                </pic:cNvPicPr>
                                              </pic:nvPicPr>
                                              <pic:blipFill>
                                                <a:blip r:embed="rId162"/>
                                                <a:stretch>
                                                  <a:fillRect/>
                                                </a:stretch>
                                              </pic:blipFill>
                                              <pic:spPr bwMode="auto">
                                                <a:xfrm>
                                                  <a:off x="0" y="0"/>
                                                  <a:ext cx="457200" cy="95250"/>
                                                </a:xfrm>
                                                <a:prstGeom prst="rect">
                                                  <a:avLst/>
                                                </a:prstGeom>
                                              </pic:spPr>
                                            </pic:pic>
                                          </a:graphicData>
                                        </a:graphic>
                                      </wp:inline>
                                    </w:drawing>
                                  </w:r>
                                  <w:bookmarkStart w:id="164" w:name="i-83"/>
                                  <w:bookmarkEnd w:id="16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3" descr=""/>
                                          <pic:cNvPicPr>
                                            <a:picLocks noChangeAspect="1" noChangeArrowheads="1"/>
                                          </pic:cNvPicPr>
                                        </pic:nvPicPr>
                                        <pic:blipFill>
                                          <a:blip r:embed="rId163"/>
                                          <a:stretch>
                                            <a:fillRect/>
                                          </a:stretch>
                                        </pic:blipFill>
                                        <pic:spPr bwMode="auto">
                                          <a:xfrm>
                                            <a:off x="0" y="0"/>
                                            <a:ext cx="457200" cy="95250"/>
                                          </a:xfrm>
                                          <a:prstGeom prst="rect">
                                            <a:avLst/>
                                          </a:prstGeom>
                                        </pic:spPr>
                                      </pic:pic>
                                    </a:graphicData>
                                  </a:graphic>
                                </wp:inline>
                              </w:drawing>
                            </w:r>
                            <w:bookmarkStart w:id="165" w:name="i-83"/>
                            <w:bookmarkEnd w:id="16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In the United States, various federal and state regulators, including governmental agencies like the Consumer Financial Protection </w:t>
      </w:r>
      <w:r>
        <w:rPr>
          <w:rFonts w:ascii="Roboto;sans-serif" w:hAnsi="Roboto;sans-serif"/>
          <w:b w:val="false"/>
          <w:color w:val="000000"/>
          <w:sz w:val="20"/>
          <w:shd w:fill="FFFFFF" w:val="clear"/>
        </w:rPr>
        <w:t>Bureau</w:t>
      </w:r>
      <w:r>
        <w:rPr>
          <w:color w:val="000000"/>
        </w:rPr>
        <w:t xml:space="preserve"> </w:t>
      </w:r>
      <w:r>
        <w:rPr>
          <w:rFonts w:ascii="Roboto;sans-serif" w:hAnsi="Roboto;sans-serif"/>
          <w:b w:val="false"/>
          <w:color w:val="000000"/>
          <w:sz w:val="20"/>
        </w:rPr>
        <w:t>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12520"/>
                <wp:effectExtent l="0" t="0" r="0" b="0"/>
                <wp:wrapNone/>
                <wp:docPr id="243" name="Frame8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4" descr=""/>
                                                <pic:cNvPicPr>
                                                  <a:picLocks noChangeAspect="1" noChangeArrowheads="1"/>
                                                </pic:cNvPicPr>
                                              </pic:nvPicPr>
                                              <pic:blipFill>
                                                <a:blip r:embed="rId164"/>
                                                <a:stretch>
                                                  <a:fillRect/>
                                                </a:stretch>
                                              </pic:blipFill>
                                              <pic:spPr bwMode="auto">
                                                <a:xfrm>
                                                  <a:off x="0" y="0"/>
                                                  <a:ext cx="457200" cy="95250"/>
                                                </a:xfrm>
                                                <a:prstGeom prst="rect">
                                                  <a:avLst/>
                                                </a:prstGeom>
                                              </pic:spPr>
                                            </pic:pic>
                                          </a:graphicData>
                                        </a:graphic>
                                      </wp:inline>
                                    </w:drawing>
                                  </w:r>
                                  <w:bookmarkStart w:id="166" w:name="i-84"/>
                                  <w:bookmarkEnd w:id="16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4" descr=""/>
                                          <pic:cNvPicPr>
                                            <a:picLocks noChangeAspect="1" noChangeArrowheads="1"/>
                                          </pic:cNvPicPr>
                                        </pic:nvPicPr>
                                        <pic:blipFill>
                                          <a:blip r:embed="rId165"/>
                                          <a:stretch>
                                            <a:fillRect/>
                                          </a:stretch>
                                        </pic:blipFill>
                                        <pic:spPr bwMode="auto">
                                          <a:xfrm>
                                            <a:off x="0" y="0"/>
                                            <a:ext cx="457200" cy="95250"/>
                                          </a:xfrm>
                                          <a:prstGeom prst="rect">
                                            <a:avLst/>
                                          </a:prstGeom>
                                        </pic:spPr>
                                      </pic:pic>
                                    </a:graphicData>
                                  </a:graphic>
                                </wp:inline>
                              </w:drawing>
                            </w:r>
                            <w:bookmarkStart w:id="167" w:name="i-84"/>
                            <w:bookmarkEnd w:id="16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7"/>
        <w:gridCol w:w="2866"/>
        <w:gridCol w:w="4072"/>
      </w:tblGrid>
      <w:tr>
        <w:trPr/>
        <w:tc>
          <w:tcPr>
            <w:tcW w:w="326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2. UNREGISTERED SALES OF EQUITY SECURITIES AND USE OF PROCEEDS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15" w:type="dxa"/>
        <w:jc w:val="left"/>
        <w:tblInd w:w="0" w:type="dxa"/>
        <w:tblLayout w:type="fixed"/>
        <w:tblCellMar>
          <w:top w:w="28" w:type="dxa"/>
          <w:left w:w="28" w:type="dxa"/>
          <w:bottom w:w="28" w:type="dxa"/>
          <w:right w:w="28" w:type="dxa"/>
        </w:tblCellMar>
      </w:tblPr>
      <w:tblGrid>
        <w:gridCol w:w="2020"/>
        <w:gridCol w:w="1772"/>
        <w:gridCol w:w="2523"/>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3. DEFAULTS UPON SENIOR SECURITIES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4. MINE SAFETY DISCLOSURES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12520"/>
                <wp:effectExtent l="0" t="0" r="0" b="0"/>
                <wp:wrapNone/>
                <wp:docPr id="246" name="Frame8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5" descr=""/>
                                                <pic:cNvPicPr>
                                                  <a:picLocks noChangeAspect="1" noChangeArrowheads="1"/>
                                                </pic:cNvPicPr>
                                              </pic:nvPicPr>
                                              <pic:blipFill>
                                                <a:blip r:embed="rId166"/>
                                                <a:stretch>
                                                  <a:fillRect/>
                                                </a:stretch>
                                              </pic:blipFill>
                                              <pic:spPr bwMode="auto">
                                                <a:xfrm>
                                                  <a:off x="0" y="0"/>
                                                  <a:ext cx="457200" cy="95250"/>
                                                </a:xfrm>
                                                <a:prstGeom prst="rect">
                                                  <a:avLst/>
                                                </a:prstGeom>
                                              </pic:spPr>
                                            </pic:pic>
                                          </a:graphicData>
                                        </a:graphic>
                                      </wp:inline>
                                    </w:drawing>
                                  </w:r>
                                  <w:bookmarkStart w:id="168" w:name="i-85"/>
                                  <w:bookmarkEnd w:id="16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5" descr=""/>
                                          <pic:cNvPicPr>
                                            <a:picLocks noChangeAspect="1" noChangeArrowheads="1"/>
                                          </pic:cNvPicPr>
                                        </pic:nvPicPr>
                                        <pic:blipFill>
                                          <a:blip r:embed="rId167"/>
                                          <a:stretch>
                                            <a:fillRect/>
                                          </a:stretch>
                                        </pic:blipFill>
                                        <pic:spPr bwMode="auto">
                                          <a:xfrm>
                                            <a:off x="0" y="0"/>
                                            <a:ext cx="457200" cy="95250"/>
                                          </a:xfrm>
                                          <a:prstGeom prst="rect">
                                            <a:avLst/>
                                          </a:prstGeom>
                                        </pic:spPr>
                                      </pic:pic>
                                    </a:graphicData>
                                  </a:graphic>
                                </wp:inline>
                              </w:drawing>
                            </w:r>
                            <w:bookmarkStart w:id="169" w:name="i-85"/>
                            <w:bookmarkEnd w:id="16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tbl>
      <w:tblPr>
        <w:tblW w:w="4185" w:type="dxa"/>
        <w:jc w:val="left"/>
        <w:tblInd w:w="0" w:type="dxa"/>
        <w:tblLayout w:type="fixed"/>
        <w:tblCellMar>
          <w:top w:w="28" w:type="dxa"/>
          <w:left w:w="28" w:type="dxa"/>
          <w:bottom w:w="28" w:type="dxa"/>
          <w:right w:w="28" w:type="dxa"/>
        </w:tblCellMar>
      </w:tblPr>
      <w:tblGrid>
        <w:gridCol w:w="1340"/>
        <w:gridCol w:w="1176"/>
        <w:gridCol w:w="1669"/>
      </w:tblGrid>
      <w:tr>
        <w:trPr/>
        <w:tc>
          <w:tcPr>
            <w:tcW w:w="134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5. OTHER INFORMATION</w:t>
            </w:r>
          </w:p>
        </w:tc>
      </w:tr>
    </w:tbl>
    <w:tbl>
      <w:tblPr>
        <w:tblW w:w="7694" w:type="dxa"/>
        <w:jc w:val="left"/>
        <w:tblInd w:w="0" w:type="dxa"/>
        <w:tblLayout w:type="fixed"/>
        <w:tblCellMar>
          <w:top w:w="28" w:type="dxa"/>
          <w:left w:w="28" w:type="dxa"/>
          <w:bottom w:w="28" w:type="dxa"/>
          <w:right w:w="28" w:type="dxa"/>
        </w:tblCellMar>
      </w:tblPr>
      <w:tblGrid>
        <w:gridCol w:w="2460"/>
        <w:gridCol w:w="2164"/>
        <w:gridCol w:w="3070"/>
      </w:tblGrid>
      <w:tr>
        <w:trPr/>
        <w:tc>
          <w:tcPr>
            <w:tcW w:w="24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shd w:fill="FFFFFF" w:val="clear"/>
              </w:rPr>
            </w:pPr>
            <w:r>
              <w:rPr>
                <w:rFonts w:ascii="Roboto;sans-serif" w:hAnsi="Roboto;sans-serif"/>
                <w:b/>
                <w:color w:val="DF1995"/>
                <w:sz w:val="22"/>
                <w:shd w:fill="FFFFFF" w:val="clear"/>
              </w:rPr>
              <w:t>Securities Trading Plans of Directors and Executive Officers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our last fiscal quarter, none of our directors or officers, as defined in Rule 16a-1(f), adopted and/or terminated a “Rule 10b5-1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12520"/>
                <wp:effectExtent l="0" t="0" r="0" b="0"/>
                <wp:wrapNone/>
                <wp:docPr id="249" name="Frame8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6" descr=""/>
                                                <pic:cNvPicPr>
                                                  <a:picLocks noChangeAspect="1" noChangeArrowheads="1"/>
                                                </pic:cNvPicPr>
                                              </pic:nvPicPr>
                                              <pic:blipFill>
                                                <a:blip r:embed="rId168"/>
                                                <a:stretch>
                                                  <a:fillRect/>
                                                </a:stretch>
                                              </pic:blipFill>
                                              <pic:spPr bwMode="auto">
                                                <a:xfrm>
                                                  <a:off x="0" y="0"/>
                                                  <a:ext cx="457200" cy="95250"/>
                                                </a:xfrm>
                                                <a:prstGeom prst="rect">
                                                  <a:avLst/>
                                                </a:prstGeom>
                                              </pic:spPr>
                                            </pic:pic>
                                          </a:graphicData>
                                        </a:graphic>
                                      </wp:inline>
                                    </w:drawing>
                                  </w:r>
                                  <w:bookmarkStart w:id="170" w:name="i-86"/>
                                  <w:bookmarkEnd w:id="17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6" descr=""/>
                                          <pic:cNvPicPr>
                                            <a:picLocks noChangeAspect="1" noChangeArrowheads="1"/>
                                          </pic:cNvPicPr>
                                        </pic:nvPicPr>
                                        <pic:blipFill>
                                          <a:blip r:embed="rId169"/>
                                          <a:stretch>
                                            <a:fillRect/>
                                          </a:stretch>
                                        </pic:blipFill>
                                        <pic:spPr bwMode="auto">
                                          <a:xfrm>
                                            <a:off x="0" y="0"/>
                                            <a:ext cx="457200" cy="95250"/>
                                          </a:xfrm>
                                          <a:prstGeom prst="rect">
                                            <a:avLst/>
                                          </a:prstGeom>
                                        </pic:spPr>
                                      </pic:pic>
                                    </a:graphicData>
                                  </a:graphic>
                                </wp:inline>
                              </w:drawing>
                            </w:r>
                            <w:bookmarkStart w:id="171" w:name="i-86"/>
                            <w:bookmarkEnd w:id="17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before="240" w:after="283"/>
        <w:ind w:left="0" w:right="0" w:hanging="1440"/>
        <w:jc w:val="both"/>
        <w:rPr/>
      </w:pPr>
      <w:r>
        <w:rPr/>
      </w:r>
    </w:p>
    <w:tbl>
      <w:tblPr>
        <w:tblW w:w="2504" w:type="dxa"/>
        <w:jc w:val="left"/>
        <w:tblInd w:w="0" w:type="dxa"/>
        <w:tblLayout w:type="fixed"/>
        <w:tblCellMar>
          <w:top w:w="28" w:type="dxa"/>
          <w:left w:w="28" w:type="dxa"/>
          <w:bottom w:w="28" w:type="dxa"/>
          <w:right w:w="28" w:type="dxa"/>
        </w:tblCellMar>
      </w:tblPr>
      <w:tblGrid>
        <w:gridCol w:w="797"/>
        <w:gridCol w:w="702"/>
        <w:gridCol w:w="100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6. EXHIBITS</w:t>
            </w:r>
          </w:p>
        </w:tc>
      </w:tr>
    </w:tbl>
    <w:tbl>
      <w:tblPr>
        <w:tblW w:w="10205" w:type="dxa"/>
        <w:jc w:val="left"/>
        <w:tblInd w:w="0" w:type="dxa"/>
        <w:tblLayout w:type="fixed"/>
        <w:tblCellMar>
          <w:top w:w="28" w:type="dxa"/>
          <w:left w:w="28" w:type="dxa"/>
          <w:bottom w:w="28" w:type="dxa"/>
          <w:right w:w="28" w:type="dxa"/>
        </w:tblCellMar>
      </w:tblPr>
      <w:tblGrid>
        <w:gridCol w:w="313"/>
        <w:gridCol w:w="275"/>
        <w:gridCol w:w="276"/>
        <w:gridCol w:w="2156"/>
        <w:gridCol w:w="2037"/>
        <w:gridCol w:w="2056"/>
        <w:gridCol w:w="338"/>
        <w:gridCol w:w="230"/>
        <w:gridCol w:w="230"/>
        <w:gridCol w:w="375"/>
        <w:gridCol w:w="322"/>
        <w:gridCol w:w="230"/>
        <w:gridCol w:w="497"/>
        <w:gridCol w:w="446"/>
        <w:gridCol w:w="424"/>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Incorporated by reference herein</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Exhibit</w:t>
              <w:br/>
              <w:t>No.</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Description</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Form</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Exhibit</w:t>
              <w:br/>
              <w:t>No.</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Filing Date</w:t>
            </w:r>
          </w:p>
        </w:tc>
      </w:tr>
      <w:tr>
        <w:trPr/>
        <w:tc>
          <w:tcPr>
            <w:tcW w:w="864" w:type="dxa"/>
            <w:gridSpan w:val="3"/>
            <w:tcBorders/>
            <w:vAlign w:val="center"/>
          </w:tcPr>
          <w:p>
            <w:pPr>
              <w:pStyle w:val="TableContents"/>
              <w:bidi w:val="0"/>
              <w:spacing w:before="0" w:after="283"/>
              <w:jc w:val="left"/>
              <w:rPr>
                <w:sz w:val="4"/>
                <w:szCs w:val="4"/>
              </w:rPr>
            </w:pPr>
            <w:r>
              <w:rPr>
                <w:sz w:val="4"/>
                <w:szCs w:val="4"/>
              </w:rPr>
            </w:r>
          </w:p>
        </w:tc>
        <w:tc>
          <w:tcPr>
            <w:tcW w:w="6249"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170">
              <w:r>
                <w:rPr>
                  <w:rStyle w:val="InternetLink"/>
                  <w:rFonts w:ascii="Roboto;sans-serif" w:hAnsi="Roboto;sans-serif"/>
                  <w:b w:val="false"/>
                  <w:color w:val="0000FF"/>
                  <w:sz w:val="18"/>
                  <w:u w:val="single"/>
                </w:rPr>
                <w:t>3.1</w:t>
              </w:r>
            </w:hyperlink>
          </w:p>
        </w:tc>
        <w:tc>
          <w:tcPr>
            <w:tcW w:w="6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171">
              <w:r>
                <w:rPr>
                  <w:rStyle w:val="InternetLink"/>
                  <w:rFonts w:ascii="Roboto;sans-serif" w:hAnsi="Roboto;sans-serif"/>
                  <w:b w:val="false"/>
                  <w:color w:val="0000FF"/>
                  <w:sz w:val="18"/>
                  <w:u w:val="single"/>
                </w:rPr>
                <w:t>Amended and Restated Certificate of Incorporation of Pacific Biosciences of California, Inc.</w:t>
              </w:r>
            </w:hyperlink>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March 23, 2011</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2">
              <w:r>
                <w:rPr>
                  <w:rStyle w:val="InternetLink"/>
                  <w:rFonts w:ascii="Roboto;sans-serif" w:hAnsi="Roboto;sans-serif"/>
                  <w:b w:val="false"/>
                  <w:color w:val="0000FF"/>
                  <w:sz w:val="18"/>
                  <w:u w:val="single"/>
                </w:rPr>
                <w:t>3.2</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3">
              <w:r>
                <w:rPr>
                  <w:rStyle w:val="InternetLink"/>
                  <w:rFonts w:ascii="Roboto;sans-serif" w:hAnsi="Roboto;sans-serif"/>
                  <w:b w:val="false"/>
                  <w:color w:val="0000FF"/>
                  <w:sz w:val="18"/>
                  <w:u w:val="single"/>
                </w:rPr>
                <w:t>Certificate of Amendment to the Amended and Restated Certificate of Incorporation of Pacific Biosciences of California, Inc. to declassify the Board</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4">
              <w:r>
                <w:rPr>
                  <w:rStyle w:val="InternetLink"/>
                  <w:rFonts w:ascii="Roboto;sans-serif" w:hAnsi="Roboto;sans-serif"/>
                  <w:b w:val="false"/>
                  <w:color w:val="0000FF"/>
                  <w:sz w:val="18"/>
                  <w:u w:val="single"/>
                </w:rPr>
                <w:t>3.3</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5">
              <w:r>
                <w:rPr>
                  <w:rStyle w:val="InternetLink"/>
                  <w:rFonts w:ascii="Roboto;sans-serif" w:hAnsi="Roboto;sans-serif"/>
                  <w:b w:val="false"/>
                  <w:color w:val="0000FF"/>
                  <w:sz w:val="18"/>
                  <w:u w:val="single"/>
                </w:rPr>
                <w:t>Certificate of Amendment to the Amended and Restated Certificate of Incorporation of Pacific Biosciences of California, Inc. to limit the liability of officers</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6">
              <w:r>
                <w:rPr>
                  <w:rStyle w:val="InternetLink"/>
                  <w:rFonts w:ascii="Roboto;sans-serif" w:hAnsi="Roboto;sans-serif"/>
                  <w:b w:val="false"/>
                  <w:color w:val="0000FF"/>
                  <w:sz w:val="18"/>
                  <w:u w:val="single"/>
                </w:rPr>
                <w:t>3.4</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7">
              <w:r>
                <w:rPr>
                  <w:rStyle w:val="InternetLink"/>
                  <w:rFonts w:ascii="Roboto;sans-serif" w:hAnsi="Roboto;sans-serif"/>
                  <w:b w:val="false"/>
                  <w:color w:val="0000FF"/>
                  <w:sz w:val="18"/>
                  <w:u w:val="single"/>
                </w:rPr>
                <w:t>Third Amended and Restated Bylaws of Pacific Biosciences of California, Inc.</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November 7, 2022</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8">
              <w:r>
                <w:rPr>
                  <w:rStyle w:val="InternetLink"/>
                  <w:rFonts w:ascii="Roboto;sans-serif" w:hAnsi="Roboto;sans-serif"/>
                  <w:b w:val="false"/>
                  <w:color w:val="0000FF"/>
                  <w:sz w:val="18"/>
                  <w:u w:val="single"/>
                </w:rPr>
                <w:t>10.1</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9">
              <w:r>
                <w:rPr>
                  <w:rStyle w:val="InternetLink"/>
                  <w:rFonts w:ascii="Roboto;sans-serif" w:hAnsi="Roboto;sans-serif"/>
                  <w:b w:val="false"/>
                  <w:color w:val="0000FF"/>
                  <w:sz w:val="18"/>
                  <w:u w:val="single"/>
                </w:rPr>
                <w:t>Third Amendment to Lease Agreement by and between the Registrant and Menlo Park Portfolio II, LLC, dated March 7, 2025</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10.21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March 17, 2025</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2jamesgibsonofferletter.htm">
              <w:r>
                <w:rPr>
                  <w:rStyle w:val="InternetLink"/>
                  <w:rFonts w:ascii="Roboto;sans-serif" w:hAnsi="Roboto;sans-serif"/>
                  <w:b w:val="false"/>
                  <w:color w:val="0000FF"/>
                  <w:sz w:val="18"/>
                  <w:u w:val="single"/>
                </w:rPr>
                <w:t>10.2+</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2jamesgibsonofferletter.htm">
              <w:r>
                <w:rPr>
                  <w:rStyle w:val="InternetLink"/>
                  <w:rFonts w:ascii="Roboto;sans-serif" w:hAnsi="Roboto;sans-serif"/>
                  <w:b w:val="false"/>
                  <w:color w:val="000080"/>
                  <w:sz w:val="18"/>
                  <w:u w:val="single"/>
                </w:rPr>
                <w:t xml:space="preserve">Letter Relating to Employment Terms by and between </w:t>
              </w:r>
            </w:hyperlink>
            <w:hyperlink w:anchor="a102jamesgibsonofferletter.htm">
              <w:r>
                <w:rPr>
                  <w:rStyle w:val="InternetLink"/>
                  <w:rFonts w:ascii="Roboto;sans-serif" w:hAnsi="Roboto;sans-serif"/>
                  <w:b w:val="false"/>
                  <w:color w:val="000080"/>
                  <w:sz w:val="18"/>
                  <w:u w:val="single"/>
                </w:rPr>
                <w:t>the Registrant</w:t>
              </w:r>
            </w:hyperlink>
            <w:hyperlink w:anchor="a102jamesgibsonofferletter.htm">
              <w:r>
                <w:rPr>
                  <w:rStyle w:val="InternetLink"/>
                  <w:rFonts w:ascii="Roboto;sans-serif" w:hAnsi="Roboto;sans-serif"/>
                  <w:b w:val="false"/>
                  <w:color w:val="000080"/>
                  <w:sz w:val="18"/>
                  <w:u w:val="single"/>
                </w:rPr>
                <w:t xml:space="preserve"> and James R. Gibson effective March 24, 2025</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3pacbiooutsidedirectorc.htm">
              <w:r>
                <w:rPr>
                  <w:rStyle w:val="InternetLink"/>
                  <w:rFonts w:ascii="Roboto;sans-serif" w:hAnsi="Roboto;sans-serif"/>
                  <w:b w:val="false"/>
                  <w:color w:val="000080"/>
                  <w:sz w:val="18"/>
                  <w:u w:val="single"/>
                </w:rPr>
                <w:t>10.</w:t>
              </w:r>
            </w:hyperlink>
            <w:hyperlink w:anchor="a103pacbiooutsidedirectorc.htm">
              <w:r>
                <w:rPr>
                  <w:rStyle w:val="InternetLink"/>
                  <w:rFonts w:ascii="Roboto;sans-serif" w:hAnsi="Roboto;sans-serif"/>
                  <w:b w:val="false"/>
                  <w:color w:val="000080"/>
                  <w:sz w:val="18"/>
                  <w:u w:val="single"/>
                </w:rPr>
                <w:t>3</w:t>
              </w:r>
            </w:hyperlink>
            <w:hyperlink w:anchor="a103pacbiooutsidedirectorc.htm">
              <w:r>
                <w:rPr>
                  <w:rStyle w:val="InternetLink"/>
                  <w:rFonts w:ascii="Roboto;sans-serif" w:hAnsi="Roboto;sans-serif"/>
                  <w:b w:val="false"/>
                  <w:color w:val="000080"/>
                  <w:sz w:val="18"/>
                  <w:u w:val="single"/>
                </w:rPr>
                <w:t>+</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3pacbiooutsidedirectorc.htm">
              <w:r>
                <w:rPr>
                  <w:rStyle w:val="InternetLink"/>
                  <w:rFonts w:ascii="Roboto;sans-serif" w:hAnsi="Roboto;sans-serif"/>
                  <w:b w:val="false"/>
                  <w:color w:val="000080"/>
                  <w:sz w:val="18"/>
                  <w:u w:val="single"/>
                </w:rPr>
                <w:t>O</w:t>
              </w:r>
            </w:hyperlink>
            <w:hyperlink w:anchor="a103pacbiooutsidedirectorc.htm">
              <w:r>
                <w:rPr>
                  <w:rStyle w:val="InternetLink"/>
                  <w:rFonts w:ascii="Roboto;sans-serif" w:hAnsi="Roboto;sans-serif"/>
                  <w:b w:val="false"/>
                  <w:color w:val="000080"/>
                  <w:sz w:val="18"/>
                  <w:u w:val="single"/>
                </w:rPr>
                <w:t>utside Director Comp</w:t>
              </w:r>
            </w:hyperlink>
            <w:hyperlink w:anchor="a103pacbiooutsidedirectorc.htm">
              <w:r>
                <w:rPr>
                  <w:rStyle w:val="InternetLink"/>
                  <w:rFonts w:ascii="Roboto;sans-serif" w:hAnsi="Roboto;sans-serif"/>
                  <w:b w:val="false"/>
                  <w:color w:val="000080"/>
                  <w:sz w:val="18"/>
                  <w:u w:val="single"/>
                </w:rPr>
                <w:t>ensation Pol</w:t>
              </w:r>
            </w:hyperlink>
            <w:hyperlink w:anchor="a103pacbiooutsidedirectorc.htm">
              <w:r>
                <w:rPr>
                  <w:rStyle w:val="InternetLink"/>
                  <w:rFonts w:ascii="Roboto;sans-serif" w:hAnsi="Roboto;sans-serif"/>
                  <w:b w:val="false"/>
                  <w:color w:val="000080"/>
                  <w:sz w:val="18"/>
                  <w:u w:val="single"/>
                </w:rPr>
                <w:t>icy</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1xq1x25.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.1</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1xq1x25.htm">
              <w:r>
                <w:rPr>
                  <w:rStyle w:val="InternetLink"/>
                  <w:rFonts w:ascii="Roboto;sans-serif" w:hAnsi="Roboto;sans-serif"/>
                  <w:b w:val="false"/>
                  <w:color w:val="0000FF"/>
                  <w:sz w:val="18"/>
                  <w:u w:val="single"/>
                </w:rPr>
                <w:t>Certification of Chief Executive Officer pursuant to Exchange Act Rules 13a-14(a) and 15d-14(a), as adopted pursuant to Section 302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2xq1x25.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.2</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2xq1x25.htm">
              <w:r>
                <w:rPr>
                  <w:rStyle w:val="InternetLink"/>
                  <w:rFonts w:ascii="Roboto;sans-serif" w:hAnsi="Roboto;sans-serif"/>
                  <w:b w:val="false"/>
                  <w:color w:val="0000FF"/>
                  <w:sz w:val="18"/>
                  <w:u w:val="single"/>
                </w:rPr>
                <w:t>Certification of Chief Financial Officer pursuant to Exchange Act Rules 13a-14(a) and 15d-14(a), as adopted pursuant to Section 302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1xq1x25.htm">
              <w:r>
                <w:rPr>
                  <w:rStyle w:val="InternetLink"/>
                  <w:rFonts w:ascii="Roboto;sans-serif" w:hAnsi="Roboto;sans-serif"/>
                  <w:b w:val="false"/>
                  <w:color w:val="0000FF"/>
                  <w:sz w:val="18"/>
                  <w:u w:val="single"/>
                </w:rPr>
                <w:t>32.1</w:t>
              </w:r>
            </w:hyperlink>
            <w:r>
              <w:rPr>
                <w:rFonts w:ascii="Roboto;sans-serif" w:hAnsi="Roboto;sans-serif"/>
                <w:b w:val="false"/>
                <w:color w:val="000000"/>
                <w:sz w:val="18"/>
              </w:rPr>
              <w:t>*</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1xq1x25.htm">
              <w:r>
                <w:rPr>
                  <w:rStyle w:val="InternetLink"/>
                  <w:rFonts w:ascii="Roboto;sans-serif" w:hAnsi="Roboto;sans-serif"/>
                  <w:b w:val="false"/>
                  <w:color w:val="0000FF"/>
                  <w:sz w:val="18"/>
                  <w:u w:val="single"/>
                </w:rPr>
                <w:t>Certification of Chief Executive Officer pursuant to 18 U.S.C. Section 1350, as adopted pursuant to Section 906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2xq1x25.htm">
              <w:r>
                <w:rPr>
                  <w:rStyle w:val="InternetLink"/>
                  <w:rFonts w:ascii="Roboto;sans-serif" w:hAnsi="Roboto;sans-serif"/>
                  <w:b w:val="false"/>
                  <w:color w:val="0000FF"/>
                  <w:sz w:val="18"/>
                  <w:u w:val="single"/>
                </w:rPr>
                <w:t>32.2</w:t>
              </w:r>
            </w:hyperlink>
            <w:r>
              <w:rPr>
                <w:rFonts w:ascii="Roboto;sans-serif" w:hAnsi="Roboto;sans-serif"/>
                <w:b w:val="false"/>
                <w:color w:val="000000"/>
                <w:sz w:val="18"/>
              </w:rPr>
              <w:t>*</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2xq1x25.htm">
              <w:r>
                <w:rPr>
                  <w:rStyle w:val="InternetLink"/>
                  <w:rFonts w:ascii="Roboto;sans-serif" w:hAnsi="Roboto;sans-serif"/>
                  <w:b w:val="false"/>
                  <w:color w:val="0000FF"/>
                  <w:sz w:val="18"/>
                  <w:u w:val="single"/>
                </w:rPr>
                <w:t>Certification of Chief Financial Officer pursuant to 18 U.S.C. Section 1350, as adopted pursuant to Section 906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101.INS</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101.SCH</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101.CAL</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101.DEF</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101.LAB</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Labels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101.PRE</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104</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______________________________________________________________________________</w:t>
      </w:r>
    </w:p>
    <w:p>
      <w:pPr>
        <w:pStyle w:val="TextBody"/>
        <w:bidi w:val="0"/>
        <w:spacing w:lineRule="auto" w:line="288" w:before="0" w:after="0"/>
        <w:ind w:left="0" w:right="0" w:hanging="360"/>
        <w:jc w:val="both"/>
        <w:rPr/>
      </w:pPr>
      <w:r>
        <w:rPr>
          <w:rFonts w:ascii="Roboto;sans-serif" w:hAnsi="Roboto;sans-serif"/>
          <w:b w:val="false"/>
          <w:color w:val="000000"/>
          <w:sz w:val="20"/>
        </w:rPr>
        <w:t>+    Indicates management contract or compensatory plan.</w:t>
      </w:r>
      <w:r>
        <w:rPr>
          <w:color w:val="000000"/>
        </w:rPr>
        <w:t xml:space="preserve"> </w:t>
      </w:r>
    </w:p>
    <w:p>
      <w:pPr>
        <w:pStyle w:val="TextBody"/>
        <w:bidi w:val="0"/>
        <w:spacing w:lineRule="auto" w:line="288" w:before="120" w:after="283"/>
        <w:ind w:left="0" w:right="0" w:hanging="360"/>
        <w:jc w:val="both"/>
        <w:rPr/>
      </w:pPr>
      <w:r>
        <w:rPr>
          <w:rFonts w:ascii="Roboto;sans-serif" w:hAnsi="Roboto;sans-serif"/>
          <w:b w:val="false"/>
          <w:color w:val="000000"/>
          <w:sz w:val="20"/>
        </w:rPr>
        <w:t>*    The certification</w:t>
      </w:r>
      <w:r>
        <w:rPr>
          <w:rFonts w:ascii="Roboto;sans-serif" w:hAnsi="Roboto;sans-serif"/>
          <w:b w:val="false"/>
          <w:color w:val="000000"/>
          <w:sz w:val="20"/>
          <w:shd w:fill="FFFFFF" w:val="clear"/>
        </w:rPr>
        <w:t>s att</w:t>
      </w:r>
      <w:r>
        <w:rPr>
          <w:rFonts w:ascii="Roboto;sans-serif" w:hAnsi="Roboto;sans-serif"/>
          <w:b w:val="false"/>
          <w:color w:val="000000"/>
          <w:sz w:val="20"/>
        </w:rPr>
        <w: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12520"/>
                <wp:effectExtent l="0" t="0" r="0" b="0"/>
                <wp:wrapNone/>
                <wp:docPr id="252" name="Frame8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left"/>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7" descr=""/>
                                                <pic:cNvPicPr>
                                                  <a:picLocks noChangeAspect="1" noChangeArrowheads="1"/>
                                                </pic:cNvPicPr>
                                              </pic:nvPicPr>
                                              <pic:blipFill>
                                                <a:blip r:embed="rId180"/>
                                                <a:stretch>
                                                  <a:fillRect/>
                                                </a:stretch>
                                              </pic:blipFill>
                                              <pic:spPr bwMode="auto">
                                                <a:xfrm>
                                                  <a:off x="0" y="0"/>
                                                  <a:ext cx="457200" cy="95250"/>
                                                </a:xfrm>
                                                <a:prstGeom prst="rect">
                                                  <a:avLst/>
                                                </a:prstGeom>
                                              </pic:spPr>
                                            </pic:pic>
                                          </a:graphicData>
                                        </a:graphic>
                                      </wp:inline>
                                    </w:drawing>
                                  </w:r>
                                  <w:bookmarkStart w:id="172" w:name="i-87"/>
                                  <w:bookmarkEnd w:id="17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left"/>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7" descr=""/>
                                          <pic:cNvPicPr>
                                            <a:picLocks noChangeAspect="1" noChangeArrowheads="1"/>
                                          </pic:cNvPicPr>
                                        </pic:nvPicPr>
                                        <pic:blipFill>
                                          <a:blip r:embed="rId181"/>
                                          <a:stretch>
                                            <a:fillRect/>
                                          </a:stretch>
                                        </pic:blipFill>
                                        <pic:spPr bwMode="auto">
                                          <a:xfrm>
                                            <a:off x="0" y="0"/>
                                            <a:ext cx="457200" cy="95250"/>
                                          </a:xfrm>
                                          <a:prstGeom prst="rect">
                                            <a:avLst/>
                                          </a:prstGeom>
                                        </pic:spPr>
                                      </pic:pic>
                                    </a:graphicData>
                                  </a:graphic>
                                </wp:inline>
                              </w:drawing>
                            </w:r>
                            <w:bookmarkStart w:id="173" w:name="i-87"/>
                            <w:bookmarkEnd w:id="17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ceeb5c9aa84416fb9d34124a1b6c447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288" w:before="120" w:after="283"/>
        <w:ind w:left="0" w:right="0" w:firstLine="36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thereunto duly authorized.</w:t>
      </w:r>
    </w:p>
    <w:tbl>
      <w:tblPr>
        <w:tblW w:w="6868" w:type="dxa"/>
        <w:jc w:val="left"/>
        <w:tblInd w:w="0" w:type="dxa"/>
        <w:tblLayout w:type="fixed"/>
        <w:tblCellMar>
          <w:top w:w="28" w:type="dxa"/>
          <w:left w:w="28" w:type="dxa"/>
          <w:bottom w:w="28" w:type="dxa"/>
          <w:right w:w="28" w:type="dxa"/>
        </w:tblCellMar>
      </w:tblPr>
      <w:tblGrid>
        <w:gridCol w:w="728"/>
        <w:gridCol w:w="638"/>
        <w:gridCol w:w="644"/>
        <w:gridCol w:w="139"/>
        <w:gridCol w:w="139"/>
        <w:gridCol w:w="141"/>
        <w:gridCol w:w="1300"/>
        <w:gridCol w:w="1300"/>
        <w:gridCol w:w="1839"/>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May 12, 2025</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/s/ Christian O. Henry </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Christian O. Henry</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President and Chief Executive Officer</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Executive Officer)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May 12, 2025</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Jim R. Gibson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Jim R. Gibson</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Chief Financial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Financial Officer)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May 12, 2025</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Michele Farmer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Michele Farmer</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Vice President and Chief Accounting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12520"/>
                <wp:effectExtent l="0" t="0" r="0" b="0"/>
                <wp:wrapNone/>
                <wp:docPr id="255" name="Frame8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8" descr=""/>
                                                <pic:cNvPicPr>
                                                  <a:picLocks noChangeAspect="1" noChangeArrowheads="1"/>
                                                </pic:cNvPicPr>
                                              </pic:nvPicPr>
                                              <pic:blipFill>
                                                <a:blip r:embed="rId182"/>
                                                <a:stretch>
                                                  <a:fillRect/>
                                                </a:stretch>
                                              </pic:blipFill>
                                              <pic:spPr bwMode="auto">
                                                <a:xfrm>
                                                  <a:off x="0" y="0"/>
                                                  <a:ext cx="457200" cy="95250"/>
                                                </a:xfrm>
                                                <a:prstGeom prst="rect">
                                                  <a:avLst/>
                                                </a:prstGeom>
                                              </pic:spPr>
                                            </pic:pic>
                                          </a:graphicData>
                                        </a:graphic>
                                      </wp:inline>
                                    </w:drawing>
                                  </w:r>
                                  <w:bookmarkStart w:id="174" w:name="i-88"/>
                                  <w:bookmarkEnd w:id="1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8" descr=""/>
                                          <pic:cNvPicPr>
                                            <a:picLocks noChangeAspect="1" noChangeArrowheads="1"/>
                                          </pic:cNvPicPr>
                                        </pic:nvPicPr>
                                        <pic:blipFill>
                                          <a:blip r:embed="rId183"/>
                                          <a:stretch>
                                            <a:fillRect/>
                                          </a:stretch>
                                        </pic:blipFill>
                                        <pic:spPr bwMode="auto">
                                          <a:xfrm>
                                            <a:off x="0" y="0"/>
                                            <a:ext cx="457200" cy="95250"/>
                                          </a:xfrm>
                                          <a:prstGeom prst="rect">
                                            <a:avLst/>
                                          </a:prstGeom>
                                        </pic:spPr>
                                      </pic:pic>
                                    </a:graphicData>
                                  </a:graphic>
                                </wp:inline>
                              </w:drawing>
                            </w:r>
                            <w:bookmarkStart w:id="175" w:name="i-88"/>
                            <w:bookmarkEnd w:id="17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Q1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pPr>
      <w:r>
        <w:rPr>
          <w:color w:val="000000"/>
        </w:rPr>
        <w:t>            </w:t>
      </w:r>
      <w:r>
        <w:rPr>
          <w:rFonts w:ascii="Times New Roman;sans-serif" w:hAnsi="Times New Roman;sans-serif"/>
          <w:b/>
          <w:color w:val="000000"/>
          <w:sz w:val="22"/>
        </w:rPr>
        <w:t>Exhibit 10.2</w:t>
      </w:r>
    </w:p>
    <w:p>
      <w:pPr>
        <w:pStyle w:val="TextBody"/>
        <w:bidi w:val="0"/>
        <w:spacing w:before="0" w:after="0"/>
        <w:jc w:val="left"/>
        <w:rPr/>
      </w:pPr>
      <w:r>
        <w:rPr/>
      </w:r>
    </w:p>
    <w:p>
      <w:pPr>
        <w:pStyle w:val="TextBody"/>
        <w:bidi w:val="0"/>
        <w:spacing w:before="0" w:after="0"/>
        <w:jc w:val="right"/>
        <w:rPr/>
      </w:pPr>
      <w:r>
        <w:rPr/>
        <w:drawing>
          <wp:inline distT="0" distB="0" distL="0" distR="0">
            <wp:extent cx="1733550" cy="371475"/>
            <wp:effectExtent l="0" t="0" r="0" b="0"/>
            <wp:docPr id="25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89" descr=""/>
                    <pic:cNvPicPr>
                      <a:picLocks noChangeAspect="1" noChangeArrowheads="1"/>
                    </pic:cNvPicPr>
                  </pic:nvPicPr>
                  <pic:blipFill>
                    <a:blip r:embed="rId184"/>
                    <a:stretch>
                      <a:fillRect/>
                    </a:stretch>
                  </pic:blipFill>
                  <pic:spPr bwMode="auto">
                    <a:xfrm>
                      <a:off x="0" y="0"/>
                      <a:ext cx="1733550" cy="371475"/>
                    </a:xfrm>
                    <a:prstGeom prst="rect">
                      <a:avLst/>
                    </a:prstGeom>
                  </pic:spPr>
                </pic:pic>
              </a:graphicData>
            </a:graphic>
          </wp:inline>
        </w:drawing>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James R. Gibson</w:t>
      </w:r>
    </w:p>
    <w:p>
      <w:pPr>
        <w:pStyle w:val="TextBody"/>
        <w:bidi w:val="0"/>
        <w:spacing w:lineRule="atLeast" w:line="220" w:before="24" w:after="34"/>
        <w:jc w:val="left"/>
        <w:rPr>
          <w:rFonts w:ascii="sans-serif" w:hAnsi="sans-serif"/>
          <w:b w:val="false"/>
          <w:color w:val="000000"/>
          <w:sz w:val="22"/>
        </w:rPr>
      </w:pPr>
      <w:r>
        <w:rPr>
          <w:rFonts w:ascii="sans-serif" w:hAnsi="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Dear James,</w:t>
      </w:r>
    </w:p>
    <w:p>
      <w:pPr>
        <w:pStyle w:val="TextBody"/>
        <w:bidi w:val="0"/>
        <w:spacing w:before="1" w:after="283"/>
        <w:jc w:val="both"/>
        <w:rPr/>
      </w:pPr>
      <w:r>
        <w:rPr/>
      </w:r>
    </w:p>
    <w:p>
      <w:pPr>
        <w:pStyle w:val="TextBody"/>
        <w:bidi w:val="0"/>
        <w:spacing w:lineRule="auto" w:line="288" w:before="0" w:after="0"/>
        <w:jc w:val="both"/>
        <w:rPr/>
      </w:pPr>
      <w:r>
        <w:rPr>
          <w:rFonts w:ascii="sans-serif" w:hAnsi="sans-serif"/>
          <w:b w:val="false"/>
          <w:color w:val="000000"/>
          <w:sz w:val="22"/>
        </w:rPr>
        <w:t>On behalf of Pacific Biosciences of California, Inc. (the “</w:t>
      </w:r>
      <w:r>
        <w:rPr>
          <w:rFonts w:ascii="sans-serif" w:hAnsi="sans-serif"/>
          <w:b/>
          <w:color w:val="000000"/>
          <w:sz w:val="22"/>
        </w:rPr>
        <w:t>Company</w:t>
      </w:r>
      <w:r>
        <w:rPr>
          <w:color w:val="000000"/>
        </w:rPr>
        <w:t>”</w:t>
      </w:r>
      <w:r>
        <w:rPr>
          <w:rFonts w:ascii="sans-serif" w:hAnsi="sans-serif"/>
          <w:b w:val="false"/>
          <w:color w:val="000000"/>
          <w:sz w:val="22"/>
        </w:rPr>
        <w:t>), I am pleased to offer you a position at the Company as Chief Financial Officer (“</w:t>
      </w:r>
      <w:r>
        <w:rPr>
          <w:rFonts w:ascii="sans-serif" w:hAnsi="sans-serif"/>
          <w:b/>
          <w:color w:val="000000"/>
          <w:sz w:val="22"/>
        </w:rPr>
        <w:t>CFO</w:t>
      </w:r>
      <w:r>
        <w:rPr>
          <w:color w:val="000000"/>
        </w:rPr>
        <w:t>”</w:t>
      </w:r>
      <w:r>
        <w:rPr>
          <w:rFonts w:ascii="sans-serif" w:hAnsi="sans-serif"/>
          <w:b w:val="false"/>
          <w:color w:val="000000"/>
          <w:sz w:val="22"/>
        </w:rPr>
        <w:t>). You will be reporting to the Chief Executive Officer.</w:t>
      </w:r>
    </w:p>
    <w:p>
      <w:pPr>
        <w:pStyle w:val="TextBody"/>
        <w:bidi w:val="0"/>
        <w:spacing w:before="1" w:after="283"/>
        <w:jc w:val="both"/>
        <w:rPr/>
      </w:pPr>
      <w:r>
        <w:rPr/>
      </w:r>
    </w:p>
    <w:p>
      <w:pPr>
        <w:pStyle w:val="TextBody"/>
        <w:bidi w:val="0"/>
        <w:spacing w:lineRule="atLeast" w:line="267" w:before="0" w:after="0"/>
        <w:jc w:val="both"/>
        <w:rPr>
          <w:rFonts w:ascii="sans-serif" w:hAnsi="sans-serif"/>
          <w:b w:val="false"/>
          <w:color w:val="000000"/>
          <w:sz w:val="22"/>
        </w:rPr>
      </w:pPr>
      <w:r>
        <w:rPr>
          <w:rFonts w:ascii="sans-serif" w:hAnsi="sans-serif"/>
          <w:b w:val="false"/>
          <w:color w:val="000000"/>
          <w:sz w:val="22"/>
        </w:rPr>
        <w:t>You will receive a salary of $500,000 annually, paid twice monthly according to the Company’s</w:t>
      </w:r>
    </w:p>
    <w:p>
      <w:pPr>
        <w:pStyle w:val="TextBody"/>
        <w:bidi w:val="0"/>
        <w:spacing w:lineRule="atLeast" w:line="267" w:before="0" w:after="0"/>
        <w:jc w:val="both"/>
        <w:rPr>
          <w:rFonts w:ascii="sans-serif" w:hAnsi="sans-serif"/>
          <w:b w:val="false"/>
          <w:color w:val="000000"/>
          <w:sz w:val="22"/>
        </w:rPr>
      </w:pPr>
      <w:r>
        <w:rPr>
          <w:rFonts w:ascii="sans-serif" w:hAnsi="sans-serif"/>
          <w:b w:val="false"/>
          <w:color w:val="000000"/>
          <w:sz w:val="22"/>
        </w:rPr>
        <w:t>payroll schedule, subject to applicable withholdings.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You will be eligible to receive an annual cash bonus with a target gross amount of 55% of your base salary (subject to the achievement of certain performance goals and objectives that may be established by our Board of Directors or a committee thereof (the “</w:t>
      </w:r>
      <w:r>
        <w:rPr>
          <w:rFonts w:ascii="sans-serif" w:hAnsi="sans-serif"/>
          <w:b/>
          <w:color w:val="000000"/>
          <w:sz w:val="22"/>
        </w:rPr>
        <w:t>Board</w:t>
      </w:r>
      <w:r>
        <w:rPr>
          <w:color w:val="000000"/>
        </w:rPr>
        <w:t>”</w:t>
      </w:r>
      <w:r>
        <w:rPr>
          <w:rFonts w:ascii="sans-serif" w:hAnsi="sans-serif"/>
          <w:b w:val="false"/>
          <w:color w:val="000000"/>
          <w:sz w:val="22"/>
        </w:rPr>
        <w:t>), as applicable, from time to time). Further details regarding this bonus opportunity will be made available to you. Any such bonus will be paid in accordance with the Company’s standard practices, less applicable withholdings, and subject to your continuous service on the date of payment.</w:t>
      </w:r>
    </w:p>
    <w:p>
      <w:pPr>
        <w:pStyle w:val="TextBody"/>
        <w:bidi w:val="0"/>
        <w:spacing w:before="1" w:after="283"/>
        <w:jc w:val="both"/>
        <w:rPr/>
      </w:pPr>
      <w:r>
        <w:rPr/>
      </w:r>
    </w:p>
    <w:p>
      <w:pPr>
        <w:pStyle w:val="TextBody"/>
        <w:bidi w:val="0"/>
        <w:spacing w:lineRule="auto" w:line="288" w:before="0" w:after="0"/>
        <w:jc w:val="both"/>
        <w:rPr/>
      </w:pPr>
      <w:r>
        <w:rPr>
          <w:rFonts w:ascii="sans-serif" w:hAnsi="sans-serif"/>
          <w:b w:val="false"/>
          <w:color w:val="000000"/>
          <w:sz w:val="22"/>
        </w:rPr>
        <w:t>Subject to approval of our Board or its delegates, as applicable, as a material inducement to you accepting employment with the Company, the Company will grant you equity awards under the Company’s current equity incentive plans (collectively, the “</w:t>
      </w:r>
      <w:r>
        <w:rPr>
          <w:rFonts w:ascii="sans-serif" w:hAnsi="sans-serif"/>
          <w:b/>
          <w:color w:val="000000"/>
          <w:sz w:val="22"/>
        </w:rPr>
        <w:t>Plans</w:t>
      </w:r>
      <w:r>
        <w:rPr>
          <w:color w:val="000000"/>
        </w:rPr>
        <w:t>”</w:t>
      </w:r>
      <w:r>
        <w:rPr>
          <w:rFonts w:ascii="sans-serif" w:hAnsi="sans-serif"/>
          <w:b w:val="false"/>
          <w:color w:val="000000"/>
          <w:sz w:val="22"/>
        </w:rPr>
        <w:t>) as follows: (i) a nonstatutory stock option (the “</w:t>
      </w:r>
      <w:r>
        <w:rPr>
          <w:rFonts w:ascii="sans-serif" w:hAnsi="sans-serif"/>
          <w:b/>
          <w:color w:val="000000"/>
          <w:sz w:val="22"/>
        </w:rPr>
        <w:t>Option</w:t>
      </w:r>
      <w:r>
        <w:rPr>
          <w:color w:val="000000"/>
        </w:rPr>
        <w:t>”</w:t>
      </w:r>
      <w:r>
        <w:rPr>
          <w:rFonts w:ascii="sans-serif" w:hAnsi="sans-serif"/>
          <w:b w:val="false"/>
          <w:color w:val="000000"/>
          <w:sz w:val="22"/>
        </w:rPr>
        <w:t>) to purchase a total of 2,000,000 shares of the Company’s common stock (each a “</w:t>
      </w:r>
      <w:r>
        <w:rPr>
          <w:rFonts w:ascii="sans-serif" w:hAnsi="sans-serif"/>
          <w:b/>
          <w:color w:val="000000"/>
          <w:sz w:val="22"/>
        </w:rPr>
        <w:t>Share</w:t>
      </w:r>
      <w:r>
        <w:rPr>
          <w:color w:val="000000"/>
        </w:rPr>
        <w:t xml:space="preserve">” </w:t>
      </w:r>
      <w:r>
        <w:rPr>
          <w:rFonts w:ascii="sans-serif" w:hAnsi="sans-serif"/>
          <w:b w:val="false"/>
          <w:color w:val="000000"/>
          <w:sz w:val="22"/>
        </w:rPr>
        <w:t>and, collectively, the “</w:t>
      </w:r>
      <w:r>
        <w:rPr>
          <w:rFonts w:ascii="sans-serif" w:hAnsi="sans-serif"/>
          <w:b/>
          <w:color w:val="000000"/>
          <w:sz w:val="22"/>
        </w:rPr>
        <w:t>Shares</w:t>
      </w:r>
      <w:r>
        <w:rPr>
          <w:color w:val="000000"/>
        </w:rPr>
        <w:t>”</w:t>
      </w:r>
      <w:r>
        <w:rPr>
          <w:rFonts w:ascii="sans-serif" w:hAnsi="sans-serif"/>
          <w:b w:val="false"/>
          <w:color w:val="000000"/>
          <w:sz w:val="22"/>
        </w:rPr>
        <w:t>), having an exercise price per Share equal to the fair market value of a Share on the date of grant, and (ii) an award of restricted stock units covering 1,000,000 Shares (the “</w:t>
      </w:r>
      <w:r>
        <w:rPr>
          <w:rFonts w:ascii="sans-serif" w:hAnsi="sans-serif"/>
          <w:b/>
          <w:color w:val="000000"/>
          <w:sz w:val="22"/>
        </w:rPr>
        <w:t>RSUs</w:t>
      </w:r>
      <w:r>
        <w:rPr>
          <w:color w:val="000000"/>
        </w:rPr>
        <w:t>”</w:t>
      </w:r>
      <w:r>
        <w:rPr>
          <w:rFonts w:ascii="sans-serif" w:hAnsi="sans-serif"/>
          <w:b w:val="false"/>
          <w:color w:val="000000"/>
          <w:sz w:val="22"/>
        </w:rPr>
        <w:t xml:space="preserve">), subject to adjustment for any stock splits, reverse splits, combinations, dividends, and the like after the date hereof.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RSU award will be scheduled to vest as to one fourth (1/4th) of the underlying Shares on each of the one (1), two (2), three (3) and four (4) year anniversaries of the vesting commencement date, provided that you remain in continuous service with the Company through the applicable vesting dates. Any portion of the RSUs that have not vested as of the date of cessation of your continuous service with the Company will terminate as of the date of such cessation.</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Option will be scheduled to vest as to one-fourth (1/4th) of the Shares subject at grant to the Option on the one-year anniversary of the vesting commencement date and as to one forty-eighth (1/48th) of the Shares subject at grant to the Option each month thereafter on the same day of the month as the vesting commencement date, provided that you remain in continuous service with the Company through the applicable vesting date. Any portion of the Option that has not vested as of the date of cessation of your continuous service with the Company will terminate as of the date of such cessation.</w:t>
      </w:r>
    </w:p>
    <w:p>
      <w:pPr>
        <w:pStyle w:val="TextBody"/>
        <w:bidi w:val="0"/>
        <w:spacing w:before="0" w:after="0"/>
        <w:jc w:val="both"/>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The Option and the RSU award will each be effective as of and subject to your commencing employment with the Company. The speciﬁc terms of the Option the RSU awards each will be determined when granted by the Board or its delegates, as applicable, and will be subject to the terms and conditions of </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60705"/>
                <wp:effectExtent l="0" t="0" r="0" b="0"/>
                <wp:wrapNone/>
                <wp:docPr id="259" name="Frame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ind w:left="0" w:right="0" w:hanging="1530"/>
                              <w:jc w:val="center"/>
                              <w:rPr/>
                            </w:pPr>
                            <w:r>
                              <w:rPr>
                                <w:rFonts w:ascii="Arial;sans-serif" w:hAnsi="Arial;sans-serif"/>
                                <w:b/>
                                <w:color w:val="DF1995"/>
                                <w:sz w:val="22"/>
                              </w:rPr>
                              <w:t xml:space="preserve">pacb.com </w:t>
                            </w:r>
                            <w:r>
                              <w:rPr>
                                <w:rFonts w:ascii="Arial;sans-serif" w:hAnsi="Arial;sans-serif"/>
                                <w:b w:val="false"/>
                                <w:color w:val="BFBFBF"/>
                                <w:sz w:val="22"/>
                              </w:rPr>
                              <w:t>|</w:t>
                            </w:r>
                            <w:r>
                              <w:rPr>
                                <w:color w:val="000000"/>
                              </w:rPr>
                              <w:t xml:space="preserve"> </w:t>
                            </w:r>
                            <w:r>
                              <w:rPr>
                                <w:rFonts w:ascii="Arial;sans-serif" w:hAnsi="Arial;sans-serif"/>
                                <w:b w:val="false"/>
                                <w:color w:val="000000"/>
                                <w:sz w:val="22"/>
                              </w:rPr>
                              <w:t>650.521.8000</w:t>
                            </w:r>
                            <w:r>
                              <w:rPr>
                                <w:color w:val="DF1995"/>
                              </w:rPr>
                              <w:t xml:space="preserve"> </w:t>
                            </w:r>
                            <w:r>
                              <w:rPr>
                                <w:rFonts w:ascii="Arial;sans-serif" w:hAnsi="Arial;sans-serif"/>
                                <w:b w:val="false"/>
                                <w:color w:val="BFBFBF"/>
                                <w:sz w:val="22"/>
                              </w:rPr>
                              <w:t>|</w:t>
                            </w:r>
                            <w:r>
                              <w:rPr>
                                <w:color w:val="000000"/>
                              </w:rPr>
                              <w:t xml:space="preserve"> </w:t>
                            </w:r>
                            <w:r>
                              <w:rPr>
                                <w:rFonts w:ascii="Arial;sans-serif" w:hAnsi="Arial;sans-serif"/>
                                <w:b w:val="false"/>
                                <w:color w:val="000000"/>
                                <w:sz w:val="22"/>
                              </w:rPr>
                              <w:t>1305 O’Brien Dr. Menlo Park, CA 94025</w:t>
                            </w:r>
                            <w:r>
                              <w:br w:type="page"/>
                            </w:r>
                          </w:p>
                          <w:p>
                            <w:pPr>
                              <w:pStyle w:val="TextBody"/>
                              <w:bidi w:val="0"/>
                              <w:spacing w:before="0" w:after="0"/>
                              <w:ind w:left="0" w:right="0" w:hanging="1530"/>
                              <w:jc w:val="center"/>
                              <w:rPr/>
                            </w:pPr>
                            <w:r>
                              <w:rPr/>
                            </w:r>
                          </w:p>
                          <w:p>
                            <w:pPr>
                              <w:pStyle w:val="TextBody"/>
                              <w:bidi w:val="0"/>
                              <w:spacing w:before="0" w:after="0"/>
                              <w:ind w:left="0" w:right="0" w:hanging="153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hanging="1530"/>
                        <w:jc w:val="center"/>
                        <w:rPr/>
                      </w:pPr>
                      <w:r>
                        <w:rPr>
                          <w:rFonts w:ascii="Arial;sans-serif" w:hAnsi="Arial;sans-serif"/>
                          <w:b/>
                          <w:color w:val="DF1995"/>
                          <w:sz w:val="22"/>
                        </w:rPr>
                        <w:t xml:space="preserve">pacb.com </w:t>
                      </w:r>
                      <w:r>
                        <w:rPr>
                          <w:rFonts w:ascii="Arial;sans-serif" w:hAnsi="Arial;sans-serif"/>
                          <w:b w:val="false"/>
                          <w:color w:val="BFBFBF"/>
                          <w:sz w:val="22"/>
                        </w:rPr>
                        <w:t>|</w:t>
                      </w:r>
                      <w:r>
                        <w:rPr>
                          <w:color w:val="000000"/>
                        </w:rPr>
                        <w:t xml:space="preserve"> </w:t>
                      </w:r>
                      <w:r>
                        <w:rPr>
                          <w:rFonts w:ascii="Arial;sans-serif" w:hAnsi="Arial;sans-serif"/>
                          <w:b w:val="false"/>
                          <w:color w:val="000000"/>
                          <w:sz w:val="22"/>
                        </w:rPr>
                        <w:t>650.521.8000</w:t>
                      </w:r>
                      <w:r>
                        <w:rPr>
                          <w:color w:val="DF1995"/>
                        </w:rPr>
                        <w:t xml:space="preserve"> </w:t>
                      </w:r>
                      <w:r>
                        <w:rPr>
                          <w:rFonts w:ascii="Arial;sans-serif" w:hAnsi="Arial;sans-serif"/>
                          <w:b w:val="false"/>
                          <w:color w:val="BFBFBF"/>
                          <w:sz w:val="22"/>
                        </w:rPr>
                        <w:t>|</w:t>
                      </w:r>
                      <w:r>
                        <w:rPr>
                          <w:color w:val="000000"/>
                        </w:rPr>
                        <w:t xml:space="preserve"> </w:t>
                      </w:r>
                      <w:r>
                        <w:rPr>
                          <w:rFonts w:ascii="Arial;sans-serif" w:hAnsi="Arial;sans-serif"/>
                          <w:b w:val="false"/>
                          <w:color w:val="000000"/>
                          <w:sz w:val="22"/>
                        </w:rPr>
                        <w:t>1305 O’Brien Dr. Menlo Park, CA 94025</w:t>
                      </w:r>
                    </w:p>
                    <w:p>
                      <w:pPr>
                        <w:pStyle w:val="TextBody"/>
                        <w:bidi w:val="0"/>
                        <w:spacing w:before="0" w:after="0"/>
                        <w:ind w:left="0" w:right="0" w:hanging="1530"/>
                        <w:jc w:val="center"/>
                        <w:rPr/>
                      </w:pPr>
                      <w:r>
                        <w:rPr/>
                      </w:r>
                    </w:p>
                    <w:p>
                      <w:pPr>
                        <w:pStyle w:val="TextBody"/>
                        <w:bidi w:val="0"/>
                        <w:spacing w:before="0" w:after="0"/>
                        <w:ind w:left="0" w:right="0" w:hanging="153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1085850" cy="238125"/>
            <wp:effectExtent l="0" t="0" r="0" b="0"/>
            <wp:docPr id="26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0" descr=""/>
                    <pic:cNvPicPr>
                      <a:picLocks noChangeAspect="1" noChangeArrowheads="1"/>
                    </pic:cNvPicPr>
                  </pic:nvPicPr>
                  <pic:blipFill>
                    <a:blip r:embed="rId185"/>
                    <a:stretch>
                      <a:fillRect/>
                    </a:stretch>
                  </pic:blipFill>
                  <pic:spPr bwMode="auto">
                    <a:xfrm>
                      <a:off x="0" y="0"/>
                      <a:ext cx="1085850" cy="238125"/>
                    </a:xfrm>
                    <a:prstGeom prst="rect">
                      <a:avLst/>
                    </a:prstGeom>
                  </pic:spPr>
                </pic:pic>
              </a:graphicData>
            </a:graphic>
          </wp:inline>
        </w:drawing>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Plan and the applicable RSU and Option award agreements thereunder, which will be provided to you after the grant is made.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You will be eligible to receive equity awards covering Shares pursuant to any plans or arrangements the Company may have in effect from time to time, including but not limited to any focal grants. The Board will determine in its discretion whether you will be granted any such equity awards and the terms of any such award in accordance with the terms of any applicable plan or arrangement that may be in effect from time to time.</w:t>
      </w:r>
    </w:p>
    <w:p>
      <w:pPr>
        <w:pStyle w:val="TextBody"/>
        <w:bidi w:val="0"/>
        <w:spacing w:before="0" w:after="0"/>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You will also be offered certain benefits pursuant to our standard executive Change in Control Severance Agreement, subject to approval by the Compensation Committee of the Board, and our standard director/officer Indemnification Agreement, copies of which are attached.</w:t>
      </w:r>
    </w:p>
    <w:p>
      <w:pPr>
        <w:pStyle w:val="TextBody"/>
        <w:bidi w:val="0"/>
        <w:spacing w:before="1" w:after="283"/>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We will be offering you our standard benefits package and a phone allowance under our Mobile Device Policy of $100 per month. You will receive designated Company holidays, and the terms of our time off with pay policies are outlined in our employee handbook. The Company reserves the right to modify or terminate the benefit plans, policies, allowances, and programs it offers to its employees at any time.</w:t>
      </w:r>
    </w:p>
    <w:p>
      <w:pPr>
        <w:pStyle w:val="TextBody"/>
        <w:bidi w:val="0"/>
        <w:spacing w:before="11" w:after="283"/>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All forms of compensation referred to in this letter agreement are subject to reduction to reflect applicable withholding and payroll taxes and other deductions required by law.</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Your employment with the Company is for no specified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benefits and allowances, as well as the Company’s personnel policies and procedures, may change from time to time in the Company’s sole discretion, the “at will” nature of your employment may only be changed in an express written agreement signed by you and a duly authorized officer of the Company (other than you).</w:t>
      </w:r>
    </w:p>
    <w:p>
      <w:pPr>
        <w:pStyle w:val="TextBody"/>
        <w:bidi w:val="0"/>
        <w:spacing w:before="12" w:after="283"/>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You represent that the performance of your duties in the position described above will not violate the terms of any agreements you may have with others, including your former employer. You also understand that you are not to bring to or use at the Company any confidential information of your prior employers.</w:t>
      </w:r>
    </w:p>
    <w:p>
      <w:pPr>
        <w:pStyle w:val="TextBody"/>
        <w:bidi w:val="0"/>
        <w:spacing w:before="0" w:after="0"/>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Your employment is also conditioned upon your agreement and execution of the attached Pacific Biosciences At Will Employment, Confidential Information, Invention Assignment, and Arbitration Agreement.</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 xml:space="preserve">Upon your acceptance of this offer (as evidenced by your return of a signed copy of this letter and the attached agreements to the Company), this letter agreement, the Pacific Biosciences At Will Employment, Confidential Information, Invention Assignment, and Arbitration Agreement, the Change in Control Severance Agreement (if signed by you) and the Indemnification Agreement (if signed by you) together constitute the complete agreement between you and the Company, contain all of the terms of </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068705"/>
                <wp:effectExtent l="0" t="0" r="0" b="0"/>
                <wp:wrapNone/>
                <wp:docPr id="261" name="Frame87"/>
                <a:graphic xmlns:a="http://schemas.openxmlformats.org/drawingml/2006/main">
                  <a:graphicData uri="http://schemas.microsoft.com/office/word/2010/wordprocessingShape">
                    <wps:wsp>
                      <wps:cNvSpPr txBox="1"/>
                      <wps:spPr>
                        <a:xfrm>
                          <a:off x="0" y="0"/>
                          <a:ext cx="6480175" cy="106870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2 of 3</w:t>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2 of 3</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1085850" cy="238125"/>
            <wp:effectExtent l="0" t="0" r="0" b="0"/>
            <wp:docPr id="26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1" descr=""/>
                    <pic:cNvPicPr>
                      <a:picLocks noChangeAspect="1" noChangeArrowheads="1"/>
                    </pic:cNvPicPr>
                  </pic:nvPicPr>
                  <pic:blipFill>
                    <a:blip r:embed="rId186"/>
                    <a:stretch>
                      <a:fillRect/>
                    </a:stretch>
                  </pic:blipFill>
                  <pic:spPr bwMode="auto">
                    <a:xfrm>
                      <a:off x="0" y="0"/>
                      <a:ext cx="1085850" cy="238125"/>
                    </a:xfrm>
                    <a:prstGeom prst="rect">
                      <a:avLst/>
                    </a:prstGeom>
                  </pic:spPr>
                </pic:pic>
              </a:graphicData>
            </a:graphic>
          </wp:inline>
        </w:drawing>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your employment with the Company and supersede any prior agreements, representations or understandings (whether written, oral or implied) between you and the Company.</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As required by law, your employment with the Company is contingent upon your providing legal proof of identity and authorization to work within the United States on your first day of employment. In addition, to the extent permitted by applicable law, this offer and your employment with the Company is contingent upon completing a Director and Officer Questionnaire that will be subject to review and approval by the Company, and your submitting to, and passing, a background check. Additionally, any employee authorized to drive a Company vehicle, or who is receiving a vehicle allowance, must provide a valid and current driver’s license and consent to a DMV check.</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To accept our offer, please sign and date this letter in the space provided below. If you accept our offer, your first day of employment will be March 31, 2025, subject to your satisfaction of the above conditions.</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This offer of employment will terminate if it is not accepted, signed, and returned by midnight Pacific Time, March 26, 2025.</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The Company is committed to hiring employees like you that have the courage, creativity, and experience to develop new ideas for new markets.</w:t>
      </w:r>
    </w:p>
    <w:p>
      <w:pPr>
        <w:pStyle w:val="TextBody"/>
        <w:bidi w:val="0"/>
        <w:spacing w:before="1" w:after="283"/>
        <w:jc w:val="both"/>
        <w:rPr/>
      </w:pPr>
      <w:r>
        <w:rPr/>
      </w:r>
    </w:p>
    <w:p>
      <w:pPr>
        <w:pStyle w:val="TextBody"/>
        <w:bidi w:val="0"/>
        <w:spacing w:lineRule="auto" w:line="288" w:before="1" w:after="283"/>
        <w:jc w:val="both"/>
        <w:rPr>
          <w:rFonts w:ascii="sans-serif" w:hAnsi="sans-serif"/>
          <w:b w:val="false"/>
          <w:color w:val="000000"/>
          <w:sz w:val="22"/>
        </w:rPr>
      </w:pPr>
      <w:r>
        <w:rPr>
          <w:rFonts w:ascii="sans-serif" w:hAnsi="sans-serif"/>
          <w:b w:val="false"/>
          <w:color w:val="000000"/>
          <w:sz w:val="22"/>
        </w:rPr>
        <w:t>We look forward to having you on our team!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 Christian O. Henry</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___________________________________________________________________________________</w: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Pacific Biosciences of California, Inc. By: Christian O. Henry, President, Chief Executive Officer and Interim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 have read and accept this employment offer:</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 James R. Gibson 3/24/2025</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___________________________________________________________________________________</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James R. Gibson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068705"/>
                <wp:effectExtent l="0" t="0" r="0" b="0"/>
                <wp:wrapNone/>
                <wp:docPr id="263" name="Frame88"/>
                <a:graphic xmlns:a="http://schemas.openxmlformats.org/drawingml/2006/main">
                  <a:graphicData uri="http://schemas.microsoft.com/office/word/2010/wordprocessingShape">
                    <wps:wsp>
                      <wps:cNvSpPr txBox="1"/>
                      <wps:spPr>
                        <a:xfrm>
                          <a:off x="0" y="0"/>
                          <a:ext cx="6480175" cy="1068705"/>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3 of 3</w:t>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1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3 of 3</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520" w:before="60" w:after="283"/>
        <w:jc w:val="center"/>
        <w:rPr>
          <w:rFonts w:ascii="Times New Roman;sans-serif" w:hAnsi="Times New Roman;sans-serif"/>
          <w:b/>
          <w:color w:val="000000"/>
          <w:sz w:val="24"/>
        </w:rPr>
      </w:pPr>
      <w:r>
        <w:rPr>
          <w:rFonts w:ascii="Times New Roman;sans-serif" w:hAnsi="Times New Roman;sans-serif"/>
          <w:b/>
          <w:color w:val="000000"/>
          <w:sz w:val="24"/>
        </w:rPr>
        <w:t>PACIFIC BIOSCIENCES OF CALIFORNIA, INC. OUTSIDE DIRECTOR COMPENSATION POLICY</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Effective as of April 22, 2025</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Pacific Biosciences of California,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believes that providing cash and equity compensation to its members of the Board of Directors (the “</w:t>
      </w:r>
      <w:r>
        <w:rPr>
          <w:rFonts w:ascii="Times New Roman;sans-serif" w:hAnsi="Times New Roman;sans-serif"/>
          <w:b/>
          <w:color w:val="000000"/>
          <w:sz w:val="24"/>
        </w:rPr>
        <w:t>Board</w:t>
      </w:r>
      <w:r>
        <w:rPr>
          <w:rFonts w:ascii="Times New Roman;sans-serif" w:hAnsi="Times New Roman;sans-serif"/>
          <w:b w:val="false"/>
          <w:color w:val="000000"/>
          <w:sz w:val="24"/>
        </w:rPr>
        <w:t>,” and members of the Board, the “</w:t>
      </w:r>
      <w:r>
        <w:rPr>
          <w:rFonts w:ascii="Times New Roman;sans-serif" w:hAnsi="Times New Roman;sans-serif"/>
          <w:b/>
          <w:color w:val="000000"/>
          <w:sz w:val="24"/>
        </w:rPr>
        <w:t>Directors</w:t>
      </w:r>
      <w:r>
        <w:rPr>
          <w:color w:val="000000"/>
        </w:rPr>
        <w:t>”</w:t>
      </w:r>
      <w:r>
        <w:rPr>
          <w:rFonts w:ascii="Times New Roman;sans-serif" w:hAnsi="Times New Roman;sans-serif"/>
          <w:b w:val="false"/>
          <w:color w:val="000000"/>
          <w:sz w:val="24"/>
        </w:rPr>
        <w:t>) represents an effective tool to attract, retain and reward Directors who are not Employees of the Company (the “</w:t>
      </w:r>
      <w:r>
        <w:rPr>
          <w:rFonts w:ascii="Times New Roman;sans-serif" w:hAnsi="Times New Roman;sans-serif"/>
          <w:b/>
          <w:color w:val="000000"/>
          <w:sz w:val="24"/>
        </w:rPr>
        <w:t>Outside Directors</w:t>
      </w:r>
      <w:r>
        <w:rPr>
          <w:color w:val="000000"/>
        </w:rPr>
        <w:t>”</w:t>
      </w:r>
      <w:r>
        <w:rPr>
          <w:rFonts w:ascii="Times New Roman;sans-serif" w:hAnsi="Times New Roman;sans-serif"/>
          <w:b w:val="false"/>
          <w:color w:val="000000"/>
          <w:sz w:val="24"/>
        </w:rPr>
        <w:t>). This Outside Director Compensation Policy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Each Outside Director will be solely responsible for any tax obligations incurred by such Outside Director as a result of the equity and cash payments such Outside Director receives under this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This Policy will be effective as of April 22, 2025 (such date,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hanging="322"/>
        <w:jc w:val="left"/>
        <w:rPr/>
      </w:pPr>
      <w:r>
        <w:rPr>
          <w:rFonts w:ascii="Times New Roman;sans-serif" w:hAnsi="Times New Roman;sans-serif"/>
          <w:b/>
          <w:color w:val="000000"/>
          <w:sz w:val="24"/>
        </w:rPr>
        <w:t>1.</w:t>
      </w:r>
      <w:r>
        <w:rPr>
          <w:rFonts w:ascii="Times New Roman;sans-serif" w:hAnsi="Times New Roman;sans-serif"/>
          <w:b/>
          <w:color w:val="000000"/>
          <w:sz w:val="24"/>
          <w:u w:val="single"/>
        </w:rPr>
        <w:t>Cash Compensation</w:t>
      </w:r>
    </w:p>
    <w:p>
      <w:pPr>
        <w:pStyle w:val="TextBody"/>
        <w:bidi w:val="0"/>
        <w:spacing w:before="22" w:after="283"/>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Annual Cash Retainer</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Outside Director will be paid an annual cash retainer of $40,000. There are no per- meeting attendance fees for attending Board meetings. This cash compensation will be paid quarterly in equal installments in advance.</w:t>
      </w:r>
    </w:p>
    <w:p>
      <w:pPr>
        <w:pStyle w:val="TextBody"/>
        <w:bidi w:val="0"/>
        <w:spacing w:lineRule="auto" w:line="288" w:before="24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Committee Annual Cash Retainer</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the Effective Date, each Outside Director who serves as the lead Outside Director or Board chair, or the chair or a member of a committee of the Board, will be eligible to earn additional annual fees (paid quarterly in equal installments in advance) as follows:</w:t>
      </w:r>
    </w:p>
    <w:p>
      <w:pPr>
        <w:pStyle w:val="TextBody"/>
        <w:bidi w:val="0"/>
        <w:spacing w:before="140" w:after="283"/>
        <w:jc w:val="left"/>
        <w:rPr/>
      </w:pPr>
      <w:r>
        <w:rPr/>
      </w:r>
    </w:p>
    <w:tbl>
      <w:tblPr>
        <w:tblW w:w="7065" w:type="dxa"/>
        <w:jc w:val="left"/>
        <w:tblInd w:w="0" w:type="dxa"/>
        <w:tblLayout w:type="fixed"/>
        <w:tblCellMar>
          <w:top w:w="28" w:type="dxa"/>
          <w:left w:w="28" w:type="dxa"/>
          <w:bottom w:w="28" w:type="dxa"/>
          <w:right w:w="28" w:type="dxa"/>
        </w:tblCellMar>
      </w:tblPr>
      <w:tblGrid>
        <w:gridCol w:w="2223"/>
        <w:gridCol w:w="1953"/>
        <w:gridCol w:w="1958"/>
        <w:gridCol w:w="272"/>
        <w:gridCol w:w="272"/>
        <w:gridCol w:w="387"/>
      </w:tblGrid>
      <w:tr>
        <w:trPr/>
        <w:tc>
          <w:tcPr>
            <w:tcW w:w="222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Lead Independent Director/Board Chair:</w:t>
            </w:r>
          </w:p>
        </w:tc>
        <w:tc>
          <w:tcPr>
            <w:tcW w:w="931" w:type="dxa"/>
            <w:gridSpan w:val="3"/>
            <w:tcBorders/>
            <w:tcMar>
              <w:top w:w="0" w:type="dxa"/>
              <w:left w:w="0" w:type="dxa"/>
              <w:bottom w:w="0" w:type="dxa"/>
              <w:right w:w="0" w:type="dxa"/>
            </w:tcMar>
            <w:vAlign w:val="center"/>
          </w:tcPr>
          <w:p>
            <w:pPr>
              <w:pStyle w:val="TableContents"/>
              <w:bidi w:val="0"/>
              <w:spacing w:lineRule="atLeast" w:line="266"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$40,000</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115"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 of Audit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115"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$20,000</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115"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Member of Audit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115"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$10,000</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 of Compensation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114"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$14,000</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115"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Member of Compensation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115"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$7,000</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115"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 of Corporate Governance and Nominating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115"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$10,000</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115"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Member of Corporate Governance and Nominating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115"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$5,000</w:t>
            </w:r>
          </w:p>
        </w:tc>
      </w:tr>
      <w:tr>
        <w:trPr/>
        <w:tc>
          <w:tcPr>
            <w:tcW w:w="6134" w:type="dxa"/>
            <w:gridSpan w:val="3"/>
            <w:tcBorders/>
            <w:tcMar>
              <w:top w:w="0" w:type="dxa"/>
              <w:left w:w="0" w:type="dxa"/>
              <w:bottom w:w="0" w:type="dxa"/>
              <w:right w:w="0" w:type="dxa"/>
            </w:tcMar>
            <w:vAlign w:val="center"/>
          </w:tcPr>
          <w:p>
            <w:pPr>
              <w:pStyle w:val="TableContents"/>
              <w:bidi w:val="0"/>
              <w:spacing w:lineRule="atLeast" w:line="256" w:before="115"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 of Science and Technology Committee:</w:t>
            </w:r>
          </w:p>
        </w:tc>
        <w:tc>
          <w:tcPr>
            <w:tcW w:w="931" w:type="dxa"/>
            <w:gridSpan w:val="3"/>
            <w:tcBorders/>
            <w:tcMar>
              <w:top w:w="0" w:type="dxa"/>
              <w:left w:w="0" w:type="dxa"/>
              <w:bottom w:w="0" w:type="dxa"/>
              <w:right w:w="0" w:type="dxa"/>
            </w:tcMar>
            <w:vAlign w:val="center"/>
          </w:tcPr>
          <w:p>
            <w:pPr>
              <w:pStyle w:val="TableContents"/>
              <w:bidi w:val="0"/>
              <w:spacing w:lineRule="atLeast" w:line="256" w:before="115"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64"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35" w:type="dxa"/>
        <w:jc w:val="left"/>
        <w:tblInd w:w="0" w:type="dxa"/>
        <w:tblLayout w:type="fixed"/>
        <w:tblCellMar>
          <w:top w:w="28" w:type="dxa"/>
          <w:left w:w="28" w:type="dxa"/>
          <w:bottom w:w="28" w:type="dxa"/>
          <w:right w:w="28" w:type="dxa"/>
        </w:tblCellMar>
      </w:tblPr>
      <w:tblGrid>
        <w:gridCol w:w="1712"/>
        <w:gridCol w:w="1502"/>
        <w:gridCol w:w="1510"/>
        <w:gridCol w:w="237"/>
        <w:gridCol w:w="237"/>
        <w:gridCol w:w="33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tLeast" w:line="24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Member of Science and Technology Committee:</w:t>
            </w:r>
          </w:p>
        </w:tc>
        <w:tc>
          <w:tcPr>
            <w:tcW w:w="811" w:type="dxa"/>
            <w:gridSpan w:val="3"/>
            <w:tcBorders/>
            <w:tcMar>
              <w:top w:w="0" w:type="dxa"/>
              <w:left w:w="0" w:type="dxa"/>
              <w:bottom w:w="0" w:type="dxa"/>
              <w:right w:w="0" w:type="dxa"/>
            </w:tcMar>
            <w:vAlign w:val="center"/>
          </w:tcPr>
          <w:p>
            <w:pPr>
              <w:pStyle w:val="TableContents"/>
              <w:bidi w:val="0"/>
              <w:spacing w:lineRule="atLeast" w:line="246"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$5,000</w:t>
            </w:r>
          </w:p>
        </w:tc>
      </w:tr>
    </w:tbl>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clarity, each Outside Director who serves as the chair of a committee will not receive both the additional annual fee as the chair of the committee and the additional annual fee as a member of the committee.</w:t>
      </w:r>
    </w:p>
    <w:p>
      <w:pPr>
        <w:pStyle w:val="TextBody"/>
        <w:bidi w:val="0"/>
        <w:spacing w:lineRule="auto" w:line="288" w:before="240" w:after="283"/>
        <w:ind w:left="0" w:right="0" w:hanging="322"/>
        <w:jc w:val="left"/>
        <w:rPr/>
      </w:pPr>
      <w:r>
        <w:rPr>
          <w:rFonts w:ascii="Times New Roman;sans-serif" w:hAnsi="Times New Roman;sans-serif"/>
          <w:b/>
          <w:color w:val="000000"/>
          <w:sz w:val="24"/>
        </w:rPr>
        <w:t>2.</w:t>
      </w:r>
      <w:r>
        <w:rPr>
          <w:rFonts w:ascii="Times New Roman;sans-serif" w:hAnsi="Times New Roman;sans-serif"/>
          <w:b/>
          <w:color w:val="000000"/>
          <w:sz w:val="24"/>
          <w:u w:val="single"/>
        </w:rPr>
        <w:t>Equity Compensation</w:t>
      </w:r>
    </w:p>
    <w:p>
      <w:pPr>
        <w:pStyle w:val="TextBody"/>
        <w:bidi w:val="0"/>
        <w:spacing w:before="2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Discretion</w:t>
      </w:r>
      <w:r>
        <w:rPr>
          <w:rFonts w:ascii="Times New Roman;sans-serif" w:hAnsi="Times New Roman;sans-serif"/>
          <w:b w:val="false"/>
          <w:color w:val="000000"/>
          <w:sz w:val="24"/>
        </w:rPr>
        <w:t>. No person will have any discretion to select which Outside Directors will be granted any Awards under this Policy or to determine the number of Shares to be covered by such Awards.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Initial Awards</w:t>
      </w:r>
      <w:r>
        <w:rPr>
          <w:rFonts w:ascii="Times New Roman;sans-serif" w:hAnsi="Times New Roman;sans-serif"/>
          <w:b w:val="false"/>
          <w:color w:val="000000"/>
          <w:sz w:val="24"/>
        </w:rPr>
        <w:t>. Subject to adjustment pursuant to the applicable terms of the Plan, each individual who first becomes an Outside Director following the Effective Date automatically will be granted an Award of Nonstatutory Stock Options (an “</w:t>
      </w:r>
      <w:r>
        <w:rPr>
          <w:rFonts w:ascii="Times New Roman;sans-serif" w:hAnsi="Times New Roman;sans-serif"/>
          <w:b/>
          <w:color w:val="000000"/>
          <w:sz w:val="24"/>
        </w:rPr>
        <w:t>Initial Option Award</w:t>
      </w:r>
      <w:r>
        <w:rPr>
          <w:color w:val="000000"/>
        </w:rPr>
        <w:t>”</w:t>
      </w:r>
      <w:r>
        <w:rPr>
          <w:rFonts w:ascii="Times New Roman;sans-serif" w:hAnsi="Times New Roman;sans-serif"/>
          <w:b w:val="false"/>
          <w:color w:val="000000"/>
          <w:sz w:val="24"/>
        </w:rPr>
        <w:t>) and an Award of Restricted Stock Units (an “</w:t>
      </w:r>
      <w:r>
        <w:rPr>
          <w:rFonts w:ascii="Times New Roman;sans-serif" w:hAnsi="Times New Roman;sans-serif"/>
          <w:b/>
          <w:color w:val="000000"/>
          <w:sz w:val="24"/>
        </w:rPr>
        <w:t>Initial RSU Award</w:t>
      </w:r>
      <w:r>
        <w:rPr>
          <w:rFonts w:ascii="Times New Roman;sans-serif" w:hAnsi="Times New Roman;sans-serif"/>
          <w:b w:val="false"/>
          <w:color w:val="000000"/>
          <w:sz w:val="24"/>
        </w:rPr>
        <w:t>,” and together with the Initial Option Award, the “</w:t>
      </w:r>
      <w:r>
        <w:rPr>
          <w:rFonts w:ascii="Times New Roman;sans-serif" w:hAnsi="Times New Roman;sans-serif"/>
          <w:b/>
          <w:color w:val="000000"/>
          <w:sz w:val="24"/>
        </w:rPr>
        <w:t>Initial Awards</w:t>
      </w:r>
      <w:r>
        <w:rPr>
          <w:color w:val="000000"/>
        </w:rPr>
        <w:t>”</w:t>
      </w:r>
      <w:r>
        <w:rPr>
          <w:rFonts w:ascii="Times New Roman;sans-serif" w:hAnsi="Times New Roman;sans-serif"/>
          <w:b w:val="false"/>
          <w:color w:val="000000"/>
          <w:sz w:val="24"/>
        </w:rPr>
        <w:t>) that have an aggregate Value (as defined below) as of such Initial Awards’ grant date equal to $450,000, with the Initial Option Award having a Value equal to fifty percent (50%) of such dollar amount and the Initial RSU Award having a Value equal to fifty percent (50%) of such dollar amount; provided that in no event will the aggregate number of Shares subject to the Initial Awards granted to an Outside Director exceed 127,000 Shares. The Initial Awards will be made on the first date on which such individual first becomes an Outside Director (the first date as an Outside Director, the “</w:t>
      </w:r>
      <w:r>
        <w:rPr>
          <w:rFonts w:ascii="Times New Roman;sans-serif" w:hAnsi="Times New Roman;sans-serif"/>
          <w:b/>
          <w:color w:val="000000"/>
          <w:sz w:val="24"/>
        </w:rPr>
        <w:t>Initial Start Date</w:t>
      </w:r>
      <w:r>
        <w:rPr>
          <w:color w:val="000000"/>
        </w:rPr>
        <w:t>”</w:t>
      </w:r>
      <w:r>
        <w:rPr>
          <w:rFonts w:ascii="Times New Roman;sans-serif" w:hAnsi="Times New Roman;sans-serif"/>
          <w:b w:val="false"/>
          <w:color w:val="000000"/>
          <w:sz w:val="24"/>
        </w:rPr>
        <w:t>), whether through election by the stockholders of the Company or appointment by the Board to fill a vacancy. If an individual was a member of the Board and also an Employee, becoming an Outside Director due to termination of employment will not entitle the Outside Director to any Initial Awards. Each Initial Option Award will be scheduled to vest as to one-third (1/3</w:t>
      </w:r>
      <w:r>
        <w:rPr>
          <w:rFonts w:ascii="Times New Roman;sans-serif" w:hAnsi="Times New Roman;sans-serif"/>
          <w:b w:val="false"/>
          <w:color w:val="000000"/>
          <w:sz w:val="16"/>
        </w:rPr>
        <w:t>rd</w:t>
      </w:r>
      <w:r>
        <w:rPr>
          <w:rFonts w:ascii="Times New Roman;sans-serif" w:hAnsi="Times New Roman;sans-serif"/>
          <w:b w:val="false"/>
          <w:color w:val="000000"/>
          <w:sz w:val="24"/>
        </w:rPr>
        <w:t>) of the Shares subject to the Initial Option Award on the one (1) year anniversary of the Outside Director’s Initial Start Date, and thereafter, in equal installments on a monthly basis for the next twenty-four (24) months on the same day of the month as the Outside Director’s Initial Start Date (or if a particular month does not have a corresponding day within that month, then the last day of that month), in each case subject to the Outside Director continuing to be a Director through the applicable vesting date. Each Initial RSU Award will be scheduled to vest as to one-third (1/3</w:t>
      </w:r>
      <w:r>
        <w:rPr>
          <w:rFonts w:ascii="Times New Roman;sans-serif" w:hAnsi="Times New Roman;sans-serif"/>
          <w:b w:val="false"/>
          <w:color w:val="000000"/>
          <w:sz w:val="16"/>
        </w:rPr>
        <w:t>rd</w:t>
      </w:r>
      <w:r>
        <w:rPr>
          <w:rFonts w:ascii="Times New Roman;sans-serif" w:hAnsi="Times New Roman;sans-serif"/>
          <w:b w:val="false"/>
          <w:color w:val="000000"/>
          <w:sz w:val="24"/>
        </w:rPr>
        <w:t>) of the Shares subject to the Initial RSU Award on the one (1), two (2), and three (3) year anniversaries of the Outside Director’s Initial Start Date, in each case subject to the Outside Director continuing to be a Director through the applicable vesting date.</w:t>
      </w:r>
    </w:p>
    <w:p>
      <w:pPr>
        <w:pStyle w:val="TextBody"/>
        <w:bidi w:val="0"/>
        <w:spacing w:lineRule="auto" w:line="288" w:before="239"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Annual Awards</w:t>
      </w:r>
      <w:r>
        <w:rPr>
          <w:rFonts w:ascii="Times New Roman;sans-serif" w:hAnsi="Times New Roman;sans-serif"/>
          <w:b w:val="false"/>
          <w:color w:val="000000"/>
          <w:sz w:val="24"/>
        </w:rPr>
        <w:t>. Subject to adjustment pursuant to the applicable terms of the Plan, effective as of the date of each Annual Meeting (as defined below) occurring after the Effective Date (an “</w:t>
      </w:r>
      <w:r>
        <w:rPr>
          <w:rFonts w:ascii="Times New Roman;sans-serif" w:hAnsi="Times New Roman;sans-serif"/>
          <w:b/>
          <w:color w:val="000000"/>
          <w:sz w:val="24"/>
        </w:rPr>
        <w:t>Annual Meeting Date</w:t>
      </w:r>
      <w:r>
        <w:rPr>
          <w:color w:val="000000"/>
        </w:rPr>
        <w:t>”</w:t>
      </w:r>
      <w:r>
        <w:rPr>
          <w:rFonts w:ascii="Times New Roman;sans-serif" w:hAnsi="Times New Roman;sans-serif"/>
          <w:b w:val="false"/>
          <w:color w:val="000000"/>
          <w:sz w:val="24"/>
        </w:rPr>
        <w:t>), each individual who is an Outside Director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15975"/>
                <wp:effectExtent l="0" t="0" r="0" b="0"/>
                <wp:wrapNone/>
                <wp:docPr id="265" name="Frame9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r>
                                    <w:br w:type="page"/>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4"/>
        </w:rPr>
        <w:t>will be automatically granted an Award of Nonstatutory Stock Options (the “</w:t>
      </w:r>
      <w:r>
        <w:rPr>
          <w:rFonts w:ascii="Times New Roman;sans-serif" w:hAnsi="Times New Roman;sans-serif"/>
          <w:b/>
          <w:color w:val="000000"/>
          <w:sz w:val="24"/>
        </w:rPr>
        <w:t>Annual Award</w:t>
      </w:r>
      <w:r>
        <w:rPr>
          <w:color w:val="000000"/>
        </w:rPr>
        <w:t>”</w:t>
      </w:r>
      <w:r>
        <w:rPr>
          <w:rFonts w:ascii="Times New Roman;sans-serif" w:hAnsi="Times New Roman;sans-serif"/>
          <w:b w:val="false"/>
          <w:color w:val="000000"/>
          <w:sz w:val="24"/>
        </w:rPr>
        <w:t>) with an aggregate Value as of such Annual Award’s grant date equal to $200,000; provided that in no event will the aggregate number of Shares subject to the Annual Award granted to an Outside Director as of an Annual Meeting Date exceed 65,000 Shares. Further, the Value of the first Annual Award to be granted to an Outside Director will be prorated based on the number of months of continuous service such Outside Director provided as a member of the Board during the twelve (12) month period immediately preceding such Annual Meeting Date (with any partial month of service provided rounded up to a whole month) to the extent such individual’s service as a member of the Board commenced after the date of the immediately preceding Annual Meeting. For purposes of clarity, an individual who is an Outside Director as of an Annual Meeting Date who resigns from such Outside Director role or otherwise ceases to be an Outside Director as of such date, will not be granted an Annual Award on such date, and an individual who first becomes an Outside Director as of an Annual Meeting Date will be eligible to receive Initial Awards pursuant to subsection (b) above but not an Annual Award with respect to such Annual Meeting Date. The Annual Award will be scheduled to vest monthly over one (1) year, on the same day of the month as the Annual Award’s date of grant (or if a particular month does not have a corresponding day within that month, then the last day of that month) or if earlier, on the date of the next annual meeting of the Company’s stockholders occurring after the Annual Award’s date of grant, provided such Outside Director continues to serve as a Director through the applicable vesting dates.</w:t>
      </w:r>
    </w:p>
    <w:p>
      <w:pPr>
        <w:pStyle w:val="TextBody"/>
        <w:bidi w:val="0"/>
        <w:spacing w:lineRule="auto" w:line="288" w:before="239"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Value</w:t>
      </w:r>
      <w:r>
        <w:rPr>
          <w:rFonts w:ascii="Times New Roman;sans-serif" w:hAnsi="Times New Roman;sans-serif"/>
          <w:b w:val="false"/>
          <w:color w:val="000000"/>
          <w:sz w:val="24"/>
        </w:rPr>
        <w:t>. For purposes of this Policy, “</w:t>
      </w:r>
      <w:r>
        <w:rPr>
          <w:rFonts w:ascii="Times New Roman;sans-serif" w:hAnsi="Times New Roman;sans-serif"/>
          <w:b/>
          <w:color w:val="000000"/>
          <w:sz w:val="24"/>
        </w:rPr>
        <w:t>Value</w:t>
      </w:r>
      <w:r>
        <w:rPr>
          <w:color w:val="000000"/>
        </w:rPr>
        <w:t xml:space="preserve">” </w:t>
      </w:r>
      <w:r>
        <w:rPr>
          <w:rFonts w:ascii="Times New Roman;sans-serif" w:hAnsi="Times New Roman;sans-serif"/>
          <w:b w:val="false"/>
          <w:color w:val="000000"/>
          <w:sz w:val="24"/>
        </w:rPr>
        <w:t>means, with respect to an Award of Options or Restricted Stock Units, its grant date fair value (determined in accordance with U.S. generally accepted accounting principles), or such other methodology the Board or Compensation Committee may determine prior to the grant of the Award becoming effective, as applicable; provided, however, that any Award of Options or Restricted Stock Units will cover only a whole number of Shares, such that any fractional Share that otherwise would result from a given Value will be rounded down and will not become subject to such Award. For purposes of clarity, in the event that the Share limit set forth in subsection (b) or (c) above is exceeded, then the aggregate Value of the Initial Awards or Annual Awards, as applicable, will be reduced (while the 50/50 mix of Options and Restricted Stock Units for the Initial Award based on Value is maintained) until the aggregate number of Shares subject to such Awards ceases to exceed such Share limit.</w:t>
      </w:r>
    </w:p>
    <w:p>
      <w:pPr>
        <w:pStyle w:val="TextBody"/>
        <w:bidi w:val="0"/>
        <w:spacing w:lineRule="auto" w:line="288" w:before="60"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Other Terms of Awards</w:t>
      </w:r>
      <w:r>
        <w:rPr>
          <w:rFonts w:ascii="Times New Roman;sans-serif" w:hAnsi="Times New Roman;sans-serif"/>
          <w:b w:val="false"/>
          <w:color w:val="000000"/>
          <w:sz w:val="24"/>
        </w:rPr>
        <w:t>. For purposes of this Policy, “</w:t>
      </w:r>
      <w:r>
        <w:rPr>
          <w:rFonts w:ascii="Times New Roman;sans-serif" w:hAnsi="Times New Roman;sans-serif"/>
          <w:b/>
          <w:color w:val="000000"/>
          <w:sz w:val="24"/>
        </w:rPr>
        <w:t>Annual Meeting</w:t>
      </w:r>
      <w:r>
        <w:rPr>
          <w:color w:val="000000"/>
        </w:rPr>
        <w:t xml:space="preserve">” </w:t>
      </w:r>
      <w:r>
        <w:rPr>
          <w:rFonts w:ascii="Times New Roman;sans-serif" w:hAnsi="Times New Roman;sans-serif"/>
          <w:b w:val="false"/>
          <w:color w:val="000000"/>
          <w:sz w:val="24"/>
        </w:rPr>
        <w:t>means an annual meeting of the Company’s stockholders (after giving effect to any postponements and adjournments with respect thereto). Each Award granted under this Policy will be evidenced by the applicable form of Award agreement as approved by the Board or the Compensation Committee of the Board, as applicable, for use thereunder. The per Share exercise price of an Option granted under this Policy will be one hundred percent (100%) of the Fair Market Value on the Option’s date of grant. The maximum term to expiration of an Option granted under this Policy will be ten (10) years, subject to earlier termination as provided in the Plan and the Award agreement governing the terms of the Option. Awards granted pursuant to this Policy are subject to the terms and conditions of the Plan, including for clarity, and without limitation, that the number of Shares to be covered by an Award is subject to the number of Shares available for issuance under the Plan as of the grant date of such Award (and accordingly, will be subject to reduction on a prorated basis to the extent Awards to be granted pursuant to the Policy as of a given date would cover a number of Shares that exceeds the number of Shares available for issuance under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15975"/>
                <wp:effectExtent l="0" t="0" r="0" b="0"/>
                <wp:wrapNone/>
                <wp:docPr id="266" name="Frame9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r>
                                    <w:br w:type="page"/>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hanging="322"/>
        <w:jc w:val="left"/>
        <w:rPr/>
      </w:pPr>
      <w:r>
        <w:rPr>
          <w:rFonts w:ascii="Times New Roman;sans-serif" w:hAnsi="Times New Roman;sans-serif"/>
          <w:b/>
          <w:color w:val="000000"/>
          <w:sz w:val="24"/>
        </w:rPr>
        <w:t>3.</w:t>
      </w:r>
      <w:r>
        <w:rPr>
          <w:rFonts w:ascii="Times New Roman;sans-serif" w:hAnsi="Times New Roman;sans-serif"/>
          <w:b/>
          <w:color w:val="000000"/>
          <w:sz w:val="24"/>
          <w:u w:val="single"/>
        </w:rPr>
        <w:t>Additional Provisions</w:t>
      </w:r>
    </w:p>
    <w:p>
      <w:pPr>
        <w:pStyle w:val="TextBody"/>
        <w:bidi w:val="0"/>
        <w:spacing w:before="2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provisions of the Plan not inconsistent with this Policy will apply to Awards granted to Outside Directors.</w:t>
      </w:r>
    </w:p>
    <w:p>
      <w:pPr>
        <w:pStyle w:val="TextBody"/>
        <w:bidi w:val="0"/>
        <w:spacing w:lineRule="auto" w:line="288" w:before="240" w:after="283"/>
        <w:ind w:left="0" w:right="0" w:hanging="322"/>
        <w:jc w:val="left"/>
        <w:rPr/>
      </w:pPr>
      <w:r>
        <w:rPr>
          <w:rFonts w:ascii="Times New Roman;sans-serif" w:hAnsi="Times New Roman;sans-serif"/>
          <w:b/>
          <w:color w:val="000000"/>
          <w:sz w:val="24"/>
        </w:rPr>
        <w:t>4.</w:t>
      </w:r>
      <w:r>
        <w:rPr>
          <w:rFonts w:ascii="Times New Roman;sans-serif" w:hAnsi="Times New Roman;sans-serif"/>
          <w:b/>
          <w:color w:val="000000"/>
          <w:sz w:val="24"/>
          <w:u w:val="single"/>
        </w:rPr>
        <w:t>Adjustments</w:t>
      </w:r>
    </w:p>
    <w:p>
      <w:pPr>
        <w:pStyle w:val="TextBody"/>
        <w:bidi w:val="0"/>
        <w:spacing w:before="2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of Shares issuable pursuant to Awards granted under this Policy.</w:t>
      </w:r>
    </w:p>
    <w:p>
      <w:pPr>
        <w:pStyle w:val="TextBody"/>
        <w:bidi w:val="0"/>
        <w:spacing w:lineRule="auto" w:line="288" w:before="241" w:after="283"/>
        <w:ind w:left="0" w:right="0" w:hanging="322"/>
        <w:jc w:val="left"/>
        <w:rPr/>
      </w:pPr>
      <w:r>
        <w:rPr>
          <w:rFonts w:ascii="Times New Roman;sans-serif" w:hAnsi="Times New Roman;sans-serif"/>
          <w:b/>
          <w:color w:val="000000"/>
          <w:sz w:val="24"/>
        </w:rPr>
        <w:t>5.</w:t>
      </w:r>
      <w:r>
        <w:rPr>
          <w:rFonts w:ascii="Times New Roman;sans-serif" w:hAnsi="Times New Roman;sans-serif"/>
          <w:b/>
          <w:color w:val="000000"/>
          <w:sz w:val="24"/>
          <w:u w:val="single"/>
        </w:rPr>
        <w:t>Limitations</w:t>
      </w:r>
    </w:p>
    <w:p>
      <w:pPr>
        <w:pStyle w:val="TextBody"/>
        <w:bidi w:val="0"/>
        <w:spacing w:before="2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Outside Director may be granted, in any Fiscal Year, Awards (the value of which will be based on their grant date fair value determined in accordance with U.S. generally accepted accounting principles) and any other compensation (including without limitation any cash retainers or fees)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w:t>
      </w:r>
    </w:p>
    <w:p>
      <w:pPr>
        <w:pStyle w:val="TextBody"/>
        <w:bidi w:val="0"/>
        <w:spacing w:lineRule="auto" w:line="288" w:before="239" w:after="283"/>
        <w:ind w:left="0" w:right="0" w:hanging="36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S</w:t>
      </w:r>
      <w:r>
        <w:rPr>
          <w:rFonts w:ascii="Times New Roman;sans-serif" w:hAnsi="Times New Roman;sans-serif"/>
          <w:b/>
          <w:color w:val="000000"/>
          <w:sz w:val="19"/>
          <w:u w:val="single"/>
        </w:rPr>
        <w:t xml:space="preserve">ECTION </w:t>
      </w:r>
      <w:r>
        <w:rPr>
          <w:rFonts w:ascii="Times New Roman;sans-serif" w:hAnsi="Times New Roman;sans-serif"/>
          <w:b/>
          <w:color w:val="000000"/>
          <w:sz w:val="24"/>
          <w:u w:val="single"/>
        </w:rPr>
        <w:t>409A</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In no event will cash payments under this Policy be paid after the later of (i) the 15th day of the 3rd month following the end of the Company’s fiscal year in which the compensation is earned or expenses are incurred, as applicable, or (ii) 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 or Subsidiaries have any responsibility, obligation, or liability to reimburse, indemnify, or hold harmless an Outside Director for any taxes imposed, or other costs incurred, as a result of Section 409A.</w:t>
      </w:r>
    </w:p>
    <w:p>
      <w:pPr>
        <w:pStyle w:val="TextBody"/>
        <w:bidi w:val="0"/>
        <w:spacing w:lineRule="auto" w:line="288" w:before="240" w:after="283"/>
        <w:ind w:left="0" w:right="0" w:hanging="322"/>
        <w:jc w:val="left"/>
        <w:rPr/>
      </w:pPr>
      <w:r>
        <w:rPr>
          <w:rFonts w:ascii="Times New Roman;sans-serif" w:hAnsi="Times New Roman;sans-serif"/>
          <w:b/>
          <w:color w:val="000000"/>
          <w:sz w:val="24"/>
        </w:rPr>
        <w:t>7.</w:t>
      </w:r>
      <w:r>
        <w:rPr>
          <w:rFonts w:ascii="Times New Roman;sans-serif" w:hAnsi="Times New Roman;sans-serif"/>
          <w:b/>
          <w:color w:val="000000"/>
          <w:sz w:val="24"/>
          <w:u w:val="single"/>
        </w:rPr>
        <w:t>Revisions</w:t>
      </w:r>
    </w:p>
    <w:p>
      <w:pPr>
        <w:pStyle w:val="TextBody"/>
        <w:bidi w:val="0"/>
        <w:spacing w:before="2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may amend, alter, suspend or terminate this Policy at any time and for any reason. Further, the Board may provide for cash, equity-based or other compensation to Outside Directors in addition to the compensation provided under this Policy. No amendment, alteration, suspension or termination of this Policy will materially impair the rights of an Outside Director </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815975"/>
                <wp:effectExtent l="0" t="0" r="0" b="0"/>
                <wp:wrapNone/>
                <wp:docPr id="267" name="Frame9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r>
                                    <w:br w:type="page"/>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815975"/>
                <wp:effectExtent l="0" t="0" r="0" b="0"/>
                <wp:wrapNone/>
                <wp:docPr id="268" name="Frame9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4" w:type="dxa"/>
                        <w:jc w:val="center"/>
                        <w:tblInd w:w="0" w:type="dxa"/>
                        <w:tblLayout w:type="fixed"/>
                        <w:tblCellMar>
                          <w:top w:w="28" w:type="dxa"/>
                          <w:left w:w="28" w:type="dxa"/>
                          <w:bottom w:w="28" w:type="dxa"/>
                          <w:right w:w="28" w:type="dxa"/>
                        </w:tblCellMar>
                      </w:tblPr>
                      <w:tblGrid>
                        <w:gridCol w:w="176"/>
                        <w:gridCol w:w="155"/>
                        <w:gridCol w:w="223"/>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88" w:before="1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Christian Henry, certify that: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tbl>
      <w:tblPr>
        <w:tblW w:w="5443"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965"/>
        <w:gridCol w:w="965"/>
        <w:gridCol w:w="136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xml:space="preserve"> President and Chief Executive Officer </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26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31.2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Jim Gibson, certify that: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ind w:left="0" w:right="0" w:firstLine="810"/>
        <w:jc w:val="left"/>
        <w:rPr/>
      </w:pPr>
      <w:r>
        <w:rPr/>
      </w:r>
    </w:p>
    <w:tbl>
      <w:tblPr>
        <w:tblW w:w="455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05"/>
        <w:gridCol w:w="705"/>
        <w:gridCol w:w="100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Jim R. Gibson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Jim R. Gibson</w:t>
              <w:br/>
              <w:t xml:space="preserve">Chief Financial Officer </w:t>
              <w:br/>
              <w:t>(Principal Financial Officer)</w:t>
            </w:r>
          </w:p>
        </w:tc>
      </w:tr>
    </w:tbl>
    <w:p>
      <w:pPr>
        <w:pStyle w:val="TextBody"/>
        <w:bidi w:val="0"/>
        <w:spacing w:before="180" w:after="283"/>
        <w:ind w:left="0" w:right="0" w:firstLine="4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32.1 </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270"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CEO Furnished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March 31, 2025,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March 31, 2025 (the “Report”), fully complies with the requirements of section 13(a) or 15(d) of the Securities Exchange Act of 1934, and </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r>
        <w:rPr>
          <w:color w:val="000000"/>
        </w:rPr>
        <w:t xml:space="preserve"> </w:t>
      </w:r>
    </w:p>
    <w:tbl>
      <w:tblPr>
        <w:tblW w:w="539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952"/>
        <w:gridCol w:w="952"/>
        <w:gridCol w:w="135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271"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CFO Furnished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March 31, 2025, as filed with the Securities and Exchange Commission on the date hereof, I, Jim Gibson, Chief Financial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March 31, 2025 (the “Report”), fully complies with the requirements of section 13(a) or 15(d) of the Securities Exchange Act of 1934, and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p>
    <w:tbl>
      <w:tblPr>
        <w:tblW w:w="455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05"/>
        <w:gridCol w:w="705"/>
        <w:gridCol w:w="100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Jim R. Gibson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Jim R. Gibson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72"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3.jpeg"/><Relationship Id="rId66" Type="http://schemas.openxmlformats.org/officeDocument/2006/relationships/image" Target="media/image4.jpeg"/><Relationship Id="rId67" Type="http://schemas.openxmlformats.org/officeDocument/2006/relationships/image" Target="media/image5.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hyperlink" Target="https://www.sec.gov/Archives/edgar/data/1299130/000119312511075269/dex31.htm" TargetMode="External"/><Relationship Id="rId171" Type="http://schemas.openxmlformats.org/officeDocument/2006/relationships/hyperlink" Target="https://www.sec.gov/Archives/edgar/data/1299130/000119312511075269/dex31.htm" TargetMode="External"/><Relationship Id="rId172" Type="http://schemas.openxmlformats.org/officeDocument/2006/relationships/hyperlink" Target="https://www.sec.gov/Archives/edgar/data/0001299130/000129913024000146/exhibit31-certificateofame.htm" TargetMode="External"/><Relationship Id="rId173" Type="http://schemas.openxmlformats.org/officeDocument/2006/relationships/hyperlink" Target="https://www.sec.gov/Archives/edgar/data/0001299130/000129913024000146/exhibit31-certificateofame.htm" TargetMode="External"/><Relationship Id="rId174" Type="http://schemas.openxmlformats.org/officeDocument/2006/relationships/hyperlink" Target="https://www.sec.gov/Archives/edgar/data/0001299130/000129913024000146/exhibit32-certificateofame.htm" TargetMode="External"/><Relationship Id="rId175" Type="http://schemas.openxmlformats.org/officeDocument/2006/relationships/hyperlink" Target="https://www.sec.gov/Archives/edgar/data/0001299130/000129913024000146/exhibit32-certificateofame.htm" TargetMode="External"/><Relationship Id="rId176" Type="http://schemas.openxmlformats.org/officeDocument/2006/relationships/hyperlink" Target="https://www.sec.gov/Archives/edgar/data/1299130/000129913022000128/pacb-20221103xex3_1.htm" TargetMode="External"/><Relationship Id="rId177" Type="http://schemas.openxmlformats.org/officeDocument/2006/relationships/hyperlink" Target="https://www.sec.gov/Archives/edgar/data/1299130/000129913022000128/pacb-20221103xex3_1.htm" TargetMode="External"/><Relationship Id="rId178" Type="http://schemas.openxmlformats.org/officeDocument/2006/relationships/hyperlink" Target="https://www.sec.gov/Archives/edgar/data/1299130/000129913025000061/pacb-exx1021xpacbiox1305ob.htm" TargetMode="External"/><Relationship Id="rId179" Type="http://schemas.openxmlformats.org/officeDocument/2006/relationships/hyperlink" Target="https://www.sec.gov/Archives/edgar/data/1299130/000129913025000061/pacb-exx1021xpacbiox1305ob.htm" TargetMode="External"/><Relationship Id="rId180" Type="http://schemas.openxmlformats.org/officeDocument/2006/relationships/image" Target="media/image2.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2.jpeg"/><Relationship Id="rId184" Type="http://schemas.openxmlformats.org/officeDocument/2006/relationships/image" Target="media/image6.jpeg"/><Relationship Id="rId185" Type="http://schemas.openxmlformats.org/officeDocument/2006/relationships/image" Target="media/image6.jpeg"/><Relationship Id="rId186" Type="http://schemas.openxmlformats.org/officeDocument/2006/relationships/image" Target="media/image6.jpeg"/><Relationship Id="rId187" Type="http://schemas.openxmlformats.org/officeDocument/2006/relationships/fontTable" Target="fontTable.xml"/><Relationship Id="rId1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54116</Words>
  <Characters>299517</Characters>
  <CharactersWithSpaces>351811</CharactersWithSpaces>
  <Paragraphs>2831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