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20" w:right="1660" w:hanging="3812"/>
        <w:spacing w:after="0" w:line="415" w:lineRule="auto"/>
        <w:tabs>
          <w:tab w:leader="none" w:pos="45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317"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120015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Pacific Biosciences of California,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107315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Pr>
          <w:p>
            <w:pPr>
              <w:jc w:val="center"/>
              <w:ind w:left="1708"/>
              <w:spacing w:after="0"/>
              <w:rPr>
                <w:sz w:val="20"/>
                <w:szCs w:val="20"/>
                <w:color w:val="auto"/>
              </w:rPr>
            </w:pPr>
            <w:r>
              <w:rPr>
                <w:rFonts w:ascii="Arial" w:cs="Arial" w:eastAsia="Arial" w:hAnsi="Arial"/>
                <w:sz w:val="14"/>
                <w:szCs w:val="14"/>
                <w:b w:val="1"/>
                <w:bCs w:val="1"/>
                <w:color w:val="auto"/>
                <w:w w:val="94"/>
              </w:rPr>
              <w:t>Delaware</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408"/>
              <w:spacing w:after="0"/>
              <w:rPr>
                <w:sz w:val="20"/>
                <w:szCs w:val="20"/>
                <w:color w:val="auto"/>
              </w:rPr>
            </w:pPr>
            <w:r>
              <w:rPr>
                <w:rFonts w:ascii="Arial" w:cs="Arial" w:eastAsia="Arial" w:hAnsi="Arial"/>
                <w:sz w:val="14"/>
                <w:szCs w:val="14"/>
                <w:b w:val="1"/>
                <w:bCs w:val="1"/>
                <w:color w:val="auto"/>
              </w:rPr>
              <w:t>16-1590339</w:t>
            </w:r>
          </w:p>
        </w:tc>
      </w:tr>
      <w:tr>
        <w:trPr>
          <w:trHeight w:val="148"/>
        </w:trPr>
        <w:tc>
          <w:tcPr>
            <w:tcW w:w="3840" w:type="dxa"/>
            <w:vAlign w:val="bottom"/>
          </w:tcPr>
          <w:p>
            <w:pPr>
              <w:jc w:val="center"/>
              <w:ind w:left="17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jc w:val="center"/>
              <w:ind w:right="1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6"/>
              </w:rPr>
              <w:t>1305 O’Brien Drive</w:t>
            </w: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2"/>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7"/>
              </w:rPr>
              <w:t>Menlo Park, CA</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568"/>
              <w:spacing w:after="0"/>
              <w:rPr>
                <w:sz w:val="20"/>
                <w:szCs w:val="20"/>
                <w:color w:val="auto"/>
              </w:rPr>
            </w:pPr>
            <w:r>
              <w:rPr>
                <w:rFonts w:ascii="Arial" w:cs="Arial" w:eastAsia="Arial" w:hAnsi="Arial"/>
                <w:sz w:val="14"/>
                <w:szCs w:val="14"/>
                <w:b w:val="1"/>
                <w:bCs w:val="1"/>
                <w:color w:val="auto"/>
              </w:rPr>
              <w:t>94025</w:t>
            </w:r>
          </w:p>
        </w:tc>
      </w:tr>
      <w:tr>
        <w:trPr>
          <w:trHeight w:val="186"/>
        </w:trPr>
        <w:tc>
          <w:tcPr>
            <w:tcW w:w="740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40" w:type="dxa"/>
            <w:vAlign w:val="bottom"/>
          </w:tcPr>
          <w:p>
            <w:pPr>
              <w:spacing w:after="0"/>
              <w:rPr>
                <w:sz w:val="23"/>
                <w:szCs w:val="23"/>
                <w:color w:val="auto"/>
              </w:rPr>
            </w:pPr>
          </w:p>
        </w:tc>
        <w:tc>
          <w:tcPr>
            <w:tcW w:w="32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(650) 521-8000</w:t>
            </w:r>
          </w:p>
        </w:tc>
        <w:tc>
          <w:tcPr>
            <w:tcW w:w="36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86"/>
        </w:trPr>
        <w:tc>
          <w:tcPr>
            <w:tcW w:w="38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60" w:type="dxa"/>
            <w:vAlign w:val="bottom"/>
          </w:tcPr>
          <w:p>
            <w:pPr>
              <w:spacing w:after="0"/>
              <w:rPr>
                <w:sz w:val="16"/>
                <w:szCs w:val="16"/>
                <w:color w:val="auto"/>
              </w:rPr>
            </w:pPr>
          </w:p>
        </w:tc>
      </w:tr>
      <w:tr>
        <w:trPr>
          <w:trHeight w:val="147"/>
        </w:trPr>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r>
      <w:tr>
        <w:trPr>
          <w:trHeight w:val="265"/>
        </w:trPr>
        <w:tc>
          <w:tcPr>
            <w:tcW w:w="3840" w:type="dxa"/>
            <w:vAlign w:val="bottom"/>
          </w:tcPr>
          <w:p>
            <w:pPr>
              <w:spacing w:after="0"/>
              <w:rPr>
                <w:sz w:val="23"/>
                <w:szCs w:val="23"/>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60" w:type="dxa"/>
            <w:vAlign w:val="bottom"/>
          </w:tcPr>
          <w:p>
            <w:pPr>
              <w:spacing w:after="0"/>
              <w:rPr>
                <w:sz w:val="23"/>
                <w:szCs w:val="23"/>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179"/>
        </w:trPr>
        <w:tc>
          <w:tcPr>
            <w:tcW w:w="384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84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PACB</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The NASDAQ Stock Market LLC</w:t>
            </w:r>
          </w:p>
        </w:tc>
      </w:tr>
    </w:tbl>
    <w:p>
      <w:pPr>
        <w:spacing w:after="0" w:line="292" w:lineRule="exact"/>
        <w:rPr>
          <w:sz w:val="24"/>
          <w:szCs w:val="24"/>
          <w:color w:val="auto"/>
        </w:rPr>
      </w:pPr>
    </w:p>
    <w:p>
      <w:pPr>
        <w:ind w:right="200" w:firstLine="4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8" w:lineRule="exact"/>
        <w:rPr>
          <w:sz w:val="24"/>
          <w:szCs w:val="24"/>
          <w:color w:val="auto"/>
        </w:rPr>
      </w:pPr>
    </w:p>
    <w:p>
      <w:pPr>
        <w:ind w:right="180" w:firstLine="4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0" w:lineRule="exact"/>
        <w:rPr>
          <w:sz w:val="24"/>
          <w:szCs w:val="24"/>
          <w:color w:val="auto"/>
        </w:rPr>
      </w:pPr>
    </w:p>
    <w:p>
      <w:pPr>
        <w:ind w:right="4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T</w:t>
            </w:r>
          </w:p>
        </w:tc>
        <w:tc>
          <w:tcPr>
            <w:tcW w:w="482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378"/>
        </w:trPr>
        <w:tc>
          <w:tcPr>
            <w:tcW w:w="2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86"/>
        </w:trPr>
        <w:tc>
          <w:tcPr>
            <w:tcW w:w="22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firstLine="4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ind w:left="440" w:right="3120"/>
        <w:spacing w:after="0" w:line="49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T Number of shares outstanding of the issuer’s common stock as of April 30, 2020: 154,068,216</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0320" w:type="dxa"/>
            <w:vAlign w:val="bottom"/>
            <w:gridSpan w:val="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7"/>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20" w:type="dxa"/>
            <w:vAlign w:val="bottom"/>
            <w:gridSpan w:val="3"/>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PAGE No</w:t>
            </w:r>
          </w:p>
        </w:tc>
        <w:tc>
          <w:tcPr>
            <w:tcW w:w="0" w:type="dxa"/>
            <w:vAlign w:val="bottom"/>
          </w:tcPr>
          <w:p>
            <w:pPr>
              <w:spacing w:after="0"/>
              <w:rPr>
                <w:sz w:val="1"/>
                <w:szCs w:val="1"/>
                <w:color w:val="auto"/>
              </w:rPr>
            </w:pPr>
          </w:p>
        </w:tc>
      </w:tr>
      <w:tr>
        <w:trPr>
          <w:trHeight w:val="412"/>
        </w:trPr>
        <w:tc>
          <w:tcPr>
            <w:tcW w:w="10320" w:type="dxa"/>
            <w:vAlign w:val="bottom"/>
            <w:gridSpan w:val="5"/>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 Financial Statements (unaudited):</w:t>
              </w:r>
            </w:hyperlink>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March 31, 2020 and December 31,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5"/>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and Comprehensive I</w:t>
              </w:r>
              <w:r>
                <w:rPr>
                  <w:rFonts w:ascii="Arial" w:cs="Arial" w:eastAsia="Arial" w:hAnsi="Arial"/>
                  <w:sz w:val="19"/>
                  <w:szCs w:val="19"/>
                  <w:color w:val="0000FF"/>
                  <w:w w:val="93"/>
                </w:rPr>
                <w:t>ncome (l</w:t>
              </w:r>
              <w:r>
                <w:rPr>
                  <w:rFonts w:ascii="Arial" w:cs="Arial" w:eastAsia="Arial" w:hAnsi="Arial"/>
                  <w:sz w:val="18"/>
                  <w:szCs w:val="18"/>
                  <w:color w:val="0000FF"/>
                  <w:w w:val="93"/>
                </w:rPr>
                <w:t>oss) for the Three Months Ended March 31, 2020</w:t>
              </w:r>
            </w:hyperlink>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and 2019</w:t>
              </w:r>
            </w:hyperlink>
          </w:p>
        </w:tc>
        <w:tc>
          <w:tcPr>
            <w:tcW w:w="7860" w:type="dxa"/>
            <w:vAlign w:val="bottom"/>
            <w:tcBorders>
              <w:top w:val="single" w:sz="8" w:color="0000FF"/>
              <w:bottom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32"/>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for the T</w:t>
              </w:r>
              <w:r>
                <w:rPr>
                  <w:rFonts w:ascii="Arial" w:cs="Arial" w:eastAsia="Arial" w:hAnsi="Arial"/>
                  <w:sz w:val="19"/>
                  <w:szCs w:val="19"/>
                  <w:u w:val="single" w:color="auto"/>
                  <w:color w:val="0000FF"/>
                </w:rPr>
                <w:t>hree</w:t>
              </w:r>
              <w:r>
                <w:rPr>
                  <w:rFonts w:ascii="Arial" w:cs="Arial" w:eastAsia="Arial" w:hAnsi="Arial"/>
                  <w:sz w:val="18"/>
                  <w:szCs w:val="18"/>
                  <w:u w:val="single" w:color="auto"/>
                  <w:color w:val="0000FF"/>
                </w:rPr>
                <w:t xml:space="preserve"> Months Ended March 31, 2020 and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49"/>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Three Months Ended March 31, 2020 and 2019</w:t>
              </w:r>
            </w:hyperlink>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320" w:type="dxa"/>
            <w:vAlign w:val="bottom"/>
            <w:gridSpan w:val="5"/>
          </w:tcPr>
          <w:p>
            <w:pPr>
              <w:ind w:left="1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 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1A. 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2. 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3. Default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4. 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5.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 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960" w:type="dxa"/>
            <w:vAlign w:val="bottom"/>
            <w:gridSpan w:val="3"/>
          </w:tcPr>
          <w:p>
            <w:pPr>
              <w:ind w:left="558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4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668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68,862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16"/>
        </w:trPr>
        <w:tc>
          <w:tcPr>
            <w:tcW w:w="668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73,729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6"/>
        </w:trPr>
        <w:tc>
          <w:tcPr>
            <w:tcW w:w="668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16,124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3,490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196"/>
        </w:trPr>
        <w:tc>
          <w:tcPr>
            <w:tcW w:w="6680" w:type="dxa"/>
            <w:vAlign w:val="bottom"/>
          </w:tcPr>
          <w:p>
            <w:pPr>
              <w:ind w:left="880"/>
              <w:spacing w:after="0" w:line="196" w:lineRule="exact"/>
              <w:rPr>
                <w:sz w:val="20"/>
                <w:szCs w:val="20"/>
                <w:color w:val="auto"/>
              </w:rPr>
            </w:pPr>
            <w:r>
              <w:rPr>
                <w:rFonts w:ascii="Arial" w:cs="Arial" w:eastAsia="Arial" w:hAnsi="Arial"/>
                <w:sz w:val="18"/>
                <w:szCs w:val="18"/>
                <w:color w:val="auto"/>
              </w:rPr>
              <w:t>Total current assets</w:t>
            </w:r>
          </w:p>
        </w:tc>
        <w:tc>
          <w:tcPr>
            <w:tcW w:w="1400" w:type="dxa"/>
            <w:vAlign w:val="bottom"/>
          </w:tcPr>
          <w:p>
            <w:pPr>
              <w:spacing w:after="0"/>
              <w:rPr>
                <w:sz w:val="17"/>
                <w:szCs w:val="17"/>
                <w:color w:val="auto"/>
              </w:rPr>
            </w:pPr>
          </w:p>
        </w:tc>
        <w:tc>
          <w:tcPr>
            <w:tcW w:w="7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2"/>
              </w:rPr>
              <w:t>169,530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jc w:val="right"/>
              <w:ind w:right="71"/>
              <w:spacing w:after="0" w:line="196" w:lineRule="exact"/>
              <w:rPr>
                <w:sz w:val="20"/>
                <w:szCs w:val="20"/>
                <w:color w:val="auto"/>
              </w:rPr>
            </w:pPr>
            <w:r>
              <w:rPr>
                <w:rFonts w:ascii="Arial" w:cs="Arial" w:eastAsia="Arial" w:hAnsi="Arial"/>
                <w:sz w:val="18"/>
                <w:szCs w:val="18"/>
                <w:color w:val="auto"/>
              </w:rPr>
              <w:t>81,046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29,076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32,118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32,827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6680" w:type="dxa"/>
            <w:vAlign w:val="bottom"/>
            <w:tcBorders>
              <w:bottom w:val="single" w:sz="8" w:color="CCEEFF"/>
            </w:tcBorders>
            <w:shd w:val="clear" w:color="auto" w:fill="CCEEFF"/>
          </w:tcPr>
          <w:p>
            <w:pPr>
              <w:ind w:left="880"/>
              <w:spacing w:after="0" w:line="182" w:lineRule="exact"/>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auto"/>
            </w:tcBorders>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2"/>
              </w:rPr>
              <w:t>234,764</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ind w:right="71"/>
              <w:spacing w:after="0" w:line="182" w:lineRule="exact"/>
              <w:rPr>
                <w:sz w:val="20"/>
                <w:szCs w:val="20"/>
                <w:color w:val="auto"/>
              </w:rPr>
            </w:pPr>
            <w:r>
              <w:rPr>
                <w:rFonts w:ascii="Arial" w:cs="Arial" w:eastAsia="Arial" w:hAnsi="Arial"/>
                <w:sz w:val="18"/>
                <w:szCs w:val="18"/>
                <w:color w:val="auto"/>
              </w:rPr>
              <w:t>147,985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8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400" w:type="dxa"/>
            <w:vAlign w:val="bottom"/>
          </w:tcPr>
          <w:p>
            <w:pPr>
              <w:jc w:val="right"/>
              <w:ind w:right="1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4,223</w:t>
            </w:r>
          </w:p>
        </w:tc>
        <w:tc>
          <w:tcPr>
            <w:tcW w:w="1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17,963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16"/>
        </w:trPr>
        <w:tc>
          <w:tcPr>
            <w:tcW w:w="6680" w:type="dxa"/>
            <w:vAlign w:val="bottom"/>
          </w:tcPr>
          <w:p>
            <w:pPr>
              <w:ind w:left="560"/>
              <w:spacing w:after="0"/>
              <w:rPr>
                <w:sz w:val="20"/>
                <w:szCs w:val="20"/>
                <w:color w:val="auto"/>
              </w:rPr>
            </w:pPr>
            <w:r>
              <w:rPr>
                <w:rFonts w:ascii="Arial" w:cs="Arial" w:eastAsia="Arial" w:hAnsi="Arial"/>
                <w:sz w:val="18"/>
                <w:szCs w:val="18"/>
                <w:color w:val="auto"/>
              </w:rPr>
              <w:t>Deferred revenue, current</w:t>
            </w:r>
          </w:p>
        </w:tc>
        <w:tc>
          <w:tcPr>
            <w:tcW w:w="1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7,107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lease liabilities, current</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6680" w:type="dxa"/>
            <w:vAlign w:val="bottom"/>
          </w:tcPr>
          <w:p>
            <w:pPr>
              <w:ind w:left="560"/>
              <w:spacing w:after="0"/>
              <w:rPr>
                <w:sz w:val="20"/>
                <w:szCs w:val="20"/>
                <w:color w:val="auto"/>
              </w:rPr>
            </w:pPr>
            <w:r>
              <w:rPr>
                <w:rFonts w:ascii="Arial" w:cs="Arial" w:eastAsia="Arial" w:hAnsi="Arial"/>
                <w:sz w:val="18"/>
                <w:szCs w:val="18"/>
                <w:color w:val="auto"/>
              </w:rPr>
              <w:t>Notes payable, current</w:t>
            </w:r>
          </w:p>
        </w:tc>
        <w:tc>
          <w:tcPr>
            <w:tcW w:w="14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15,871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gain from Reverse Termination Fee</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liabilities, current</w:t>
            </w: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2"/>
              </w:rPr>
              <w:t>131,974</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40,903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41,964</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ind w:left="880"/>
              <w:spacing w:after="0" w:line="196" w:lineRule="exact"/>
              <w:rPr>
                <w:sz w:val="20"/>
                <w:szCs w:val="20"/>
                <w:color w:val="auto"/>
              </w:rPr>
            </w:pPr>
            <w:r>
              <w:rPr>
                <w:rFonts w:ascii="Arial" w:cs="Arial" w:eastAsia="Arial" w:hAnsi="Arial"/>
                <w:sz w:val="18"/>
                <w:szCs w:val="18"/>
                <w:color w:val="auto"/>
              </w:rPr>
              <w:t>Total liabilities</w:t>
            </w:r>
          </w:p>
        </w:tc>
        <w:tc>
          <w:tcPr>
            <w:tcW w:w="1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2"/>
              </w:rPr>
              <w:t>174,361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$0.001 par value:</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560"/>
              <w:spacing w:after="0"/>
              <w:rPr>
                <w:sz w:val="20"/>
                <w:szCs w:val="20"/>
                <w:color w:val="auto"/>
              </w:rPr>
            </w:pPr>
            <w:r>
              <w:rPr>
                <w:rFonts w:ascii="Arial" w:cs="Arial" w:eastAsia="Arial" w:hAnsi="Arial"/>
                <w:sz w:val="18"/>
                <w:szCs w:val="18"/>
                <w:color w:val="auto"/>
              </w:rPr>
              <w:t>Authorized 50,000 shares; No shares issued or outstanding</w:t>
            </w:r>
          </w:p>
        </w:tc>
        <w:tc>
          <w:tcPr>
            <w:tcW w:w="14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$0.001 par value:</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120"/>
          </w:cols>
          <w:pgMar w:left="320" w:top="112" w:right="459" w:bottom="1440" w:gutter="0" w:footer="0" w:header="0"/>
        </w:sectPr>
      </w:pPr>
    </w:p>
    <w:p>
      <w:pPr>
        <w:ind w:left="560" w:right="780"/>
        <w:spacing w:after="0" w:line="274" w:lineRule="auto"/>
        <w:rPr>
          <w:sz w:val="20"/>
          <w:szCs w:val="20"/>
          <w:color w:val="auto"/>
        </w:rPr>
      </w:pPr>
      <w:r>
        <w:rPr>
          <w:rFonts w:ascii="Arial" w:cs="Arial" w:eastAsia="Arial" w:hAnsi="Arial"/>
          <w:sz w:val="17"/>
          <w:szCs w:val="17"/>
          <w:color w:val="auto"/>
        </w:rPr>
        <w:t>Authorized 1,000,000 shares; issued and outstanding 153,953 shares and 153,119 shares at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5485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54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520"/>
        <w:spacing w:after="0"/>
        <w:tabs>
          <w:tab w:leader="none" w:pos="27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153</w:t>
      </w:r>
    </w:p>
    <w:p>
      <w:pPr>
        <w:spacing w:after="0" w:line="198"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7"/>
          <w:szCs w:val="17"/>
          <w:color w:val="auto"/>
        </w:rPr>
        <w:t>1,125,229</w:t>
      </w:r>
      <w:r>
        <w:rPr>
          <w:sz w:val="20"/>
          <w:szCs w:val="20"/>
          <w:color w:val="auto"/>
        </w:rPr>
        <w:tab/>
      </w:r>
      <w:r>
        <w:rPr>
          <w:rFonts w:ascii="Arial" w:cs="Arial" w:eastAsia="Arial" w:hAnsi="Arial"/>
          <w:sz w:val="17"/>
          <w:szCs w:val="17"/>
          <w:color w:val="auto"/>
        </w:rPr>
        <w:t>1,120,999</w:t>
      </w:r>
    </w:p>
    <w:p>
      <w:pPr>
        <w:spacing w:after="0" w:line="88" w:lineRule="exact"/>
        <w:rPr>
          <w:sz w:val="20"/>
          <w:szCs w:val="20"/>
          <w:color w:val="auto"/>
        </w:rPr>
      </w:pPr>
    </w:p>
    <w:p>
      <w:pPr>
        <w:ind w:left="620"/>
        <w:spacing w:after="0"/>
        <w:tabs>
          <w:tab w:leader="none" w:pos="294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5</w:t>
      </w:r>
    </w:p>
    <w:p>
      <w:pPr>
        <w:spacing w:after="0" w:line="63" w:lineRule="exact"/>
        <w:rPr>
          <w:sz w:val="20"/>
          <w:szCs w:val="20"/>
          <w:color w:val="auto"/>
        </w:rPr>
      </w:pPr>
    </w:p>
    <w:p>
      <w:pPr>
        <w:spacing w:after="0"/>
        <w:tabs>
          <w:tab w:leader="none" w:pos="2240" w:val="left"/>
        </w:tabs>
        <w:rPr>
          <w:sz w:val="20"/>
          <w:szCs w:val="20"/>
          <w:color w:val="auto"/>
        </w:rPr>
      </w:pPr>
      <w:r>
        <w:rPr>
          <w:rFonts w:ascii="Arial" w:cs="Arial" w:eastAsia="Arial" w:hAnsi="Arial"/>
          <w:sz w:val="16"/>
          <w:szCs w:val="16"/>
          <w:color w:val="auto"/>
        </w:rPr>
        <w:t>(1,065,010)</w:t>
      </w:r>
      <w:r>
        <w:rPr>
          <w:sz w:val="20"/>
          <w:szCs w:val="20"/>
          <w:color w:val="auto"/>
        </w:rPr>
        <w:tab/>
      </w:r>
      <w:r>
        <w:rPr>
          <w:rFonts w:ascii="Arial" w:cs="Arial" w:eastAsia="Arial" w:hAnsi="Arial"/>
          <w:sz w:val="16"/>
          <w:szCs w:val="16"/>
          <w:color w:val="auto"/>
        </w:rPr>
        <w:t>(1,066,240)</w:t>
      </w:r>
    </w:p>
    <w:p>
      <w:pPr>
        <w:spacing w:after="0" w:line="52" w:lineRule="exact"/>
        <w:rPr>
          <w:sz w:val="20"/>
          <w:szCs w:val="20"/>
          <w:color w:val="auto"/>
        </w:rPr>
      </w:pPr>
    </w:p>
    <w:p>
      <w:pPr>
        <w:sectPr>
          <w:pgSz w:w="11900" w:h="16838" w:orient="portrait"/>
          <w:cols w:equalWidth="0" w:num="2">
            <w:col w:w="7180" w:space="720"/>
            <w:col w:w="3220"/>
          </w:cols>
          <w:pgMar w:left="320" w:top="112" w:right="4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60,403</w:t>
            </w:r>
          </w:p>
        </w:tc>
        <w:tc>
          <w:tcPr>
            <w:tcW w:w="14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54,917</w:t>
            </w:r>
          </w:p>
        </w:tc>
      </w:tr>
      <w:tr>
        <w:trPr>
          <w:trHeight w:val="250"/>
        </w:trPr>
        <w:tc>
          <w:tcPr>
            <w:tcW w:w="66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234,764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147,985</w:t>
            </w:r>
          </w:p>
        </w:tc>
      </w:tr>
      <w:tr>
        <w:trPr>
          <w:trHeight w:val="20"/>
        </w:trPr>
        <w:tc>
          <w:tcPr>
            <w:tcW w:w="6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tcPr>
          <w:p>
            <w:pPr>
              <w:jc w:val="center"/>
              <w:ind w:left="952"/>
              <w:spacing w:after="0"/>
              <w:rPr>
                <w:sz w:val="20"/>
                <w:szCs w:val="20"/>
                <w:color w:val="auto"/>
              </w:rPr>
            </w:pPr>
            <w:r>
              <w:rPr>
                <w:rFonts w:ascii="Arial" w:cs="Arial" w:eastAsia="Arial" w:hAnsi="Arial"/>
                <w:sz w:val="14"/>
                <w:szCs w:val="14"/>
                <w:b w:val="1"/>
                <w:bCs w:val="1"/>
                <w:color w:val="auto"/>
                <w:w w:val="95"/>
              </w:rPr>
              <w:t>Three Months Ended March 31,</w:t>
            </w: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20" w:type="dxa"/>
            <w:vAlign w:val="bottom"/>
          </w:tcPr>
          <w:p>
            <w:pPr>
              <w:jc w:val="right"/>
              <w:ind w:right="10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jc w:val="right"/>
              <w:ind w:right="119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52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8"/>
                <w:szCs w:val="18"/>
                <w:color w:val="auto"/>
              </w:rPr>
              <w:t>Revenue:</w:t>
            </w:r>
          </w:p>
        </w:tc>
        <w:tc>
          <w:tcPr>
            <w:tcW w:w="178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 revenue</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12,293</w:t>
            </w:r>
          </w:p>
        </w:tc>
        <w:tc>
          <w:tcPr>
            <w:tcW w:w="13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Service and other revenue</w:t>
            </w:r>
          </w:p>
        </w:tc>
        <w:tc>
          <w:tcPr>
            <w:tcW w:w="14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3,305</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revenue</w:t>
            </w: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15,598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16,425</w:t>
            </w: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Cost of revenue:</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Cost of service and other revenue</w:t>
            </w:r>
          </w:p>
        </w:tc>
        <w:tc>
          <w:tcPr>
            <w:tcW w:w="14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2,689</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cost of revenue</w:t>
            </w:r>
          </w:p>
        </w:tc>
        <w:tc>
          <w:tcPr>
            <w:tcW w:w="1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8,110</w:t>
            </w:r>
          </w:p>
        </w:tc>
        <w:tc>
          <w:tcPr>
            <w:tcW w:w="1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0"/>
        </w:trPr>
        <w:tc>
          <w:tcPr>
            <w:tcW w:w="4300" w:type="dxa"/>
            <w:vAlign w:val="bottom"/>
            <w:gridSpan w:val="2"/>
          </w:tcPr>
          <w:p>
            <w:pPr>
              <w:ind w:left="120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7,488</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expense:</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15,250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general and administrative</w:t>
            </w:r>
          </w:p>
        </w:tc>
        <w:tc>
          <w:tcPr>
            <w:tcW w:w="14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24,947</w:t>
            </w: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09"/>
        </w:trPr>
        <w:tc>
          <w:tcPr>
            <w:tcW w:w="4300" w:type="dxa"/>
            <w:vAlign w:val="bottom"/>
            <w:gridSpan w:val="2"/>
          </w:tcPr>
          <w:p>
            <w:pPr>
              <w:ind w:left="760"/>
              <w:spacing w:after="0"/>
              <w:rPr>
                <w:sz w:val="20"/>
                <w:szCs w:val="20"/>
                <w:color w:val="auto"/>
              </w:rPr>
            </w:pPr>
            <w:r>
              <w:rPr>
                <w:rFonts w:ascii="Arial" w:cs="Arial" w:eastAsia="Arial" w:hAnsi="Arial"/>
                <w:sz w:val="18"/>
                <w:szCs w:val="18"/>
                <w:color w:val="auto"/>
              </w:rPr>
              <w:t>Total operating expense</w:t>
            </w: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40,197</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35,251</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Operating loss</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(32,709)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(30,134)</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from Continuation Advances</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34,000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4"/>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14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(30,324)</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w:t>
            </w:r>
          </w:p>
        </w:tc>
        <w:tc>
          <w:tcPr>
            <w:tcW w:w="1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12" w:right="339" w:bottom="1440" w:gutter="0" w:footer="0" w:header="0"/>
        </w:sectPr>
      </w:pPr>
    </w:p>
    <w:p>
      <w:pPr>
        <w:ind w:left="440"/>
        <w:spacing w:after="0"/>
        <w:rPr>
          <w:sz w:val="20"/>
          <w:szCs w:val="20"/>
          <w:color w:val="auto"/>
        </w:rPr>
      </w:pPr>
      <w:r>
        <w:rPr>
          <w:rFonts w:ascii="Arial" w:cs="Arial" w:eastAsia="Arial" w:hAnsi="Arial"/>
          <w:sz w:val="18"/>
          <w:szCs w:val="18"/>
          <w:color w:val="auto"/>
        </w:rPr>
        <w:t>Unrealized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 (loss) per share:</w:t>
      </w:r>
    </w:p>
    <w:p>
      <w:pPr>
        <w:spacing w:after="0" w:line="63" w:lineRule="exact"/>
        <w:rPr>
          <w:sz w:val="20"/>
          <w:szCs w:val="20"/>
          <w:color w:val="auto"/>
        </w:rPr>
      </w:pPr>
    </w:p>
    <w:p>
      <w:pPr>
        <w:ind w:left="440"/>
        <w:spacing w:after="0"/>
        <w:tabs>
          <w:tab w:leader="none" w:pos="568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40"/>
        <w:spacing w:after="0"/>
        <w:tabs>
          <w:tab w:leader="none" w:pos="568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 used in calculating net income (loss) per share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jc w:val="right"/>
        <w:ind w:right="1700"/>
        <w:spacing w:after="0"/>
        <w:rPr>
          <w:sz w:val="20"/>
          <w:szCs w:val="20"/>
          <w:color w:val="auto"/>
        </w:rPr>
      </w:pPr>
      <w:r>
        <w:rPr>
          <w:rFonts w:ascii="Arial" w:cs="Arial" w:eastAsia="Arial" w:hAnsi="Arial"/>
          <w:sz w:val="18"/>
          <w:szCs w:val="18"/>
          <w:color w:val="auto"/>
        </w:rPr>
        <w:t>25</w:t>
      </w:r>
    </w:p>
    <w:p>
      <w:pPr>
        <w:spacing w:after="0" w:line="90"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1,287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23495</wp:posOffset>
            </wp:positionV>
            <wp:extent cx="1602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31750</wp:posOffset>
            </wp:positionV>
            <wp:extent cx="1602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40640</wp:posOffset>
            </wp:positionV>
            <wp:extent cx="1602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153,453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39370</wp:posOffset>
            </wp:positionV>
            <wp:extent cx="1602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155,855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47625</wp:posOffset>
            </wp:positionV>
            <wp:extent cx="1602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Arial" w:cs="Arial" w:eastAsia="Arial" w:hAnsi="Arial"/>
          <w:sz w:val="18"/>
          <w:szCs w:val="18"/>
          <w:color w:val="auto"/>
        </w:rPr>
        <w:t>42</w:t>
      </w:r>
    </w:p>
    <w:p>
      <w:pPr>
        <w:spacing w:after="0" w:line="90"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(30,282)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38100</wp:posOffset>
            </wp:positionV>
            <wp:extent cx="18084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46355</wp:posOffset>
            </wp:positionV>
            <wp:extent cx="18084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55245</wp:posOffset>
            </wp:positionV>
            <wp:extent cx="1808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151,274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46355</wp:posOffset>
            </wp:positionV>
            <wp:extent cx="1808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151,274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55245</wp:posOffset>
            </wp:positionV>
            <wp:extent cx="1808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6740" w:space="720"/>
            <w:col w:w="2280" w:space="720"/>
            <w:col w:w="780"/>
          </w:cols>
          <w:pgMar w:left="320" w:top="112" w:right="3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right"/>
        <w:ind w:right="30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20"/>
          </w:cols>
          <w:pgMar w:left="320" w:top="11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For the three months ended March 31, 2020</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Adoption effect of Topic 326</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 in conjunction with equity plans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March 31, 2020</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For the three months ended March 31, 2019</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2018</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140" w:lineRule="exact"/>
        <w:rPr>
          <w:sz w:val="20"/>
          <w:szCs w:val="20"/>
          <w:color w:val="auto"/>
        </w:rPr>
      </w:pPr>
    </w:p>
    <w:p>
      <w:pPr>
        <w:spacing w:after="0" w:line="437" w:lineRule="auto"/>
        <w:rPr>
          <w:sz w:val="20"/>
          <w:szCs w:val="20"/>
          <w:color w:val="auto"/>
        </w:rPr>
      </w:pPr>
      <w:r>
        <w:rPr>
          <w:rFonts w:ascii="Arial" w:cs="Arial" w:eastAsia="Arial" w:hAnsi="Arial"/>
          <w:sz w:val="16"/>
          <w:szCs w:val="16"/>
          <w:color w:val="auto"/>
        </w:rPr>
        <w:t xml:space="preserve">Issuance of common stock in conjunction with equity plans Stock-based compensation expense </w:t>
      </w:r>
      <w:r>
        <w:rPr>
          <w:rFonts w:ascii="Arial" w:cs="Arial" w:eastAsia="Arial" w:hAnsi="Arial"/>
          <w:sz w:val="16"/>
          <w:szCs w:val="16"/>
          <w:b w:val="1"/>
          <w:bCs w:val="1"/>
          <w:color w:val="auto"/>
        </w:rPr>
        <w:t>Balance at March 31, 2019</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9"/>
                <w:szCs w:val="19"/>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9"/>
                <w:szCs w:val="19"/>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9"/>
                <w:szCs w:val="19"/>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15"/>
        </w:trPr>
        <w:tc>
          <w:tcPr>
            <w:tcW w:w="160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8"/>
                <w:szCs w:val="18"/>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78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w w:val="93"/>
              </w:rPr>
              <w:t>153,119</w:t>
            </w:r>
          </w:p>
        </w:tc>
        <w:tc>
          <w:tcPr>
            <w:tcW w:w="10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1,120,999</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641"/>
              <w:spacing w:after="0"/>
              <w:rPr>
                <w:sz w:val="20"/>
                <w:szCs w:val="20"/>
                <w:color w:val="auto"/>
              </w:rPr>
            </w:pPr>
            <w:r>
              <w:rPr>
                <w:rFonts w:ascii="Arial" w:cs="Arial" w:eastAsia="Arial" w:hAnsi="Arial"/>
                <w:sz w:val="16"/>
                <w:szCs w:val="16"/>
                <w:color w:val="auto"/>
                <w:w w:val="89"/>
              </w:rPr>
              <w:t>5</w:t>
            </w:r>
          </w:p>
        </w:tc>
        <w:tc>
          <w:tcPr>
            <w:tcW w:w="80" w:type="dxa"/>
            <w:vAlign w:val="bottom"/>
          </w:tcPr>
          <w:p>
            <w:pPr>
              <w:spacing w:after="0"/>
              <w:rPr>
                <w:sz w:val="23"/>
                <w:szCs w:val="23"/>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(1,066,240)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54,917</w:t>
            </w:r>
          </w:p>
        </w:tc>
        <w:tc>
          <w:tcPr>
            <w:tcW w:w="0" w:type="dxa"/>
            <w:vAlign w:val="bottom"/>
          </w:tcPr>
          <w:p>
            <w:pPr>
              <w:spacing w:after="0"/>
              <w:rPr>
                <w:sz w:val="1"/>
                <w:szCs w:val="1"/>
                <w:color w:val="auto"/>
              </w:rPr>
            </w:pPr>
          </w:p>
        </w:tc>
      </w:tr>
      <w:tr>
        <w:trPr>
          <w:trHeight w:val="270"/>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70"/>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18"/>
        </w:trPr>
        <w:tc>
          <w:tcPr>
            <w:tcW w:w="780" w:type="dxa"/>
            <w:vAlign w:val="bottom"/>
          </w:tcPr>
          <w:p>
            <w:pPr>
              <w:jc w:val="right"/>
              <w:ind w:right="60"/>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9"/>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4,032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4,032</w:t>
            </w:r>
          </w:p>
        </w:tc>
        <w:tc>
          <w:tcPr>
            <w:tcW w:w="0" w:type="dxa"/>
            <w:vAlign w:val="bottom"/>
          </w:tcPr>
          <w:p>
            <w:pPr>
              <w:spacing w:after="0"/>
              <w:rPr>
                <w:sz w:val="1"/>
                <w:szCs w:val="1"/>
                <w:color w:val="auto"/>
              </w:rPr>
            </w:pPr>
          </w:p>
        </w:tc>
      </w:tr>
      <w:tr>
        <w:trPr>
          <w:trHeight w:val="236"/>
        </w:trPr>
        <w:tc>
          <w:tcPr>
            <w:tcW w:w="7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color w:val="auto"/>
                <w:w w:val="93"/>
              </w:rPr>
              <w:t>153,953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1,125,229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(1,065,010)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60,403</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780" w:type="dxa"/>
            <w:vAlign w:val="bottom"/>
          </w:tcPr>
          <w:p>
            <w:pPr>
              <w:ind w:left="220"/>
              <w:spacing w:after="0"/>
              <w:rPr>
                <w:sz w:val="20"/>
                <w:szCs w:val="20"/>
                <w:color w:val="auto"/>
              </w:rPr>
            </w:pPr>
            <w:r>
              <w:rPr>
                <w:rFonts w:ascii="Arial" w:cs="Arial" w:eastAsia="Arial" w:hAnsi="Arial"/>
                <w:sz w:val="16"/>
                <w:szCs w:val="16"/>
                <w:color w:val="auto"/>
                <w:w w:val="93"/>
              </w:rPr>
              <w:t>150,244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150</w:t>
            </w:r>
          </w:p>
        </w:tc>
        <w:tc>
          <w:tcPr>
            <w:tcW w:w="220" w:type="dxa"/>
            <w:vAlign w:val="bottom"/>
            <w:gridSpan w:val="2"/>
            <w:vMerge w:val="continue"/>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1,096,053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(982,106)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114,061</w:t>
            </w:r>
          </w:p>
        </w:tc>
        <w:tc>
          <w:tcPr>
            <w:tcW w:w="0" w:type="dxa"/>
            <w:vAlign w:val="bottom"/>
          </w:tcPr>
          <w:p>
            <w:pPr>
              <w:spacing w:after="0"/>
              <w:rPr>
                <w:sz w:val="1"/>
                <w:szCs w:val="1"/>
                <w:color w:val="auto"/>
              </w:rPr>
            </w:pPr>
          </w:p>
        </w:tc>
      </w:tr>
      <w:tr>
        <w:trPr>
          <w:trHeight w:val="270"/>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(30,324)</w:t>
            </w:r>
          </w:p>
        </w:tc>
        <w:tc>
          <w:tcPr>
            <w:tcW w:w="1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(30,324)</w:t>
            </w:r>
          </w:p>
        </w:tc>
        <w:tc>
          <w:tcPr>
            <w:tcW w:w="0" w:type="dxa"/>
            <w:vAlign w:val="bottom"/>
          </w:tcPr>
          <w:p>
            <w:pPr>
              <w:spacing w:after="0"/>
              <w:rPr>
                <w:sz w:val="1"/>
                <w:szCs w:val="1"/>
                <w:color w:val="auto"/>
              </w:rPr>
            </w:pPr>
          </w:p>
        </w:tc>
      </w:tr>
      <w:tr>
        <w:trPr>
          <w:trHeight w:val="270"/>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78"/>
        </w:trPr>
        <w:tc>
          <w:tcPr>
            <w:tcW w:w="780" w:type="dxa"/>
            <w:vAlign w:val="bottom"/>
          </w:tcPr>
          <w:p>
            <w:pPr>
              <w:jc w:val="right"/>
              <w:ind w:right="60"/>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6,687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6,690</w:t>
            </w:r>
          </w:p>
        </w:tc>
        <w:tc>
          <w:tcPr>
            <w:tcW w:w="0" w:type="dxa"/>
            <w:vAlign w:val="bottom"/>
          </w:tcPr>
          <w:p>
            <w:pPr>
              <w:spacing w:after="0"/>
              <w:rPr>
                <w:sz w:val="1"/>
                <w:szCs w:val="1"/>
                <w:color w:val="auto"/>
              </w:rPr>
            </w:pPr>
          </w:p>
        </w:tc>
      </w:tr>
      <w:tr>
        <w:trPr>
          <w:trHeight w:val="249"/>
        </w:trPr>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20" w:type="dxa"/>
            <w:vAlign w:val="bottom"/>
          </w:tcPr>
          <w:p>
            <w:pPr>
              <w:jc w:val="center"/>
              <w:ind w:left="1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4,381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37"/>
        </w:trPr>
        <w:tc>
          <w:tcPr>
            <w:tcW w:w="7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color w:val="auto"/>
                <w:w w:val="93"/>
              </w:rPr>
              <w:t>152,672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1,107,121</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center"/>
              <w:ind w:left="641"/>
              <w:spacing w:after="0"/>
              <w:rPr>
                <w:sz w:val="20"/>
                <w:szCs w:val="20"/>
                <w:color w:val="auto"/>
              </w:rPr>
            </w:pPr>
            <w:r>
              <w:rPr>
                <w:rFonts w:ascii="Arial" w:cs="Arial" w:eastAsia="Arial" w:hAnsi="Arial"/>
                <w:sz w:val="16"/>
                <w:szCs w:val="16"/>
                <w:color w:val="auto"/>
                <w:w w:val="89"/>
              </w:rPr>
              <w:t>6</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(1,012,430)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94,850</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-2673985</wp:posOffset>
            </wp:positionV>
            <wp:extent cx="69862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-2331085</wp:posOffset>
            </wp:positionV>
            <wp:extent cx="69862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-1988185</wp:posOffset>
            </wp:positionV>
            <wp:extent cx="698627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6270" cy="26606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-1550670</wp:posOffset>
            </wp:positionV>
            <wp:extent cx="698627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-1259840</wp:posOffset>
            </wp:positionV>
            <wp:extent cx="69862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627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-942340</wp:posOffset>
            </wp:positionV>
            <wp:extent cx="698627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-599440</wp:posOffset>
            </wp:positionV>
            <wp:extent cx="698627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6270" cy="24003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-187960</wp:posOffset>
            </wp:positionV>
            <wp:extent cx="69862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3860" w:space="340"/>
            <w:col w:w="6820"/>
          </w:cols>
          <w:pgMar w:left="320" w:top="111" w:right="55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1" w:right="5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22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2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from Continuation Advances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operating lease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Amortization of debt discount and financing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derivative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(accretion) from investment premium (discount)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6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(3,374)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(4,129)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6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6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gain from Reverse Termination Fee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(72,960)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20"/>
              <w:spacing w:after="0"/>
              <w:rPr>
                <w:sz w:val="20"/>
                <w:szCs w:val="20"/>
                <w:color w:val="auto"/>
              </w:rPr>
            </w:pPr>
            <w:r>
              <w:rPr>
                <w:rFonts w:ascii="Arial" w:cs="Arial" w:eastAsia="Arial" w:hAnsi="Arial"/>
                <w:sz w:val="18"/>
                <w:szCs w:val="18"/>
                <w:color w:val="auto"/>
              </w:rPr>
              <w:t>Sales of investments</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Maturities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20"/>
              <w:spacing w:after="0"/>
              <w:rPr>
                <w:sz w:val="20"/>
                <w:szCs w:val="20"/>
                <w:color w:val="auto"/>
              </w:rPr>
            </w:pPr>
            <w:r>
              <w:rPr>
                <w:rFonts w:ascii="Arial" w:cs="Arial" w:eastAsia="Arial" w:hAnsi="Arial"/>
                <w:sz w:val="18"/>
                <w:szCs w:val="18"/>
                <w:color w:val="auto"/>
              </w:rPr>
              <w:t>Proceeds from Continuation Advances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Notes payable principal payoff</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Proceeds from issuance of common stock from equity plans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80" w:type="dxa"/>
            <w:vAlign w:val="bottom"/>
            <w:shd w:val="clear" w:color="auto" w:fill="CCEEFF"/>
          </w:tcPr>
          <w:p>
            <w:pPr>
              <w:spacing w:after="0"/>
              <w:rPr>
                <w:sz w:val="20"/>
                <w:szCs w:val="20"/>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gridSpan w:val="2"/>
          </w:tcPr>
          <w:p>
            <w:pPr>
              <w:ind w:left="120"/>
              <w:spacing w:after="0"/>
              <w:rPr>
                <w:sz w:val="20"/>
                <w:szCs w:val="20"/>
                <w:color w:val="auto"/>
              </w:rPr>
            </w:pPr>
            <w:r>
              <w:rPr>
                <w:rFonts w:ascii="Arial" w:cs="Arial" w:eastAsia="Arial" w:hAnsi="Arial"/>
                <w:sz w:val="18"/>
                <w:szCs w:val="18"/>
                <w:color w:val="auto"/>
              </w:rPr>
              <w:t>Net increase in cash and cash equivalents and restricted cash</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72,862</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Restricted cash at end of period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72,862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337" w:lineRule="exact"/>
        <w:rPr>
          <w:sz w:val="20"/>
          <w:szCs w:val="20"/>
          <w:color w:val="auto"/>
        </w:rPr>
      </w:pPr>
    </w:p>
    <w:p>
      <w:pPr>
        <w:ind w:right="180" w:firstLine="440"/>
        <w:spacing w:after="0" w:line="225" w:lineRule="auto"/>
        <w:rPr>
          <w:sz w:val="20"/>
          <w:szCs w:val="20"/>
          <w:color w:val="auto"/>
        </w:rPr>
      </w:pPr>
      <w:r>
        <w:rPr>
          <w:rFonts w:ascii="Arial" w:cs="Arial" w:eastAsia="Arial" w:hAnsi="Arial"/>
          <w:sz w:val="18"/>
          <w:szCs w:val="18"/>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right="500" w:firstLine="440"/>
        <w:spacing w:after="0" w:line="235" w:lineRule="auto"/>
        <w:rPr>
          <w:sz w:val="20"/>
          <w:szCs w:val="20"/>
          <w:color w:val="auto"/>
        </w:rPr>
      </w:pPr>
      <w:r>
        <w:rPr>
          <w:rFonts w:ascii="Arial" w:cs="Arial" w:eastAsia="Arial" w:hAnsi="Arial"/>
          <w:sz w:val="18"/>
          <w:szCs w:val="18"/>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w:t>
      </w:r>
    </w:p>
    <w:p>
      <w:pPr>
        <w:spacing w:after="0" w:line="4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“Pacific Biosciences,” “PacBio,” “SMRT,” “SMRTbell,” “Sequel” and our logo are our trademarks.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TERMINATION OF MERGER WITH ILLUMINA</w:t>
      </w:r>
    </w:p>
    <w:p>
      <w:pPr>
        <w:spacing w:after="0" w:line="337"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On November 1, 2018, we entered into an Agreement and Plan of Merger (as amended, the “Merger Agreement”) with Illumina, Inc. (“Illumina”) and FC Ops Corp., a wholly owned subsidiary of Illumina (“Merger Subsidiary”). On January 2, 2020, we, Illumina and Merger Subsidiary, entered into an agreement to terminate the Merger Agreement (the “Termination Agreement”). As part of the Termination Agreement, Illumina paid us a $98.0 million termination fee (the “Reverse Termination Fee”), from which we paid our financial advisor associated fees of $6.0 million in April 2020, which is less than the amount we initially expected. In addition, Illumina paid us cash payments (“Continuation Advances”) of $34.0 million during the first quarter of 2020.</w:t>
      </w:r>
    </w:p>
    <w:p>
      <w:pPr>
        <w:spacing w:after="0" w:line="26"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However, pursuant to the Termination Agreement, in the event that, on or prior to September 30, 2020, we enter into a definitive agreement providing for, or consummate, a Change of Control Transaction (as defined in the Termination Agreement) (“Change of Control Transaction”),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 Please refer to “Note 5. Balance Sheet Components” for the accounting treatment of the Reverse Termination Fee.</w:t>
      </w:r>
    </w:p>
    <w:p>
      <w:pPr>
        <w:spacing w:after="0" w:line="42" w:lineRule="exact"/>
        <w:rPr>
          <w:sz w:val="20"/>
          <w:szCs w:val="20"/>
          <w:color w:val="auto"/>
        </w:rPr>
      </w:pPr>
    </w:p>
    <w:p>
      <w:pPr>
        <w:ind w:right="120" w:firstLine="485"/>
        <w:spacing w:after="0" w:line="231" w:lineRule="auto"/>
        <w:rPr>
          <w:sz w:val="20"/>
          <w:szCs w:val="20"/>
          <w:color w:val="auto"/>
        </w:rPr>
      </w:pPr>
      <w:r>
        <w:rPr>
          <w:rFonts w:ascii="Arial" w:cs="Arial" w:eastAsia="Arial" w:hAnsi="Arial"/>
          <w:sz w:val="18"/>
          <w:szCs w:val="18"/>
          <w:color w:val="auto"/>
        </w:rPr>
        <w:t>In addition, up to the $52.0 million of the Continuation Advances paid to us are repayable without interest to Illumina if, within two years of March 31, 2020, we enter into, or consummate a Change of Control Transaction or raise at least $100 million in equity in a single transaction or debt financing (that may have multiple closings), with the amount repayable dependent on the amount raised by us. Please refer to “Note 3. Summary of Significant Accounting Policies” for the accounting treatment of the Continuation Advances.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63"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In the opinion of management, our accompanying unaudited condensed consolidated financial statements (“Financial Statements”) have been prepared on a consistent basis with our December 31, 2019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2019. The results of operations for the three months ended March 31, 2020 are not necessarily indicative of the results to be expected for the entire year or any future periods.</w:t>
      </w:r>
    </w:p>
    <w:p>
      <w:pPr>
        <w:spacing w:after="0" w:line="42"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The condensed consolidated financial statements include the accounts of Pacific Biosciences and our wholly-owned subsidiaries. All intercompany transactions and balances have been eliminated.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63" w:lineRule="exact"/>
        <w:rPr>
          <w:sz w:val="20"/>
          <w:szCs w:val="20"/>
          <w:color w:val="auto"/>
        </w:rPr>
      </w:pPr>
    </w:p>
    <w:p>
      <w:pPr>
        <w:jc w:val="both"/>
        <w:ind w:right="380" w:firstLine="440"/>
        <w:spacing w:after="0" w:line="276" w:lineRule="auto"/>
        <w:rPr>
          <w:sz w:val="20"/>
          <w:szCs w:val="20"/>
          <w:color w:val="auto"/>
        </w:rPr>
      </w:pPr>
      <w:r>
        <w:rPr>
          <w:rFonts w:ascii="Arial" w:cs="Arial" w:eastAsia="Arial" w:hAnsi="Arial"/>
          <w:sz w:val="16"/>
          <w:szCs w:val="16"/>
          <w:color w:val="auto"/>
        </w:rPr>
        <w:t>We are subject to risks and uncertainties as a result of the novel coronavirus pandemic (COVID-19). The extent of the impact of the COVID-19 pandemic on our business is highly uncertain as responses to the pandemic can change quickly and information is rapidly evolving. We considered the impact of COVID-19 on the assumptions and estimates used to determine the results reported and asset valuations as of March 31, 2020.</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3" w:lineRule="exact"/>
        <w:rPr>
          <w:sz w:val="20"/>
          <w:szCs w:val="20"/>
          <w:color w:val="auto"/>
        </w:rPr>
      </w:pPr>
    </w:p>
    <w:p>
      <w:pPr>
        <w:ind w:right="60" w:firstLine="440"/>
        <w:spacing w:after="0" w:line="23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valuation of a financing derivative and long-term notes,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computation of provisions for income taxes and the determination of the internal borrowing rate used in calculating the operating lease right-of-use assets and operating lease liabilities. Actual results could differ materially from these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63"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carrying amount of our accounts receivable, prepaid expenses, other current assets, accounts payable, accrued expenses and other liabilities, current, approximate fair value due to their short maturities.</w:t>
      </w:r>
    </w:p>
    <w:p>
      <w:pPr>
        <w:spacing w:after="0" w:line="35" w:lineRule="exact"/>
        <w:rPr>
          <w:sz w:val="20"/>
          <w:szCs w:val="20"/>
          <w:color w:val="auto"/>
        </w:rPr>
      </w:pPr>
    </w:p>
    <w:p>
      <w:pPr>
        <w:ind w:right="760" w:firstLine="440"/>
        <w:spacing w:after="0" w:line="274"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7" w:lineRule="exact"/>
        <w:rPr>
          <w:sz w:val="20"/>
          <w:szCs w:val="20"/>
          <w:color w:val="auto"/>
        </w:rPr>
      </w:pPr>
    </w:p>
    <w:p>
      <w:pPr>
        <w:ind w:left="1100" w:right="56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5" w:lineRule="exact"/>
        <w:rPr>
          <w:sz w:val="20"/>
          <w:szCs w:val="20"/>
          <w:color w:val="auto"/>
        </w:rPr>
      </w:pPr>
    </w:p>
    <w:p>
      <w:pPr>
        <w:ind w:right="80" w:firstLine="482"/>
        <w:spacing w:after="0" w:line="246"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6" w:lineRule="exact"/>
        <w:rPr>
          <w:sz w:val="20"/>
          <w:szCs w:val="20"/>
          <w:color w:val="auto"/>
        </w:rPr>
      </w:pPr>
    </w:p>
    <w:p>
      <w:pPr>
        <w:ind w:right="120" w:firstLine="440"/>
        <w:spacing w:after="0" w:line="235" w:lineRule="auto"/>
        <w:rPr>
          <w:sz w:val="20"/>
          <w:szCs w:val="20"/>
          <w:color w:val="auto"/>
        </w:rPr>
      </w:pPr>
      <w:r>
        <w:rPr>
          <w:rFonts w:ascii="Arial" w:cs="Arial" w:eastAsia="Arial" w:hAnsi="Arial"/>
          <w:sz w:val="18"/>
          <w:szCs w:val="18"/>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40" w:lineRule="exact"/>
        <w:rPr>
          <w:sz w:val="20"/>
          <w:szCs w:val="20"/>
          <w:color w:val="auto"/>
        </w:rPr>
      </w:pPr>
    </w:p>
    <w:p>
      <w:pPr>
        <w:ind w:right="240" w:firstLine="440"/>
        <w:spacing w:after="0" w:line="23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fair value of our financial assets and liabilities that were measured on a recurring basis as of March 31, 2020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320"/>
              <w:spacing w:after="0"/>
              <w:rPr>
                <w:sz w:val="20"/>
                <w:szCs w:val="20"/>
                <w:color w:val="auto"/>
              </w:rPr>
            </w:pPr>
            <w:r>
              <w:rPr>
                <w:rFonts w:ascii="Arial" w:cs="Arial" w:eastAsia="Arial" w:hAnsi="Arial"/>
                <w:sz w:val="13"/>
                <w:szCs w:val="13"/>
                <w:b w:val="1"/>
                <w:bCs w:val="1"/>
                <w:color w:val="auto"/>
              </w:rPr>
              <w:t>March 31, 2020</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840" w:type="dxa"/>
            <w:vAlign w:val="bottom"/>
          </w:tcPr>
          <w:p>
            <w:pPr>
              <w:jc w:val="right"/>
              <w:ind w:right="249"/>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1"/>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0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 and money market funds</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32,529</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3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0" w:type="dxa"/>
            <w:vAlign w:val="bottom"/>
          </w:tcPr>
          <w:p>
            <w:pPr>
              <w:spacing w:after="0"/>
              <w:rPr>
                <w:sz w:val="1"/>
                <w:szCs w:val="1"/>
                <w:color w:val="auto"/>
              </w:rPr>
            </w:pPr>
          </w:p>
        </w:tc>
      </w:tr>
      <w:tr>
        <w:trPr>
          <w:trHeight w:val="229"/>
        </w:trPr>
        <w:tc>
          <w:tcPr>
            <w:tcW w:w="2500" w:type="dxa"/>
            <w:vAlign w:val="bottom"/>
            <w:gridSpan w:val="3"/>
          </w:tcPr>
          <w:p>
            <w:pPr>
              <w:spacing w:after="0"/>
              <w:rPr>
                <w:sz w:val="20"/>
                <w:szCs w:val="20"/>
                <w:color w:val="auto"/>
              </w:rPr>
            </w:pPr>
            <w:r>
              <w:rPr>
                <w:rFonts w:ascii="Arial" w:cs="Arial" w:eastAsia="Arial" w:hAnsi="Arial"/>
                <w:sz w:val="14"/>
                <w:szCs w:val="14"/>
                <w:color w:val="auto"/>
              </w:rPr>
              <w:t>Commercial paper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36,333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10,983</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cash and cash equivalents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68,862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1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29,627</w:t>
            </w: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w:t>
            </w:r>
          </w:p>
        </w:tc>
        <w:tc>
          <w:tcPr>
            <w:tcW w:w="0" w:type="dxa"/>
            <w:vAlign w:val="bottom"/>
          </w:tcPr>
          <w:p>
            <w:pPr>
              <w:spacing w:after="0"/>
              <w:rPr>
                <w:sz w:val="1"/>
                <w:szCs w:val="1"/>
                <w:color w:val="auto"/>
              </w:rPr>
            </w:pPr>
          </w:p>
        </w:tc>
      </w:tr>
      <w:tr>
        <w:trPr>
          <w:trHeight w:val="229"/>
        </w:trPr>
        <w:tc>
          <w:tcPr>
            <w:tcW w:w="2500" w:type="dxa"/>
            <w:vAlign w:val="bottom"/>
            <w:gridSpan w:val="3"/>
          </w:tcPr>
          <w:p>
            <w:pPr>
              <w:spacing w:after="0"/>
              <w:rPr>
                <w:sz w:val="20"/>
                <w:szCs w:val="20"/>
                <w:color w:val="auto"/>
              </w:rPr>
            </w:pPr>
            <w:r>
              <w:rPr>
                <w:rFonts w:ascii="Arial" w:cs="Arial" w:eastAsia="Arial" w:hAnsi="Arial"/>
                <w:sz w:val="14"/>
                <w:szCs w:val="14"/>
                <w:color w:val="auto"/>
              </w:rPr>
              <w:t>Corporate debt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229"/>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gridSpan w:val="3"/>
          </w:tcPr>
          <w:p>
            <w:pPr>
              <w:ind w:left="220"/>
              <w:spacing w:after="0"/>
              <w:rPr>
                <w:sz w:val="20"/>
                <w:szCs w:val="20"/>
                <w:color w:val="auto"/>
              </w:rPr>
            </w:pPr>
            <w:r>
              <w:rPr>
                <w:rFonts w:ascii="Arial" w:cs="Arial" w:eastAsia="Arial" w:hAnsi="Arial"/>
                <w:sz w:val="14"/>
                <w:szCs w:val="14"/>
                <w:color w:val="auto"/>
              </w:rPr>
              <w:t>Total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73,729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73,729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19,472</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Cash</w:t>
            </w:r>
          </w:p>
        </w:tc>
        <w:tc>
          <w:tcPr>
            <w:tcW w:w="9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ind w:left="600"/>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22,644</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3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53,099</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gridSpan w:val="3"/>
          </w:tcPr>
          <w:p>
            <w:pPr>
              <w:spacing w:after="0"/>
              <w:rPr>
                <w:sz w:val="20"/>
                <w:szCs w:val="20"/>
                <w:color w:val="auto"/>
              </w:rPr>
            </w:pPr>
            <w:r>
              <w:rPr>
                <w:rFonts w:ascii="Arial" w:cs="Arial" w:eastAsia="Arial" w:hAnsi="Arial"/>
                <w:sz w:val="14"/>
                <w:szCs w:val="14"/>
                <w:color w:val="auto"/>
              </w:rPr>
              <w:t>Financing Derivative</w:t>
            </w: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7"/>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Continuation Advances</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00" w:type="dxa"/>
            <w:vAlign w:val="bottom"/>
            <w:gridSpan w:val="3"/>
          </w:tcPr>
          <w:p>
            <w:pPr>
              <w:spacing w:after="0"/>
              <w:rPr>
                <w:sz w:val="20"/>
                <w:szCs w:val="20"/>
                <w:color w:val="auto"/>
              </w:rPr>
            </w:pPr>
            <w:r>
              <w:rPr>
                <w:rFonts w:ascii="Arial" w:cs="Arial" w:eastAsia="Arial" w:hAnsi="Arial"/>
                <w:sz w:val="14"/>
                <w:szCs w:val="14"/>
                <w:color w:val="auto"/>
              </w:rPr>
              <w:t>Total liabilities measured at fair value</w:t>
            </w:r>
          </w:p>
        </w:tc>
        <w:tc>
          <w:tcPr>
            <w:tcW w:w="3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7"/>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7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financing derivative liability</w:t>
      </w:r>
    </w:p>
    <w:p>
      <w:pPr>
        <w:spacing w:after="0" w:line="63"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The estimated fair value of the Financing Derivative liability (as defined in the “Notes payable, current” section in “Note 5. Balance Sheet Components”) was determined using Level 3 inputs, or significant unobservable inputs. Changes to the estimated fair value of the Financing Derivative are recorded in “Other income (expense), net” in the consolidated statements of operations and comprehensive loss.</w:t>
      </w:r>
    </w:p>
    <w:p>
      <w:pPr>
        <w:spacing w:after="0" w:line="67" w:lineRule="exact"/>
        <w:rPr>
          <w:sz w:val="20"/>
          <w:szCs w:val="20"/>
          <w:color w:val="auto"/>
        </w:rPr>
      </w:pPr>
    </w:p>
    <w:p>
      <w:pPr>
        <w:jc w:val="both"/>
        <w:ind w:right="180" w:firstLine="440"/>
        <w:spacing w:after="0" w:line="280"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from the debt facility that we entered into during the first quarter of 2013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2020, upon maturity of the Notes, the Financing Derivative was extinguished. Refer to the “Notes payable, current” section in “Note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Components” for a detailed description and valuation approach.</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Continuation Advances liability</w:t>
      </w:r>
    </w:p>
    <w:p>
      <w:pPr>
        <w:spacing w:after="0" w:line="63"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In accordance with the terms of the Merger Agreement, we received Continuation Advances of $18.0 million and $34.0 million from Illumina during the fourth quarter of 2019 and the first quarter of 2020, respectively.</w:t>
      </w:r>
    </w:p>
    <w:p>
      <w:pPr>
        <w:spacing w:after="0" w:line="3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We determined that the Continuation Advances, which are subject to repayment under certain circumstances as discussed below, constitute a financial liability.</w:t>
      </w:r>
    </w:p>
    <w:p>
      <w:pPr>
        <w:spacing w:after="0" w:line="35"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 xml:space="preserve">The fair value option was elected for the financial liability because management believes that among all measurement methods allowed by Accounting Standards Codification, or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there would be no future cash outflows associated with this financial instrument because the probabilities of either of the following events occurring and requiring repayment to Illumina were evaluated as being remote as of March 31, 2020:</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enter into a Change of Control Transaction within two years following March 31, 2020; or</w:t>
      </w:r>
    </w:p>
    <w:p>
      <w:pPr>
        <w:spacing w:after="0" w:line="90"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we raise $100 million or more in a single equity or debt financing (that may have multiple closings) within two years following March 31, 2020.</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As a result, the estimated fair value of the liability associated with the contingent repayment of the Continuation Advances received in the first quarter of 2020 was assessed to be zero as of March 31, 2020 with a resulting non-operating gain of $34.0 million recorded as “Gain from Continuation Advances from Illumina” for the quarter ended March 31, 2020. We recorded a similar gain of $18.0 million in 2019 for the Continuation Advances received during the fourth quarter of 2019.</w:t>
      </w:r>
    </w:p>
    <w:p>
      <w:pPr>
        <w:spacing w:after="0" w:line="40"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For the quarter ended March 31, 2020, there were no transfers between Level 1, Level 2, or Level 3 assets or liabilities reported at fair value on a recurring basis and our valuation techniques did not change compared to the prior year.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63"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Basic net income (loss) per share and diluted net income (loss) per share are presented for both periods presented. Basic net income (loss) per share is computed by dividing net income (loss) by the weighted average number of shares of common stock outstanding during the period. Diluted net income (loss) per share is computed using the weighted average number of shares of common stock outstanding and potential shares assuming the dilutive effect of outstanding stock options, restricted stock units and common stock issuable pursuant to our employee stock purchase plan, or ESPP, using the treasury stock method.</w:t>
      </w:r>
    </w:p>
    <w:p>
      <w:pPr>
        <w:spacing w:after="0" w:line="43" w:lineRule="exact"/>
        <w:rPr>
          <w:sz w:val="20"/>
          <w:szCs w:val="20"/>
          <w:color w:val="auto"/>
        </w:rPr>
      </w:pPr>
    </w:p>
    <w:p>
      <w:pPr>
        <w:jc w:val="both"/>
        <w:ind w:right="140" w:firstLine="440"/>
        <w:spacing w:after="0" w:line="235" w:lineRule="auto"/>
        <w:rPr>
          <w:sz w:val="20"/>
          <w:szCs w:val="20"/>
          <w:color w:val="auto"/>
        </w:rPr>
      </w:pPr>
      <w:r>
        <w:rPr>
          <w:rFonts w:ascii="Arial" w:cs="Arial" w:eastAsia="Arial" w:hAnsi="Arial"/>
          <w:sz w:val="18"/>
          <w:szCs w:val="18"/>
          <w:color w:val="auto"/>
        </w:rPr>
        <w:t>The following table presents the calculation of weighted average shares of common stock used in the computations of basic and diluted net income (loss) per share amounts presented in the accompanying condensed consolidated statements of operations and comprehensive income (loss) (in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 Ended March 31,</w:t>
            </w:r>
          </w:p>
        </w:tc>
      </w:tr>
      <w:tr>
        <w:trPr>
          <w:trHeight w:val="190"/>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02"/>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7"/>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used in computing basic net income (loss) per share</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153,453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151,274</w:t>
            </w:r>
          </w:p>
        </w:tc>
      </w:tr>
      <w:tr>
        <w:trPr>
          <w:trHeight w:val="263"/>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190"/>
        </w:trPr>
        <w:tc>
          <w:tcPr>
            <w:tcW w:w="830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57"/>
        </w:trPr>
        <w:tc>
          <w:tcPr>
            <w:tcW w:w="8300" w:type="dxa"/>
            <w:vAlign w:val="bottom"/>
          </w:tcPr>
          <w:p>
            <w:pPr>
              <w:ind w:left="220"/>
              <w:spacing w:after="0"/>
              <w:rPr>
                <w:sz w:val="20"/>
                <w:szCs w:val="20"/>
                <w:color w:val="auto"/>
              </w:rPr>
            </w:pPr>
            <w:r>
              <w:rPr>
                <w:rFonts w:ascii="Arial" w:cs="Arial" w:eastAsia="Arial" w:hAnsi="Arial"/>
                <w:sz w:val="18"/>
                <w:szCs w:val="18"/>
                <w:color w:val="auto"/>
              </w:rPr>
              <w:t>Weighted average shares used in computing basic net income (loss) per share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153,453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151,274</w:t>
            </w:r>
          </w:p>
        </w:tc>
      </w:tr>
      <w:tr>
        <w:trPr>
          <w:trHeight w:val="25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weighted average stock options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 weighted average restricted stock units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used in computing diluted net income (loss) per share</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151,274</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firstLine="440"/>
        <w:spacing w:after="0" w:line="307" w:lineRule="auto"/>
        <w:rPr>
          <w:sz w:val="20"/>
          <w:szCs w:val="20"/>
          <w:color w:val="auto"/>
        </w:rPr>
      </w:pPr>
      <w:r>
        <w:rPr>
          <w:rFonts w:ascii="Arial" w:cs="Arial" w:eastAsia="Arial" w:hAnsi="Arial"/>
          <w:sz w:val="16"/>
          <w:szCs w:val="16"/>
          <w:color w:val="auto"/>
        </w:rPr>
        <w:t>The following outstanding common stock options, restricted stock units and ESPP shares to purchase common stock were excluded from the computation of diluted net income (loss) per share for the periods presented because including them would have had an anti-dilutive effect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80" w:type="dxa"/>
            <w:vAlign w:val="bottom"/>
            <w:gridSpan w:val="3"/>
          </w:tcPr>
          <w:p>
            <w:pPr>
              <w:ind w:left="1460"/>
              <w:spacing w:after="0"/>
              <w:rPr>
                <w:sz w:val="20"/>
                <w:szCs w:val="20"/>
                <w:color w:val="auto"/>
              </w:rPr>
            </w:pPr>
            <w:r>
              <w:rPr>
                <w:rFonts w:ascii="Arial" w:cs="Arial" w:eastAsia="Arial" w:hAnsi="Arial"/>
                <w:sz w:val="14"/>
                <w:szCs w:val="14"/>
                <w:b w:val="1"/>
                <w:bCs w:val="1"/>
                <w:color w:val="auto"/>
                <w:w w:val="96"/>
              </w:rPr>
              <w:t>Three Months Ended March 31,</w:t>
            </w:r>
          </w:p>
        </w:tc>
        <w:tc>
          <w:tcPr>
            <w:tcW w:w="1400" w:type="dxa"/>
            <w:vAlign w:val="bottom"/>
          </w:tcPr>
          <w:p>
            <w:pPr>
              <w:spacing w:after="0"/>
              <w:rPr>
                <w:sz w:val="16"/>
                <w:szCs w:val="16"/>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gridSpan w:val="2"/>
          </w:tcPr>
          <w:p>
            <w:pPr>
              <w:jc w:val="right"/>
              <w:ind w:right="87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jc w:val="right"/>
              <w:ind w:right="974"/>
              <w:spacing w:after="0"/>
              <w:rPr>
                <w:sz w:val="20"/>
                <w:szCs w:val="20"/>
                <w:color w:val="auto"/>
              </w:rPr>
            </w:pPr>
            <w:r>
              <w:rPr>
                <w:rFonts w:ascii="Arial" w:cs="Arial" w:eastAsia="Arial" w:hAnsi="Arial"/>
                <w:sz w:val="14"/>
                <w:szCs w:val="14"/>
                <w:b w:val="1"/>
                <w:bCs w:val="1"/>
                <w:color w:val="auto"/>
              </w:rPr>
              <w:t>2019</w:t>
            </w:r>
          </w:p>
        </w:tc>
      </w:tr>
      <w:tr>
        <w:trPr>
          <w:trHeight w:val="215"/>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2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14,265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23,833</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RSUs with time-based vesting</w:t>
            </w:r>
          </w:p>
        </w:tc>
        <w:tc>
          <w:tcPr>
            <w:tcW w:w="4400" w:type="dxa"/>
            <w:vAlign w:val="bottom"/>
            <w:gridSpan w:val="2"/>
          </w:tcPr>
          <w:p>
            <w:pPr>
              <w:jc w:val="right"/>
              <w:ind w:right="99"/>
              <w:spacing w:after="0"/>
              <w:rPr>
                <w:sz w:val="20"/>
                <w:szCs w:val="20"/>
                <w:color w:val="auto"/>
              </w:rPr>
            </w:pPr>
            <w:r>
              <w:rPr>
                <w:rFonts w:ascii="Arial" w:cs="Arial" w:eastAsia="Arial" w:hAnsi="Arial"/>
                <w:sz w:val="18"/>
                <w:szCs w:val="18"/>
                <w:color w:val="auto"/>
              </w:rPr>
              <w:t>2,208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1,102</w:t>
            </w: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RSUs with performance-based vesting</w:t>
            </w:r>
          </w:p>
        </w:tc>
        <w:tc>
          <w:tcPr>
            <w:tcW w:w="4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138</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ESPP shares</w:t>
            </w:r>
          </w:p>
        </w:tc>
        <w:tc>
          <w:tcPr>
            <w:tcW w:w="4400" w:type="dxa"/>
            <w:vAlign w:val="bottom"/>
            <w:gridSpan w:val="2"/>
          </w:tcPr>
          <w:p>
            <w:pPr>
              <w:jc w:val="right"/>
              <w:ind w:right="99"/>
              <w:spacing w:after="0"/>
              <w:rPr>
                <w:sz w:val="20"/>
                <w:szCs w:val="20"/>
                <w:color w:val="auto"/>
              </w:rPr>
            </w:pPr>
            <w:r>
              <w:rPr>
                <w:rFonts w:ascii="Arial" w:cs="Arial" w:eastAsia="Arial" w:hAnsi="Arial"/>
                <w:sz w:val="18"/>
                <w:szCs w:val="18"/>
                <w:color w:val="auto"/>
              </w:rPr>
              <w:t>1,346</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391"/>
        </w:trPr>
        <w:tc>
          <w:tcPr>
            <w:tcW w:w="4160" w:type="dxa"/>
            <w:vAlign w:val="bottom"/>
          </w:tcPr>
          <w:p>
            <w:pPr>
              <w:spacing w:after="0"/>
              <w:rPr>
                <w:sz w:val="24"/>
                <w:szCs w:val="24"/>
                <w:color w:val="auto"/>
              </w:rPr>
            </w:pPr>
          </w:p>
        </w:tc>
        <w:tc>
          <w:tcPr>
            <w:tcW w:w="2200" w:type="dxa"/>
            <w:vAlign w:val="bottom"/>
          </w:tcPr>
          <w:p>
            <w:pPr>
              <w:jc w:val="right"/>
              <w:ind w:right="554"/>
              <w:spacing w:after="0"/>
              <w:rPr>
                <w:sz w:val="20"/>
                <w:szCs w:val="20"/>
                <w:color w:val="auto"/>
              </w:rPr>
            </w:pPr>
            <w:r>
              <w:rPr>
                <w:rFonts w:ascii="Arial" w:cs="Arial" w:eastAsia="Arial" w:hAnsi="Arial"/>
                <w:sz w:val="18"/>
                <w:szCs w:val="18"/>
                <w:color w:val="auto"/>
              </w:rPr>
              <w:t>12</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41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and Other Risks</w:t>
      </w:r>
    </w:p>
    <w:p>
      <w:pPr>
        <w:spacing w:after="0" w:line="63" w:lineRule="exact"/>
        <w:rPr>
          <w:sz w:val="20"/>
          <w:szCs w:val="20"/>
          <w:color w:val="auto"/>
        </w:rPr>
      </w:pPr>
    </w:p>
    <w:p>
      <w:pPr>
        <w:ind w:right="220" w:firstLine="570"/>
        <w:spacing w:after="0" w:line="231" w:lineRule="auto"/>
        <w:rPr>
          <w:sz w:val="20"/>
          <w:szCs w:val="20"/>
          <w:color w:val="auto"/>
        </w:rPr>
      </w:pPr>
      <w:r>
        <w:rPr>
          <w:rFonts w:ascii="Arial" w:cs="Arial" w:eastAsia="Arial" w:hAnsi="Arial"/>
          <w:sz w:val="18"/>
          <w:szCs w:val="18"/>
          <w:color w:val="auto"/>
        </w:rPr>
        <w:t>For the three months ended March 31, 2020, TOMY Digital Biology Co accounted for approximately 11% of our total revenue with no other customer exceeding 10% of our total revenue during the period. For the three months ended March 31, 2019, Gene Company Limited accounted for approximately 17% of our total revenue with no other customer exceeding 10% of our total revenue during the period. TOMY Digital Biology Co. is our distributor in Japan and Gene Company Limited is our primary distributor in China.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63" w:lineRule="exact"/>
        <w:rPr>
          <w:sz w:val="20"/>
          <w:szCs w:val="20"/>
          <w:color w:val="auto"/>
        </w:rPr>
      </w:pPr>
    </w:p>
    <w:p>
      <w:pPr>
        <w:ind w:right="40" w:firstLine="402"/>
        <w:spacing w:after="0" w:line="228" w:lineRule="auto"/>
        <w:rPr>
          <w:sz w:val="20"/>
          <w:szCs w:val="20"/>
          <w:color w:val="auto"/>
        </w:rPr>
      </w:pPr>
      <w:r>
        <w:rPr>
          <w:rFonts w:ascii="Arial" w:cs="Arial" w:eastAsia="Arial" w:hAnsi="Arial"/>
          <w:sz w:val="18"/>
          <w:szCs w:val="18"/>
          <w:color w:val="auto"/>
        </w:rPr>
        <w:t xml:space="preserve">In December 2019, the Financial Accounting Standards Board, or FASB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740)—Simplifying the Accounting for Income Taxes</w:t>
      </w:r>
      <w:r>
        <w:rPr>
          <w:rFonts w:ascii="Arial" w:cs="Arial" w:eastAsia="Arial" w:hAnsi="Arial"/>
          <w:sz w:val="18"/>
          <w:szCs w:val="18"/>
          <w:color w:val="auto"/>
        </w:rPr>
        <w:t>. ASU 2019-12 is intended to simplify accounting for income taxes. It removes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to the general principles in Topic 740 and amends existing guidance to improve consistent application. ASU 2019-12 is effective for fiscal years beginning after December 15, 2020 and interim periods within those fiscal years, which is fiscal 2021 for us, with early adoption permitted. We do not expect adoption of the new guidance to have a material impact on our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Topic 326</w:t>
      </w:r>
    </w:p>
    <w:p>
      <w:pPr>
        <w:spacing w:after="0" w:line="144"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 xml:space="preserve">In June 2016,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(“Topic 326”), which replaces existing incurred loss impairment guidance and establishes a single allowance framework for financial assets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We adopted Topic 326 on January 1, 2020, using a modified retrospective transition method, which requires a cumulative-effect adjustment to the opening balance of retained earnings to be recognized on the date of adoption with prior periods not restated. The cumulative-effect adjustment recorded on January 1, 2020, is shown below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Sheets</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Balance at December</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Adjustments Due to</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2"/>
              </w:rPr>
              <w:t>Balance at January 1,</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31, 2019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Topic 326</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(1,066,240)</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(1,066,272)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adoption of Topic 326 did not have a material impact on our financial statements and our bad debt expense was immaterial as of March 31,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description of our “Credit Losses” accounting policy in the “Significant Accounting Policies” section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jc w:val="both"/>
        <w:ind w:right="460" w:firstLine="440"/>
        <w:spacing w:after="0" w:line="235" w:lineRule="auto"/>
        <w:rPr>
          <w:sz w:val="20"/>
          <w:szCs w:val="20"/>
          <w:color w:val="auto"/>
        </w:rPr>
      </w:pPr>
      <w:r>
        <w:rPr>
          <w:rFonts w:ascii="Arial" w:cs="Arial" w:eastAsia="Arial" w:hAnsi="Arial"/>
          <w:sz w:val="18"/>
          <w:szCs w:val="18"/>
          <w:color w:val="auto"/>
        </w:rPr>
        <w:t>With the exception of the change for the accounting of credit losses as a result of the adoption of Topic 326, there have been no new or material changes to the significant accounting policies discussed in our Annual Report on Form 10-K for the fiscal year ended December 31, 2019, that are of significance, or potential significance, to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44" w:lineRule="exact"/>
        <w:rPr>
          <w:sz w:val="20"/>
          <w:szCs w:val="20"/>
          <w:color w:val="auto"/>
        </w:rPr>
      </w:pPr>
    </w:p>
    <w:p>
      <w:pPr>
        <w:jc w:val="both"/>
        <w:ind w:right="80" w:firstLine="440"/>
        <w:spacing w:after="0" w:line="235" w:lineRule="auto"/>
        <w:rPr>
          <w:sz w:val="20"/>
          <w:szCs w:val="20"/>
          <w:color w:val="auto"/>
        </w:rPr>
      </w:pPr>
      <w:r>
        <w:rPr>
          <w:rFonts w:ascii="Arial" w:cs="Arial" w:eastAsia="Arial" w:hAnsi="Arial"/>
          <w:sz w:val="18"/>
          <w:szCs w:val="18"/>
          <w:i w:val="1"/>
          <w:iCs w:val="1"/>
          <w:color w:val="auto"/>
        </w:rPr>
        <w:t xml:space="preserve">Trade accounts receivable. </w:t>
      </w:r>
      <w:r>
        <w:rPr>
          <w:rFonts w:ascii="Arial" w:cs="Arial" w:eastAsia="Arial" w:hAnsi="Arial"/>
          <w:sz w:val="18"/>
          <w:szCs w:val="18"/>
          <w:color w:val="auto"/>
        </w:rPr>
        <w:t>The allowance for doubtful accounts is based on our assessment of the collectability of customer accounts. We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the allowance by considering factors such as the age of the accounts receivable balances, customer creditworthiness, customer industry, and current and forecasted economic conditions that may affect a customer’s ability to pay.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92"/>
        <w:spacing w:after="0" w:line="242"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Our investment portfolio at any point in time contains investments in cash deposits, money market funds,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corporate debt securities and US government and agency securities. We segment our portfolio based on the underlying risk profiles of the securities and have a zero loss expectation for U.S. government and agency securities. We regularly review the securities in an unrealized loss position and evaluate the current expected credit loss by considering factors such as historical experience, market data, issuer-specific factors, and current economic conditions and concluded that an allowance for credit losses was not required as of March 31, 2020.</w:t>
      </w:r>
    </w:p>
    <w:p>
      <w:pPr>
        <w:spacing w:after="0" w:line="148" w:lineRule="exact"/>
        <w:rPr>
          <w:sz w:val="20"/>
          <w:szCs w:val="20"/>
          <w:color w:val="auto"/>
        </w:rPr>
      </w:pPr>
    </w:p>
    <w:p>
      <w:pPr>
        <w:ind w:right="300" w:firstLine="492"/>
        <w:spacing w:after="0" w:line="235" w:lineRule="auto"/>
        <w:rPr>
          <w:sz w:val="20"/>
          <w:szCs w:val="20"/>
          <w:color w:val="auto"/>
        </w:rPr>
      </w:pPr>
      <w:r>
        <w:rPr>
          <w:rFonts w:ascii="Arial" w:cs="Arial" w:eastAsia="Arial" w:hAnsi="Arial"/>
          <w:sz w:val="18"/>
          <w:szCs w:val="18"/>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INVESTMENTS</w:t>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cash, cash equivalents and investments as of March 31, 2020 and December 31, 2019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As of March 31, 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36,333</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68,857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68,862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196"/>
        </w:trPr>
        <w:tc>
          <w:tcPr>
            <w:tcW w:w="4600" w:type="dxa"/>
            <w:vAlign w:val="bottom"/>
          </w:tcPr>
          <w:p>
            <w:pPr>
              <w:ind w:left="220"/>
              <w:spacing w:after="0" w:line="196" w:lineRule="exact"/>
              <w:rPr>
                <w:sz w:val="20"/>
                <w:szCs w:val="20"/>
                <w:color w:val="auto"/>
              </w:rPr>
            </w:pPr>
            <w:r>
              <w:rPr>
                <w:rFonts w:ascii="Arial" w:cs="Arial" w:eastAsia="Arial" w:hAnsi="Arial"/>
                <w:sz w:val="18"/>
                <w:szCs w:val="18"/>
                <w:color w:val="auto"/>
              </w:rPr>
              <w:t>Total investments</w:t>
            </w: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73,704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73,729</w:t>
            </w: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As of December 31, 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1"/>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56"/>
        </w:trPr>
        <w:tc>
          <w:tcPr>
            <w:tcW w:w="4600" w:type="dxa"/>
            <w:vAlign w:val="bottom"/>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49,094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49,099</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492"/>
        <w:spacing w:after="0" w:line="246" w:lineRule="auto"/>
        <w:rPr>
          <w:sz w:val="20"/>
          <w:szCs w:val="20"/>
          <w:color w:val="auto"/>
        </w:rPr>
      </w:pPr>
      <w:r>
        <w:rPr>
          <w:rFonts w:ascii="Arial" w:cs="Arial" w:eastAsia="Arial" w:hAnsi="Arial"/>
          <w:sz w:val="18"/>
          <w:szCs w:val="18"/>
          <w:color w:val="auto"/>
        </w:rPr>
        <w:t>The following table summarizes the contractual maturities of our cash equivalents and available-for-sale investments, excluding money market funds, as of March 31, 2020 (in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102,794</w:t>
            </w:r>
          </w:p>
        </w:tc>
      </w:tr>
      <w:tr>
        <w:trPr>
          <w:trHeight w:val="27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w:t>
            </w:r>
          </w:p>
        </w:tc>
      </w:tr>
      <w:tr>
        <w:trPr>
          <w:trHeight w:val="236"/>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110,062</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Actual maturities may differ from contractual maturities because issuers may have the right to call or prepay obligations without call or prepayment penalties.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and December 31, 2019, our inventory consisted of the following components: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960" w:type="dxa"/>
            <w:vAlign w:val="bottom"/>
          </w:tcPr>
          <w:p>
            <w:pPr>
              <w:jc w:val="right"/>
              <w:ind w:right="147"/>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36"/>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216"/>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Purchased materials</w:t>
            </w:r>
          </w:p>
        </w:tc>
        <w:tc>
          <w:tcPr>
            <w:tcW w:w="1960" w:type="dxa"/>
            <w:vAlign w:val="bottom"/>
            <w:shd w:val="clear" w:color="auto" w:fill="CCEEFF"/>
          </w:tcPr>
          <w:p>
            <w:pPr>
              <w:jc w:val="right"/>
              <w:ind w:right="18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4,464</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3,966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19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5,818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76"/>
              <w:spacing w:after="0"/>
              <w:rPr>
                <w:sz w:val="20"/>
                <w:szCs w:val="20"/>
                <w:color w:val="auto"/>
              </w:rPr>
            </w:pPr>
            <w:r>
              <w:rPr>
                <w:rFonts w:ascii="Arial" w:cs="Arial" w:eastAsia="Arial" w:hAnsi="Arial"/>
                <w:sz w:val="18"/>
                <w:szCs w:val="18"/>
                <w:color w:val="auto"/>
              </w:rPr>
              <w:t>4,594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4,752</w:t>
            </w:r>
          </w:p>
        </w:tc>
      </w:tr>
      <w:tr>
        <w:trPr>
          <w:trHeight w:val="183"/>
        </w:trPr>
        <w:tc>
          <w:tcPr>
            <w:tcW w:w="5120" w:type="dxa"/>
            <w:vAlign w:val="bottom"/>
          </w:tcPr>
          <w:p>
            <w:pPr>
              <w:ind w:left="560"/>
              <w:spacing w:after="0" w:line="182" w:lineRule="exact"/>
              <w:rPr>
                <w:sz w:val="20"/>
                <w:szCs w:val="20"/>
                <w:color w:val="auto"/>
              </w:rPr>
            </w:pPr>
            <w:r>
              <w:rPr>
                <w:rFonts w:ascii="Arial" w:cs="Arial" w:eastAsia="Arial" w:hAnsi="Arial"/>
                <w:sz w:val="18"/>
                <w:szCs w:val="18"/>
                <w:color w:val="auto"/>
              </w:rPr>
              <w:t>Inventory</w:t>
            </w:r>
          </w:p>
        </w:tc>
        <w:tc>
          <w:tcPr>
            <w:tcW w:w="1960" w:type="dxa"/>
            <w:vAlign w:val="bottom"/>
            <w:tcBorders>
              <w:bottom w:val="single" w:sz="8" w:color="auto"/>
            </w:tcBorders>
          </w:tcPr>
          <w:p>
            <w:pPr>
              <w:jc w:val="right"/>
              <w:ind w:right="18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16,124</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76"/>
              <w:spacing w:after="0" w:line="182" w:lineRule="exact"/>
              <w:rPr>
                <w:sz w:val="20"/>
                <w:szCs w:val="20"/>
                <w:color w:val="auto"/>
              </w:rPr>
            </w:pPr>
            <w:r>
              <w:rPr>
                <w:rFonts w:ascii="Arial" w:cs="Arial" w:eastAsia="Arial" w:hAnsi="Arial"/>
                <w:sz w:val="18"/>
                <w:szCs w:val="18"/>
                <w:color w:val="auto"/>
              </w:rPr>
              <w:t>13,312</w:t>
            </w:r>
          </w:p>
        </w:tc>
      </w:tr>
      <w:tr>
        <w:trPr>
          <w:trHeight w:val="20"/>
        </w:trPr>
        <w:tc>
          <w:tcPr>
            <w:tcW w:w="5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restricted cash</w:t>
      </w:r>
    </w:p>
    <w:p>
      <w:pPr>
        <w:spacing w:after="0" w:line="171" w:lineRule="exact"/>
        <w:rPr>
          <w:sz w:val="20"/>
          <w:szCs w:val="20"/>
          <w:color w:val="auto"/>
        </w:rPr>
      </w:pPr>
    </w:p>
    <w:p>
      <w:pPr>
        <w:ind w:right="80" w:firstLine="440"/>
        <w:spacing w:after="0" w:line="242" w:lineRule="auto"/>
        <w:rPr>
          <w:sz w:val="20"/>
          <w:szCs w:val="20"/>
          <w:color w:val="auto"/>
        </w:rPr>
      </w:pPr>
      <w:r>
        <w:rPr>
          <w:rFonts w:ascii="Arial" w:cs="Arial" w:eastAsia="Arial" w:hAnsi="Arial"/>
          <w:sz w:val="17"/>
          <w:szCs w:val="17"/>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on May 1, 2019, the amount of the letter of credit was reduced from $4.5 million to $4.0 million. As such, $4.0 million was recorded in “Long-term restricted cash” in the condensed consolidated balance sheet as of March 31, 2020 and December 31, 2019. Pursuant to the terms of the O’Brien Lease, the letter of credit balance of $4.0 million at March 31, 2020 will be reduced again in May 2020 by $500,000.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from Reverse Termination Fee</w:t>
      </w:r>
    </w:p>
    <w:p>
      <w:pPr>
        <w:spacing w:after="0" w:line="63" w:lineRule="exact"/>
        <w:rPr>
          <w:sz w:val="20"/>
          <w:szCs w:val="20"/>
          <w:color w:val="auto"/>
        </w:rPr>
      </w:pPr>
    </w:p>
    <w:p>
      <w:pPr>
        <w:ind w:right="440" w:firstLine="440"/>
        <w:spacing w:after="0" w:line="246" w:lineRule="auto"/>
        <w:rPr>
          <w:sz w:val="20"/>
          <w:szCs w:val="20"/>
          <w:color w:val="auto"/>
        </w:rPr>
      </w:pPr>
      <w:r>
        <w:rPr>
          <w:rFonts w:ascii="Arial" w:cs="Arial" w:eastAsia="Arial" w:hAnsi="Arial"/>
          <w:sz w:val="18"/>
          <w:szCs w:val="18"/>
          <w:color w:val="auto"/>
        </w:rPr>
        <w:t>As part of the Termination Agreement, Illumina paid us a Reverse Termination Fee of $98.0 million, from which we owed our financial advisor associated fees of $6.0 million.</w:t>
      </w:r>
    </w:p>
    <w:p>
      <w:pPr>
        <w:spacing w:after="0" w:line="35"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 xml:space="preserve">Pursuant to the Termination Agreement, in the event that, on or prior to September 30, 2020, we enter into a definitive agreement providing for, or consummate, a Change of Control Transaction, then we may need to repay the Reverse Termination Fee (without interest) to Illumina in connection with the consummation of such Change of Control Transaction. If such Change of Control Transaction is not consummated by the two year anniversary of the execution of the definitive agreement for such Change of Control Transaction, then we will not be required to repay the Reverse Termination Fee. As indicated in ASC 450, </w:t>
      </w:r>
      <w:r>
        <w:rPr>
          <w:rFonts w:ascii="Arial" w:cs="Arial" w:eastAsia="Arial" w:hAnsi="Arial"/>
          <w:sz w:val="17"/>
          <w:szCs w:val="17"/>
          <w:i w:val="1"/>
          <w:iCs w:val="1"/>
          <w:color w:val="auto"/>
        </w:rPr>
        <w:t>Contingencies</w:t>
      </w:r>
      <w:r>
        <w:rPr>
          <w:rFonts w:ascii="Arial" w:cs="Arial" w:eastAsia="Arial" w:hAnsi="Arial"/>
          <w:sz w:val="17"/>
          <w:szCs w:val="17"/>
          <w:color w:val="auto"/>
        </w:rPr>
        <w:t>, a gain contingency usually is not recognized in the financial statements until the period in which all contingencies are resolved and the gain is realizable. As such we have deferred the gain from the Reverse Termination Fee from Illumina until the date when the associated contingency is resolved and accordingly, we recorded the $98.0 million as “Deferred Gain from Reverse Termination Fee” in the condensed consolidated balance sheets as of March 31, 2020.</w:t>
      </w:r>
    </w:p>
    <w:p>
      <w:pPr>
        <w:spacing w:after="0" w:line="42" w:lineRule="exact"/>
        <w:rPr>
          <w:sz w:val="20"/>
          <w:szCs w:val="20"/>
          <w:color w:val="auto"/>
        </w:rPr>
      </w:pPr>
    </w:p>
    <w:p>
      <w:pPr>
        <w:ind w:right="800" w:firstLine="440"/>
        <w:spacing w:after="0" w:line="274" w:lineRule="auto"/>
        <w:rPr>
          <w:sz w:val="20"/>
          <w:szCs w:val="20"/>
          <w:color w:val="auto"/>
        </w:rPr>
      </w:pPr>
      <w:r>
        <w:rPr>
          <w:rFonts w:ascii="Arial" w:cs="Arial" w:eastAsia="Arial" w:hAnsi="Arial"/>
          <w:sz w:val="17"/>
          <w:szCs w:val="17"/>
          <w:color w:val="auto"/>
        </w:rPr>
        <w:t>We recorded the $6.0 million of associated fees owed to our financial advisor in the “Sales, general and administrative” expense line in the condensed consolidated statements of operations and comprehensive income for the quarter ended March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current</w:t>
      </w:r>
    </w:p>
    <w:p>
      <w:pPr>
        <w:spacing w:after="0" w:line="63"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As of December 31, 2019, a balance of $16.0 million aggregate principal amount of debt remained outstanding under the Facility Agreement and was presented as “Notes payable, current” on the condensed consolidated balance sheet as of December 31, 2019.</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February 2020, upon the maturity of the Facility Agreement, we repaid the remaining outstanding principal of $16.0 million and interest.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Derivative</w:t>
      </w:r>
    </w:p>
    <w:p>
      <w:pPr>
        <w:spacing w:after="0" w:line="63"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A number of features embedded in the Notes required accounting for them as a derivative, including the indemnification of certain withholding taxes and the acceleration of debt upon (i) a qualified financing, (ii) an event of default, (iii) a Major Transaction (as such term is defined in the Facility Agreement), and (iv) the exercise of the warrant via offset to the debt principal. These features represent a single derivative (the “Financing Derivative”) that was bifurcated from the debt instrument and accounted for as a liability at fair value, with changes in fair value between reporting periods recorded in other income (expense), net.</w:t>
      </w:r>
    </w:p>
    <w:p>
      <w:pPr>
        <w:spacing w:after="0" w:line="43"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In February 2020, after we repaid the remaining outstanding principal of $16.0 million and interest to Deerfield, the Financing Derivative balance was reduced to $0.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63" w:lineRule="exact"/>
        <w:rPr>
          <w:sz w:val="20"/>
          <w:szCs w:val="20"/>
          <w:color w:val="auto"/>
        </w:rPr>
      </w:pPr>
    </w:p>
    <w:p>
      <w:pPr>
        <w:ind w:firstLine="440"/>
        <w:spacing w:after="0" w:line="266" w:lineRule="auto"/>
        <w:rPr>
          <w:sz w:val="20"/>
          <w:szCs w:val="20"/>
          <w:color w:val="auto"/>
        </w:rPr>
      </w:pPr>
      <w:r>
        <w:rPr>
          <w:rFonts w:ascii="Arial" w:cs="Arial" w:eastAsia="Arial" w:hAnsi="Arial"/>
          <w:sz w:val="16"/>
          <w:szCs w:val="16"/>
          <w:color w:val="auto"/>
        </w:rPr>
        <w:t>As of March 31, 2020, we had a total of $8.6 million of deferred revenue from our service contracts, $7.1 million of which was recorded as “Deferred revenue, current” to be recognized over the next year and the remaining $1.5 million was recorded as “Deferred revenue, non-current” to be recognized in the next 3 years. Revenue recorded in the three months ended March 31, 2020 includes $2.9 million of previously deferred revenue that was included in “Deferred revenue, current” as of December 31, 2019. Contract assets as of March 31, 2020 and December 31, 2019 were not material.</w:t>
      </w:r>
    </w:p>
    <w:p>
      <w:pPr>
        <w:spacing w:after="0" w:line="21"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As of March 31, 2020, we had a total of $0.5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56"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As of March 31, 2020, we leased approximately 180,000 square feet in 1305 O’Brien Drive, Menlo Park, California, where we house our headquarters, research and development, service and support functions. We also leased a sales office facility in Singapore and engineering support facilities in Allen, Texas.</w:t>
      </w:r>
    </w:p>
    <w:p>
      <w:pPr>
        <w:spacing w:after="0" w:line="40" w:lineRule="exact"/>
        <w:rPr>
          <w:sz w:val="20"/>
          <w:szCs w:val="20"/>
          <w:color w:val="auto"/>
        </w:rPr>
      </w:pPr>
    </w:p>
    <w:p>
      <w:pPr>
        <w:ind w:right="20" w:firstLine="440"/>
        <w:spacing w:after="0" w:line="236" w:lineRule="auto"/>
        <w:rPr>
          <w:sz w:val="20"/>
          <w:szCs w:val="20"/>
          <w:color w:val="auto"/>
        </w:rPr>
      </w:pPr>
      <w:r>
        <w:rPr>
          <w:rFonts w:ascii="Arial" w:cs="Arial" w:eastAsia="Arial" w:hAnsi="Arial"/>
          <w:sz w:val="17"/>
          <w:szCs w:val="17"/>
          <w:color w:val="auto"/>
        </w:rPr>
        <w:t>On July 22, 2015, we entered into a lease agreement with respect to our facility located at 1305 O’Brien Drive, Menlo Park, California. The term of the O’Brien Lease is one hundred thirty-two (132) months.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 (12) months of the lease term. If the rent is not received within five days of the due date, there will be an additional sum equal to 5% of the amount overdue as a late charge. Any amount not paid within 10 days after receipt of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benefits of the landlord and to submit $4.5 million as a deposit for the letter of credit in October 2015. Subsequently pursuant to the terms of the O’Brien Lease, at May 1, 2019, the $4.5 million in restricted cash was reduced to $4.0 million and at May 1, 2020, the $4.0 million in restricted cash was reduced to $3.5 million.</w:t>
      </w:r>
    </w:p>
    <w:p>
      <w:pPr>
        <w:spacing w:after="0" w:line="46" w:lineRule="exact"/>
        <w:rPr>
          <w:sz w:val="20"/>
          <w:szCs w:val="20"/>
          <w:color w:val="auto"/>
        </w:rPr>
      </w:pPr>
    </w:p>
    <w:p>
      <w:pPr>
        <w:ind w:right="120" w:firstLine="440"/>
        <w:spacing w:after="0"/>
        <w:rPr>
          <w:sz w:val="20"/>
          <w:szCs w:val="20"/>
          <w:color w:val="auto"/>
        </w:rPr>
      </w:pPr>
      <w:r>
        <w:rPr>
          <w:rFonts w:ascii="Arial" w:cs="Arial" w:eastAsia="Arial" w:hAnsi="Arial"/>
          <w:sz w:val="17"/>
          <w:szCs w:val="17"/>
          <w:color w:val="auto"/>
        </w:rPr>
        <w:t>All of our leases are operating leases. Operating lease assets and liabilities are reflected within “Operating lease right-of-use assets, net”, “Operating lease liabilities, current” and “Operating lease liabilities, non-current” on the condensed consolidated balance sheets. These assets and liabilities are recognized at the commencement date based on the present value of remaining minimum lease payments over the lease term using our estimated secured incremental borrowing rates at the effective date of January 1, 2019.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42"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March 31, 2020 was 7.6 years.</w:t>
      </w:r>
    </w:p>
    <w:p>
      <w:pPr>
        <w:spacing w:after="0" w:line="43" w:lineRule="exact"/>
        <w:rPr>
          <w:sz w:val="20"/>
          <w:szCs w:val="20"/>
          <w:color w:val="auto"/>
        </w:rPr>
      </w:pPr>
    </w:p>
    <w:p>
      <w:pPr>
        <w:ind w:right="120" w:firstLine="440"/>
        <w:spacing w:after="0" w:line="276" w:lineRule="auto"/>
        <w:rPr>
          <w:sz w:val="20"/>
          <w:szCs w:val="20"/>
          <w:color w:val="auto"/>
        </w:rPr>
      </w:pPr>
      <w:r>
        <w:rPr>
          <w:rFonts w:ascii="Arial" w:cs="Arial" w:eastAsia="Arial" w:hAnsi="Arial"/>
          <w:sz w:val="16"/>
          <w:szCs w:val="16"/>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March 31, 2020 was 7.9%.</w:t>
      </w:r>
    </w:p>
    <w:p>
      <w:pPr>
        <w:spacing w:after="0" w:line="1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The following table presents information as to the amount and timing of cash flows arising from our operating leases as of March 31, 2020:</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1"/>
        </w:trPr>
        <w:tc>
          <w:tcPr>
            <w:tcW w:w="840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840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40" w:type="dxa"/>
            <w:vAlign w:val="bottom"/>
          </w:tcPr>
          <w:p>
            <w:pPr>
              <w:spacing w:after="0"/>
              <w:rPr>
                <w:sz w:val="24"/>
                <w:szCs w:val="24"/>
                <w:color w:val="auto"/>
              </w:rPr>
            </w:pPr>
          </w:p>
        </w:tc>
        <w:tc>
          <w:tcPr>
            <w:tcW w:w="2300" w:type="dxa"/>
            <w:vAlign w:val="bottom"/>
          </w:tcPr>
          <w:p>
            <w:pPr>
              <w:jc w:val="right"/>
              <w:ind w:right="10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39"/>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Remaining of 2020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44,870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54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40,903</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44,870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w:t>
      </w:r>
    </w:p>
    <w:p>
      <w:pPr>
        <w:ind w:right="300" w:firstLine="440"/>
        <w:spacing w:after="0" w:line="233" w:lineRule="auto"/>
        <w:rPr>
          <w:sz w:val="20"/>
          <w:szCs w:val="20"/>
          <w:color w:val="auto"/>
        </w:rPr>
      </w:pPr>
      <w:r>
        <w:rPr>
          <w:rFonts w:ascii="Arial" w:cs="Arial" w:eastAsia="Arial" w:hAnsi="Arial"/>
          <w:sz w:val="18"/>
          <w:szCs w:val="18"/>
          <w:color w:val="auto"/>
        </w:rPr>
        <w:t>Cash paid for amounts included in the present value of operating lease liabilities was $1.8 million for the three months ended March 31, 2020 and included in operating cash flow.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Costs</w:t>
      </w:r>
    </w:p>
    <w:p>
      <w:pPr>
        <w:ind w:right="80" w:firstLine="440"/>
        <w:spacing w:after="0" w:line="233" w:lineRule="auto"/>
        <w:rPr>
          <w:sz w:val="20"/>
          <w:szCs w:val="20"/>
          <w:color w:val="auto"/>
        </w:rPr>
      </w:pPr>
      <w:r>
        <w:rPr>
          <w:rFonts w:ascii="Arial" w:cs="Arial" w:eastAsia="Arial" w:hAnsi="Arial"/>
          <w:sz w:val="18"/>
          <w:szCs w:val="18"/>
          <w:color w:val="auto"/>
        </w:rPr>
        <w:t>Operating lease costs were $1.6 million for both the three months ended March 31, 2020 and 2019, primarily related to our operating leases, but also include immaterial amounts for variable 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6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District Court Proceedings</w:t>
      </w:r>
    </w:p>
    <w:p>
      <w:pPr>
        <w:spacing w:after="0" w:line="63"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On March 15, 2017, we filed a complaint in the U.S. District Court for the District of Delaware against ONT Inc. for patent infringement (C.A. No. 17-cv-275 (“275 Action”)). The complaint is based on our U.S. Patent No. 9,546,400 (the “’400 Patent”), entitled “Nanopore sequencing using n-mers” which covers novel methods for nanopore sequencing of nucleic acid molecules using the signals from multiple monomeric units. This patent was granted on January 17, 2017. We are seeking remedies including injunctive relief, damages and costs. On August 23, 2018, we filed an amended complaint, adding ONT Ltd. as a defendant in the 275 Action. On August 15, 2019, the judge granted our motion to amend the complaint in the 275 Action to add allegations of willful infringement by ONT Inc. and ONT Ltd.</w:t>
      </w:r>
    </w:p>
    <w:p>
      <w:pPr>
        <w:spacing w:after="0" w:line="40" w:lineRule="exact"/>
        <w:rPr>
          <w:sz w:val="20"/>
          <w:szCs w:val="20"/>
          <w:color w:val="auto"/>
        </w:rPr>
      </w:pPr>
    </w:p>
    <w:p>
      <w:pPr>
        <w:ind w:firstLine="440"/>
        <w:spacing w:after="0" w:line="221" w:lineRule="auto"/>
        <w:rPr>
          <w:sz w:val="20"/>
          <w:szCs w:val="20"/>
          <w:color w:val="auto"/>
        </w:rPr>
      </w:pPr>
      <w:r>
        <w:rPr>
          <w:rFonts w:ascii="Arial" w:cs="Arial" w:eastAsia="Arial" w:hAnsi="Arial"/>
          <w:sz w:val="18"/>
          <w:szCs w:val="18"/>
          <w:color w:val="auto"/>
        </w:rPr>
        <w:t>On September 25, 2017, we filed a second complaint in the U.S. District Court for the District of Delaware against ONT Inc. for patent infringement (C.A. No. 17-cv-1353 (“1353 Action”)). The complaint is based on our U.S. Patent No. 9,678,056 (the “’056 Patent”) entitled “Control of Enzyme Translation in Nanopore Sequencing”, granted June 13, 2017, and U.S. Patent No. 9,738,929 (the “’929 Patent”) entitled “Nucleic Acid Sequence Analysis”, granted August 22, 2017. We are seeking remedies including injunctive relief, damages and costs. On March 28, 2018, we added a claim for infringement of our U.S. Patent No. 9,772,323 (the “’323 Patent”), entitled “Nanopore sequencing using n-mers.” On August 23, 2018 we filed an amended complaint, adding ONT Ltd. as a defendant in the 1353 Action. On August 15, 2019, the judge granted our motion to amend the complaint in the 1353 Action to add allegations of willful infringement by ONT Inc. and ONT Ltd.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firstLine="440"/>
        <w:spacing w:after="0" w:line="228" w:lineRule="auto"/>
        <w:rPr>
          <w:sz w:val="20"/>
          <w:szCs w:val="20"/>
          <w:color w:val="auto"/>
        </w:rPr>
      </w:pPr>
      <w:r>
        <w:rPr>
          <w:rFonts w:ascii="Arial" w:cs="Arial" w:eastAsia="Arial" w:hAnsi="Arial"/>
          <w:sz w:val="18"/>
          <w:szCs w:val="18"/>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claim one of the ’056 Patent, written description and indefiniteness. The jury declined to find valid or infringed U.S. Patent No. 9,738,929. We filed post-trial motions with the District Court with respect to the ‘056 Patent, the ‘400 Patent, and the ‘323 Patent, seeking to overturn the validity determinations and requesting a new trial if warranted.</w:t>
      </w:r>
    </w:p>
    <w:p>
      <w:pPr>
        <w:spacing w:after="0" w:line="43" w:lineRule="exact"/>
        <w:rPr>
          <w:sz w:val="20"/>
          <w:szCs w:val="20"/>
          <w:color w:val="auto"/>
        </w:rPr>
      </w:pPr>
    </w:p>
    <w:p>
      <w:pPr>
        <w:ind w:right="180" w:firstLine="440"/>
        <w:spacing w:after="0" w:line="246" w:lineRule="auto"/>
        <w:rPr>
          <w:sz w:val="20"/>
          <w:szCs w:val="20"/>
          <w:color w:val="auto"/>
        </w:rPr>
      </w:pPr>
      <w:r>
        <w:rPr>
          <w:rFonts w:ascii="Arial" w:cs="Arial" w:eastAsia="Arial" w:hAnsi="Arial"/>
          <w:sz w:val="17"/>
          <w:szCs w:val="17"/>
          <w:color w:val="auto"/>
        </w:rPr>
        <w:t>Unrelated to the preceding matters, on September 26, 2019, Personal Genomics of Taiwan, Inc. (“PGI”) filed a complaint in the U.S. District Court for the District of Delaware against us for patent infringement (C.A. No. 19-cv-1810). The complaint is based on PGI’s U.S. Patent No. 7,767,441. We plan to vigorously defend in this matter. On November 20, 2019, we filed our answer to the complaint, denying infringement and seeking a declaratory judgement of invalidity of the ‘441 Patent. A trial for this matter is scheduled to begin on March 14,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Proceedings</w:t>
      </w:r>
    </w:p>
    <w:p>
      <w:pPr>
        <w:spacing w:after="0" w:line="63"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w:t>
      </w:r>
    </w:p>
    <w:p>
      <w:pPr>
        <w:spacing w:after="0" w:line="56" w:lineRule="exact"/>
        <w:rPr>
          <w:sz w:val="20"/>
          <w:szCs w:val="20"/>
          <w:color w:val="auto"/>
        </w:rPr>
      </w:pPr>
    </w:p>
    <w:p>
      <w:pPr>
        <w:ind w:right="40" w:firstLine="440"/>
        <w:spacing w:after="0" w:line="223" w:lineRule="auto"/>
        <w:rPr>
          <w:sz w:val="20"/>
          <w:szCs w:val="20"/>
          <w:color w:val="auto"/>
        </w:rPr>
      </w:pPr>
      <w:r>
        <w:rPr>
          <w:rFonts w:ascii="Arial" w:cs="Arial" w:eastAsia="Arial" w:hAnsi="Arial"/>
          <w:sz w:val="18"/>
          <w:szCs w:val="18"/>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at March 31,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63" w:lineRule="exact"/>
        <w:rPr>
          <w:sz w:val="20"/>
          <w:szCs w:val="20"/>
          <w:color w:val="auto"/>
        </w:rPr>
      </w:pPr>
    </w:p>
    <w:p>
      <w:pPr>
        <w:ind w:right="80" w:firstLine="440"/>
        <w:spacing w:after="0" w:line="246" w:lineRule="auto"/>
        <w:rPr>
          <w:sz w:val="20"/>
          <w:szCs w:val="20"/>
          <w:color w:val="auto"/>
        </w:rPr>
      </w:pPr>
      <w:r>
        <w:rPr>
          <w:rFonts w:ascii="Arial" w:cs="Arial" w:eastAsia="Arial" w:hAnsi="Arial"/>
          <w:sz w:val="17"/>
          <w:szCs w:val="17"/>
          <w:color w:val="auto"/>
        </w:rPr>
        <w:t>As of March 31, 2020, in total, we had three active equity compensation plans: the 2010 Equity Incentive Plan (“2010 Plan”), the 2010 Outside Director Equity Incentive Plan (“2010 Director Plan”) and the 2010 Employee Stock Purchase Plan (“ESPP”). Pursuant to the terms of the then-in-process Merger Agreement, the ESPP was terminated after the completion of the purchase period ended March 1, 2019. After the merger with Illumina was terminated in January 2020, we began offerings under the ESPP again starting with the offering period beginning on March 1,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63"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The following table summarizes stock option activity for all our stock option plans for the three months ended March 31, 2020 (in thousands,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 Outstanding</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4240" w:type="dxa"/>
            <w:vAlign w:val="bottom"/>
          </w:tcPr>
          <w:p>
            <w:pPr>
              <w:spacing w:after="0"/>
              <w:rPr>
                <w:sz w:val="16"/>
                <w:szCs w:val="16"/>
                <w:color w:val="auto"/>
              </w:rPr>
            </w:pPr>
          </w:p>
        </w:tc>
        <w:tc>
          <w:tcPr>
            <w:tcW w:w="1960" w:type="dxa"/>
            <w:vAlign w:val="bottom"/>
          </w:tcPr>
          <w:p>
            <w:pPr>
              <w:ind w:left="7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24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7"/>
              </w:rPr>
              <w:t>exercise price</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December 31, 2019</w:t>
            </w:r>
          </w:p>
        </w:tc>
        <w:tc>
          <w:tcPr>
            <w:tcW w:w="1960" w:type="dxa"/>
            <w:vAlign w:val="bottom"/>
            <w:shd w:val="clear" w:color="auto" w:fill="CCEEFF"/>
          </w:tcPr>
          <w:p>
            <w:pPr>
              <w:jc w:val="center"/>
              <w:ind w:right="95"/>
              <w:spacing w:after="0" w:line="196" w:lineRule="exact"/>
              <w:rPr>
                <w:sz w:val="20"/>
                <w:szCs w:val="20"/>
                <w:color w:val="auto"/>
              </w:rPr>
            </w:pPr>
            <w:r>
              <w:rPr>
                <w:rFonts w:ascii="Arial" w:cs="Arial" w:eastAsia="Arial" w:hAnsi="Arial"/>
                <w:sz w:val="18"/>
                <w:szCs w:val="18"/>
                <w:color w:val="auto"/>
                <w:w w:val="90"/>
              </w:rPr>
              <w:t>22,697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1.16 – 16.00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517"/>
              <w:spacing w:after="0" w:line="196" w:lineRule="exact"/>
              <w:rPr>
                <w:sz w:val="20"/>
                <w:szCs w:val="20"/>
                <w:color w:val="auto"/>
              </w:rPr>
            </w:pPr>
            <w:r>
              <w:rPr>
                <w:rFonts w:ascii="Arial" w:cs="Arial" w:eastAsia="Arial" w:hAnsi="Arial"/>
                <w:sz w:val="18"/>
                <w:szCs w:val="18"/>
                <w:color w:val="auto"/>
              </w:rPr>
              <w:t>5.57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Options granted</w:t>
            </w:r>
          </w:p>
        </w:tc>
        <w:tc>
          <w:tcPr>
            <w:tcW w:w="1960" w:type="dxa"/>
            <w:vAlign w:val="bottom"/>
          </w:tcPr>
          <w:p>
            <w:pPr>
              <w:jc w:val="center"/>
              <w:ind w:right="95"/>
              <w:spacing w:after="0"/>
              <w:rPr>
                <w:sz w:val="20"/>
                <w:szCs w:val="20"/>
                <w:color w:val="auto"/>
              </w:rPr>
            </w:pPr>
            <w:r>
              <w:rPr>
                <w:rFonts w:ascii="Arial" w:cs="Arial" w:eastAsia="Arial" w:hAnsi="Arial"/>
                <w:sz w:val="18"/>
                <w:szCs w:val="18"/>
                <w:color w:val="auto"/>
                <w:w w:val="89"/>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jc w:val="right"/>
              <w:ind w:right="815"/>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2.45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9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 – 4.25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3.00</w:t>
            </w: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canceled</w:t>
            </w:r>
          </w:p>
        </w:tc>
        <w:tc>
          <w:tcPr>
            <w:tcW w:w="1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(980)</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2.54 – 15.77</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jc w:val="right"/>
              <w:ind w:right="517"/>
              <w:spacing w:after="0"/>
              <w:rPr>
                <w:sz w:val="20"/>
                <w:szCs w:val="20"/>
                <w:color w:val="auto"/>
              </w:rPr>
            </w:pPr>
            <w:r>
              <w:rPr>
                <w:rFonts w:ascii="Arial" w:cs="Arial" w:eastAsia="Arial" w:hAnsi="Arial"/>
                <w:sz w:val="18"/>
                <w:szCs w:val="18"/>
                <w:color w:val="auto"/>
              </w:rPr>
              <w:t>7.80</w:t>
            </w:r>
          </w:p>
        </w:tc>
      </w:tr>
      <w:tr>
        <w:trPr>
          <w:trHeight w:val="25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1960" w:type="dxa"/>
            <w:vAlign w:val="bottom"/>
            <w:tcBorders>
              <w:bottom w:val="single" w:sz="8" w:color="auto"/>
            </w:tcBorders>
            <w:shd w:val="clear" w:color="auto" w:fill="CCEEFF"/>
          </w:tcPr>
          <w:p>
            <w:pPr>
              <w:jc w:val="center"/>
              <w:ind w:right="95"/>
              <w:spacing w:after="0"/>
              <w:rPr>
                <w:sz w:val="20"/>
                <w:szCs w:val="20"/>
                <w:color w:val="auto"/>
              </w:rPr>
            </w:pPr>
            <w:r>
              <w:rPr>
                <w:rFonts w:ascii="Arial" w:cs="Arial" w:eastAsia="Arial" w:hAnsi="Arial"/>
                <w:sz w:val="18"/>
                <w:szCs w:val="18"/>
                <w:color w:val="auto"/>
                <w:w w:val="90"/>
              </w:rPr>
              <w:t>21,685</w:t>
            </w:r>
          </w:p>
        </w:tc>
        <w:tc>
          <w:tcPr>
            <w:tcW w:w="540" w:type="dxa"/>
            <w:vAlign w:val="bottom"/>
            <w:tcBorders>
              <w:bottom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1.16 – 16.00</w:t>
            </w:r>
          </w:p>
        </w:tc>
        <w:tc>
          <w:tcPr>
            <w:tcW w:w="640" w:type="dxa"/>
            <w:vAlign w:val="bottom"/>
            <w:tcBorders>
              <w:bottom w:val="single" w:sz="8" w:color="CCEEFF"/>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5.48</w:t>
            </w:r>
          </w:p>
        </w:tc>
      </w:tr>
      <w:tr>
        <w:trPr>
          <w:trHeight w:val="20"/>
        </w:trPr>
        <w:tc>
          <w:tcPr>
            <w:tcW w:w="4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For the three months ended March 31, 2020 and 2019, we recognized compensation expense of $1.7 million and $3.2 million, respectively, related to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or “RSUs”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RSUs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time-based RSUs activity for the three months ended March 31, 2020 (in thousands,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520" w:type="dxa"/>
            <w:vAlign w:val="bottom"/>
          </w:tcPr>
          <w:p>
            <w:pPr>
              <w:ind w:left="50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323"/>
        </w:trPr>
        <w:tc>
          <w:tcPr>
            <w:tcW w:w="69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of shares</w:t>
            </w:r>
          </w:p>
        </w:tc>
        <w:tc>
          <w:tcPr>
            <w:tcW w:w="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2019</w:t>
            </w:r>
          </w:p>
        </w:tc>
        <w:tc>
          <w:tcPr>
            <w:tcW w:w="1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1,086</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RSUs granted</w:t>
            </w:r>
          </w:p>
        </w:tc>
        <w:tc>
          <w:tcPr>
            <w:tcW w:w="1520" w:type="dxa"/>
            <w:vAlign w:val="bottom"/>
          </w:tcPr>
          <w:p>
            <w:pPr>
              <w:ind w:left="480"/>
              <w:spacing w:after="0"/>
              <w:rPr>
                <w:sz w:val="20"/>
                <w:szCs w:val="20"/>
                <w:color w:val="auto"/>
              </w:rPr>
            </w:pPr>
            <w:r>
              <w:rPr>
                <w:rFonts w:ascii="Arial" w:cs="Arial" w:eastAsia="Arial" w:hAnsi="Arial"/>
                <w:sz w:val="18"/>
                <w:szCs w:val="18"/>
                <w:color w:val="auto"/>
              </w:rPr>
              <w:t>4,960</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right"/>
              <w:ind w:right="517"/>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RSUs forfeited</w:t>
            </w:r>
          </w:p>
        </w:tc>
        <w:tc>
          <w:tcPr>
            <w:tcW w:w="1520" w:type="dxa"/>
            <w:vAlign w:val="bottom"/>
            <w:vMerge w:val="restart"/>
          </w:tcPr>
          <w:p>
            <w:pPr>
              <w:ind w:left="50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right"/>
              <w:ind w:right="517"/>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54"/>
        </w:trPr>
        <w:tc>
          <w:tcPr>
            <w:tcW w:w="698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March 31, 2020</w:t>
            </w:r>
          </w:p>
        </w:tc>
        <w:tc>
          <w:tcPr>
            <w:tcW w:w="1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5,081</w:t>
            </w:r>
          </w:p>
        </w:tc>
        <w:tc>
          <w:tcPr>
            <w:tcW w:w="74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For the three months ended March 31, 2020 and 2019, we recognized compensation expense of $2.2 million and $0.7 million, respectively, related to time-based RSUs.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RSUs</w:t>
      </w:r>
    </w:p>
    <w:p>
      <w:pPr>
        <w:spacing w:after="0" w:line="63"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following table summarizes the performance-based RSUs activity for the three months ended March 31, 2020 (in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 average</w:t>
            </w:r>
          </w:p>
        </w:tc>
      </w:tr>
      <w:tr>
        <w:trPr>
          <w:trHeight w:val="270"/>
        </w:trPr>
        <w:tc>
          <w:tcPr>
            <w:tcW w:w="7040" w:type="dxa"/>
            <w:vAlign w:val="bottom"/>
          </w:tcPr>
          <w:p>
            <w:pPr>
              <w:spacing w:after="0"/>
              <w:rPr>
                <w:sz w:val="23"/>
                <w:szCs w:val="23"/>
                <w:color w:val="auto"/>
              </w:rPr>
            </w:pPr>
          </w:p>
        </w:tc>
        <w:tc>
          <w:tcPr>
            <w:tcW w:w="1040" w:type="dxa"/>
            <w:vAlign w:val="bottom"/>
          </w:tcPr>
          <w:p>
            <w:pPr>
              <w:ind w:left="50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grant date</w:t>
            </w:r>
          </w:p>
        </w:tc>
      </w:tr>
      <w:tr>
        <w:trPr>
          <w:trHeight w:val="323"/>
        </w:trPr>
        <w:tc>
          <w:tcPr>
            <w:tcW w:w="70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6"/>
              </w:rPr>
              <w:t>of shares</w:t>
            </w: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7"/>
              </w:rPr>
              <w:t>fair value</w:t>
            </w: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PSUs outstanding at December 31, 2019</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138</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granted</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 released</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forfeited</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PSUs outstanding at March 31, 2020</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138</w:t>
            </w:r>
          </w:p>
        </w:tc>
        <w:tc>
          <w:tcPr>
            <w:tcW w:w="720" w:type="dxa"/>
            <w:vAlign w:val="bottom"/>
            <w:tcBorders>
              <w:top w:val="single" w:sz="8" w:color="CCEEFF"/>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0"/>
        </w:trPr>
        <w:tc>
          <w:tcPr>
            <w:tcW w:w="7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80" w:firstLine="440"/>
        <w:spacing w:after="0" w:line="246" w:lineRule="auto"/>
        <w:rPr>
          <w:sz w:val="20"/>
          <w:szCs w:val="20"/>
          <w:color w:val="auto"/>
        </w:rPr>
      </w:pPr>
      <w:r>
        <w:rPr>
          <w:rFonts w:ascii="Arial" w:cs="Arial" w:eastAsia="Arial" w:hAnsi="Arial"/>
          <w:sz w:val="18"/>
          <w:szCs w:val="18"/>
          <w:color w:val="auto"/>
        </w:rPr>
        <w:t>For the three months ended March 31, 2020 and 2019, we recognized compensation expense of $0 and $7,000, respectively, related to the performance-based RSUs.</w:t>
      </w:r>
    </w:p>
    <w:p>
      <w:pPr>
        <w:spacing w:after="0" w:line="35"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In January 2020, an additional 7.7 million shares and 1.5 million shares, respectively, were reserved under the 2010 Plan and the 2010 Director Plan. As of March 31, 2020, we had an aggregate of 26.4 million shares of common stock reserved and available for future issuance under the 2010 Plan and 2010 Director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shares</w:t>
      </w:r>
    </w:p>
    <w:p>
      <w:pPr>
        <w:spacing w:after="0" w:line="63"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Shares issued under our ESPP were none and 1,306,329 during the three months ended March 31, 2020 and 2019, respectively. In January 2020, an additional 3.1 million shares were reserved under the ESPP. As of March 31, 2020, 6,713,447 shares of our common stock remain available for issuance under our ESPP.</w:t>
      </w:r>
    </w:p>
    <w:p>
      <w:pPr>
        <w:spacing w:after="0" w:line="40" w:lineRule="exact"/>
        <w:rPr>
          <w:sz w:val="20"/>
          <w:szCs w:val="20"/>
          <w:color w:val="auto"/>
        </w:rPr>
      </w:pPr>
    </w:p>
    <w:p>
      <w:pPr>
        <w:ind w:right="200" w:firstLine="440"/>
        <w:spacing w:after="0" w:line="246" w:lineRule="auto"/>
        <w:rPr>
          <w:sz w:val="20"/>
          <w:szCs w:val="20"/>
          <w:color w:val="auto"/>
        </w:rPr>
      </w:pPr>
      <w:r>
        <w:rPr>
          <w:rFonts w:ascii="Arial" w:cs="Arial" w:eastAsia="Arial" w:hAnsi="Arial"/>
          <w:sz w:val="18"/>
          <w:szCs w:val="18"/>
          <w:color w:val="auto"/>
        </w:rPr>
        <w:t>For the three months ended March 31, 2020 and 2019, we recognized compensation expense of $129,000 and $548,000, respectively, related to the ESPP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3" w:lineRule="exact"/>
        <w:rPr>
          <w:sz w:val="20"/>
          <w:szCs w:val="20"/>
          <w:color w:val="auto"/>
        </w:rPr>
      </w:pPr>
    </w:p>
    <w:p>
      <w:pPr>
        <w:ind w:right="56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the three months ended March 31, 2020 and 2019, respectively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4760" w:type="dxa"/>
            <w:vAlign w:val="bottom"/>
          </w:tcPr>
          <w:p>
            <w:pPr>
              <w:spacing w:after="0"/>
              <w:rPr>
                <w:sz w:val="16"/>
                <w:szCs w:val="16"/>
                <w:color w:val="auto"/>
              </w:rPr>
            </w:pPr>
          </w:p>
        </w:tc>
        <w:tc>
          <w:tcPr>
            <w:tcW w:w="268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jc w:val="right"/>
              <w:ind w:right="934"/>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6"/>
                <w:szCs w:val="16"/>
                <w:color w:val="auto"/>
              </w:rPr>
            </w:pPr>
          </w:p>
        </w:tc>
      </w:tr>
      <w:tr>
        <w:trPr>
          <w:trHeight w:val="26"/>
        </w:trPr>
        <w:tc>
          <w:tcPr>
            <w:tcW w:w="47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CCEEFF"/>
          </w:tcPr>
          <w:p>
            <w:pPr>
              <w:spacing w:after="0"/>
              <w:rPr>
                <w:sz w:val="21"/>
                <w:szCs w:val="21"/>
                <w:color w:val="auto"/>
              </w:rPr>
            </w:pPr>
          </w:p>
        </w:tc>
      </w:tr>
      <w:tr>
        <w:trPr>
          <w:trHeight w:val="283"/>
        </w:trPr>
        <w:tc>
          <w:tcPr>
            <w:tcW w:w="4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4"/>
                <w:szCs w:val="24"/>
                <w:color w:val="auto"/>
              </w:rPr>
            </w:pPr>
          </w:p>
        </w:tc>
      </w:tr>
      <w:tr>
        <w:trPr>
          <w:trHeight w:val="27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15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40" w:type="dxa"/>
            <w:vAlign w:val="bottom"/>
            <w:shd w:val="clear" w:color="auto" w:fill="CCEEFF"/>
          </w:tcPr>
          <w:p>
            <w:pPr>
              <w:spacing w:after="0"/>
              <w:rPr>
                <w:sz w:val="23"/>
                <w:szCs w:val="23"/>
                <w:color w:val="auto"/>
              </w:rPr>
            </w:pPr>
          </w:p>
        </w:tc>
      </w:tr>
      <w:tr>
        <w:trPr>
          <w:trHeight w:val="237"/>
        </w:trPr>
        <w:tc>
          <w:tcPr>
            <w:tcW w:w="4760" w:type="dxa"/>
            <w:vAlign w:val="bottom"/>
          </w:tcPr>
          <w:p>
            <w:pPr>
              <w:ind w:left="340"/>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tcPr>
          <w:p>
            <w:pPr>
              <w:spacing w:after="0"/>
              <w:rPr>
                <w:sz w:val="20"/>
                <w:szCs w:val="20"/>
                <w:color w:val="auto"/>
              </w:rPr>
            </w:pPr>
          </w:p>
        </w:tc>
        <w:tc>
          <w:tcPr>
            <w:tcW w:w="1180" w:type="dxa"/>
            <w:vAlign w:val="bottom"/>
            <w:tcBorders>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34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We estimated the fair value of employee stock options on the grant date using the Black-Scholes option pricing model. The estimated fair value of employee stock options is amortized on a straight-line basis over the requisite service period of the awards. We did not grant any stock options for the year ended December 31, 2019 due to the then-in-process merger with Illumina.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8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Stock Option</w:t>
            </w:r>
          </w:p>
        </w:tc>
        <w:tc>
          <w:tcPr>
            <w:tcW w:w="184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gridSpan w:val="3"/>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840" w:type="dxa"/>
            <w:vAlign w:val="bottom"/>
          </w:tcPr>
          <w:p>
            <w:pPr>
              <w:jc w:val="center"/>
              <w:ind w:left="834"/>
              <w:spacing w:after="0"/>
              <w:rPr>
                <w:sz w:val="20"/>
                <w:szCs w:val="20"/>
                <w:color w:val="auto"/>
              </w:rPr>
            </w:pPr>
            <w:r>
              <w:rPr>
                <w:rFonts w:ascii="Arial" w:cs="Arial" w:eastAsia="Arial" w:hAnsi="Arial"/>
                <w:sz w:val="14"/>
                <w:szCs w:val="14"/>
                <w:b w:val="1"/>
                <w:bCs w:val="1"/>
                <w:color w:val="auto"/>
                <w:w w:val="89"/>
              </w:rPr>
              <w:t>2020</w:t>
            </w:r>
          </w:p>
        </w:tc>
        <w:tc>
          <w:tcPr>
            <w:tcW w:w="4400" w:type="dxa"/>
            <w:vAlign w:val="bottom"/>
            <w:gridSpan w:val="3"/>
          </w:tcPr>
          <w:p>
            <w:pPr>
              <w:ind w:left="276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840" w:type="dxa"/>
            <w:vAlign w:val="bottom"/>
            <w:tcBorders>
              <w:top w:val="single" w:sz="8" w:color="auto"/>
            </w:tcBorders>
            <w:shd w:val="clear" w:color="auto" w:fill="CCEEFF"/>
          </w:tcPr>
          <w:p>
            <w:pPr>
              <w:jc w:val="center"/>
              <w:ind w:left="814"/>
              <w:spacing w:after="0" w:line="196" w:lineRule="exact"/>
              <w:rPr>
                <w:sz w:val="20"/>
                <w:szCs w:val="20"/>
                <w:color w:val="auto"/>
              </w:rPr>
            </w:pPr>
            <w:r>
              <w:rPr>
                <w:rFonts w:ascii="Arial" w:cs="Arial" w:eastAsia="Arial" w:hAnsi="Arial"/>
                <w:sz w:val="18"/>
                <w:szCs w:val="18"/>
                <w:color w:val="auto"/>
                <w:w w:val="87"/>
              </w:rPr>
              <w:t>5.1</w:t>
            </w: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ind w:left="136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center"/>
              <w:ind w:left="814"/>
              <w:spacing w:after="0"/>
              <w:rPr>
                <w:sz w:val="20"/>
                <w:szCs w:val="20"/>
                <w:color w:val="auto"/>
              </w:rPr>
            </w:pPr>
            <w:r>
              <w:rPr>
                <w:rFonts w:ascii="Arial" w:cs="Arial" w:eastAsia="Arial" w:hAnsi="Arial"/>
                <w:sz w:val="18"/>
                <w:szCs w:val="18"/>
                <w:color w:val="auto"/>
                <w:w w:val="94"/>
              </w:rPr>
              <w:t>57%</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2"/>
              </w:rPr>
              <w:t>1.2%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1840" w:type="dxa"/>
            <w:vAlign w:val="bottom"/>
          </w:tcPr>
          <w:p>
            <w:pPr>
              <w:ind w:left="1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We estimate the value of employee stock purchase rights on the grant date using the Black-Scholes option pricing model. Pursuant to the terms of the then-in-process merger with Illumina, the ESPP was terminated after the completion of the purchase period ended March 1, 2019 and there were no offerings after March 1, 2019. As such there were no new Black-Scholes calculations performed to calculate the fair value of new purchase rights granted for the year ended December 31, 2019. After the merger with Illumina was terminated in January 2020, we began offerings under the ESPP again starting with the offering period on March 1,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8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49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ESPP</w:t>
            </w:r>
          </w:p>
        </w:tc>
        <w:tc>
          <w:tcPr>
            <w:tcW w:w="20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060" w:type="dxa"/>
            <w:vAlign w:val="bottom"/>
          </w:tcPr>
          <w:p>
            <w:pPr>
              <w:jc w:val="center"/>
              <w:ind w:left="954"/>
              <w:spacing w:after="0"/>
              <w:rPr>
                <w:sz w:val="20"/>
                <w:szCs w:val="20"/>
                <w:color w:val="auto"/>
              </w:rPr>
            </w:pPr>
            <w:r>
              <w:rPr>
                <w:rFonts w:ascii="Arial" w:cs="Arial" w:eastAsia="Arial" w:hAnsi="Arial"/>
                <w:sz w:val="14"/>
                <w:szCs w:val="14"/>
                <w:b w:val="1"/>
                <w:bCs w:val="1"/>
                <w:color w:val="auto"/>
                <w:w w:val="96"/>
              </w:rPr>
              <w:t>2020</w:t>
            </w:r>
          </w:p>
        </w:tc>
        <w:tc>
          <w:tcPr>
            <w:tcW w:w="4280" w:type="dxa"/>
            <w:vAlign w:val="bottom"/>
            <w:gridSpan w:val="3"/>
          </w:tcPr>
          <w:p>
            <w:pPr>
              <w:ind w:left="26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2060" w:type="dxa"/>
            <w:vAlign w:val="bottom"/>
            <w:tcBorders>
              <w:top w:val="single" w:sz="8" w:color="auto"/>
            </w:tcBorders>
            <w:shd w:val="clear" w:color="auto" w:fill="CCEEFF"/>
          </w:tcPr>
          <w:p>
            <w:pPr>
              <w:jc w:val="center"/>
              <w:ind w:left="954"/>
              <w:spacing w:after="0" w:line="196" w:lineRule="exact"/>
              <w:rPr>
                <w:sz w:val="20"/>
                <w:szCs w:val="20"/>
                <w:color w:val="auto"/>
              </w:rPr>
            </w:pPr>
            <w:r>
              <w:rPr>
                <w:rFonts w:ascii="Arial" w:cs="Arial" w:eastAsia="Arial" w:hAnsi="Arial"/>
                <w:sz w:val="18"/>
                <w:szCs w:val="18"/>
                <w:color w:val="auto"/>
                <w:w w:val="89"/>
              </w:rPr>
              <w:t>0.5-2.0</w:t>
            </w: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ind w:left="13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2060" w:type="dxa"/>
            <w:vAlign w:val="bottom"/>
          </w:tcPr>
          <w:p>
            <w:pPr>
              <w:jc w:val="center"/>
              <w:ind w:left="954"/>
              <w:spacing w:after="0"/>
              <w:rPr>
                <w:sz w:val="20"/>
                <w:szCs w:val="20"/>
                <w:color w:val="auto"/>
              </w:rPr>
            </w:pPr>
            <w:r>
              <w:rPr>
                <w:rFonts w:ascii="Arial" w:cs="Arial" w:eastAsia="Arial" w:hAnsi="Arial"/>
                <w:sz w:val="18"/>
                <w:szCs w:val="18"/>
                <w:color w:val="auto"/>
                <w:w w:val="94"/>
              </w:rPr>
              <w:t>57%</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3"/>
              </w:rPr>
              <w:t>0.8%-1.0%</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2060" w:type="dxa"/>
            <w:vAlign w:val="bottom"/>
          </w:tcPr>
          <w:p>
            <w:pPr>
              <w:ind w:left="1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REVENUE</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geographic location for the three months ended March 31, 2020 and 2019 is as follows (in thousands):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8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jc w:val="right"/>
              <w:ind w:right="934"/>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Europe (including the Middle East and Africa)</w:t>
            </w:r>
          </w:p>
        </w:tc>
        <w:tc>
          <w:tcPr>
            <w:tcW w:w="1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3,395</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3,064</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0" w:type="dxa"/>
            <w:vAlign w:val="bottom"/>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15,598</w:t>
            </w:r>
          </w:p>
        </w:tc>
        <w:tc>
          <w:tcPr>
            <w:tcW w:w="160" w:type="dxa"/>
            <w:vAlign w:val="bottom"/>
          </w:tcPr>
          <w:p>
            <w:pPr>
              <w:spacing w:after="0"/>
              <w:rPr>
                <w:sz w:val="24"/>
                <w:szCs w:val="24"/>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16,425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category for the three months ended March 31, 2020 and 2019 is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4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Three Months Ended March 31,</w:t>
            </w:r>
          </w:p>
        </w:tc>
        <w:tc>
          <w:tcPr>
            <w:tcW w:w="1900" w:type="dxa"/>
            <w:vAlign w:val="bottom"/>
          </w:tcPr>
          <w:p>
            <w:pPr>
              <w:spacing w:after="0"/>
              <w:rPr>
                <w:sz w:val="16"/>
                <w:szCs w:val="16"/>
                <w:color w:val="auto"/>
              </w:rPr>
            </w:pPr>
          </w:p>
        </w:tc>
      </w:tr>
      <w:tr>
        <w:trPr>
          <w:trHeight w:val="53"/>
        </w:trPr>
        <w:tc>
          <w:tcPr>
            <w:tcW w:w="35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11"/>
        </w:trPr>
        <w:tc>
          <w:tcPr>
            <w:tcW w:w="3560" w:type="dxa"/>
            <w:vAlign w:val="bottom"/>
          </w:tcPr>
          <w:p>
            <w:pPr>
              <w:spacing w:after="0"/>
              <w:rPr>
                <w:sz w:val="18"/>
                <w:szCs w:val="18"/>
                <w:color w:val="auto"/>
              </w:rPr>
            </w:pPr>
          </w:p>
        </w:tc>
        <w:tc>
          <w:tcPr>
            <w:tcW w:w="3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ind w:right="1253"/>
              <w:spacing w:after="0"/>
              <w:rPr>
                <w:sz w:val="20"/>
                <w:szCs w:val="20"/>
                <w:color w:val="auto"/>
              </w:rPr>
            </w:pPr>
            <w:r>
              <w:rPr>
                <w:rFonts w:ascii="Arial" w:cs="Arial" w:eastAsia="Arial" w:hAnsi="Arial"/>
                <w:sz w:val="14"/>
                <w:szCs w:val="14"/>
                <w:b w:val="1"/>
                <w:bCs w:val="1"/>
                <w:color w:val="auto"/>
              </w:rPr>
              <w:t>2019</w:t>
            </w:r>
          </w:p>
        </w:tc>
      </w:tr>
      <w:tr>
        <w:trPr>
          <w:trHeight w:val="39"/>
        </w:trPr>
        <w:tc>
          <w:tcPr>
            <w:tcW w:w="356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Instrument revenue</w:t>
            </w:r>
          </w:p>
        </w:tc>
        <w:tc>
          <w:tcPr>
            <w:tcW w:w="14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r>
      <w:tr>
        <w:trPr>
          <w:trHeight w:val="270"/>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Consumable revenue</w:t>
            </w:r>
          </w:p>
        </w:tc>
        <w:tc>
          <w:tcPr>
            <w:tcW w:w="14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54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r>
      <w:tr>
        <w:trPr>
          <w:trHeight w:val="250"/>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4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r>
      <w:tr>
        <w:trPr>
          <w:trHeight w:val="270"/>
        </w:trPr>
        <w:tc>
          <w:tcPr>
            <w:tcW w:w="3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Service and other revenue</w:t>
            </w:r>
          </w:p>
        </w:tc>
        <w:tc>
          <w:tcPr>
            <w:tcW w:w="14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54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36"/>
        </w:trPr>
        <w:tc>
          <w:tcPr>
            <w:tcW w:w="3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w:t>
            </w: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2019. Some of the information contained in this discussion and analysis or set forth elsewhere in this report, including statements related to our expectations regarding the potential impacts of the COVID-19 pandemic on our business, financial condition, and results of operations, and information with respect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Merger with Illumina, Inc.</w:t>
      </w:r>
    </w:p>
    <w:p>
      <w:pPr>
        <w:spacing w:after="0" w:line="67" w:lineRule="exact"/>
        <w:rPr>
          <w:sz w:val="20"/>
          <w:szCs w:val="20"/>
          <w:color w:val="auto"/>
        </w:rPr>
      </w:pPr>
    </w:p>
    <w:p>
      <w:pPr>
        <w:ind w:right="220" w:firstLine="440"/>
        <w:spacing w:after="0" w:line="235" w:lineRule="auto"/>
        <w:rPr>
          <w:sz w:val="20"/>
          <w:szCs w:val="20"/>
          <w:color w:val="auto"/>
        </w:rPr>
      </w:pPr>
      <w:r>
        <w:rPr>
          <w:rFonts w:ascii="Arial" w:cs="Arial" w:eastAsia="Arial" w:hAnsi="Arial"/>
          <w:sz w:val="18"/>
          <w:szCs w:val="18"/>
          <w:color w:val="auto"/>
        </w:rPr>
        <w:t>On January 2, 2020, we, Illumina and Merger Subsidiary entered into the Termination Agreement. As part of the Termination Agreement, Illumina paid us a $98.0 million Reverse Termination Fee, from which we paid our financial advisor associated fees of $6 million in April 2020. In addition, Illumina paid us the final Continuation Advances of $34 million during the first quarter of 2020.</w:t>
      </w:r>
    </w:p>
    <w:p>
      <w:pPr>
        <w:spacing w:after="0" w:line="40"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However, pursuant to the Termination Agreement, in the event that, on or prior to September 30, 2020, we enter into a definitive agreement providing for, or consummate, a Change of Control Transaction (as defined in the Termination Agreement),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w:t>
      </w:r>
    </w:p>
    <w:p>
      <w:pPr>
        <w:spacing w:after="0" w:line="43"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In addition, up to the $52.0 million of Continuation Advances paid to us are repayable without interest to Illumina if, within two years of March 31, 2020, we enter into a Change of Control Transaction or raise at least $100 million in equity in a single transaction or debt financing (that may have multiple closings), with the amount repayable dependent on the amount raised by us.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67" w:lineRule="exact"/>
        <w:rPr>
          <w:sz w:val="20"/>
          <w:szCs w:val="20"/>
          <w:color w:val="auto"/>
        </w:rPr>
      </w:pPr>
    </w:p>
    <w:p>
      <w:pPr>
        <w:ind w:right="160" w:firstLine="440"/>
        <w:spacing w:after="0" w:line="225" w:lineRule="auto"/>
        <w:rPr>
          <w:sz w:val="20"/>
          <w:szCs w:val="20"/>
          <w:color w:val="auto"/>
        </w:rPr>
      </w:pPr>
      <w:r>
        <w:rPr>
          <w:rFonts w:ascii="Arial" w:cs="Arial" w:eastAsia="Arial" w:hAnsi="Arial"/>
          <w:sz w:val="18"/>
          <w:szCs w:val="18"/>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right="500" w:firstLine="440"/>
        <w:spacing w:after="0" w:line="235" w:lineRule="auto"/>
        <w:rPr>
          <w:sz w:val="20"/>
          <w:szCs w:val="20"/>
          <w:color w:val="auto"/>
        </w:rPr>
      </w:pPr>
      <w:r>
        <w:rPr>
          <w:rFonts w:ascii="Arial" w:cs="Arial" w:eastAsia="Arial" w:hAnsi="Arial"/>
          <w:sz w:val="18"/>
          <w:szCs w:val="18"/>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w:t>
      </w:r>
    </w:p>
    <w:p>
      <w:pPr>
        <w:spacing w:after="0" w:line="4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6"/>
          <w:szCs w:val="16"/>
          <w:color w:val="auto"/>
        </w:rPr>
        <w:t>The COVID-19 pandemic and efforts to control its spread have significantly curtailed the movement of people, goods, and services worldwide, including in the regions in which we sell our products and services and conduct our business operations. Our first quarter 2020 financial results were impacted negatively as our customers in multiple regions around the suspended their normal operations in efforts to curb the spread of the COVID-19 pandemic. In particular, multiple customers postponed deliveries of our systems they had ordered previously, resulting in lower instrument revenues for the first quarter of 2020 as compared to the first quarter of 2019. We cannot be certain when or if these customers will eventually take delivery of their systems. Additionally, as of the end of April 2020, normal operations at a majority of our customers with PacBio systems continued to be suspended. As a result, it is likely that our consumable revenues will decline from the levels we experienced in the first quarter of 2020. We cannot reliably estimate the size and duration of the negative impact to our sales and results of operations that will result from the COVID-19 pandemic.</w:t>
      </w:r>
    </w:p>
    <w:p>
      <w:pPr>
        <w:spacing w:after="0" w:line="29" w:lineRule="exact"/>
        <w:rPr>
          <w:sz w:val="20"/>
          <w:szCs w:val="20"/>
          <w:color w:val="auto"/>
        </w:rPr>
      </w:pPr>
    </w:p>
    <w:p>
      <w:pPr>
        <w:ind w:right="400" w:firstLine="440"/>
        <w:spacing w:after="0" w:line="266" w:lineRule="auto"/>
        <w:rPr>
          <w:sz w:val="20"/>
          <w:szCs w:val="20"/>
          <w:color w:val="auto"/>
        </w:rPr>
      </w:pPr>
      <w:r>
        <w:rPr>
          <w:rFonts w:ascii="Arial" w:cs="Arial" w:eastAsia="Arial" w:hAnsi="Arial"/>
          <w:sz w:val="16"/>
          <w:szCs w:val="16"/>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working on COVID-19 and other high-priority research needs. To aid in containing the spread of COVID-19, we have implemented remote-work options and are limiting employee travel as much as possible. We are monitoring this rapidly evolving situation.</w:t>
      </w:r>
    </w:p>
    <w:p>
      <w:pPr>
        <w:spacing w:after="0" w:line="21" w:lineRule="exact"/>
        <w:rPr>
          <w:sz w:val="20"/>
          <w:szCs w:val="20"/>
          <w:color w:val="auto"/>
        </w:rPr>
      </w:pPr>
    </w:p>
    <w:p>
      <w:pPr>
        <w:ind w:firstLine="440"/>
        <w:spacing w:after="0" w:line="256"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80" w:firstLine="440"/>
        <w:spacing w:after="0"/>
        <w:rPr>
          <w:sz w:val="20"/>
          <w:szCs w:val="20"/>
          <w:color w:val="auto"/>
        </w:rPr>
      </w:pPr>
      <w:r>
        <w:rPr>
          <w:rFonts w:ascii="Arial" w:cs="Arial" w:eastAsia="Arial" w:hAnsi="Arial"/>
          <w:sz w:val="17"/>
          <w:szCs w:val="17"/>
          <w:color w:val="auto"/>
        </w:rPr>
        <w:t>The discussion and analysis of our financial condition and results of operations are based upon our unaudited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right="360" w:firstLine="402"/>
        <w:spacing w:after="0" w:line="235" w:lineRule="auto"/>
        <w:rPr>
          <w:sz w:val="20"/>
          <w:szCs w:val="20"/>
          <w:color w:val="auto"/>
        </w:rPr>
      </w:pPr>
      <w:r>
        <w:rPr>
          <w:rFonts w:ascii="Arial" w:cs="Arial" w:eastAsia="Arial" w:hAnsi="Arial"/>
          <w:sz w:val="18"/>
          <w:szCs w:val="18"/>
          <w:color w:val="auto"/>
        </w:rPr>
        <w:t xml:space="preserve">We adopted ASU 2016-13 </w:t>
      </w:r>
      <w:r>
        <w:rPr>
          <w:rFonts w:ascii="Arial" w:cs="Arial" w:eastAsia="Arial" w:hAnsi="Arial"/>
          <w:sz w:val="18"/>
          <w:szCs w:val="18"/>
          <w:i w:val="1"/>
          <w:iCs w:val="1"/>
          <w:color w:val="auto"/>
        </w:rPr>
        <w:t>Financial Instruments - Credit Losses (Topic 326): Measurement of Credit Losses on Financial Instruments loss</w:t>
      </w:r>
      <w:r>
        <w:rPr>
          <w:rFonts w:ascii="Arial" w:cs="Arial" w:eastAsia="Arial" w:hAnsi="Arial"/>
          <w:sz w:val="18"/>
          <w:szCs w:val="18"/>
          <w:color w:val="auto"/>
        </w:rPr>
        <w:t xml:space="preserve"> on January 1, 2020, using the modified retrospective method. Please see “Recently Adopted Accounting Standards” in the </w:t>
      </w:r>
      <w:r>
        <w:rPr>
          <w:rFonts w:ascii="Arial" w:cs="Arial" w:eastAsia="Arial" w:hAnsi="Arial"/>
          <w:sz w:val="18"/>
          <w:szCs w:val="18"/>
          <w:i w:val="1"/>
          <w:iCs w:val="1"/>
          <w:color w:val="auto"/>
        </w:rPr>
        <w:t>Note 3.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Item 1. Financial Statements.</w:t>
      </w:r>
    </w:p>
    <w:p>
      <w:pPr>
        <w:spacing w:after="0" w:line="40" w:lineRule="exact"/>
        <w:rPr>
          <w:sz w:val="20"/>
          <w:szCs w:val="20"/>
          <w:color w:val="auto"/>
        </w:rPr>
      </w:pPr>
    </w:p>
    <w:p>
      <w:pPr>
        <w:ind w:right="220" w:firstLine="402"/>
        <w:spacing w:after="0" w:line="246" w:lineRule="auto"/>
        <w:rPr>
          <w:sz w:val="20"/>
          <w:szCs w:val="20"/>
          <w:color w:val="auto"/>
        </w:rPr>
      </w:pPr>
      <w:r>
        <w:rPr>
          <w:rFonts w:ascii="Arial" w:cs="Arial" w:eastAsia="Arial" w:hAnsi="Arial"/>
          <w:sz w:val="18"/>
          <w:szCs w:val="18"/>
          <w:color w:val="auto"/>
        </w:rPr>
        <w:t>Except as noted above, there have been no other material changes to our significant accounting policies as discussed in our Annual Report on Form 10-K for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2020 and 2019</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2460" w:type="dxa"/>
            <w:vAlign w:val="bottom"/>
            <w:vMerge w:val="restart"/>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center"/>
              <w:ind w:left="713"/>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420"/>
              <w:spacing w:after="0"/>
              <w:rPr>
                <w:sz w:val="20"/>
                <w:szCs w:val="20"/>
                <w:color w:val="auto"/>
              </w:rPr>
            </w:pPr>
            <w:r>
              <w:rPr>
                <w:rFonts w:ascii="Arial" w:cs="Arial" w:eastAsia="Arial" w:hAnsi="Arial"/>
                <w:sz w:val="18"/>
                <w:szCs w:val="18"/>
                <w:color w:val="auto"/>
              </w:rPr>
              <w:t>Product revenue</w:t>
            </w:r>
          </w:p>
        </w:tc>
        <w:tc>
          <w:tcPr>
            <w:tcW w:w="8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20"/>
                <w:szCs w:val="20"/>
                <w:color w:val="auto"/>
              </w:rPr>
            </w:pPr>
          </w:p>
        </w:tc>
        <w:tc>
          <w:tcPr>
            <w:tcW w:w="480" w:type="dxa"/>
            <w:vAlign w:val="bottom"/>
            <w:gridSpan w:val="2"/>
          </w:tcPr>
          <w:p>
            <w:pPr>
              <w:jc w:val="center"/>
              <w:ind w:right="32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13,457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and other revenue</w:t>
            </w:r>
          </w:p>
        </w:tc>
        <w:tc>
          <w:tcPr>
            <w:tcW w:w="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revenue</w:t>
            </w:r>
          </w:p>
        </w:tc>
        <w:tc>
          <w:tcPr>
            <w:tcW w:w="6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(827)</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420"/>
              <w:spacing w:after="0"/>
              <w:rPr>
                <w:sz w:val="20"/>
                <w:szCs w:val="20"/>
                <w:color w:val="auto"/>
              </w:rPr>
            </w:pPr>
            <w:r>
              <w:rPr>
                <w:rFonts w:ascii="Arial" w:cs="Arial" w:eastAsia="Arial" w:hAnsi="Arial"/>
                <w:sz w:val="18"/>
                <w:szCs w:val="18"/>
                <w:color w:val="auto"/>
              </w:rPr>
              <w:t>Cost of product revenue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6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(3,198)</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560" w:type="dxa"/>
            <w:vAlign w:val="bottom"/>
            <w:gridSpan w:val="2"/>
            <w:shd w:val="clear" w:color="auto" w:fill="CCEEFF"/>
          </w:tcPr>
          <w:p>
            <w:pPr>
              <w:ind w:left="1200"/>
              <w:spacing w:after="0" w:line="196" w:lineRule="exact"/>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Sales, general and administrative</w:t>
            </w: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56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(32,709)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(30,134)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(2,575)</w:t>
            </w: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from Continuation Advances from Illumina</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4560" w:type="dxa"/>
            <w:vAlign w:val="bottom"/>
            <w:gridSpan w:val="2"/>
          </w:tcPr>
          <w:p>
            <w:pPr>
              <w:spacing w:after="0" w:line="182" w:lineRule="exact"/>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(30,324)</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31,586</w:t>
            </w:r>
          </w:p>
        </w:tc>
        <w:tc>
          <w:tcPr>
            <w:tcW w:w="1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three months ended March 31, 2020 was $15.6 million, compared to $16.4 million for the same period during 2019.</w:t>
      </w:r>
    </w:p>
    <w:p>
      <w:pPr>
        <w:spacing w:after="0" w:line="75"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Product revenue of $12.3 million for the three months ended March 31, 2020 consisted of $4.0 million from sales of Sequel and Sequel II instruments and $8.3 million from sales of consumables, compared to total product revenue of $13.5 million for the same period during 2019, consisting of $5.6 million from sales of Sequel instruments and $7.9 million from sales of consumables. The decrease in instrument sales was primarily attributable to a lower number of instrument shipments and installations attributed due to COVID-19 as discussed above. The increase in consumable sales was primarily attributable to utilization from a larger installed base of instruments.</w:t>
      </w:r>
    </w:p>
    <w:p>
      <w:pPr>
        <w:spacing w:after="0" w:line="43" w:lineRule="exact"/>
        <w:rPr>
          <w:sz w:val="20"/>
          <w:szCs w:val="20"/>
          <w:color w:val="auto"/>
        </w:rPr>
      </w:pPr>
    </w:p>
    <w:p>
      <w:pPr>
        <w:ind w:right="40" w:firstLine="485"/>
        <w:spacing w:after="0" w:line="235" w:lineRule="auto"/>
        <w:rPr>
          <w:sz w:val="20"/>
          <w:szCs w:val="20"/>
          <w:color w:val="auto"/>
        </w:rPr>
      </w:pPr>
      <w:r>
        <w:rPr>
          <w:rFonts w:ascii="Arial" w:cs="Arial" w:eastAsia="Arial" w:hAnsi="Arial"/>
          <w:sz w:val="18"/>
          <w:szCs w:val="18"/>
          <w:color w:val="auto"/>
        </w:rPr>
        <w:t>Service and other revenue of $3.3 million and $3.0 million for the three months ended March 31, 2020 and 2019, respectively, was primarily derived from product maintenance agreements sold on our installed instruments. The increase in service and other revenue was primarily attributable to a larger number of installed instruments under service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Cost of product revenue was $5.4 million for the three months ended March 31, 2020, compared to cost of product revenue of $8.6 million for the same period during 2019. Cost of service and other revenue for the three months ended March 31, 2020 was $2.7 million, compared to $2.7 million for the same period during 2019.</w:t>
      </w:r>
    </w:p>
    <w:p>
      <w:pPr>
        <w:spacing w:after="0" w:line="40"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Gross profit for the three months ended March 31, 2020 was $7.5 million, resulting in a gross margin of 48.0%, compared to gross profit of $5.1 million, resulting in a gross margin of 31.2% for the same period during 2019. Gross margin improved for the three months ended March 31, 2020 compared to the same period in 2019 primarily due to low margins for the three months ended March 31, 2019. Gross margin of 31.2% for the three months ended March 31, 2019 was negatively impacted by approximately $1.0 million of product transition costs, including an inventory reserve taken relating to an updated forecast of a faster transition from Sequel to Sequel II instrument sales. In addition, gross margin for the three months ended March 31, 2020 benefited from higher output and factory utilization compared with the three months ended March 31, 2019. However, since the middle of March, we have significantly reduced our manufacturing output, leading to idle capacity. As a result, we expect our gross margin to decrease significantly until we return to normal capacity, the timing of which we cannot reliably estimate due to the effects of COVID-19.</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During the three months ended March 31, 2020, research and development expense decreased by $0.2 million, or 2%, compared to the same period during 2019. Research and development expense included stock-based compensation expense of $1.8 million and $2.0 million during the three months ended March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right="140" w:firstLine="440"/>
        <w:spacing w:after="0" w:line="227" w:lineRule="auto"/>
        <w:rPr>
          <w:sz w:val="20"/>
          <w:szCs w:val="20"/>
          <w:color w:val="auto"/>
        </w:rPr>
      </w:pPr>
      <w:r>
        <w:rPr>
          <w:rFonts w:ascii="Arial" w:cs="Arial" w:eastAsia="Arial" w:hAnsi="Arial"/>
          <w:sz w:val="18"/>
          <w:szCs w:val="18"/>
          <w:color w:val="auto"/>
        </w:rPr>
        <w:t>During the three months ended March 31, 2020, sales, general and administrative expense increased by $5.2 million, or 26%, compared to the same period during 2019. The increase in sales, general and administrative expense was primarily attributable to the financial advisory fee of $6.0 million associated with the terminated merger with Illumina and $3.7 million associated with higher patent litigation expenses, partially offset by a $5.1 million reduction in merger related expenses incurred during the three months ended March 31, 2020 as compared to the three months ended March 31, 2019. Sales, general and administrative expense included stock-based compensation expense of $1.7 million and $1.9 million during the three months ended March 31, 2020 and 2019, respectively.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Gain from Continuation Advances from Illumina</w:t>
      </w:r>
    </w:p>
    <w:p>
      <w:pPr>
        <w:spacing w:after="0" w:line="63" w:lineRule="exact"/>
        <w:rPr>
          <w:sz w:val="20"/>
          <w:szCs w:val="20"/>
          <w:color w:val="auto"/>
        </w:rPr>
      </w:pPr>
    </w:p>
    <w:p>
      <w:pPr>
        <w:ind w:right="240" w:firstLine="440"/>
        <w:spacing w:after="0" w:line="246" w:lineRule="auto"/>
        <w:rPr>
          <w:sz w:val="20"/>
          <w:szCs w:val="20"/>
          <w:color w:val="auto"/>
        </w:rPr>
      </w:pPr>
      <w:r>
        <w:rPr>
          <w:rFonts w:ascii="Arial" w:cs="Arial" w:eastAsia="Arial" w:hAnsi="Arial"/>
          <w:sz w:val="18"/>
          <w:szCs w:val="18"/>
          <w:color w:val="auto"/>
        </w:rPr>
        <w:t>In accordance with the terms of the Merger Agreement, during the first quarter of 2020 we received Continuation Advances totaling $34.0 million from Illumina, which resulted in a non-operating gain of $34.0 million.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20" w:firstLine="440"/>
        <w:spacing w:after="0" w:line="291" w:lineRule="auto"/>
        <w:rPr>
          <w:sz w:val="20"/>
          <w:szCs w:val="20"/>
          <w:color w:val="auto"/>
        </w:rPr>
      </w:pPr>
      <w:r>
        <w:rPr>
          <w:rFonts w:ascii="Arial" w:cs="Arial" w:eastAsia="Arial" w:hAnsi="Arial"/>
          <w:sz w:val="17"/>
          <w:szCs w:val="17"/>
          <w:color w:val="auto"/>
        </w:rPr>
        <w:t>Interest expense for the three months ended March 31, 2020 decreased compared to the same period in 2019. Interest expense related primarily to the debt agreement with Deerfield entered into in February 2013 (the “Facility Agreement”) which matured in February 2020.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63" w:lineRule="exact"/>
        <w:rPr>
          <w:sz w:val="20"/>
          <w:szCs w:val="20"/>
          <w:color w:val="auto"/>
        </w:rPr>
      </w:pPr>
    </w:p>
    <w:p>
      <w:pPr>
        <w:ind w:right="120" w:firstLine="570"/>
        <w:spacing w:after="0"/>
        <w:rPr>
          <w:sz w:val="20"/>
          <w:szCs w:val="20"/>
          <w:color w:val="auto"/>
        </w:rPr>
      </w:pPr>
      <w:r>
        <w:rPr>
          <w:rFonts w:ascii="Arial" w:cs="Arial" w:eastAsia="Arial" w:hAnsi="Arial"/>
          <w:sz w:val="17"/>
          <w:szCs w:val="17"/>
          <w:color w:val="auto"/>
        </w:rPr>
        <w:t>Cash, cash equivalents and investments at March 31, 2020 totaled $142.6 million, compared to $49.1 million at December 31, 2019. The increase was attributable to the Reverse Termination Fee and Continuation Advances we received from Illumina partially offset by cash used in operations. We believe that our existing cash, cash equivalents and investments will be sufficient to fund our projected operating requirements for at least the next 12 months from the filing date of the Quarterly Report on Form 10-Q for the quarter ended March 31, 2020. However, the potential economic or other disruptions caused by the COVID-19 pandemic could have a material adverse effect on our business, results of operations and liquidity. We will continue to monitor our operating expenses and cash flows in response to the evolving market conditions.</w:t>
      </w:r>
    </w:p>
    <w:p>
      <w:pPr>
        <w:spacing w:after="0" w:line="42" w:lineRule="exact"/>
        <w:rPr>
          <w:sz w:val="20"/>
          <w:szCs w:val="20"/>
          <w:color w:val="auto"/>
        </w:rPr>
      </w:pPr>
    </w:p>
    <w:p>
      <w:pPr>
        <w:ind w:right="20" w:firstLine="615"/>
        <w:spacing w:after="0" w:line="235" w:lineRule="auto"/>
        <w:rPr>
          <w:sz w:val="20"/>
          <w:szCs w:val="20"/>
          <w:color w:val="auto"/>
        </w:rPr>
      </w:pPr>
      <w:r>
        <w:rPr>
          <w:rFonts w:ascii="Arial" w:cs="Arial" w:eastAsia="Arial" w:hAnsi="Arial"/>
          <w:sz w:val="17"/>
          <w:szCs w:val="17"/>
          <w:color w:val="auto"/>
        </w:rPr>
        <w:t>On January 2, 2020, we and Illumina mutually agreed to terminate the Merger Agreement. As part of the Termination Agreement, Illumina paid us the Reverse Termination Fee of $98.0 million from which we paid our financial advisor associated fees of $6.0 million. In addition, Illumina paid us the additional Continuation Advances of $6.0 million in January 2020 and $22.0 million in February 2020 and made the last Continuation Advance payment to us of $6.0 million in March 2020. Pursuant to the Termination Agreement, in the event that, on or prior to September 30, 2020, we enter into a definitive agreement providing for, or consummate, a Change of Control Transaction, then we may be required to repay the Reverse Termination Fee (without interest) to Illumina in connection with the consummation of such Change of Control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Transaction. If such Change of Control Transaction is not entered into on or prior to September 30, 2020 or if such change of control transaction is entered into on or prior to September 30, 2020 but is not consummated by the two-year anniversary of the execution of the definitive agreement for such Change of Control Transaction, then we will not be required to repay the Reverse Termination Fee. In addition, up to $52.0 million of the Continuation Advances that we received are repayable without interest to Illumina if, within two years of March 31, 2020, we enter into, or consummate a Change of Control Transaction or raise at least $100 million in equity in a single transaction or debt financing (may have multiple closings), with the amount repayable dependent on the amount raised by us. If we are required to repay the Termination Fee or the Continuation Advances, we may not be able to fund our projected operating requirements for at least twelve months from the date of filing this Quarterly Report.</w:t>
      </w:r>
    </w:p>
    <w:p>
      <w:pPr>
        <w:spacing w:after="0" w:line="41" w:lineRule="exact"/>
        <w:rPr>
          <w:sz w:val="20"/>
          <w:szCs w:val="20"/>
          <w:color w:val="auto"/>
        </w:rPr>
      </w:pPr>
    </w:p>
    <w:p>
      <w:pPr>
        <w:ind w:right="20" w:firstLine="570"/>
        <w:spacing w:after="0" w:line="261" w:lineRule="auto"/>
        <w:rPr>
          <w:sz w:val="20"/>
          <w:szCs w:val="20"/>
          <w:color w:val="auto"/>
        </w:rPr>
      </w:pPr>
      <w:r>
        <w:rPr>
          <w:rFonts w:ascii="Arial" w:cs="Arial" w:eastAsia="Arial" w:hAnsi="Arial"/>
          <w:sz w:val="16"/>
          <w:szCs w:val="16"/>
          <w:color w:val="auto"/>
        </w:rPr>
        <w:t>Factors that may affect our capital needs include, but are not limited to, whether we will have to repay the Reverse Termination Fee or Continuation Advances;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and other factors.</w:t>
      </w:r>
    </w:p>
    <w:p>
      <w:pPr>
        <w:spacing w:after="0" w:line="26" w:lineRule="exact"/>
        <w:rPr>
          <w:sz w:val="20"/>
          <w:szCs w:val="20"/>
          <w:color w:val="auto"/>
        </w:rPr>
      </w:pPr>
    </w:p>
    <w:p>
      <w:pPr>
        <w:ind w:right="40" w:firstLine="570"/>
        <w:spacing w:after="0" w:line="237" w:lineRule="auto"/>
        <w:rPr>
          <w:sz w:val="20"/>
          <w:szCs w:val="20"/>
          <w:color w:val="auto"/>
        </w:rPr>
      </w:pPr>
      <w:r>
        <w:rPr>
          <w:rFonts w:ascii="Arial" w:cs="Arial" w:eastAsia="Arial" w:hAnsi="Arial"/>
          <w:sz w:val="17"/>
          <w:szCs w:val="17"/>
          <w:color w:val="auto"/>
        </w:rPr>
        <w:t>We may raise additional capital in the future. To the extent that we raise additional funds through the sale of equity or convertible debt, the issuance of such securities will result in dilution to our stockholders. There can be no assurance that such funds will be available on favorable terms, or at all, particularly in light of restrictions under the Termination Agreement. If adequate funds are not available, we may be required to obtain funds by entering into collaboration, licensing or debt agreements on unfavorable terms. If we are unable to raise funds on favorable terms, or at all, we may have to reduce our cash burn rate and may not be able to support our commercialization efforts, or to increase or maintain the level of our research and development activities. 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cease operations.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63" w:lineRule="exact"/>
        <w:rPr>
          <w:sz w:val="20"/>
          <w:szCs w:val="20"/>
          <w:color w:val="auto"/>
        </w:rPr>
      </w:pPr>
    </w:p>
    <w:p>
      <w:pPr>
        <w:ind w:right="60" w:firstLine="570"/>
        <w:spacing w:after="0" w:line="246" w:lineRule="auto"/>
        <w:rPr>
          <w:sz w:val="20"/>
          <w:szCs w:val="20"/>
          <w:color w:val="auto"/>
        </w:rPr>
      </w:pPr>
      <w:r>
        <w:rPr>
          <w:rFonts w:ascii="Arial" w:cs="Arial" w:eastAsia="Arial" w:hAnsi="Arial"/>
          <w:sz w:val="18"/>
          <w:szCs w:val="18"/>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16"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We had $75.4 million of cash provided from operating activities for the three months ended March 31, 2020, compared to cash usage of $25.3 million from operating activities for the same period in 2019.</w:t>
      </w:r>
    </w:p>
    <w:p>
      <w:pPr>
        <w:spacing w:after="0" w:line="116"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Cash provided by operating activities for the three months ended March 31, 2020 was due to the $98.0 million Reverse Termination Fee received from Illumina and a net income of $1.3 million plus changes in net operating assets and liabilities, offset by a gain from Continuation Advances from Illumina of $34.0 million that is considered to be a financing activity, and non-cash items such as stock-based compensation of $4.0 million and depreciation of $1.7 million. The change in net operating assets and liabilities was primarily attributed a decrease of $7.9 million in accounts receivable and an increase of accrued liabilities of $4.7 million, partially offset by a decrease of $4.1 million in accounts payable and an increase of $3.3 million in inventory.</w:t>
      </w:r>
    </w:p>
    <w:p>
      <w:pPr>
        <w:spacing w:after="0" w:line="121" w:lineRule="exact"/>
        <w:rPr>
          <w:sz w:val="20"/>
          <w:szCs w:val="20"/>
          <w:color w:val="auto"/>
        </w:rPr>
      </w:pPr>
    </w:p>
    <w:p>
      <w:pPr>
        <w:ind w:right="240" w:firstLine="440"/>
        <w:spacing w:after="0" w:line="253" w:lineRule="auto"/>
        <w:rPr>
          <w:sz w:val="20"/>
          <w:szCs w:val="20"/>
          <w:color w:val="auto"/>
        </w:rPr>
      </w:pPr>
      <w:r>
        <w:rPr>
          <w:rFonts w:ascii="Arial" w:cs="Arial" w:eastAsia="Arial" w:hAnsi="Arial"/>
          <w:sz w:val="17"/>
          <w:szCs w:val="17"/>
          <w:color w:val="auto"/>
        </w:rPr>
        <w:t>Cash used in operating activities for the three months ended March 31, 2019 was due primarily to a net loss of $30.3 million, offset by non-cash items such as stock-based compensation of $4.4 million and depreciation of $1.8 million. The change in net operating assets and liabilities was primarily attributed to an increase of $2.1 million in accounts payable, partially offset by an increase of $1.9 million in inventory.</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44"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Our investing activities consist primarily of capital expenditures and investment purchases, sales and maturities. We used $54.3 million of cash for investing activities for the three months ended March 31, 2020, compared to receiving cash of $38.0 million from investing activities for the same period in 2019.</w:t>
      </w:r>
    </w:p>
    <w:p>
      <w:pPr>
        <w:spacing w:after="0" w:line="121"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Cash used in investing activities for the three months ended March 31, 2020 was due primarily to net purchases of investments of $54.2 million and purchases of property and equipment of $0.1 million.</w:t>
      </w:r>
    </w:p>
    <w:p>
      <w:pPr>
        <w:spacing w:after="0" w:line="35" w:lineRule="exact"/>
        <w:rPr>
          <w:sz w:val="20"/>
          <w:szCs w:val="20"/>
          <w:color w:val="auto"/>
        </w:rPr>
      </w:pPr>
    </w:p>
    <w:p>
      <w:pPr>
        <w:jc w:val="center"/>
        <w:ind w:left="680" w:right="80"/>
        <w:spacing w:after="0" w:line="246" w:lineRule="auto"/>
        <w:rPr>
          <w:sz w:val="20"/>
          <w:szCs w:val="20"/>
          <w:color w:val="auto"/>
        </w:rPr>
      </w:pPr>
      <w:r>
        <w:rPr>
          <w:rFonts w:ascii="Arial" w:cs="Arial" w:eastAsia="Arial" w:hAnsi="Arial"/>
          <w:sz w:val="18"/>
          <w:szCs w:val="18"/>
          <w:color w:val="auto"/>
        </w:rPr>
        <w:t>Cash provided in investing activities for the three months ended March 31, 2019 was due primarily to net maturities of investments of $39.2 million.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provided from financing activities was $18.2 million and $6.7 million for the three months ended March 31, 2020 and 2019, respectively.</w:t>
      </w:r>
    </w:p>
    <w:p>
      <w:pPr>
        <w:spacing w:after="0" w:line="156" w:lineRule="exact"/>
        <w:rPr>
          <w:sz w:val="20"/>
          <w:szCs w:val="20"/>
          <w:color w:val="auto"/>
        </w:rPr>
      </w:pPr>
    </w:p>
    <w:p>
      <w:pPr>
        <w:ind w:right="340" w:firstLine="440"/>
        <w:spacing w:after="0" w:line="253" w:lineRule="auto"/>
        <w:rPr>
          <w:sz w:val="20"/>
          <w:szCs w:val="20"/>
          <w:color w:val="auto"/>
        </w:rPr>
      </w:pPr>
      <w:r>
        <w:rPr>
          <w:rFonts w:ascii="Arial" w:cs="Arial" w:eastAsia="Arial" w:hAnsi="Arial"/>
          <w:sz w:val="17"/>
          <w:szCs w:val="17"/>
          <w:color w:val="auto"/>
        </w:rPr>
        <w:t>Cash provided by financing activities during the three months ended March 31, 2020 was due to $34.0 million of Continuation Advances from Illumina and proceeds of $0.2 million from the issuance of common stock through our equity compensation plans, partially offset by $16.0 million we repaid for the remaining outstanding principal to Deerfield upon the maturity of the Facility Agreement.</w:t>
      </w:r>
    </w:p>
    <w:p>
      <w:pPr>
        <w:spacing w:after="0" w:line="111"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Cash provided by financing activities during the three months ended March 31, 2019 was due to $6.7 million from the issuance of common stock through our equity compensation plans.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Resources</w:t>
      </w:r>
    </w:p>
    <w:p>
      <w:pPr>
        <w:spacing w:after="0" w:line="63" w:lineRule="exact"/>
        <w:rPr>
          <w:sz w:val="20"/>
          <w:szCs w:val="20"/>
          <w:color w:val="auto"/>
        </w:rPr>
      </w:pPr>
    </w:p>
    <w:p>
      <w:pPr>
        <w:ind w:right="60" w:firstLine="440"/>
        <w:spacing w:after="0" w:line="225" w:lineRule="auto"/>
        <w:rPr>
          <w:sz w:val="20"/>
          <w:szCs w:val="20"/>
          <w:color w:val="auto"/>
        </w:rPr>
      </w:pPr>
      <w:r>
        <w:rPr>
          <w:rFonts w:ascii="Arial" w:cs="Arial" w:eastAsia="Arial" w:hAnsi="Arial"/>
          <w:sz w:val="18"/>
          <w:szCs w:val="18"/>
          <w:color w:val="auto"/>
        </w:rPr>
        <w:t>In August 2017, we filed a shelf registration statement on Form S-3 with the SEC pursuant to which we may, from time to time, sell up to an aggregate of $150.0 million of our common stock, preferred stock, depository shares, warrants, units or debt securities. On August 18, 2017, the registration statement was declared effective by the SEC, which allows us to access the capital markets for the three-year period following this effective date. However, the Termination Agreement currently limits our ability to issue additional securities or incur indebtedness as up to the $52.0 million of Continuation Advances paid to us are repayable without interest to Illumina if, within two years of March 31, 2020, we enter into a Change of Control Transaction or raise at least $100 million in equity or debt financing in a single transaction (with the amount repayable dependent on the amount raised by 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63"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right="20" w:firstLine="440"/>
        <w:spacing w:after="0" w:line="225" w:lineRule="auto"/>
        <w:rPr>
          <w:sz w:val="20"/>
          <w:szCs w:val="20"/>
          <w:color w:val="auto"/>
        </w:rPr>
      </w:pPr>
      <w:r>
        <w:rPr>
          <w:rFonts w:ascii="Arial" w:cs="Arial" w:eastAsia="Arial" w:hAnsi="Arial"/>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6. Commitments and Contingencies” in Part I, Item 1 of this Form 10-Q, any associated expenses incurred are included within the related accrued litigation expense amounts. No additional liability associated with such indemnification agreements has been recorded as of March 31, 2020.</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540" w:firstLine="440"/>
        <w:spacing w:after="0" w:line="307" w:lineRule="auto"/>
        <w:rPr>
          <w:sz w:val="20"/>
          <w:szCs w:val="20"/>
          <w:color w:val="auto"/>
        </w:rPr>
      </w:pPr>
      <w:r>
        <w:rPr>
          <w:rFonts w:ascii="Arial" w:cs="Arial" w:eastAsia="Arial" w:hAnsi="Arial"/>
          <w:sz w:val="16"/>
          <w:szCs w:val="16"/>
          <w:color w:val="auto"/>
        </w:rPr>
        <w:t>Except for the broad effects of COVID-19 as a result of its negative impact on the global economy and financial markets , there have been no material changes in market risk from the information provided in our Annual Report on Form 10-K for the year ended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7" w:lineRule="exact"/>
        <w:rPr>
          <w:sz w:val="20"/>
          <w:szCs w:val="20"/>
          <w:color w:val="auto"/>
        </w:rPr>
      </w:pPr>
    </w:p>
    <w:p>
      <w:pPr>
        <w:ind w:right="20" w:firstLine="440"/>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40"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right="240" w:firstLine="440"/>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2020 that have materially affected, or are reasonably likely to materially affect, our internal control over financial reporting.</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Note 6. Commitments and Contingencies</w:t>
      </w:r>
      <w:r>
        <w:rPr>
          <w:rFonts w:ascii="Arial" w:cs="Arial" w:eastAsia="Arial" w:hAnsi="Arial"/>
          <w:sz w:val="18"/>
          <w:szCs w:val="18"/>
          <w:color w:val="auto"/>
        </w:rPr>
        <w:t xml:space="preserve"> of Item 1. of Financial Statements under Part I – Financial Information.</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right="100" w:firstLine="648"/>
        <w:spacing w:after="0"/>
        <w:rPr>
          <w:sz w:val="20"/>
          <w:szCs w:val="20"/>
          <w:color w:val="auto"/>
        </w:rPr>
      </w:pPr>
      <w:r>
        <w:rPr>
          <w:rFonts w:ascii="Arial" w:cs="Arial" w:eastAsia="Arial" w:hAnsi="Arial"/>
          <w:sz w:val="18"/>
          <w:szCs w:val="18"/>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recent coronavirus outbreak.</w:t>
      </w:r>
    </w:p>
    <w:p>
      <w:pPr>
        <w:spacing w:after="0" w:line="198" w:lineRule="exact"/>
        <w:rPr>
          <w:sz w:val="20"/>
          <w:szCs w:val="20"/>
          <w:color w:val="auto"/>
        </w:rPr>
      </w:pPr>
    </w:p>
    <w:p>
      <w:pPr>
        <w:ind w:right="200" w:firstLine="648"/>
        <w:spacing w:after="0" w:line="246" w:lineRule="auto"/>
        <w:rPr>
          <w:sz w:val="20"/>
          <w:szCs w:val="20"/>
          <w:color w:val="auto"/>
        </w:rPr>
      </w:pPr>
      <w:r>
        <w:rPr>
          <w:rFonts w:ascii="Arial" w:cs="Arial" w:eastAsia="Arial" w:hAnsi="Arial"/>
          <w:sz w:val="17"/>
          <w:szCs w:val="17"/>
          <w:color w:val="auto"/>
        </w:rPr>
        <w:t>Our business could be adversely impacted by the effects of COVID-19 or other epidemics. As a result of COVID-19, our first quarter 2020 financial results were impacted negatively as our customers in multiple regions around the world suspended their normal operations in efforts to curb the spread of the COVID-19 pandemic. The inability to receive or accept shipment of orders for our products on a timely basis, or at all, and the delay or cancellation of orders for our products, has negatively affected and may negatively affect in the future our operations and revenues.</w:t>
      </w:r>
    </w:p>
    <w:p>
      <w:pPr>
        <w:spacing w:after="0" w:line="171" w:lineRule="exact"/>
        <w:rPr>
          <w:sz w:val="20"/>
          <w:szCs w:val="20"/>
          <w:color w:val="auto"/>
        </w:rPr>
      </w:pPr>
    </w:p>
    <w:p>
      <w:pPr>
        <w:ind w:right="300" w:firstLine="648"/>
        <w:spacing w:after="0" w:line="266" w:lineRule="auto"/>
        <w:rPr>
          <w:sz w:val="20"/>
          <w:szCs w:val="20"/>
          <w:color w:val="auto"/>
        </w:rPr>
      </w:pPr>
      <w:r>
        <w:rPr>
          <w:rFonts w:ascii="Arial" w:cs="Arial" w:eastAsia="Arial" w:hAnsi="Arial"/>
          <w:sz w:val="16"/>
          <w:szCs w:val="16"/>
          <w:color w:val="auto"/>
        </w:rPr>
        <w:t>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working on COVID-19 and other high-priority research needs. To aid in containing the spread of COVID-19, we have implemented remote-work options and are limiting employee travel as much as possible. We are monitoring this rapidly evolving situation.</w:t>
      </w:r>
    </w:p>
    <w:p>
      <w:pPr>
        <w:spacing w:after="0" w:line="156"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Our manufacturing partners and suppliers could also be disrupted by conditions related to COVID-19 or other epidemics,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At this point in time, there is significant uncertainty relating to the potential effect of COVID-19 on our business. Infections may resurge or become more widespread and the limitation on our ability to travel and timely sell and distribute our products, as well as any closures or supply disruptions, may be extended for longer periods of time, all of which would have a negative impact on our business, financial condition and operating results.</w:t>
      </w:r>
    </w:p>
    <w:p>
      <w:pPr>
        <w:spacing w:after="0" w:line="181"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have limited commercial sales to date and the commercialization and sales of our current or future products may be unsuccessful or less successful than anticipated.</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6"/>
          <w:szCs w:val="16"/>
          <w:color w:val="auto"/>
        </w:rPr>
        <w:t>Our first commercial product launched in 2011 and we have had limited sales to date. As such, we have limited historical financial data upon which to base our projected revenue, planned operating expenses or upon which to evaluate our company and our commercial prospects. Furthermore, in</w:t>
      </w:r>
    </w:p>
    <w:p>
      <w:pPr>
        <w:spacing w:after="0" w:line="1" w:lineRule="exact"/>
        <w:rPr>
          <w:sz w:val="20"/>
          <w:szCs w:val="20"/>
          <w:color w:val="auto"/>
        </w:rPr>
      </w:pPr>
    </w:p>
    <w:p>
      <w:pPr>
        <w:spacing w:after="0" w:line="186" w:lineRule="auto"/>
        <w:rPr>
          <w:sz w:val="20"/>
          <w:szCs w:val="20"/>
          <w:color w:val="auto"/>
        </w:rPr>
      </w:pPr>
      <w:r>
        <w:rPr>
          <w:rFonts w:ascii="Arial" w:cs="Arial" w:eastAsia="Arial" w:hAnsi="Arial"/>
          <w:sz w:val="18"/>
          <w:szCs w:val="18"/>
          <w:color w:val="auto"/>
        </w:rPr>
        <w:t>September 2015, we launched the PacBio Sequel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and concurrently began phasing out production of PacBio RS II instruments, and, in April 2019 we announced the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commercial launch of the Sequel II System. Based on our limited experience in developing and marketing our existing products and launching new products, we may not be able to effectively:</w:t>
      </w:r>
    </w:p>
    <w:p>
      <w:pPr>
        <w:spacing w:after="0" w:line="62"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manage the timeliness of our new product introductions and the rate at which sales of our new products may cannibalize sales of our older products;</w:t>
      </w:r>
    </w:p>
    <w:p>
      <w:pPr>
        <w:spacing w:after="0" w:line="62" w:lineRule="exact"/>
        <w:rPr>
          <w:sz w:val="20"/>
          <w:szCs w:val="20"/>
          <w:color w:val="auto"/>
        </w:rPr>
      </w:pPr>
    </w:p>
    <w:p>
      <w:pPr>
        <w:ind w:left="1100" w:right="4240"/>
        <w:spacing w:after="0" w:line="344" w:lineRule="auto"/>
        <w:rPr>
          <w:sz w:val="20"/>
          <w:szCs w:val="20"/>
          <w:color w:val="auto"/>
        </w:rPr>
      </w:pPr>
      <w:r>
        <w:rPr>
          <w:rFonts w:ascii="Arial" w:cs="Arial" w:eastAsia="Arial" w:hAnsi="Arial"/>
          <w:sz w:val="18"/>
          <w:szCs w:val="18"/>
          <w:color w:val="auto"/>
        </w:rPr>
        <w:t>drive adoption of our current and future products, including the Sequel II System; attract and retain customers for our products;</w:t>
      </w:r>
    </w:p>
    <w:p>
      <w:pPr>
        <w:spacing w:after="0" w:line="1" w:lineRule="exact"/>
        <w:rPr>
          <w:sz w:val="20"/>
          <w:szCs w:val="20"/>
          <w:color w:val="auto"/>
        </w:rPr>
      </w:pPr>
    </w:p>
    <w:p>
      <w:pPr>
        <w:ind w:left="1100" w:right="4280"/>
        <w:spacing w:after="0" w:line="387" w:lineRule="auto"/>
        <w:rPr>
          <w:sz w:val="20"/>
          <w:szCs w:val="20"/>
          <w:color w:val="auto"/>
        </w:rPr>
      </w:pPr>
      <w:r>
        <w:rPr>
          <w:rFonts w:ascii="Arial" w:cs="Arial" w:eastAsia="Arial" w:hAnsi="Arial"/>
          <w:sz w:val="16"/>
          <w:szCs w:val="16"/>
          <w:color w:val="auto"/>
        </w:rPr>
        <w:t>provide appropriate levels of customer training and support for our products; implement an effective marketing strategy to promote awareness of our products;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 and implement an effective sales and distribution strategy for our current and future products;</w:t>
      </w:r>
    </w:p>
    <w:p>
      <w:pPr>
        <w:spacing w:after="0" w:line="90" w:lineRule="exact"/>
        <w:rPr>
          <w:sz w:val="20"/>
          <w:szCs w:val="20"/>
          <w:color w:val="auto"/>
        </w:rPr>
      </w:pPr>
    </w:p>
    <w:p>
      <w:pPr>
        <w:ind w:left="1100" w:right="140"/>
        <w:spacing w:after="0" w:line="246" w:lineRule="auto"/>
        <w:rPr>
          <w:sz w:val="20"/>
          <w:szCs w:val="20"/>
          <w:color w:val="auto"/>
        </w:rPr>
      </w:pPr>
      <w:r>
        <w:rPr>
          <w:rFonts w:ascii="Arial" w:cs="Arial" w:eastAsia="Arial" w:hAnsi="Arial"/>
          <w:sz w:val="18"/>
          <w:szCs w:val="18"/>
          <w:color w:val="auto"/>
        </w:rPr>
        <w:t>develop, manufacture and commercialize new products or achieve an acceptable return on our manufacturing or research and development efforts and expenses;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comply with regulatory requirements applicable to our products;</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anticipate and adapt to changes in our market;</w:t>
      </w:r>
    </w:p>
    <w:p>
      <w:pPr>
        <w:spacing w:after="0" w:line="90" w:lineRule="exact"/>
        <w:rPr>
          <w:sz w:val="20"/>
          <w:szCs w:val="20"/>
          <w:color w:val="auto"/>
        </w:rPr>
      </w:pPr>
    </w:p>
    <w:p>
      <w:pPr>
        <w:ind w:left="1100" w:right="400"/>
        <w:spacing w:after="0" w:line="246" w:lineRule="auto"/>
        <w:rPr>
          <w:sz w:val="20"/>
          <w:szCs w:val="20"/>
          <w:color w:val="auto"/>
        </w:rPr>
      </w:pPr>
      <w:r>
        <w:rPr>
          <w:rFonts w:ascii="Arial" w:cs="Arial" w:eastAsia="Arial" w:hAnsi="Arial"/>
          <w:sz w:val="18"/>
          <w:szCs w:val="18"/>
          <w:color w:val="auto"/>
        </w:rPr>
        <w:t>accommodate customer expectations and demands with respect to our products, increase product adoption by our existing customers or develop new customer relationships;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grow our share by marketing and selling our products for new and additional applications;</w:t>
      </w:r>
    </w:p>
    <w:p>
      <w:pPr>
        <w:spacing w:after="0" w:line="90" w:lineRule="exact"/>
        <w:rPr>
          <w:sz w:val="20"/>
          <w:szCs w:val="20"/>
          <w:color w:val="auto"/>
        </w:rPr>
      </w:pPr>
    </w:p>
    <w:p>
      <w:pPr>
        <w:ind w:left="1100" w:right="160"/>
        <w:spacing w:after="0" w:line="246" w:lineRule="auto"/>
        <w:rPr>
          <w:sz w:val="20"/>
          <w:szCs w:val="20"/>
          <w:color w:val="auto"/>
        </w:rPr>
      </w:pPr>
      <w:r>
        <w:rPr>
          <w:rFonts w:ascii="Arial" w:cs="Arial" w:eastAsia="Arial" w:hAnsi="Arial"/>
          <w:sz w:val="18"/>
          <w:szCs w:val="18"/>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62" w:lineRule="exact"/>
        <w:rPr>
          <w:sz w:val="20"/>
          <w:szCs w:val="20"/>
          <w:color w:val="auto"/>
        </w:rPr>
      </w:pPr>
    </w:p>
    <w:p>
      <w:pPr>
        <w:ind w:left="1100" w:right="1400"/>
        <w:spacing w:after="0" w:line="344" w:lineRule="auto"/>
        <w:rPr>
          <w:sz w:val="20"/>
          <w:szCs w:val="20"/>
          <w:color w:val="auto"/>
        </w:rPr>
      </w:pPr>
      <w:r>
        <w:rPr>
          <w:rFonts w:ascii="Arial" w:cs="Arial" w:eastAsia="Arial" w:hAnsi="Arial"/>
          <w:sz w:val="18"/>
          <w:szCs w:val="18"/>
          <w:color w:val="auto"/>
        </w:rPr>
        <w:t>adapt or scale our manufacturing activities to meet performance specifications and potential demand at a reasonable cost; avoid infringement and misappropriation of third-party intellectual property;</w:t>
      </w:r>
    </w:p>
    <w:p>
      <w:pPr>
        <w:spacing w:after="0" w:line="1" w:lineRule="exact"/>
        <w:rPr>
          <w:sz w:val="20"/>
          <w:szCs w:val="20"/>
          <w:color w:val="auto"/>
        </w:rPr>
      </w:pPr>
    </w:p>
    <w:p>
      <w:pPr>
        <w:ind w:left="1100" w:right="1960"/>
        <w:spacing w:after="0" w:line="344" w:lineRule="auto"/>
        <w:rPr>
          <w:sz w:val="20"/>
          <w:szCs w:val="20"/>
          <w:color w:val="auto"/>
        </w:rPr>
      </w:pPr>
      <w:r>
        <w:rPr>
          <w:rFonts w:ascii="Arial" w:cs="Arial" w:eastAsia="Arial" w:hAnsi="Arial"/>
          <w:sz w:val="18"/>
          <w:szCs w:val="18"/>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attract, retain and motivate qualified personnel.</w:t>
      </w:r>
    </w:p>
    <w:p>
      <w:pPr>
        <w:spacing w:after="0" w:line="19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termination of our Merger Agreement with Illumina. In addition, a high percentage of our expenses is and will continue to be fixed. Accordingly, if we do not generate revenue as and when anticipated, our losses may be greater than expected and our operating results will suffer.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33" w:lineRule="exact"/>
        <w:rPr>
          <w:sz w:val="20"/>
          <w:szCs w:val="20"/>
          <w:color w:val="auto"/>
        </w:rPr>
      </w:pPr>
    </w:p>
    <w:p>
      <w:pPr>
        <w:ind w:right="120" w:firstLine="648"/>
        <w:spacing w:after="0" w:line="227" w:lineRule="auto"/>
        <w:rPr>
          <w:sz w:val="20"/>
          <w:szCs w:val="20"/>
          <w:color w:val="auto"/>
        </w:rPr>
      </w:pPr>
      <w:r>
        <w:rPr>
          <w:rFonts w:ascii="Arial" w:cs="Arial" w:eastAsia="Arial" w:hAnsi="Arial"/>
          <w:sz w:val="18"/>
          <w:szCs w:val="18"/>
          <w:color w:val="auto"/>
        </w:rPr>
        <w:t>Except for the quarter ended March 31, 2020 and the quarter ended September 30, 2015 (as a result of a one-time gain on lease amendments), we have incurred net losses since inception and we cannot be certain if or when we will produce sufficient revenue from our operations to support our costs. While we achieved profitability for the quarter ended March 31, 2010, this result was largely due to payment of the Reverse Termination Fee and Continuation Advances. Even if profitability is achieved in the future, we may not be able to sustain profitability on a consistent basis. Excluding any future gain relating to the Reverse Termination Fee, we expect to continue to incur substantial losses and negative cash flow from operations for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cash flow positive and may not have sufficient cash to fund our current and planned operations.</w:t>
      </w:r>
    </w:p>
    <w:p>
      <w:pPr>
        <w:spacing w:after="0" w:line="198"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 System. Our existing resources may not allow us to conduct all of these activities that we believe would be beneficial for our future growth. As a result, due to our continued losses and operating cash needs as well as significant legal expenses we have incurred in connection with the merger with Illumina, we believe the Continuation Advances and the Reverse Termination Fee, which are both repayable in certain circumstances, are necessary to fund our projected operating requirements for at least twelve months from the date of filing of this Quarterly Report.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Additional funds may not be available on terms acceptable to us or at all, particularly in light of restrictions under the Termination Agreement. We have incurred and may further incur additional debt. Debt holders have rights senior to common stockholders to make claims on our assets. We may not be able to issue equity securities due to unacceptable terms and conditions to us in the capital markets. To the extent that we raise additional funds through the sale of our common stock, continued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38" w:lineRule="exact"/>
        <w:rPr>
          <w:sz w:val="20"/>
          <w:szCs w:val="20"/>
          <w:color w:val="auto"/>
        </w:rPr>
      </w:pPr>
    </w:p>
    <w:p>
      <w:pPr>
        <w:ind w:right="140" w:firstLine="609"/>
        <w:spacing w:after="0"/>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repay the Reverse Termination Fee and Continuation Advances to Illumina.</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Pursuant to the Termination Agreement, in the event that, on or prior to September 30, 2020, we enter into a definitive agreement providing for or consummate a Change of Control Transaction,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 In addition, up to the $52.0 million of Continuation Advances actually paid to us are repayable without interest to Illumina if, within two years of March 31, 2020, we enter into, or consummate a Change of Control Transaction or raises at least $100 million in equity or debt financing in a single transaction (with the amount repayable dependent on the amount raised by us). If we are required to repay the Reverse Termination or the Continuation Advances, we may not be able to fund our projected operating requirements for at least twelve months from the date of filing of this Quarterly Report. In addition,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If we are unable to successfully develop and timely manufacture our current and future products, including with respect to the Sequel System, the SMRT Cell 8M and Sequel II System and related products, our business may be adversely affected.</w:t>
      </w:r>
    </w:p>
    <w:p>
      <w:pPr>
        <w:spacing w:after="0" w:line="170"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 System,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 System. Our production of the SMRT Cells for the Sequel System has been and may in the future be below desired levels, and we have experienced and may experience in the future manufacturing delays, product or quality defects, SMRT Cell variability, and other issues. For example, the recent COVID–19 outbreak has impacted and could result in more pronounced impacts to our manufacturing and our ability to supply products. The performance of our consumables is critical to our customers’ successful utilization of our products,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and any defects or performance issues with our consumables would adversely affect our business. All of the foregoing could negatively impact our ability to sell our products or result in other material adverse effects on our business, financial condition and results of operations.</w:t>
      </w:r>
    </w:p>
    <w:p>
      <w:pPr>
        <w:spacing w:after="0" w:line="148" w:lineRule="exact"/>
        <w:rPr>
          <w:sz w:val="20"/>
          <w:szCs w:val="20"/>
          <w:color w:val="auto"/>
        </w:rPr>
      </w:pPr>
    </w:p>
    <w:p>
      <w:pPr>
        <w:ind w:right="60" w:firstLine="648"/>
        <w:spacing w:after="0" w:line="236"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 System,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 System, could materially and adversely affect our business, financial condition and results of operations.</w:t>
      </w:r>
    </w:p>
    <w:p>
      <w:pPr>
        <w:spacing w:after="0" w:line="181"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01"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 Systems. We are also engaged in substantial and complex research and development efforts, which, if successful, may result in the introduction of new products in the future, including with respect to the SMRT Cell 8M and the Sequel II System.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Furthermore, we need to continue to expand our internal capabilities or seek new partnerships or collaborations, or both, in order to successfully market, sell and commercialize our products in the markets we seek to reach.</w:t>
      </w:r>
    </w:p>
    <w:p>
      <w:pPr>
        <w:spacing w:after="0" w:line="17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must successfully manage new product introductions and transitions, including with respect to the SMRT Cell 8M and Sequel II System, we may incur significant costs during these transitions, and they may not result in the benefits we anticipate.</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 System and also any future products that may be developed for clinical uses, it could have a material adverse effect on our business, financial condition and results of operations. In addition, the introduction of future products, including with respect to the SMRT Cell 8M and Sequel II System,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 transitions, including costs of write-downs of our products, as current or future customers’ transition to new products. If we do not successfully manage these product transitions, including with respect to the SMRT Cell 8M and Sequel II System, our business, reputation and financial condition may be materially and adversely affected.</w:t>
      </w:r>
    </w:p>
    <w:p>
      <w:pPr>
        <w:spacing w:after="0" w:line="168" w:lineRule="exact"/>
        <w:rPr>
          <w:sz w:val="20"/>
          <w:szCs w:val="20"/>
          <w:color w:val="auto"/>
        </w:rPr>
      </w:pPr>
    </w:p>
    <w:p>
      <w:pPr>
        <w:jc w:val="center"/>
        <w:ind w:right="440"/>
        <w:spacing w:after="0" w:line="246" w:lineRule="auto"/>
        <w:rPr>
          <w:sz w:val="20"/>
          <w:szCs w:val="20"/>
          <w:color w:val="auto"/>
        </w:rPr>
      </w:pPr>
      <w:r>
        <w:rPr>
          <w:rFonts w:ascii="Arial" w:cs="Arial" w:eastAsia="Arial" w:hAnsi="Arial"/>
          <w:sz w:val="18"/>
          <w:szCs w:val="18"/>
          <w:b w:val="1"/>
          <w:bCs w:val="1"/>
          <w:i w:val="1"/>
          <w:iCs w:val="1"/>
          <w:color w:val="auto"/>
        </w:rPr>
        <w:t xml:space="preserve">Our terminated merger with Illumina has affected and may in the future, materially and adversely affect our results of operations and stock price. </w:t>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firstLine="648"/>
        <w:spacing w:after="0" w:line="307" w:lineRule="auto"/>
        <w:rPr>
          <w:sz w:val="20"/>
          <w:szCs w:val="20"/>
          <w:color w:val="auto"/>
        </w:rPr>
      </w:pPr>
      <w:r>
        <w:rPr>
          <w:rFonts w:ascii="Arial" w:cs="Arial" w:eastAsia="Arial" w:hAnsi="Arial"/>
          <w:sz w:val="16"/>
          <w:szCs w:val="16"/>
          <w:color w:val="auto"/>
        </w:rPr>
        <w:t>On January 2, 2020, we, Illumina and Merger Subsidiary terminated the Merger Agreement. Although difficult to quantify, we believe that the terminated merger with Illumina has affected and may, in the future, materially and adversely affect our results of operations, due to the following:</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in the Merger Agreement that limited our ability to take certain actions while the Merger Agreement was in effect;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continued liability for certain transaction costs, including legal, accounting, financial advisory and other costs relating to the merger;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diverted management attention;</w:t>
      </w:r>
    </w:p>
    <w:p>
      <w:pPr>
        <w:spacing w:after="0" w:line="198"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disruption of our business, including our relationships with our customers, employees, partners and other parties, due to uncertainty over when or if the merger would be completed;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 to repay the Reverse Termination Fee and Continuation Advances in certain circumstances;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uncertainties that have impaired our ability to retain, recruit and motivate key personnel.</w:t>
      </w:r>
    </w:p>
    <w:p>
      <w:pPr>
        <w:spacing w:after="0" w:line="19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occurrence, continuation or exacerbation of any of these events individually or in combination could materially and adversely affect our results of operations.</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and other personnel, our ability to maintain and develop our products could be harmed and we may be unable to achieve our goals.</w:t>
      </w:r>
    </w:p>
    <w:p>
      <w:pPr>
        <w:spacing w:after="0" w:line="165"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support of existing products, product development and introductions, business growth prospects,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COVID-19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jc w:val="both"/>
        <w:ind w:right="40" w:firstLine="648"/>
        <w:spacing w:after="0" w:line="225" w:lineRule="auto"/>
        <w:rPr>
          <w:sz w:val="20"/>
          <w:szCs w:val="20"/>
          <w:color w:val="auto"/>
        </w:rPr>
      </w:pPr>
      <w:r>
        <w:rPr>
          <w:rFonts w:ascii="Arial" w:cs="Arial" w:eastAsia="Arial" w:hAnsi="Arial"/>
          <w:sz w:val="18"/>
          <w:szCs w:val="18"/>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For example, the sale and commercialization of the SMRT Cell 8M and Sequel II System, and related products may not be successful.</w:t>
      </w:r>
    </w:p>
    <w:p>
      <w:pPr>
        <w:spacing w:after="0" w:line="17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6"/>
          <w:szCs w:val="16"/>
          <w:color w:val="auto"/>
        </w:rPr>
        <w:t>There can be no assurance that we will be successful in adding new products or securing additional customers for our current and future products, including with respect to the SMRT Cell 8M and Sequel II System.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have limited experience commercializing and selling products outside of the academic and research settings, and we cannot assure you that we can successfully acquire additional customers. Furthermore, we cannot guarantee that our products will be satisfactory to potential customers we seek to reach or that our products will perform in accordance with customer expectations.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 System.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64"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would be materially harmed and our business may not succeed.</w:t>
      </w:r>
    </w:p>
    <w:p>
      <w:pPr>
        <w:spacing w:after="0" w:line="178"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b w:val="1"/>
          <w:bCs w:val="1"/>
          <w:i w:val="1"/>
          <w:iCs w:val="1"/>
          <w:color w:val="auto"/>
        </w:rPr>
        <w:t>We rely on other companies for the manufacture of certain components and sub-assemblies and intend to outsource additional sub-assemblies in the future. We may not be able to successfully scale the manufacturing process necessary to build and test multiple products on a full commercial basis, which could materially harm our business.</w:t>
      </w:r>
    </w:p>
    <w:p>
      <w:pPr>
        <w:spacing w:after="0" w:line="175"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precision in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will be materially and adversely affected, we could be unable to meet customer demand and our business and results of operations may be materially and adversely affected.</w:t>
      </w:r>
    </w:p>
    <w:p>
      <w:pPr>
        <w:spacing w:after="0" w:line="176" w:lineRule="exact"/>
        <w:rPr>
          <w:sz w:val="20"/>
          <w:szCs w:val="20"/>
          <w:color w:val="auto"/>
        </w:rPr>
      </w:pPr>
    </w:p>
    <w:p>
      <w:pPr>
        <w:ind w:right="40" w:firstLine="648"/>
        <w:spacing w:after="0" w:line="234" w:lineRule="auto"/>
        <w:rPr>
          <w:sz w:val="20"/>
          <w:szCs w:val="20"/>
          <w:color w:val="auto"/>
        </w:rPr>
      </w:pPr>
      <w:r>
        <w:rPr>
          <w:rFonts w:ascii="Arial" w:cs="Arial" w:eastAsia="Arial" w:hAnsi="Arial"/>
          <w:sz w:val="17"/>
          <w:szCs w:val="17"/>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could be materially harmed.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We may be unable to consistently manufacture our instruments and consumable kits, including SMRT Cells, to the necessary specifications or in quantities necessary to meet demand at an acceptable cost or at an acceptable performance level.</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has been and may in the future be below desired levels, and we have experienced and may experience in the future manufacturing delays, product defects, variability in the performance of SMRT Cells and other products, inadequate reserves for inventory, or other issues. 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is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financial condition and results of operations.</w:t>
      </w:r>
    </w:p>
    <w:p>
      <w:pPr>
        <w:spacing w:after="0" w:line="18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 System, could diminish future demand for our products and materially harm our future operating results.</w:t>
      </w:r>
    </w:p>
    <w:p>
      <w:pPr>
        <w:spacing w:after="0" w:line="16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7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6" w:lineRule="exact"/>
        <w:rPr>
          <w:sz w:val="20"/>
          <w:szCs w:val="20"/>
          <w:color w:val="auto"/>
        </w:rPr>
      </w:pPr>
    </w:p>
    <w:p>
      <w:pPr>
        <w:ind w:right="460" w:firstLine="648"/>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42" w:lineRule="exact"/>
        <w:rPr>
          <w:sz w:val="20"/>
          <w:szCs w:val="20"/>
          <w:color w:val="auto"/>
        </w:rPr>
      </w:pPr>
    </w:p>
    <w:p>
      <w:pPr>
        <w:ind w:right="240" w:firstLine="648"/>
        <w:spacing w:after="0" w:line="251" w:lineRule="auto"/>
        <w:rPr>
          <w:sz w:val="20"/>
          <w:szCs w:val="20"/>
          <w:color w:val="auto"/>
        </w:rPr>
      </w:pPr>
      <w:r>
        <w:rPr>
          <w:rFonts w:ascii="Arial" w:cs="Arial" w:eastAsia="Arial" w:hAnsi="Arial"/>
          <w:sz w:val="16"/>
          <w:szCs w:val="16"/>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Wales and the District Court of Mannheim, Germany, also for patent infringement, and its subsidiary,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the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financial condition or results of operations.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successfully increase sales of our current products or market and sell our future products.</w:t>
      </w:r>
    </w:p>
    <w:p>
      <w:pPr>
        <w:spacing w:after="0" w:line="19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our ability to attract, retain and manage qualified sales, marketing and service personnel necessary to expand market acceptance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86"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availability of potential sales and distribution partners to sell our technologies, and our ability to attract and retain such sales and distribution partners;</w:t>
      </w:r>
    </w:p>
    <w:p>
      <w:pPr>
        <w:spacing w:after="0" w:line="35" w:lineRule="exact"/>
        <w:rPr>
          <w:sz w:val="20"/>
          <w:szCs w:val="20"/>
          <w:color w:val="auto"/>
        </w:rPr>
      </w:pPr>
    </w:p>
    <w:p>
      <w:pPr>
        <w:ind w:left="1100" w:right="340"/>
        <w:spacing w:after="0" w:line="246" w:lineRule="auto"/>
        <w:rPr>
          <w:sz w:val="20"/>
          <w:szCs w:val="20"/>
          <w:color w:val="auto"/>
        </w:rPr>
      </w:pPr>
      <w:r>
        <w:rPr>
          <w:rFonts w:ascii="Arial" w:cs="Arial" w:eastAsia="Arial" w:hAnsi="Arial"/>
          <w:sz w:val="18"/>
          <w:szCs w:val="18"/>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sales, marketing and service force may be unable to execute successful commercial activities.</w:t>
      </w:r>
    </w:p>
    <w:p>
      <w:pPr>
        <w:spacing w:after="0" w:line="198"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impact our business operations.</w:t>
      </w:r>
    </w:p>
    <w:p>
      <w:pPr>
        <w:spacing w:after="0" w:line="17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We receive a significant portion of our revenue from a limited number of customers. For example, for the fiscal year ended December 31, 2019 and 2018, one of our customers, Gene Company Limited, accounted for approximately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harm our financial condition and results of operations.</w:t>
      </w:r>
    </w:p>
    <w:p>
      <w:pPr>
        <w:spacing w:after="0" w:line="166" w:lineRule="exact"/>
        <w:rPr>
          <w:sz w:val="20"/>
          <w:szCs w:val="20"/>
          <w:color w:val="auto"/>
        </w:rPr>
      </w:pPr>
    </w:p>
    <w:p>
      <w:pPr>
        <w:ind w:right="260" w:firstLine="693"/>
        <w:spacing w:after="0" w:line="235" w:lineRule="auto"/>
        <w:rPr>
          <w:sz w:val="20"/>
          <w:szCs w:val="20"/>
          <w:color w:val="auto"/>
        </w:rPr>
      </w:pPr>
      <w:r>
        <w:rPr>
          <w:rFonts w:ascii="Arial" w:cs="Arial" w:eastAsia="Arial" w:hAnsi="Arial"/>
          <w:sz w:val="18"/>
          <w:szCs w:val="18"/>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consolidation, has harmed, and in the future could harm, our business, financial condition, results of operations and prospects.</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Our net losses since inception and our expectation of incurring substantial losses and negative cash flow for the foreseeable future could adversely affect our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make it more difficult for us to satisfy our obligations;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63" w:lineRule="exact"/>
        <w:rPr>
          <w:sz w:val="20"/>
          <w:szCs w:val="20"/>
          <w:color w:val="auto"/>
        </w:rPr>
      </w:pPr>
    </w:p>
    <w:p>
      <w:pPr>
        <w:ind w:left="1100" w:right="840"/>
        <w:spacing w:after="0" w:line="313" w:lineRule="auto"/>
        <w:rPr>
          <w:sz w:val="20"/>
          <w:szCs w:val="20"/>
          <w:color w:val="auto"/>
        </w:rPr>
      </w:pPr>
      <w:r>
        <w:rPr>
          <w:rFonts w:ascii="Arial" w:cs="Arial" w:eastAsia="Arial" w:hAnsi="Arial"/>
          <w:sz w:val="18"/>
          <w:szCs w:val="18"/>
          <w:color w:val="auto"/>
        </w:rPr>
        <w:t>limit our ability to fund future working capital, capital expenditures, research and development and other business opportunities; increase the volatility of the price of our common stock;</w:t>
      </w:r>
    </w:p>
    <w:p>
      <w:pPr>
        <w:ind w:left="1100"/>
        <w:spacing w:after="0"/>
        <w:rPr>
          <w:sz w:val="20"/>
          <w:szCs w:val="20"/>
          <w:color w:val="auto"/>
        </w:rPr>
      </w:pPr>
      <w:r>
        <w:rPr>
          <w:rFonts w:ascii="Arial" w:cs="Arial" w:eastAsia="Arial" w:hAnsi="Arial"/>
          <w:sz w:val="18"/>
          <w:szCs w:val="18"/>
          <w:color w:val="auto"/>
        </w:rPr>
        <w:t>limit our flexibility to react to changes in our business and the industry in which we operate;</w:t>
      </w:r>
    </w:p>
    <w:p>
      <w:pPr>
        <w:spacing w:after="0" w:line="63" w:lineRule="exact"/>
        <w:rPr>
          <w:sz w:val="20"/>
          <w:szCs w:val="20"/>
          <w:color w:val="auto"/>
        </w:rPr>
      </w:pPr>
    </w:p>
    <w:p>
      <w:pPr>
        <w:ind w:left="1100" w:right="2020"/>
        <w:spacing w:after="0" w:line="340" w:lineRule="auto"/>
        <w:rPr>
          <w:sz w:val="20"/>
          <w:szCs w:val="20"/>
          <w:color w:val="auto"/>
        </w:rPr>
      </w:pPr>
      <w:r>
        <w:rPr>
          <w:rFonts w:ascii="Arial" w:cs="Arial" w:eastAsia="Arial" w:hAnsi="Arial"/>
          <w:sz w:val="18"/>
          <w:szCs w:val="18"/>
          <w:color w:val="auto"/>
        </w:rPr>
        <w:t>place us at a disadvantage to other companies that offer nucleic acid sequencing equipment or consumables; and limit our ability to borrow additional funds.</w:t>
      </w:r>
    </w:p>
    <w:p>
      <w:pPr>
        <w:spacing w:after="0" w:line="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70"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 System.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 System,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72"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serious adverse effect on our business, financial condition and results of operations.</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or change in spending priorities of our current and potential customers could significantly reduce the demand for our products. Any delay or reduction in purchases by current or potential customers or our inability to forecast fluctuations in demand could harm our future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backlog represents product orders from our customers that we have confirmed and for which we have not yet recognized revenue. We may not receive revenue from these orders, and any order backlog we report may not be indicative of our future revenue.</w:t>
      </w:r>
    </w:p>
    <w:p>
      <w:pPr>
        <w:spacing w:after="0" w:line="170"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Many events can cause an order to be delayed or not completed at all, some of which may be out of our control, including the potential impacts from COVID-19.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our products could be delayed or disrupted by factors beyond our control, and we could lose customers as a result.</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are, and may become, subject to governmental regulations that may impose burdens on our operations, and the markets for our products may be narrowed.</w:t>
      </w:r>
    </w:p>
    <w:p>
      <w:pPr>
        <w:spacing w:after="0" w:line="170"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0"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w:t>
      </w:r>
    </w:p>
    <w:p>
      <w:pPr>
        <w:spacing w:after="0" w:line="3"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would adversely impact our commercialization of products on which we have expended significant research and development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in turn have a material adverse impact on our business and prospects.</w:t>
      </w: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b w:val="1"/>
          <w:bCs w:val="1"/>
          <w:i w:val="1"/>
          <w:iCs w:val="1"/>
          <w:color w:val="auto"/>
        </w:rPr>
        <w:t>Our products could become subject to regulation by the U.S. Food and Drug Administration or other domestic and international regulatory agencies, which could increase our costs and impede or delay our commercialization efforts, thereby materially and adversely affecting our business and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for use in the diagnosis or treatment of disease. However, in the future, certain of our products or related applications, such as those that may be developed for clinical uses, could be subject to FDA regulation, or the FDA’s regulatory jurisdiction could be expanded to include our products. Even where a product is exempted from FDA clearance or approval, the FDA may impose restrictions as to the types of customers to which we or our partners can market and sell our products. Such regulation and restrictions may materially and adversely affect our business, financial condition and results of operations.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66"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Many countries have laws and regulations that could affect our products, such as 510(k) clearances, premarket approvals or CE Mark requirements, and failure to adhere to applicable statutory or regulatory requirements by us or our business partners would have a material adverse effect on our operations and financial condition.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Any action brought against us for violations of these laws or regulations, even if successfully defended, could cause us to incur significant legal expenses and divert our management’s attention from the operation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Doing business internationally creates operational and financial risks for our business.</w:t>
      </w:r>
    </w:p>
    <w:p>
      <w:pPr>
        <w:spacing w:after="0" w:line="198" w:lineRule="exact"/>
        <w:rPr>
          <w:sz w:val="20"/>
          <w:szCs w:val="20"/>
          <w:color w:val="auto"/>
        </w:rPr>
      </w:pPr>
    </w:p>
    <w:p>
      <w:pPr>
        <w:ind w:right="120" w:firstLine="648"/>
        <w:spacing w:after="0" w:line="237"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limits to travel as a result of COVID-19</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challenges in staffing and managing foreign operations;</w:t>
      </w:r>
    </w:p>
    <w:p>
      <w:pPr>
        <w:spacing w:after="0" w:line="6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potentially longer sales cycles and more time required to engage and educate customers on the benefits of our platform outside of the United States;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need for localized software and documentation;</w:t>
      </w:r>
    </w:p>
    <w:p>
      <w:pPr>
        <w:spacing w:after="0" w:line="63" w:lineRule="exact"/>
        <w:rPr>
          <w:sz w:val="20"/>
          <w:szCs w:val="20"/>
          <w:color w:val="auto"/>
        </w:rPr>
      </w:pPr>
    </w:p>
    <w:p>
      <w:pPr>
        <w:ind w:left="1100" w:right="120"/>
        <w:spacing w:after="0" w:line="246" w:lineRule="auto"/>
        <w:rPr>
          <w:sz w:val="20"/>
          <w:szCs w:val="20"/>
          <w:color w:val="auto"/>
        </w:rPr>
      </w:pPr>
      <w:r>
        <w:rPr>
          <w:rFonts w:ascii="Arial" w:cs="Arial" w:eastAsia="Arial" w:hAnsi="Arial"/>
          <w:sz w:val="18"/>
          <w:szCs w:val="18"/>
          <w:color w:val="auto"/>
        </w:rPr>
        <w:t>reduced protection for intellectual property rights in some countries and practical difficulties of enforcing intellectual property and contract rights abroad;</w:t>
      </w:r>
    </w:p>
    <w:p>
      <w:pPr>
        <w:spacing w:after="0" w:line="35"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35" w:lineRule="exact"/>
        <w:rPr>
          <w:sz w:val="20"/>
          <w:szCs w:val="20"/>
          <w:color w:val="auto"/>
        </w:rPr>
      </w:pPr>
    </w:p>
    <w:p>
      <w:pPr>
        <w:ind w:left="1100" w:right="780"/>
        <w:spacing w:after="0" w:line="299"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 w:lineRule="exact"/>
        <w:rPr>
          <w:sz w:val="20"/>
          <w:szCs w:val="20"/>
          <w:color w:val="auto"/>
        </w:rPr>
      </w:pPr>
    </w:p>
    <w:p>
      <w:pPr>
        <w:ind w:left="1100" w:right="380"/>
        <w:spacing w:after="0" w:line="228" w:lineRule="auto"/>
        <w:rPr>
          <w:sz w:val="20"/>
          <w:szCs w:val="20"/>
          <w:color w:val="auto"/>
        </w:rPr>
      </w:pPr>
      <w:r>
        <w:rPr>
          <w:rFonts w:ascii="Arial" w:cs="Arial" w:eastAsia="Arial" w:hAnsi="Arial"/>
          <w:sz w:val="18"/>
          <w:szCs w:val="18"/>
          <w:color w:val="auto"/>
        </w:rPr>
        <w:t>changes in diplomatic and trade relationships, including new tariffs, trade protection measures, import or export licensing requirements, trade embargoes and other trade barriers;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100"/>
        <w:spacing w:after="0" w:line="231" w:lineRule="auto"/>
        <w:rPr>
          <w:sz w:val="20"/>
          <w:szCs w:val="20"/>
          <w:color w:val="auto"/>
        </w:rPr>
      </w:pPr>
      <w:r>
        <w:rPr>
          <w:rFonts w:ascii="Arial" w:cs="Arial" w:eastAsia="Arial" w:hAnsi="Arial"/>
          <w:sz w:val="18"/>
          <w:szCs w:val="18"/>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40" w:lineRule="exact"/>
        <w:rPr>
          <w:sz w:val="20"/>
          <w:szCs w:val="20"/>
          <w:color w:val="auto"/>
        </w:rPr>
      </w:pPr>
    </w:p>
    <w:p>
      <w:pPr>
        <w:ind w:left="1100" w:right="100"/>
        <w:spacing w:after="0" w:line="246" w:lineRule="auto"/>
        <w:rPr>
          <w:sz w:val="20"/>
          <w:szCs w:val="20"/>
          <w:color w:val="auto"/>
        </w:rPr>
      </w:pPr>
      <w:r>
        <w:rPr>
          <w:rFonts w:ascii="Arial" w:cs="Arial" w:eastAsia="Arial" w:hAnsi="Arial"/>
          <w:sz w:val="18"/>
          <w:szCs w:val="18"/>
          <w:color w:val="auto"/>
        </w:rPr>
        <w:t>deterioration of political relations between the U.S. and China, Canada, the U.K. and the EU, which could have a material adverse effect on our sales and operations in these countries;</w:t>
      </w:r>
    </w:p>
    <w:p>
      <w:pPr>
        <w:spacing w:after="0" w:line="35" w:lineRule="exact"/>
        <w:rPr>
          <w:sz w:val="20"/>
          <w:szCs w:val="20"/>
          <w:color w:val="auto"/>
        </w:rPr>
      </w:pPr>
    </w:p>
    <w:p>
      <w:pPr>
        <w:ind w:left="1100" w:right="120"/>
        <w:spacing w:after="0" w:line="235" w:lineRule="auto"/>
        <w:rPr>
          <w:sz w:val="20"/>
          <w:szCs w:val="20"/>
          <w:color w:val="auto"/>
        </w:rPr>
      </w:pPr>
      <w:r>
        <w:rPr>
          <w:rFonts w:ascii="Arial" w:cs="Arial" w:eastAsia="Arial" w:hAnsi="Arial"/>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United Kingdom from the European Union;</w:t>
      </w:r>
    </w:p>
    <w:p>
      <w:pPr>
        <w:spacing w:after="0" w:line="40" w:lineRule="exact"/>
        <w:rPr>
          <w:sz w:val="20"/>
          <w:szCs w:val="20"/>
          <w:color w:val="auto"/>
        </w:rPr>
      </w:pPr>
    </w:p>
    <w:p>
      <w:pPr>
        <w:ind w:left="1100" w:right="1440"/>
        <w:spacing w:after="0" w:line="313" w:lineRule="auto"/>
        <w:rPr>
          <w:sz w:val="20"/>
          <w:szCs w:val="20"/>
          <w:color w:val="auto"/>
        </w:rPr>
      </w:pPr>
      <w:r>
        <w:rPr>
          <w:rFonts w:ascii="Arial" w:cs="Arial" w:eastAsia="Arial" w:hAnsi="Arial"/>
          <w:sz w:val="18"/>
          <w:szCs w:val="18"/>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1100"/>
        <w:spacing w:after="0"/>
        <w:rPr>
          <w:sz w:val="20"/>
          <w:szCs w:val="20"/>
          <w:color w:val="auto"/>
        </w:rPr>
      </w:pPr>
      <w:r>
        <w:rPr>
          <w:rFonts w:ascii="Arial" w:cs="Arial" w:eastAsia="Arial" w:hAnsi="Arial"/>
          <w:sz w:val="18"/>
          <w:szCs w:val="18"/>
          <w:color w:val="auto"/>
        </w:rPr>
        <w:t>disruptions to global trade due to disease outbreaks;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increases on tariffs or restrictions on trade generally; and</w:t>
      </w:r>
    </w:p>
    <w:p>
      <w:pPr>
        <w:spacing w:after="0" w:line="63" w:lineRule="exact"/>
        <w:rPr>
          <w:sz w:val="20"/>
          <w:szCs w:val="20"/>
          <w:color w:val="auto"/>
        </w:rPr>
      </w:pPr>
    </w:p>
    <w:p>
      <w:pPr>
        <w:ind w:left="1100" w:right="20"/>
        <w:spacing w:after="0" w:line="307" w:lineRule="auto"/>
        <w:rPr>
          <w:sz w:val="20"/>
          <w:szCs w:val="20"/>
          <w:color w:val="auto"/>
        </w:rPr>
      </w:pPr>
      <w:r>
        <w:rPr>
          <w:rFonts w:ascii="Arial" w:cs="Arial" w:eastAsia="Arial" w:hAnsi="Arial"/>
          <w:sz w:val="16"/>
          <w:szCs w:val="16"/>
          <w:color w:val="auto"/>
        </w:rPr>
        <w:t>significant taxes or other burdens of complying with a variety of foreign laws and regulations, including laws and regulations relating to privacy and data protection such as the EU General Data Protection Regulation (“GDPR”) which took effect in the European Union in 2018.</w:t>
      </w:r>
    </w:p>
    <w:p>
      <w:pPr>
        <w:spacing w:after="0" w:line="96"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76"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6"/>
          <w:szCs w:val="16"/>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221"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The current U.S. presidential administration has called for substantial changes to U.S. foreign trade policy with respect to China and other countries, including the possibility of imposing greater restrictions on international trade and significant increases in tariffs on goods imported into the United States. In September 2018, the U.S. Trade Representative (the “USTR”) enacted a tariff of 10% on the import of other Chinese products, including non-U.S. components and materials that may be used in our products. Since then, additional tariffs have been imposed by the USTR on imports into the United States from China and China has also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Although the United States and China signed an interim trade agreement in January 2020, the parties are continuing to negotiate a trade agreement. Therefore, it is possible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41" w:lineRule="exact"/>
        <w:rPr>
          <w:sz w:val="20"/>
          <w:szCs w:val="20"/>
          <w:color w:val="auto"/>
        </w:rPr>
      </w:pPr>
    </w:p>
    <w:p>
      <w:pPr>
        <w:ind w:right="360" w:firstLine="648"/>
        <w:spacing w:after="0" w:line="231" w:lineRule="auto"/>
        <w:rPr>
          <w:sz w:val="20"/>
          <w:szCs w:val="20"/>
          <w:color w:val="auto"/>
        </w:rPr>
      </w:pPr>
      <w:r>
        <w:rPr>
          <w:rFonts w:ascii="Arial" w:cs="Arial" w:eastAsia="Arial" w:hAnsi="Arial"/>
          <w:sz w:val="18"/>
          <w:szCs w:val="18"/>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changes in the United States political environment.</w:t>
      </w:r>
    </w:p>
    <w:p>
      <w:pPr>
        <w:spacing w:after="0" w:line="198"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81"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70" w:lineRule="exact"/>
        <w:rPr>
          <w:sz w:val="20"/>
          <w:szCs w:val="20"/>
          <w:color w:val="auto"/>
        </w:rPr>
      </w:pPr>
    </w:p>
    <w:p>
      <w:pPr>
        <w:ind w:right="40" w:firstLine="648"/>
        <w:spacing w:after="0" w:line="233" w:lineRule="auto"/>
        <w:rPr>
          <w:sz w:val="20"/>
          <w:szCs w:val="20"/>
          <w:color w:val="auto"/>
        </w:rPr>
      </w:pPr>
      <w:r>
        <w:rPr>
          <w:rFonts w:ascii="Arial" w:cs="Arial" w:eastAsia="Arial" w:hAnsi="Arial"/>
          <w:sz w:val="17"/>
          <w:szCs w:val="17"/>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 and results of operations.</w:t>
      </w:r>
    </w:p>
    <w:p>
      <w:pPr>
        <w:spacing w:after="0" w:line="198"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cycles often coincide with government fiscal year ends. For example, the U.S. government’s fiscal year-end occurs in our third quarter and may result in increased sales of our products during this quarter if government-funded customers have unused funds that may be forfeit, or future budgets that may be reduced, if such funds remain unspent at such fiscal year-end. Furthermore, celebrations of the Lunar New Year, which occurs during our first quarter, may last for a week or longer, during which time many of our customers’ offices in China and elsewhere in the Asia-Pacific region may be closed due to the holiday, and have in the past caused, and may in the future cause, decreased sales of our consumables during such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become in the future, more, or less pronounced over time, and have in the past materially affected, and may in the future materially affect, our business, financial condition, results of operations and prospects.</w:t>
      </w:r>
    </w:p>
    <w:p>
      <w:pPr>
        <w:spacing w:after="0" w:line="16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we fail to comply with healthcare and other governmental laws and regulations, we could face substantial penalties and our business, results of operations and financial condition could be adversely affected.</w:t>
      </w:r>
    </w:p>
    <w:p>
      <w:pPr>
        <w:spacing w:after="0" w:line="62" w:lineRule="exact"/>
        <w:rPr>
          <w:sz w:val="20"/>
          <w:szCs w:val="20"/>
          <w:color w:val="auto"/>
        </w:rPr>
      </w:pPr>
    </w:p>
    <w:p>
      <w:pPr>
        <w:ind w:right="100" w:firstLine="440"/>
        <w:spacing w:after="0"/>
        <w:rPr>
          <w:sz w:val="20"/>
          <w:szCs w:val="20"/>
          <w:color w:val="auto"/>
        </w:rPr>
      </w:pPr>
      <w:r>
        <w:rPr>
          <w:rFonts w:ascii="Arial" w:cs="Arial" w:eastAsia="Arial" w:hAnsi="Arial"/>
          <w:sz w:val="17"/>
          <w:szCs w:val="17"/>
          <w:color w:val="auto"/>
        </w:rPr>
        <w:t>The products that we may develop for clinical uses may be highly regulated, and there can be no assurance that the regulatory environment in which we would operate will not change significantly and adversely in the future. Any arrangements with physicians, hospitals and clinics may expose us to broadly applicable fraud and abuse and other laws and regulations that may restrict the financial arrangements and relationships through which we market, sell and distribute our products and services. Our employees, consultants, and commercial partners may engage in misconduct or other improper activities, including non-compliance with regulatory standards and requirements. Federal and state healthcare and other laws and regulations that may affect our ability to conduct business, include, without limitation:</w:t>
      </w:r>
    </w:p>
    <w:p>
      <w:pPr>
        <w:spacing w:after="0" w:line="42"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federal and state laws and regulations regarding billing and claims payment applicable to products that we may develop for clinical uses, and regulatory agencies enforcing those laws and regulations;</w:t>
      </w:r>
    </w:p>
    <w:p>
      <w:pPr>
        <w:spacing w:after="0" w:line="35" w:lineRule="exact"/>
        <w:rPr>
          <w:sz w:val="20"/>
          <w:szCs w:val="20"/>
          <w:color w:val="auto"/>
        </w:rPr>
      </w:pPr>
    </w:p>
    <w:p>
      <w:pPr>
        <w:jc w:val="both"/>
        <w:ind w:left="1100" w:right="540"/>
        <w:spacing w:after="0" w:line="276" w:lineRule="auto"/>
        <w:rPr>
          <w:sz w:val="20"/>
          <w:szCs w:val="20"/>
          <w:color w:val="auto"/>
        </w:rPr>
      </w:pPr>
      <w:r>
        <w:rPr>
          <w:rFonts w:ascii="Arial" w:cs="Arial" w:eastAsia="Arial" w:hAnsi="Arial"/>
          <w:sz w:val="16"/>
          <w:szCs w:val="16"/>
          <w:color w:val="auto"/>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w:t>
      </w:r>
    </w:p>
    <w:p>
      <w:pPr>
        <w:spacing w:after="0" w:line="13" w:lineRule="exact"/>
        <w:rPr>
          <w:sz w:val="20"/>
          <w:szCs w:val="20"/>
          <w:color w:val="auto"/>
        </w:rPr>
      </w:pPr>
    </w:p>
    <w:p>
      <w:pPr>
        <w:ind w:left="1100" w:right="520"/>
        <w:spacing w:after="0" w:line="274" w:lineRule="auto"/>
        <w:rPr>
          <w:sz w:val="20"/>
          <w:szCs w:val="20"/>
          <w:color w:val="auto"/>
        </w:rPr>
      </w:pPr>
      <w:r>
        <w:rPr>
          <w:rFonts w:ascii="Arial" w:cs="Arial" w:eastAsia="Arial" w:hAnsi="Arial"/>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w:t>
      </w:r>
    </w:p>
    <w:p>
      <w:pPr>
        <w:spacing w:after="0" w:line="13" w:lineRule="exact"/>
        <w:rPr>
          <w:sz w:val="20"/>
          <w:szCs w:val="20"/>
          <w:color w:val="auto"/>
        </w:rPr>
      </w:pPr>
    </w:p>
    <w:p>
      <w:pPr>
        <w:ind w:left="1100" w:right="420"/>
        <w:spacing w:after="0" w:line="246" w:lineRule="auto"/>
        <w:rPr>
          <w:sz w:val="20"/>
          <w:szCs w:val="20"/>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FCPA, the U.K. Bribery Act of 2010, and other local anti-corruption laws that apply to our international activities;</w:t>
      </w:r>
    </w:p>
    <w:p>
      <w:pPr>
        <w:spacing w:after="0" w:line="63" w:lineRule="exact"/>
        <w:rPr>
          <w:sz w:val="20"/>
          <w:szCs w:val="20"/>
          <w:color w:val="auto"/>
        </w:rPr>
      </w:pPr>
    </w:p>
    <w:p>
      <w:pPr>
        <w:ind w:left="1100" w:right="180"/>
        <w:spacing w:after="0" w:line="228" w:lineRule="auto"/>
        <w:rPr>
          <w:sz w:val="20"/>
          <w:szCs w:val="20"/>
          <w:color w:val="auto"/>
        </w:rPr>
      </w:pPr>
      <w:r>
        <w:rPr>
          <w:rFonts w:ascii="Arial" w:cs="Arial" w:eastAsia="Arial" w:hAnsi="Arial"/>
          <w:sz w:val="18"/>
          <w:szCs w:val="18"/>
          <w:color w:val="auto"/>
        </w:rPr>
        <w:t>the federal Physician Payment Sunshine Act, or Open Payments, created under the Affordable Care Act, and its implementing regulations, which requires manufacturers of drugs, medical devices, biologicals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left="1100" w:right="40"/>
        <w:spacing w:after="0" w:line="276" w:lineRule="auto"/>
        <w:rPr>
          <w:sz w:val="20"/>
          <w:szCs w:val="20"/>
          <w:color w:val="auto"/>
        </w:rPr>
      </w:pPr>
      <w:r>
        <w:rPr>
          <w:rFonts w:ascii="Arial" w:cs="Arial" w:eastAsia="Arial" w:hAnsi="Arial"/>
          <w:sz w:val="16"/>
          <w:szCs w:val="16"/>
          <w:color w:val="auto"/>
        </w:rPr>
        <w:t>medical supplies for which payment is available under Medicare, Medicaid, or the Children’s Health Insurance Program to report annually to the U.S. Department of Health and Human Services, or HHS, information related to payments or other transfers of value made to licensed physicians and teaching hospitals, as well as ownership and investment interests held by physicians and their immediate family members;</w:t>
      </w:r>
    </w:p>
    <w:p>
      <w:pPr>
        <w:spacing w:after="0" w:line="13" w:lineRule="exact"/>
        <w:rPr>
          <w:sz w:val="20"/>
          <w:szCs w:val="20"/>
          <w:color w:val="auto"/>
        </w:rPr>
      </w:pPr>
    </w:p>
    <w:p>
      <w:pPr>
        <w:ind w:left="1100" w:right="20"/>
        <w:spacing w:after="0" w:line="235" w:lineRule="auto"/>
        <w:rPr>
          <w:sz w:val="20"/>
          <w:szCs w:val="20"/>
          <w:color w:val="auto"/>
        </w:rPr>
      </w:pPr>
      <w:r>
        <w:rPr>
          <w:rFonts w:ascii="Arial" w:cs="Arial" w:eastAsia="Arial" w:hAnsi="Arial"/>
          <w:sz w:val="17"/>
          <w:szCs w:val="17"/>
          <w:color w:val="auto"/>
        </w:rPr>
        <w:t>the Health Insurance Portability and Accountability Act (“HIPAA”), as amended by the Health Information Technology for Economic and Clinical Health Act, and its implementing regulations, and other laws and regulations relating to privacy and data protection including the European Union’s GDPR, which impose certain requirements relating to the privacy, security and transmission of individually identifiable health information; HIPAA also created criminal liability for knowingly and willfully falsifying or concealing a material fact or making a materially false statement in connection with the delivery of or payment for healthcare benefits, items or services; additionally, California has enacted the California Consumer Privacy Act (“CCPA”), which requires enhanced disclosures related to California residents regarding the use or disclosure of their personal information, allows California residents to opt-out of certain uses and disclosures of their personal information without penalty, provides Californians with other choices related to personal data in our possession, and requires obtaining opt-in consent before engaging in certain uses of personal information relating to Californians under the age of 16. The California Attorney General may, once enforcement commences on July 1, 2020, seek substantial monetary penalties and injunctive relief in the event of non-compliance with the CCPA after it became operative on January 1, 2020.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federal physician self-referral prohibition, commonly known as the Stark Law; and</w:t>
      </w:r>
    </w:p>
    <w:p>
      <w:pPr>
        <w:spacing w:after="0" w:line="63" w:lineRule="exact"/>
        <w:rPr>
          <w:sz w:val="20"/>
          <w:szCs w:val="20"/>
          <w:color w:val="auto"/>
        </w:rPr>
      </w:pPr>
    </w:p>
    <w:p>
      <w:pPr>
        <w:ind w:left="1100" w:right="60"/>
        <w:spacing w:after="0" w:line="231" w:lineRule="auto"/>
        <w:rPr>
          <w:sz w:val="20"/>
          <w:szCs w:val="20"/>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8" w:lineRule="exact"/>
        <w:rPr>
          <w:sz w:val="20"/>
          <w:szCs w:val="20"/>
          <w:color w:val="auto"/>
        </w:rPr>
      </w:pPr>
    </w:p>
    <w:p>
      <w:pPr>
        <w:ind w:right="100" w:firstLine="440"/>
        <w:spacing w:after="0" w:line="242"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or Affordable Care Act, was enacted in 2010. The Affordable Care Act, among other things, amends the intent requirement of the federal Anti-Kickback Statute and criminal healthcare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67" w:lineRule="exact"/>
        <w:rPr>
          <w:sz w:val="20"/>
          <w:szCs w:val="20"/>
          <w:color w:val="auto"/>
        </w:rPr>
      </w:pPr>
    </w:p>
    <w:p>
      <w:pPr>
        <w:ind w:right="160" w:firstLine="440"/>
        <w:spacing w:after="0" w:line="24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activities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67" w:lineRule="exact"/>
        <w:rPr>
          <w:sz w:val="20"/>
          <w:szCs w:val="20"/>
          <w:color w:val="auto"/>
        </w:rPr>
      </w:pPr>
    </w:p>
    <w:p>
      <w:pPr>
        <w:ind w:firstLine="440"/>
        <w:spacing w:after="0" w:line="234"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programs, such as Medicare and Medicaid, and we could be required to curtail or cease certain of our operations. Any of the foregoing consequences could seriously harm our business and our financial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70"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or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63"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7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70"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Ethical, legal, privacy and social concerns or governmental restrictions surrounding the use of genetic information could reduce demand for our technology.</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Such concerns or governmental restrictions could limit the use of our products, which could have a material adverse effect on our business, financial condition and results of operations.</w:t>
      </w:r>
    </w:p>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Disruption of critical information technology systems or material breaches in the security of our systems could harm our business, customer relations and financial condition.</w:t>
      </w:r>
    </w:p>
    <w:p>
      <w:pPr>
        <w:spacing w:after="0" w:line="170"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77" w:lineRule="exact"/>
        <w:rPr>
          <w:sz w:val="20"/>
          <w:szCs w:val="20"/>
          <w:color w:val="auto"/>
        </w:rPr>
      </w:pPr>
    </w:p>
    <w:p>
      <w:pPr>
        <w:ind w:right="80" w:firstLine="648"/>
        <w:spacing w:after="0" w:line="258"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6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We and our third-party service providers may face difficulties in identifying, or promptly responding to, potential security breaches and other instances of unauthorized access to, or disclosure or other loss of, information.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18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Reputational harm could materially and adversely affect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70" w:lineRule="exact"/>
        <w:rPr>
          <w:sz w:val="20"/>
          <w:szCs w:val="20"/>
          <w:color w:val="auto"/>
        </w:rPr>
      </w:pPr>
    </w:p>
    <w:p>
      <w:pPr>
        <w:ind w:right="220" w:firstLine="648"/>
        <w:spacing w:after="0" w:line="299"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we or our licensors might not have been the first to make the inventions covered by each of our pending patent applications or issued patents;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licensors might not have been the first to file patent applications for these inventions;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8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0" w:lineRule="exact"/>
        <w:rPr>
          <w:sz w:val="20"/>
          <w:szCs w:val="20"/>
          <w:color w:val="auto"/>
        </w:rPr>
      </w:pPr>
    </w:p>
    <w:p>
      <w:pPr>
        <w:ind w:left="1100" w:right="80"/>
        <w:spacing w:after="0" w:line="235" w:lineRule="auto"/>
        <w:rPr>
          <w:sz w:val="20"/>
          <w:szCs w:val="20"/>
          <w:color w:val="auto"/>
        </w:rPr>
      </w:pPr>
      <w:r>
        <w:rPr>
          <w:rFonts w:ascii="Arial" w:cs="Arial" w:eastAsia="Arial" w:hAnsi="Arial"/>
          <w:sz w:val="18"/>
          <w:szCs w:val="18"/>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enforcement of patents and proprietary rights in other countries may be problematic or unpredictable;</w:t>
      </w:r>
    </w:p>
    <w:p>
      <w:pPr>
        <w:spacing w:after="0" w:line="63" w:lineRule="exact"/>
        <w:rPr>
          <w:sz w:val="20"/>
          <w:szCs w:val="20"/>
          <w:color w:val="auto"/>
        </w:rPr>
      </w:pPr>
    </w:p>
    <w:p>
      <w:pPr>
        <w:ind w:left="1100" w:right="520"/>
        <w:spacing w:after="0" w:line="246" w:lineRule="auto"/>
        <w:rPr>
          <w:sz w:val="20"/>
          <w:szCs w:val="20"/>
          <w:color w:val="auto"/>
        </w:rPr>
      </w:pPr>
      <w:r>
        <w:rPr>
          <w:rFonts w:ascii="Arial" w:cs="Arial" w:eastAsia="Arial" w:hAnsi="Arial"/>
          <w:sz w:val="18"/>
          <w:szCs w:val="18"/>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partners may not adequately protect our trade secrets;</w:t>
      </w:r>
    </w:p>
    <w:p>
      <w:pPr>
        <w:spacing w:after="0" w:line="63" w:lineRule="exact"/>
        <w:rPr>
          <w:sz w:val="20"/>
          <w:szCs w:val="20"/>
          <w:color w:val="auto"/>
        </w:rPr>
      </w:pPr>
    </w:p>
    <w:p>
      <w:pPr>
        <w:ind w:left="5540" w:right="4520" w:hanging="4437"/>
        <w:spacing w:after="0" w:line="307" w:lineRule="auto"/>
        <w:rPr>
          <w:sz w:val="20"/>
          <w:szCs w:val="20"/>
          <w:color w:val="auto"/>
        </w:rPr>
      </w:pPr>
      <w:r>
        <w:rPr>
          <w:rFonts w:ascii="Arial" w:cs="Arial" w:eastAsia="Arial" w:hAnsi="Arial"/>
          <w:sz w:val="16"/>
          <w:szCs w:val="16"/>
          <w:color w:val="auto"/>
        </w:rPr>
        <w:t>we may not develop additional proprietary technologies that are patentable; or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94"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Variability in intellectual property laws may adversely affect our intellectual property position.</w:t>
      </w:r>
    </w:p>
    <w:p>
      <w:pPr>
        <w:spacing w:after="0" w:line="19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7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We license from third parties some of the intellectual property that is important to our business. If we fail to meet our obligations under these licenses, or if we have a dispute regarding the terms of the licenses, these third parties could terminate the licenses. If the third parties who license intellectual property to us fail to maintain the intellectual property that we have licensed, or lose rights to that intellectual property, the rights we have licensed may be reduced or eliminated, which could subject us to claims of intellectual property infringement.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4"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23"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proprietary information and techniques that are substantially equivalent to ours. The occurrence of these events may have a material adverse effect on our business, financial condition or results of operations.</w:t>
      </w:r>
    </w:p>
    <w:p>
      <w:pPr>
        <w:spacing w:after="0" w:line="17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Our intellectual property may be subject to challenges in the United States or foreign jurisdictions that could adversely affect our intellectual property position.</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Oxford Nanopore Technologies Ltd. (“ONT Ltd.”), Oxford Nanopore Technologies, Inc.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Accordingly, adverse rulings in such proceedings could negatively impact the scope of our intellectual property protection for our products and technology, and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technology is subject to “march-in” rights by the U.S. government.</w:t>
      </w:r>
    </w:p>
    <w:p>
      <w:pPr>
        <w:spacing w:after="0" w:line="198"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legal proceedings to enforce our intellectual property rights.</w:t>
      </w:r>
    </w:p>
    <w:p>
      <w:pPr>
        <w:spacing w:after="0" w:line="198"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received adverse rulings against us with respect to our complaint with the USITC in one of these proceedings and additionally as described in </w:t>
      </w:r>
      <w:r>
        <w:rPr>
          <w:rFonts w:ascii="Arial" w:cs="Arial" w:eastAsia="Arial" w:hAnsi="Arial"/>
          <w:sz w:val="17"/>
          <w:szCs w:val="17"/>
          <w:i w:val="1"/>
          <w:iCs w:val="1"/>
          <w:color w:val="auto"/>
        </w:rPr>
        <w:t>Note 6. Commitments and Contingencies</w:t>
      </w:r>
      <w:r>
        <w:rPr>
          <w:rFonts w:ascii="Arial" w:cs="Arial" w:eastAsia="Arial" w:hAnsi="Arial"/>
          <w:sz w:val="17"/>
          <w:szCs w:val="17"/>
          <w:color w:val="auto"/>
        </w:rPr>
        <w:t xml:space="preserve"> of Item 1. of Financial Statements under Part I – Financial Information. Legal actions to enforce our patent rights have been, and will continue to be, expensive, and may divert significant management time and resources. Adverse parties from previous legal actions have brought, and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that could prevent us from selling any products found to be infringing the intellectual property rights of another party.</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7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8"/>
          <w:szCs w:val="18"/>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previously filed claims against us in the High Court of England and Wales and the District Court of Mannheim, Germany for patent infringement, and PGI has filed claims against us in the U.S. District Court for the District of Delaware. We are aware of other issued patents and patent applications owned by third parties that could be construed to read on our products and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develop further, commercialize, or sell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selling some or all of our products, which could materially and adversely affect our business.</w:t>
      </w:r>
    </w:p>
    <w:p>
      <w:pPr>
        <w:spacing w:after="0" w:line="16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70" w:lineRule="exact"/>
        <w:rPr>
          <w:sz w:val="20"/>
          <w:szCs w:val="20"/>
          <w:color w:val="auto"/>
        </w:rPr>
      </w:pPr>
    </w:p>
    <w:p>
      <w:pPr>
        <w:ind w:right="400" w:firstLine="648"/>
        <w:spacing w:after="0" w:line="231" w:lineRule="auto"/>
        <w:rPr>
          <w:sz w:val="20"/>
          <w:szCs w:val="20"/>
          <w:color w:val="auto"/>
        </w:rPr>
      </w:pPr>
      <w:r>
        <w:rPr>
          <w:rFonts w:ascii="Arial" w:cs="Arial" w:eastAsia="Arial" w:hAnsi="Arial"/>
          <w:sz w:val="18"/>
          <w:szCs w:val="18"/>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 and subject us to possible litigation.</w:t>
      </w:r>
    </w:p>
    <w:p>
      <w:pPr>
        <w:spacing w:after="0" w:line="198" w:lineRule="exact"/>
        <w:rPr>
          <w:sz w:val="20"/>
          <w:szCs w:val="20"/>
          <w:color w:val="auto"/>
        </w:rPr>
      </w:pPr>
    </w:p>
    <w:p>
      <w:pPr>
        <w:ind w:right="20" w:firstLine="648"/>
        <w:spacing w:after="0" w:line="233"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an open source license, which could substantially help our competitors develop products that are similar to or better than ours or otherwise materially and adversely affect our business.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is, and may continue to be, highly volatile, and you may be unable to sell your shares at or above the price you paid to acquire them.</w:t>
      </w:r>
    </w:p>
    <w:p>
      <w:pPr>
        <w:spacing w:after="0" w:line="17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announcements of new products, technological innovations or strategic partnerships by us or our competitors;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overall conditions in our industry and market;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 or loss of significant customers;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laws or regulations applicable to our products;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63" w:lineRule="exact"/>
        <w:rPr>
          <w:sz w:val="20"/>
          <w:szCs w:val="20"/>
          <w:color w:val="auto"/>
        </w:rPr>
      </w:pPr>
    </w:p>
    <w:p>
      <w:pPr>
        <w:ind w:left="1100" w:right="80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additions or departures of key personnel;</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issuance of new or updated research or reports by securities analysts;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 of our common stock by us or our stockholders;</w:t>
      </w:r>
    </w:p>
    <w:p>
      <w:pPr>
        <w:spacing w:after="0" w:line="63" w:lineRule="exact"/>
        <w:rPr>
          <w:sz w:val="20"/>
          <w:szCs w:val="20"/>
          <w:color w:val="auto"/>
        </w:rPr>
      </w:pPr>
    </w:p>
    <w:p>
      <w:pPr>
        <w:ind w:left="1100" w:right="2660"/>
        <w:spacing w:after="0" w:line="313" w:lineRule="auto"/>
        <w:rPr>
          <w:sz w:val="20"/>
          <w:szCs w:val="20"/>
          <w:color w:val="auto"/>
        </w:rPr>
      </w:pPr>
      <w:r>
        <w:rPr>
          <w:rFonts w:ascii="Arial" w:cs="Arial" w:eastAsia="Arial" w:hAnsi="Arial"/>
          <w:sz w:val="18"/>
          <w:szCs w:val="18"/>
          <w:color w:val="auto"/>
        </w:rPr>
        <w:t>stock price and volume fluctuations attributable to inconsistent trading volume levels of our shares; and reports, guidance and ratings issued by securities or industry analysts.</w:t>
      </w:r>
    </w:p>
    <w:p>
      <w:pPr>
        <w:ind w:left="1100"/>
        <w:spacing w:after="0"/>
        <w:rPr>
          <w:sz w:val="20"/>
          <w:szCs w:val="20"/>
          <w:color w:val="auto"/>
        </w:rPr>
      </w:pPr>
      <w:r>
        <w:rPr>
          <w:rFonts w:ascii="Arial" w:cs="Arial" w:eastAsia="Arial" w:hAnsi="Arial"/>
          <w:sz w:val="18"/>
          <w:szCs w:val="18"/>
          <w:color w:val="auto"/>
        </w:rPr>
        <w:t>general economic and market conditions, which could be impacted by various events including COVID-19.</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COVID-19,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our stock price to fall.</w:t>
      </w:r>
    </w:p>
    <w:p>
      <w:pPr>
        <w:spacing w:after="0" w:line="63" w:lineRule="exact"/>
        <w:rPr>
          <w:sz w:val="20"/>
          <w:szCs w:val="20"/>
          <w:color w:val="auto"/>
        </w:rPr>
      </w:pPr>
    </w:p>
    <w:p>
      <w:pPr>
        <w:ind w:right="100" w:firstLine="440"/>
        <w:spacing w:after="0" w:line="251" w:lineRule="auto"/>
        <w:rPr>
          <w:sz w:val="20"/>
          <w:szCs w:val="20"/>
          <w:color w:val="auto"/>
        </w:rPr>
      </w:pPr>
      <w:r>
        <w:rPr>
          <w:rFonts w:ascii="Arial" w:cs="Arial" w:eastAsia="Arial" w:hAnsi="Arial"/>
          <w:sz w:val="16"/>
          <w:szCs w:val="16"/>
          <w:color w:val="auto"/>
        </w:rPr>
        <w:t>We maintain a shelf registration statement on Form S-3 with the SEC pursuant to which we may, from time to time, sell up to an aggregate of $150.0 million of our common stock, preferred stock, depositary shares, warrants, debt securities or units. We have sold, and plan in the future to sell, shares of our common stock in underwritten offerings and have established, and may in the future establish, “at-the-market” offering programs pursuant to which we may offer and sell shares of our common stock. However, up to the $52.0 million of Continuation Advances actually paid to us are repayable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without interest to Illumina if, within two years of March 31, 2020, we raise at least $100 million in equity financing in a single transaction (with the amount repayable dependent on the amount raised by us). Sales of securities have resulted and will continue to result in dilution of our existing stockholders, and such sales could cause our stock price to fall.</w:t>
      </w:r>
    </w:p>
    <w:p>
      <w:pPr>
        <w:spacing w:after="0" w:line="175"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from time to time in connection with financings, acquisitions, investments or otherwise. Any such issuance would result in dilution to our existing stockholders and could cause our stock price to fall.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As a result, these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ind w:right="420" w:firstLine="648"/>
        <w:spacing w:after="0" w:line="274" w:lineRule="auto"/>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86" w:lineRule="exact"/>
        <w:rPr>
          <w:sz w:val="20"/>
          <w:szCs w:val="20"/>
          <w:color w:val="auto"/>
        </w:rPr>
      </w:pPr>
    </w:p>
    <w:p>
      <w:pPr>
        <w:ind w:left="1100" w:right="680"/>
        <w:spacing w:after="0" w:line="246"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35" w:lineRule="exact"/>
        <w:rPr>
          <w:sz w:val="20"/>
          <w:szCs w:val="20"/>
          <w:color w:val="auto"/>
        </w:rPr>
      </w:pPr>
    </w:p>
    <w:p>
      <w:pPr>
        <w:ind w:left="1100" w:right="44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1100" w:right="360"/>
        <w:spacing w:after="0" w:line="313" w:lineRule="auto"/>
        <w:rPr>
          <w:sz w:val="20"/>
          <w:szCs w:val="20"/>
          <w:color w:val="auto"/>
        </w:rPr>
      </w:pPr>
      <w:r>
        <w:rPr>
          <w:rFonts w:ascii="Arial" w:cs="Arial" w:eastAsia="Arial" w:hAnsi="Arial"/>
          <w:sz w:val="18"/>
          <w:szCs w:val="18"/>
          <w:color w:val="auto"/>
        </w:rPr>
        <w:t>establish that our board of directors is divided into three classes, Class I, Class II and Class III, with each class serving staggered terms; provide that our directors may be removed only for cause; and</w:t>
      </w:r>
    </w:p>
    <w:p>
      <w:pPr>
        <w:ind w:left="110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sz w:val="20"/>
          <w:szCs w:val="20"/>
          <w:color w:val="auto"/>
        </w:rPr>
      </w:pPr>
    </w:p>
    <w:p>
      <w:pPr>
        <w:jc w:val="both"/>
        <w:ind w:right="140" w:firstLine="324"/>
        <w:spacing w:after="0" w:line="246"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 number of authorized but unissued shares of common stock may potentially dilute existing stockholders’ stockholdings.</w:t>
      </w:r>
    </w:p>
    <w:p>
      <w:pPr>
        <w:spacing w:after="0" w:line="19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2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726"/>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6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0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Exhibit No.</w:t>
            </w:r>
          </w:p>
        </w:tc>
        <w:tc>
          <w:tcPr>
            <w:tcW w:w="1980" w:type="dxa"/>
            <w:vAlign w:val="bottom"/>
            <w:vMerge w:val="restart"/>
          </w:tcPr>
          <w:p>
            <w:pPr>
              <w:jc w:val="right"/>
              <w:ind w:right="526"/>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shd w:val="clear" w:color="auto" w:fill="CCEEFF"/>
          </w:tcPr>
          <w:p>
            <w:pPr>
              <w:spacing w:after="0" w:line="162" w:lineRule="exact"/>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10.1</w:t>
              </w:r>
            </w:hyperlink>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320" w:type="dxa"/>
            <w:vAlign w:val="bottom"/>
            <w:gridSpan w:val="8"/>
            <w:shd w:val="clear" w:color="auto" w:fill="CCEEFF"/>
          </w:tcPr>
          <w:p>
            <w:pPr>
              <w:ind w:left="100"/>
              <w:spacing w:after="0" w:line="162"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Agreement by and among Pacific Biosciences of California, Inc., Illumina, Inc. and</w:t>
              </w:r>
            </w:hyperlink>
          </w:p>
        </w:tc>
        <w:tc>
          <w:tcPr>
            <w:tcW w:w="6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8-K</w:t>
            </w:r>
          </w:p>
        </w:tc>
        <w:tc>
          <w:tcPr>
            <w:tcW w:w="1060" w:type="dxa"/>
            <w:vAlign w:val="bottom"/>
            <w:vMerge w:val="restart"/>
            <w:shd w:val="clear" w:color="auto" w:fill="CCEEFF"/>
          </w:tcPr>
          <w:p>
            <w:pPr>
              <w:jc w:val="right"/>
              <w:ind w:right="519"/>
              <w:spacing w:after="0"/>
              <w:rPr>
                <w:sz w:val="20"/>
                <w:szCs w:val="20"/>
                <w:color w:val="auto"/>
              </w:rPr>
            </w:pPr>
            <w:r>
              <w:rPr>
                <w:rFonts w:ascii="Arial" w:cs="Arial" w:eastAsia="Arial" w:hAnsi="Arial"/>
                <w:sz w:val="20"/>
                <w:szCs w:val="20"/>
                <w:color w:val="auto"/>
              </w:rPr>
              <w:t>10.1</w:t>
            </w:r>
          </w:p>
        </w:tc>
        <w:tc>
          <w:tcPr>
            <w:tcW w:w="1980" w:type="dxa"/>
            <w:vAlign w:val="bottom"/>
            <w:vMerge w:val="restart"/>
            <w:shd w:val="clear" w:color="auto" w:fill="CCEEFF"/>
          </w:tcPr>
          <w:p>
            <w:pPr>
              <w:jc w:val="right"/>
              <w:ind w:right="546"/>
              <w:spacing w:after="0"/>
              <w:rPr>
                <w:sz w:val="20"/>
                <w:szCs w:val="20"/>
                <w:color w:val="auto"/>
              </w:rPr>
            </w:pPr>
            <w:r>
              <w:rPr>
                <w:rFonts w:ascii="Arial" w:cs="Arial" w:eastAsia="Arial" w:hAnsi="Arial"/>
                <w:sz w:val="20"/>
                <w:szCs w:val="20"/>
                <w:color w:val="auto"/>
                <w:w w:val="92"/>
              </w:rPr>
              <w:t>January 2, 2020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60" w:type="dxa"/>
            <w:vAlign w:val="bottom"/>
            <w:tcBorders>
              <w:top w:val="single" w:sz="8" w:color="0000FF"/>
            </w:tcBorders>
            <w:gridSpan w:val="6"/>
            <w:shd w:val="clear" w:color="auto" w:fill="CCEEFF"/>
          </w:tcPr>
          <w:p>
            <w:pPr>
              <w:spacing w:after="0" w:line="169" w:lineRule="exact"/>
              <w:rPr>
                <w:rFonts w:ascii="Arial" w:cs="Arial" w:eastAsia="Arial" w:hAnsi="Arial"/>
                <w:sz w:val="18"/>
                <w:szCs w:val="18"/>
                <w:color w:val="0000FF"/>
              </w:rPr>
            </w:pPr>
            <w:hyperlink r:id="rId95">
              <w:r>
                <w:rPr>
                  <w:rFonts w:ascii="Arial" w:cs="Arial" w:eastAsia="Arial" w:hAnsi="Arial"/>
                  <w:sz w:val="18"/>
                  <w:szCs w:val="18"/>
                  <w:color w:val="0000FF"/>
                </w:rPr>
                <w:t>FC Ops Corp. dated January 2, 2020</w:t>
              </w:r>
            </w:hyperlink>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vMerge w:val="continue"/>
            <w:shd w:val="clear" w:color="auto" w:fill="CCEEFF"/>
          </w:tcPr>
          <w:p>
            <w:pPr>
              <w:spacing w:after="0"/>
              <w:rPr>
                <w:sz w:val="14"/>
                <w:szCs w:val="14"/>
                <w:color w:val="auto"/>
              </w:rPr>
            </w:pPr>
          </w:p>
        </w:tc>
        <w:tc>
          <w:tcPr>
            <w:tcW w:w="1060" w:type="dxa"/>
            <w:vAlign w:val="bottom"/>
            <w:tcBorders>
              <w:top w:val="single" w:sz="8" w:color="CCEEFF"/>
            </w:tcBorders>
            <w:vMerge w:val="continue"/>
            <w:shd w:val="clear" w:color="auto" w:fill="CCEEFF"/>
          </w:tcPr>
          <w:p>
            <w:pPr>
              <w:spacing w:after="0"/>
              <w:rPr>
                <w:sz w:val="14"/>
                <w:szCs w:val="14"/>
                <w:color w:val="auto"/>
              </w:rPr>
            </w:pPr>
          </w:p>
        </w:tc>
        <w:tc>
          <w:tcPr>
            <w:tcW w:w="198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31.1</w:t>
              </w:r>
            </w:hyperlink>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tcBorders>
              <w:bottom w:val="single" w:sz="8" w:color="0000FF"/>
            </w:tcBorders>
            <w:gridSpan w:val="5"/>
          </w:tcPr>
          <w:p>
            <w:pPr>
              <w:spacing w:after="0" w:line="16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Chief Executive Officer pursuant to Exchange Act Rules 13a-14(a)</w:t>
              </w:r>
            </w:hyperlink>
          </w:p>
        </w:tc>
        <w:tc>
          <w:tcPr>
            <w:tcW w:w="2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vMerge w:val="restart"/>
          </w:tcPr>
          <w:p>
            <w:pPr>
              <w:ind w:left="14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gridSpan w:val="7"/>
          </w:tcPr>
          <w:p>
            <w:pPr>
              <w:spacing w:after="0" w:line="196" w:lineRule="exact"/>
              <w:rPr>
                <w:rFonts w:ascii="Arial" w:cs="Arial" w:eastAsia="Arial" w:hAnsi="Arial"/>
                <w:sz w:val="18"/>
                <w:szCs w:val="18"/>
                <w:u w:val="single" w:color="auto"/>
                <w:color w:val="0000FF"/>
                <w:w w:val="90"/>
              </w:rPr>
            </w:pPr>
            <w:hyperlink w:anchor="page56">
              <w:r>
                <w:rPr>
                  <w:rFonts w:ascii="Arial" w:cs="Arial" w:eastAsia="Arial" w:hAnsi="Arial"/>
                  <w:sz w:val="18"/>
                  <w:szCs w:val="18"/>
                  <w:u w:val="single" w:color="auto"/>
                  <w:color w:val="0000FF"/>
                  <w:w w:val="90"/>
                </w:rPr>
                <w:t>and 15d-14(a), as adopted pursuant to Section 302 of the Sarbanes-Oxley Act of 2002</w:t>
              </w:r>
            </w:hyperlink>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CCEEFF"/>
            </w:tcBorders>
            <w:shd w:val="clear" w:color="auto" w:fill="CCEEFF"/>
          </w:tcPr>
          <w:p>
            <w:pPr>
              <w:spacing w:after="0" w:line="162" w:lineRule="exact"/>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31.2</w:t>
              </w:r>
            </w:hyperlink>
          </w:p>
        </w:tc>
        <w:tc>
          <w:tcPr>
            <w:tcW w:w="3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0000FF"/>
            </w:tcBorders>
            <w:gridSpan w:val="4"/>
            <w:shd w:val="clear" w:color="auto" w:fill="CCEEFF"/>
          </w:tcPr>
          <w:p>
            <w:pPr>
              <w:spacing w:after="0" w:line="162" w:lineRule="exact"/>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Financial Officer pursuant to Exchange Act Rules 13a-14(a)</w:t>
              </w:r>
            </w:hyperlink>
          </w:p>
        </w:tc>
        <w:tc>
          <w:tcPr>
            <w:tcW w:w="240" w:type="dxa"/>
            <w:vAlign w:val="bottom"/>
            <w:tcBorders>
              <w:bottom w:val="single" w:sz="8" w:color="CCEEFF"/>
            </w:tcBorders>
            <w:gridSpan w:val="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vMerge w:val="restart"/>
            <w:shd w:val="clear" w:color="auto" w:fill="CCEEFF"/>
          </w:tcPr>
          <w:p>
            <w:pPr>
              <w:ind w:left="14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20" w:type="dxa"/>
            <w:vAlign w:val="bottom"/>
            <w:gridSpan w:val="7"/>
            <w:shd w:val="clear" w:color="auto" w:fill="CCEEFF"/>
          </w:tcPr>
          <w:p>
            <w:pPr>
              <w:spacing w:after="0" w:line="196" w:lineRule="exact"/>
              <w:rPr>
                <w:rFonts w:ascii="Arial" w:cs="Arial" w:eastAsia="Arial" w:hAnsi="Arial"/>
                <w:sz w:val="18"/>
                <w:szCs w:val="18"/>
                <w:u w:val="single" w:color="auto"/>
                <w:color w:val="0000FF"/>
                <w:w w:val="90"/>
              </w:rPr>
            </w:pPr>
            <w:hyperlink w:anchor="page57">
              <w:r>
                <w:rPr>
                  <w:rFonts w:ascii="Arial" w:cs="Arial" w:eastAsia="Arial" w:hAnsi="Arial"/>
                  <w:sz w:val="18"/>
                  <w:szCs w:val="18"/>
                  <w:u w:val="single" w:color="auto"/>
                  <w:color w:val="0000FF"/>
                  <w:w w:val="90"/>
                </w:rPr>
                <w:t>and 15d-14(a), as adopted pursuant to Section 302 of the Sarbanes-Oxley Act of 2002</w:t>
              </w:r>
            </w:hyperlink>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rFonts w:ascii="Arial" w:cs="Arial" w:eastAsia="Arial" w:hAnsi="Arial"/>
                <w:sz w:val="18"/>
                <w:szCs w:val="18"/>
                <w:color w:val="0000FF"/>
              </w:rPr>
            </w:pPr>
            <w:hyperlink w:anchor="page58">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20" w:type="dxa"/>
            <w:vAlign w:val="bottom"/>
            <w:gridSpan w:val="8"/>
          </w:tcPr>
          <w:p>
            <w:pPr>
              <w:ind w:left="100"/>
              <w:spacing w:after="0" w:line="16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Certification of Chief Executive Officer pursuant to 18 U.S.C. Section 1350, as</w:t>
              </w:r>
            </w:hyperlink>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vMerge w:val="restart"/>
          </w:tcPr>
          <w:p>
            <w:pPr>
              <w:ind w:left="14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Borders>
              <w:top w:val="single" w:sz="8" w:color="0000FF"/>
            </w:tcBorders>
            <w:gridSpan w:val="3"/>
          </w:tcPr>
          <w:p>
            <w:pPr>
              <w:spacing w:after="0" w:line="196" w:lineRule="exact"/>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adopted pursuant to Section 906 of the Sarbanes-Oxley Act of 2002</w:t>
              </w:r>
            </w:hyperlink>
          </w:p>
        </w:tc>
        <w:tc>
          <w:tcPr>
            <w:tcW w:w="4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rFonts w:ascii="Arial" w:cs="Arial" w:eastAsia="Arial" w:hAnsi="Arial"/>
                <w:sz w:val="18"/>
                <w:szCs w:val="18"/>
                <w:color w:val="0000FF"/>
              </w:rPr>
            </w:pPr>
            <w:hyperlink w:anchor="page59">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320" w:type="dxa"/>
            <w:vAlign w:val="bottom"/>
            <w:gridSpan w:val="8"/>
            <w:shd w:val="clear" w:color="auto" w:fill="CCEEFF"/>
          </w:tcPr>
          <w:p>
            <w:pPr>
              <w:ind w:left="100"/>
              <w:spacing w:after="0" w:line="162" w:lineRule="exact"/>
              <w:rPr>
                <w:rFonts w:ascii="Arial" w:cs="Arial" w:eastAsia="Arial" w:hAnsi="Arial"/>
                <w:sz w:val="18"/>
                <w:szCs w:val="18"/>
                <w:color w:val="0000FF"/>
              </w:rPr>
            </w:pPr>
            <w:hyperlink w:anchor="page59">
              <w:r>
                <w:rPr>
                  <w:rFonts w:ascii="Arial" w:cs="Arial" w:eastAsia="Arial" w:hAnsi="Arial"/>
                  <w:sz w:val="18"/>
                  <w:szCs w:val="18"/>
                  <w:color w:val="0000FF"/>
                </w:rPr>
                <w:t>Certification of Chief Financial Officer pursuant to 18 U.S.C. Section 1350, as</w:t>
              </w:r>
            </w:hyperlink>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ind w:left="14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adopted pursuant to Section 906 of the Sarbanes-Oxley Act of 2002</w:t>
              </w:r>
            </w:hyperlink>
          </w:p>
        </w:tc>
        <w:tc>
          <w:tcPr>
            <w:tcW w:w="520" w:type="dxa"/>
            <w:vAlign w:val="bottom"/>
            <w:tcBorders>
              <w:top w:val="single" w:sz="8" w:color="CCEEFF"/>
            </w:tcBorders>
            <w:gridSpan w:val="5"/>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line="161" w:lineRule="exact"/>
              <w:rPr>
                <w:sz w:val="20"/>
                <w:szCs w:val="20"/>
                <w:color w:val="auto"/>
              </w:rPr>
            </w:pPr>
            <w:r>
              <w:rPr>
                <w:rFonts w:ascii="Arial" w:cs="Arial" w:eastAsia="Arial" w:hAnsi="Arial"/>
                <w:sz w:val="18"/>
                <w:szCs w:val="18"/>
                <w:color w:val="auto"/>
              </w:rPr>
              <w:t>101.INS</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20" w:type="dxa"/>
            <w:vAlign w:val="bottom"/>
            <w:gridSpan w:val="8"/>
          </w:tcPr>
          <w:p>
            <w:pPr>
              <w:ind w:left="100"/>
              <w:spacing w:after="0" w:line="161" w:lineRule="exact"/>
              <w:rPr>
                <w:sz w:val="20"/>
                <w:szCs w:val="20"/>
                <w:color w:val="auto"/>
              </w:rPr>
            </w:pPr>
            <w:r>
              <w:rPr>
                <w:rFonts w:ascii="Arial" w:cs="Arial" w:eastAsia="Arial" w:hAnsi="Arial"/>
                <w:sz w:val="18"/>
                <w:szCs w:val="18"/>
                <w:color w:val="auto"/>
                <w:w w:val="92"/>
              </w:rPr>
              <w:t>XBRL Instance Document (the instance document does not appear in the Interactive</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20" w:type="dxa"/>
            <w:vAlign w:val="bottom"/>
            <w:gridSpan w:val="8"/>
          </w:tcPr>
          <w:p>
            <w:pPr>
              <w:ind w:left="100"/>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101.SCH</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320" w:type="dxa"/>
            <w:vAlign w:val="bottom"/>
            <w:gridSpan w:val="8"/>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Schema Document</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20" w:type="dxa"/>
            <w:vAlign w:val="bottom"/>
            <w:gridSpan w:val="8"/>
          </w:tcPr>
          <w:p>
            <w:pPr>
              <w:ind w:left="100"/>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101.DEF</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320" w:type="dxa"/>
            <w:vAlign w:val="bottom"/>
            <w:gridSpan w:val="8"/>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5" w:lineRule="exact"/>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20" w:type="dxa"/>
            <w:vAlign w:val="bottom"/>
            <w:gridSpan w:val="8"/>
          </w:tcPr>
          <w:p>
            <w:pPr>
              <w:ind w:left="100"/>
              <w:spacing w:after="0" w:line="175" w:lineRule="exact"/>
              <w:rPr>
                <w:sz w:val="20"/>
                <w:szCs w:val="20"/>
                <w:color w:val="auto"/>
              </w:rPr>
            </w:pPr>
            <w:r>
              <w:rPr>
                <w:rFonts w:ascii="Arial" w:cs="Arial" w:eastAsia="Arial" w:hAnsi="Arial"/>
                <w:sz w:val="18"/>
                <w:szCs w:val="18"/>
                <w:color w:val="auto"/>
              </w:rPr>
              <w:t>XBRL Taxonomy Extension Labels Linkbase Document</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20" w:type="dxa"/>
            <w:vAlign w:val="bottom"/>
            <w:gridSpan w:val="8"/>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340" w:hanging="131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Cover Page Interactive File </w:t>
      </w:r>
      <w:r>
        <w:rPr>
          <w:rFonts w:ascii="Arial" w:cs="Arial" w:eastAsia="Arial" w:hAnsi="Arial"/>
          <w:sz w:val="18"/>
          <w:szCs w:val="18"/>
          <w:color w:val="auto"/>
          <w:highlight w:val="white"/>
        </w:rPr>
        <w:t>(formatted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60"/>
        <w:spacing w:after="0" w:line="231"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30175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ectPr>
          <w:pgSz w:w="11900" w:h="16838" w:orient="portrait"/>
          <w:cols w:equalWidth="0" w:num="1">
            <w:col w:w="10900"/>
          </w:cols>
          <w:pgMar w:left="320" w:top="112" w:right="679" w:bottom="1440" w:gutter="0" w:footer="0" w:header="0"/>
        </w:sectPr>
      </w:pPr>
    </w:p>
    <w:p>
      <w:pPr>
        <w:spacing w:after="0" w:line="11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ACIFIC</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IOSCIENCES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ALIFORNIA</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3">
            <w:col w:w="7800" w:space="60"/>
            <w:col w:w="180" w:space="40"/>
            <w:col w:w="2820"/>
          </w:cols>
          <w:pgMar w:left="320" w:top="112" w:right="679" w:bottom="1440" w:gutter="0" w:footer="0" w:header="0"/>
          <w:type w:val="continuous"/>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8, 2020</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17"/>
          <w:szCs w:val="17"/>
          <w:color w:val="auto"/>
        </w:rPr>
        <w:t>/s/</w:t>
        <w:tab/>
        <w:t>S</w:t>
      </w:r>
      <w:r>
        <w:rPr>
          <w:rFonts w:ascii="Arial" w:cs="Arial" w:eastAsia="Arial" w:hAnsi="Arial"/>
          <w:sz w:val="12"/>
          <w:szCs w:val="12"/>
          <w:color w:val="auto"/>
        </w:rPr>
        <w:t>USAN</w:t>
      </w:r>
      <w:r>
        <w:rPr>
          <w:rFonts w:ascii="Arial" w:cs="Arial" w:eastAsia="Arial" w:hAnsi="Arial"/>
          <w:sz w:val="17"/>
          <w:szCs w:val="17"/>
          <w:color w:val="auto"/>
        </w:rPr>
        <w:t xml:space="preserve"> K. B</w:t>
      </w:r>
      <w:r>
        <w:rPr>
          <w:rFonts w:ascii="Arial" w:cs="Arial" w:eastAsia="Arial" w:hAnsi="Arial"/>
          <w:sz w:val="12"/>
          <w:szCs w:val="12"/>
          <w:color w:val="auto"/>
        </w:rPr>
        <w:t>ARNES</w:t>
      </w:r>
    </w:p>
    <w:p>
      <w:pPr>
        <w:spacing w:after="0" w:line="1" w:lineRule="exact"/>
        <w:rPr>
          <w:sz w:val="20"/>
          <w:szCs w:val="20"/>
          <w:color w:val="auto"/>
        </w:rPr>
      </w:pPr>
    </w:p>
    <w:p>
      <w:pPr>
        <w:sectPr>
          <w:pgSz w:w="11900" w:h="16838" w:orient="portrait"/>
          <w:cols w:equalWidth="0" w:num="2">
            <w:col w:w="7200" w:space="720"/>
            <w:col w:w="2980"/>
          </w:cols>
          <w:pgMar w:left="320" w:top="112" w:right="679" w:bottom="1440" w:gutter="0" w:footer="0" w:header="0"/>
          <w:type w:val="continuous"/>
        </w:sectPr>
      </w:pPr>
    </w:p>
    <w:p>
      <w:pPr>
        <w:ind w:left="6220"/>
        <w:spacing w:after="0" w:line="180" w:lineRule="auto"/>
        <w:rPr>
          <w:sz w:val="20"/>
          <w:szCs w:val="20"/>
          <w:color w:val="auto"/>
        </w:rPr>
      </w:pPr>
      <w:r>
        <w:rPr>
          <w:rFonts w:ascii="Arial" w:cs="Arial" w:eastAsia="Arial" w:hAnsi="Arial"/>
          <w:sz w:val="15"/>
          <w:szCs w:val="15"/>
          <w:color w:val="auto"/>
        </w:rPr>
        <w:t>By:</w:t>
      </w:r>
    </w:p>
    <w:p>
      <w:pPr>
        <w:sectPr>
          <w:pgSz w:w="11900" w:h="16838" w:orient="portrait"/>
          <w:cols w:equalWidth="0" w:num="1">
            <w:col w:w="10900"/>
          </w:cols>
          <w:pgMar w:left="320" w:top="112" w:right="679" w:bottom="1440" w:gutter="0" w:footer="0" w:header="0"/>
          <w:type w:val="continuous"/>
        </w:sectPr>
      </w:pPr>
    </w:p>
    <w:p>
      <w:pPr>
        <w:spacing w:after="0" w:line="81" w:lineRule="exact"/>
        <w:rPr>
          <w:sz w:val="20"/>
          <w:szCs w:val="20"/>
          <w:color w:val="auto"/>
        </w:rPr>
      </w:pPr>
    </w:p>
    <w:p>
      <w:pPr>
        <w:jc w:val="center"/>
        <w:ind w:left="6500"/>
        <w:spacing w:after="0"/>
        <w:rPr>
          <w:sz w:val="20"/>
          <w:szCs w:val="20"/>
          <w:color w:val="auto"/>
        </w:rPr>
      </w:pPr>
      <w:r>
        <w:rPr>
          <w:rFonts w:ascii="Arial" w:cs="Arial" w:eastAsia="Arial" w:hAnsi="Arial"/>
          <w:sz w:val="13"/>
          <w:szCs w:val="13"/>
          <w:b w:val="1"/>
          <w:bCs w:val="1"/>
          <w:color w:val="auto"/>
        </w:rPr>
        <w:t>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-85725</wp:posOffset>
            </wp:positionV>
            <wp:extent cx="2991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jc w:val="center"/>
        <w:ind w:left="6460"/>
        <w:spacing w:after="0" w:line="234" w:lineRule="auto"/>
        <w:rPr>
          <w:sz w:val="20"/>
          <w:szCs w:val="20"/>
          <w:color w:val="auto"/>
        </w:rPr>
      </w:pPr>
      <w:r>
        <w:rPr>
          <w:rFonts w:ascii="Arial" w:cs="Arial" w:eastAsia="Arial" w:hAnsi="Arial"/>
          <w:sz w:val="12"/>
          <w:szCs w:val="12"/>
          <w:b w:val="1"/>
          <w:bCs w:val="1"/>
          <w:color w:val="auto"/>
        </w:rPr>
        <w:t>Executive Vice President, Chief Financial Officer and</w:t>
      </w:r>
    </w:p>
    <w:p>
      <w:pPr>
        <w:jc w:val="center"/>
        <w:ind w:left="6500"/>
        <w:spacing w:after="0"/>
        <w:rPr>
          <w:sz w:val="20"/>
          <w:szCs w:val="20"/>
          <w:color w:val="auto"/>
        </w:rPr>
      </w:pPr>
      <w:r>
        <w:rPr>
          <w:rFonts w:ascii="Arial" w:cs="Arial" w:eastAsia="Arial" w:hAnsi="Arial"/>
          <w:sz w:val="13"/>
          <w:szCs w:val="13"/>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900"/>
          </w:cols>
          <w:pgMar w:left="320" w:top="112" w:right="679" w:bottom="1440" w:gutter="0" w:footer="0" w:header="0"/>
          <w:type w:val="continuous"/>
        </w:sectPr>
      </w:pPr>
    </w:p>
    <w:bookmarkStart w:id="55" w:name="page56"/>
    <w:bookmarkEnd w:id="55"/>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Michael Hunkapiller, certify that:</w:t>
      </w:r>
    </w:p>
    <w:p>
      <w:pPr>
        <w:spacing w:after="0" w:line="50" w:lineRule="exact"/>
        <w:rPr>
          <w:sz w:val="20"/>
          <w:szCs w:val="20"/>
          <w:color w:val="auto"/>
        </w:rPr>
      </w:pPr>
    </w:p>
    <w:p>
      <w:pPr>
        <w:ind w:left="800" w:hanging="1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Michael Hunkapiller</w:t>
      </w:r>
    </w:p>
    <w:p>
      <w:pPr>
        <w:jc w:val="center"/>
        <w:ind w:left="4980"/>
        <w:spacing w:after="0" w:line="215" w:lineRule="auto"/>
        <w:rPr>
          <w:sz w:val="20"/>
          <w:szCs w:val="20"/>
          <w:color w:val="auto"/>
        </w:rPr>
      </w:pPr>
      <w:r>
        <w:rPr>
          <w:rFonts w:ascii="Arial" w:cs="Arial" w:eastAsia="Arial" w:hAnsi="Arial"/>
          <w:sz w:val="17"/>
          <w:szCs w:val="17"/>
          <w:color w:val="auto"/>
        </w:rPr>
        <w:t>Chief Executive Officer and President (Principal</w:t>
      </w:r>
    </w:p>
    <w:p>
      <w:pPr>
        <w:jc w:val="center"/>
        <w:ind w:left="498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Susan Barnes, certify that:</w:t>
      </w:r>
    </w:p>
    <w:p>
      <w:pPr>
        <w:spacing w:after="0" w:line="50" w:lineRule="exact"/>
        <w:rPr>
          <w:sz w:val="20"/>
          <w:szCs w:val="20"/>
          <w:color w:val="auto"/>
        </w:rPr>
      </w:pPr>
    </w:p>
    <w:p>
      <w:pPr>
        <w:ind w:left="800" w:hanging="17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Susan K. Barnes</w:t>
      </w:r>
    </w:p>
    <w:p>
      <w:pPr>
        <w:jc w:val="center"/>
        <w:ind w:left="4980"/>
        <w:spacing w:after="0" w:line="228" w:lineRule="auto"/>
        <w:rPr>
          <w:sz w:val="20"/>
          <w:szCs w:val="20"/>
          <w:color w:val="auto"/>
        </w:rPr>
      </w:pPr>
      <w:r>
        <w:rPr>
          <w:rFonts w:ascii="Arial" w:cs="Arial" w:eastAsia="Arial" w:hAnsi="Arial"/>
          <w:sz w:val="16"/>
          <w:szCs w:val="16"/>
          <w:color w:val="auto"/>
        </w:rPr>
        <w:t>Executive Vice President, Chief Financial Officer</w:t>
      </w:r>
    </w:p>
    <w:p>
      <w:pPr>
        <w:jc w:val="center"/>
        <w:ind w:left="4980"/>
        <w:spacing w:after="0" w:line="204" w:lineRule="auto"/>
        <w:rPr>
          <w:sz w:val="20"/>
          <w:szCs w:val="20"/>
          <w:color w:val="auto"/>
        </w:rPr>
      </w:pPr>
      <w:r>
        <w:rPr>
          <w:rFonts w:ascii="Arial" w:cs="Arial" w:eastAsia="Arial" w:hAnsi="Arial"/>
          <w:sz w:val="18"/>
          <w:szCs w:val="18"/>
          <w:color w:val="auto"/>
        </w:rPr>
        <w:t>&amp; Principal Accounting Officer</w:t>
      </w:r>
    </w:p>
    <w:p>
      <w:pPr>
        <w:jc w:val="center"/>
        <w:ind w:left="4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CEO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5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March 31, 2020, as filed with the Securities and Exchange Commission on the date hereof, I, Michael Hunkapiller, Chief Executive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19" w:firstLine="445"/>
        <w:spacing w:after="0" w:line="258" w:lineRule="auto"/>
        <w:tabs>
          <w:tab w:leader="none" w:pos="8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2020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180"/>
        <w:spacing w:after="0"/>
        <w:tabs>
          <w:tab w:leader="none" w:pos="58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000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0"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Michael Hunkapiller</w:t>
      </w:r>
    </w:p>
    <w:p>
      <w:pPr>
        <w:spacing w:after="0" w:line="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Chief Executive Officer and President</w:t>
      </w:r>
    </w:p>
    <w:p>
      <w:pPr>
        <w:jc w:val="cente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278765</wp:posOffset>
            </wp:positionV>
            <wp:extent cx="550354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CFO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5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March 31, 2020, as filed with the Securities and Exchange Commission on the date hereof, I, Susan Barnes, Chief Financial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19" w:firstLine="445"/>
        <w:spacing w:after="0" w:line="258" w:lineRule="auto"/>
        <w:tabs>
          <w:tab w:leader="none" w:pos="8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2020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180"/>
        <w:spacing w:after="0"/>
        <w:tabs>
          <w:tab w:leader="none" w:pos="598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5"/>
          <w:szCs w:val="15"/>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7000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jc w:val="center"/>
        <w:ind w:left="4380"/>
        <w:spacing w:after="0"/>
        <w:rPr>
          <w:sz w:val="20"/>
          <w:szCs w:val="20"/>
          <w:color w:val="auto"/>
        </w:rPr>
      </w:pPr>
      <w:r>
        <w:rPr>
          <w:rFonts w:ascii="Arial" w:cs="Arial" w:eastAsia="Arial" w:hAnsi="Arial"/>
          <w:sz w:val="18"/>
          <w:szCs w:val="18"/>
          <w:color w:val="auto"/>
        </w:rPr>
        <w:t>Susan K. Barnes</w:t>
      </w:r>
    </w:p>
    <w:p>
      <w:pPr>
        <w:jc w:val="center"/>
        <w:ind w:left="4380"/>
        <w:spacing w:after="0" w:line="203" w:lineRule="auto"/>
        <w:rPr>
          <w:sz w:val="20"/>
          <w:szCs w:val="20"/>
          <w:color w:val="auto"/>
        </w:rPr>
      </w:pPr>
      <w:r>
        <w:rPr>
          <w:rFonts w:ascii="Arial" w:cs="Arial" w:eastAsia="Arial" w:hAnsi="Arial"/>
          <w:sz w:val="18"/>
          <w:szCs w:val="18"/>
          <w:color w:val="auto"/>
        </w:rPr>
        <w:t>Executive Vice President, Chief Financial Officer &amp;</w:t>
      </w:r>
    </w:p>
    <w:p>
      <w:pPr>
        <w:jc w:val="center"/>
        <w:ind w:left="4380"/>
        <w:spacing w:after="0" w:line="203" w:lineRule="auto"/>
        <w:rPr>
          <w:sz w:val="20"/>
          <w:szCs w:val="20"/>
          <w:color w:val="auto"/>
        </w:rPr>
      </w:pPr>
      <w:r>
        <w:rPr>
          <w:rFonts w:ascii="Arial" w:cs="Arial" w:eastAsia="Arial" w:hAnsi="Arial"/>
          <w:sz w:val="18"/>
          <w:szCs w:val="18"/>
          <w:color w:val="auto"/>
        </w:rPr>
        <w:t>Principal Accounting Officer</w:t>
      </w:r>
    </w:p>
    <w:p>
      <w:pPr>
        <w:spacing w:after="0" w:line="1"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827405</wp:posOffset>
            </wp:positionV>
            <wp:extent cx="550354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04"/>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95" Type="http://schemas.openxmlformats.org/officeDocument/2006/relationships/hyperlink" Target="http://www.sec.gov/Archives/edgar/data/1299130/000119312520000641/d8392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2020-05-08T15:41:30Z</dcterms:created>
  <dcterms:modified xsi:type="dcterms:W3CDTF">2020-05-08T15:41:30Z</dcterms:modified>
</cp:coreProperties>
</file>