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358775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2"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 w:lineRule="exact"/>
        <w:rPr>
          <w:sz w:val="24"/>
          <w:szCs w:val="24"/>
          <w:color w:val="auto"/>
        </w:rPr>
      </w:pPr>
    </w:p>
    <w:p>
      <w:pPr>
        <w:ind w:left="2340" w:hanging="295"/>
        <w:spacing w:after="0"/>
        <w:tabs>
          <w:tab w:leader="none" w:pos="234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8" w:lineRule="exact"/>
        <w:rPr>
          <w:rFonts w:ascii="Wingdings" w:cs="Wingdings" w:eastAsia="Wingdings" w:hAnsi="Wingdings"/>
          <w:sz w:val="14"/>
          <w:szCs w:val="14"/>
          <w:b w:val="1"/>
          <w:bCs w:val="1"/>
          <w:color w:val="auto"/>
        </w:rPr>
      </w:pPr>
    </w:p>
    <w:p>
      <w:pPr>
        <w:ind w:left="4380"/>
        <w:spacing w:after="0"/>
        <w:rPr>
          <w:rFonts w:ascii="Wingdings" w:cs="Wingdings" w:eastAsia="Wingdings" w:hAnsi="Wingdings"/>
          <w:sz w:val="14"/>
          <w:szCs w:val="14"/>
          <w:b w:val="1"/>
          <w:bCs w:val="1"/>
          <w:color w:val="auto"/>
        </w:rPr>
      </w:pPr>
      <w:r>
        <w:rPr>
          <w:rFonts w:ascii="Times New Roman" w:cs="Times New Roman" w:eastAsia="Times New Roman" w:hAnsi="Times New Roman"/>
          <w:sz w:val="13"/>
          <w:szCs w:val="13"/>
          <w:b w:val="1"/>
          <w:bCs w:val="1"/>
          <w:color w:val="auto"/>
        </w:rPr>
        <w:t xml:space="preserve">For the fiscal year ended </w:t>
      </w:r>
      <w:r>
        <w:rPr>
          <w:rFonts w:ascii="Times New Roman" w:cs="Times New Roman" w:eastAsia="Times New Roman" w:hAnsi="Times New Roman"/>
          <w:sz w:val="14"/>
          <w:szCs w:val="14"/>
          <w:b w:val="1"/>
          <w:bCs w:val="1"/>
          <w:color w:val="auto"/>
        </w:rPr>
        <w:t>December 31, 2023</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5" w:lineRule="exact"/>
        <w:rPr>
          <w:sz w:val="24"/>
          <w:szCs w:val="24"/>
          <w:color w:val="auto"/>
        </w:rPr>
      </w:pPr>
    </w:p>
    <w:p>
      <w:pPr>
        <w:ind w:left="2180" w:hanging="269"/>
        <w:spacing w:after="0"/>
        <w:tabs>
          <w:tab w:leader="none" w:pos="218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 w:lineRule="exact"/>
        <w:rPr>
          <w:sz w:val="24"/>
          <w:szCs w:val="24"/>
          <w:color w:val="auto"/>
        </w:rPr>
      </w:pPr>
    </w:p>
    <w:p>
      <w:pPr>
        <w:ind w:left="4620"/>
        <w:spacing w:after="0"/>
        <w:tabs>
          <w:tab w:leader="none" w:pos="654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001-34899</w:t>
      </w:r>
    </w:p>
    <w:p>
      <w:pPr>
        <w:spacing w:after="0" w:line="2"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95885</wp:posOffset>
            </wp:positionV>
            <wp:extent cx="1549400" cy="323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9400" cy="323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Pacific Biosciences of California,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3920" w:type="dxa"/>
            <w:vAlign w:val="bottom"/>
          </w:tcPr>
          <w:p>
            <w:pPr>
              <w:jc w:val="center"/>
              <w:ind w:left="1680"/>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tcPr>
          <w:p>
            <w:pPr>
              <w:jc w:val="right"/>
              <w:ind w:right="2440"/>
              <w:spacing w:after="0"/>
              <w:rPr>
                <w:sz w:val="20"/>
                <w:szCs w:val="20"/>
                <w:color w:val="auto"/>
              </w:rPr>
            </w:pPr>
            <w:r>
              <w:rPr>
                <w:rFonts w:ascii="Times New Roman" w:cs="Times New Roman" w:eastAsia="Times New Roman" w:hAnsi="Times New Roman"/>
                <w:sz w:val="13"/>
                <w:szCs w:val="13"/>
                <w:b w:val="1"/>
                <w:bCs w:val="1"/>
                <w:color w:val="auto"/>
              </w:rPr>
              <w:t>16-1590339</w:t>
            </w:r>
          </w:p>
        </w:tc>
      </w:tr>
      <w:tr>
        <w:trPr>
          <w:trHeight w:val="115"/>
        </w:trPr>
        <w:tc>
          <w:tcPr>
            <w:tcW w:w="3920" w:type="dxa"/>
            <w:vAlign w:val="bottom"/>
          </w:tcPr>
          <w:p>
            <w:pPr>
              <w:jc w:val="center"/>
              <w:ind w:left="1680"/>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60" w:type="dxa"/>
            <w:vAlign w:val="bottom"/>
          </w:tcPr>
          <w:p>
            <w:pPr>
              <w:jc w:val="center"/>
              <w:ind w:right="1900"/>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3920" w:type="dxa"/>
            <w:vAlign w:val="bottom"/>
          </w:tcPr>
          <w:p>
            <w:pPr>
              <w:jc w:val="center"/>
              <w:ind w:left="16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60" w:type="dxa"/>
            <w:vAlign w:val="bottom"/>
          </w:tcPr>
          <w:p>
            <w:pPr>
              <w:jc w:val="center"/>
              <w:ind w:right="1920"/>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231"/>
        </w:trPr>
        <w:tc>
          <w:tcPr>
            <w:tcW w:w="3920" w:type="dxa"/>
            <w:vAlign w:val="bottom"/>
          </w:tcPr>
          <w:p>
            <w:pPr>
              <w:jc w:val="center"/>
              <w:ind w:left="1680"/>
              <w:spacing w:after="0"/>
              <w:rPr>
                <w:sz w:val="20"/>
                <w:szCs w:val="20"/>
                <w:color w:val="auto"/>
              </w:rPr>
            </w:pPr>
            <w:r>
              <w:rPr>
                <w:rFonts w:ascii="Times New Roman" w:cs="Times New Roman" w:eastAsia="Times New Roman" w:hAnsi="Times New Roman"/>
                <w:sz w:val="13"/>
                <w:szCs w:val="13"/>
                <w:b w:val="1"/>
                <w:bCs w:val="1"/>
                <w:color w:val="auto"/>
                <w:w w:val="97"/>
              </w:rPr>
              <w:t>1305 O’Brien Drive</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174"/>
        </w:trPr>
        <w:tc>
          <w:tcPr>
            <w:tcW w:w="3920" w:type="dxa"/>
            <w:vAlign w:val="bottom"/>
          </w:tcPr>
          <w:p>
            <w:pPr>
              <w:jc w:val="center"/>
              <w:ind w:left="1660"/>
              <w:spacing w:after="0"/>
              <w:rPr>
                <w:sz w:val="20"/>
                <w:szCs w:val="20"/>
                <w:color w:val="auto"/>
              </w:rPr>
            </w:pPr>
            <w:r>
              <w:rPr>
                <w:rFonts w:ascii="Times New Roman" w:cs="Times New Roman" w:eastAsia="Times New Roman" w:hAnsi="Times New Roman"/>
                <w:sz w:val="13"/>
                <w:szCs w:val="13"/>
                <w:b w:val="1"/>
                <w:bCs w:val="1"/>
                <w:color w:val="auto"/>
                <w:w w:val="97"/>
              </w:rPr>
              <w:t>Menlo Park, CA 94025</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60" w:type="dxa"/>
            <w:vAlign w:val="bottom"/>
          </w:tcPr>
          <w:p>
            <w:pPr>
              <w:jc w:val="right"/>
              <w:ind w:right="2600"/>
              <w:spacing w:after="0"/>
              <w:rPr>
                <w:sz w:val="20"/>
                <w:szCs w:val="20"/>
                <w:color w:val="auto"/>
              </w:rPr>
            </w:pPr>
            <w:r>
              <w:rPr>
                <w:rFonts w:ascii="Times New Roman" w:cs="Times New Roman" w:eastAsia="Times New Roman" w:hAnsi="Times New Roman"/>
                <w:sz w:val="13"/>
                <w:szCs w:val="13"/>
                <w:b w:val="1"/>
                <w:bCs w:val="1"/>
                <w:color w:val="auto"/>
              </w:rPr>
              <w:t>94025</w:t>
            </w:r>
          </w:p>
        </w:tc>
      </w:tr>
      <w:tr>
        <w:trPr>
          <w:trHeight w:val="149"/>
        </w:trPr>
        <w:tc>
          <w:tcPr>
            <w:tcW w:w="3920" w:type="dxa"/>
            <w:vAlign w:val="bottom"/>
          </w:tcPr>
          <w:p>
            <w:pPr>
              <w:jc w:val="center"/>
              <w:ind w:left="168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60" w:type="dxa"/>
            <w:vAlign w:val="bottom"/>
          </w:tcPr>
          <w:p>
            <w:pPr>
              <w:jc w:val="center"/>
              <w:ind w:right="1920"/>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08"/>
        </w:trPr>
        <w:tc>
          <w:tcPr>
            <w:tcW w:w="3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gridSpan w:val="4"/>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3660" w:type="dxa"/>
            <w:vAlign w:val="bottom"/>
          </w:tcPr>
          <w:p>
            <w:pPr>
              <w:spacing w:after="0"/>
              <w:rPr>
                <w:sz w:val="18"/>
                <w:szCs w:val="18"/>
                <w:color w:val="auto"/>
              </w:rPr>
            </w:pPr>
          </w:p>
        </w:tc>
      </w:tr>
      <w:tr>
        <w:trPr>
          <w:trHeight w:val="149"/>
        </w:trPr>
        <w:tc>
          <w:tcPr>
            <w:tcW w:w="3920" w:type="dxa"/>
            <w:vAlign w:val="bottom"/>
          </w:tcPr>
          <w:p>
            <w:pPr>
              <w:spacing w:after="0"/>
              <w:rPr>
                <w:sz w:val="12"/>
                <w:szCs w:val="12"/>
                <w:color w:val="auto"/>
              </w:rPr>
            </w:pPr>
          </w:p>
        </w:tc>
        <w:tc>
          <w:tcPr>
            <w:tcW w:w="2900" w:type="dxa"/>
            <w:vAlign w:val="bottom"/>
            <w:gridSpan w:val="3"/>
          </w:tcPr>
          <w:p>
            <w:pPr>
              <w:jc w:val="center"/>
              <w:ind w:left="476"/>
              <w:spacing w:after="0"/>
              <w:rPr>
                <w:sz w:val="20"/>
                <w:szCs w:val="20"/>
                <w:color w:val="auto"/>
              </w:rPr>
            </w:pPr>
            <w:r>
              <w:rPr>
                <w:rFonts w:ascii="Times New Roman" w:cs="Times New Roman" w:eastAsia="Times New Roman" w:hAnsi="Times New Roman"/>
                <w:sz w:val="13"/>
                <w:szCs w:val="13"/>
                <w:b w:val="1"/>
                <w:bCs w:val="1"/>
                <w:color w:val="auto"/>
                <w:w w:val="98"/>
              </w:rPr>
              <w:t>(650) 521-8000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60" w:type="dxa"/>
            <w:vAlign w:val="bottom"/>
          </w:tcPr>
          <w:p>
            <w:pPr>
              <w:spacing w:after="0"/>
              <w:rPr>
                <w:sz w:val="12"/>
                <w:szCs w:val="12"/>
                <w:color w:val="auto"/>
              </w:rPr>
            </w:pPr>
          </w:p>
        </w:tc>
      </w:tr>
      <w:tr>
        <w:trPr>
          <w:trHeight w:val="167"/>
        </w:trPr>
        <w:tc>
          <w:tcPr>
            <w:tcW w:w="3920" w:type="dxa"/>
            <w:vAlign w:val="bottom"/>
          </w:tcPr>
          <w:p>
            <w:pPr>
              <w:spacing w:after="0"/>
              <w:rPr>
                <w:sz w:val="14"/>
                <w:szCs w:val="14"/>
                <w:color w:val="auto"/>
              </w:rPr>
            </w:pPr>
          </w:p>
        </w:tc>
        <w:tc>
          <w:tcPr>
            <w:tcW w:w="370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3660" w:type="dxa"/>
            <w:vAlign w:val="bottom"/>
          </w:tcPr>
          <w:p>
            <w:pPr>
              <w:spacing w:after="0"/>
              <w:rPr>
                <w:sz w:val="14"/>
                <w:szCs w:val="14"/>
                <w:color w:val="auto"/>
              </w:rPr>
            </w:pPr>
          </w:p>
        </w:tc>
      </w:tr>
      <w:tr>
        <w:trPr>
          <w:trHeight w:val="175"/>
        </w:trPr>
        <w:tc>
          <w:tcPr>
            <w:tcW w:w="3920" w:type="dxa"/>
            <w:vAlign w:val="bottom"/>
          </w:tcPr>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gridSpan w:val="3"/>
          </w:tcPr>
          <w:p>
            <w:pPr>
              <w:jc w:val="center"/>
              <w:ind w:right="80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660" w:type="dxa"/>
            <w:vAlign w:val="bottom"/>
          </w:tcPr>
          <w:p>
            <w:pPr>
              <w:jc w:val="center"/>
              <w:ind w:right="66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67"/>
        </w:trPr>
        <w:tc>
          <w:tcPr>
            <w:tcW w:w="3920" w:type="dxa"/>
            <w:vAlign w:val="bottom"/>
            <w:tcBorders>
              <w:top w:val="single" w:sz="8" w:color="auto"/>
            </w:tcBorders>
          </w:tcPr>
          <w:p>
            <w:pPr>
              <w:jc w:val="center"/>
              <w:ind w:left="380"/>
              <w:spacing w:after="0"/>
              <w:rPr>
                <w:sz w:val="20"/>
                <w:szCs w:val="20"/>
                <w:color w:val="auto"/>
              </w:rPr>
            </w:pPr>
            <w:r>
              <w:rPr>
                <w:rFonts w:ascii="Times New Roman" w:cs="Times New Roman" w:eastAsia="Times New Roman" w:hAnsi="Times New Roman"/>
                <w:sz w:val="13"/>
                <w:szCs w:val="13"/>
                <w:b w:val="1"/>
                <w:bCs w:val="1"/>
                <w:color w:val="auto"/>
                <w:w w:val="97"/>
              </w:rPr>
              <w:t>Common Stock, par value $0.001 per share</w:t>
            </w: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PACB</w:t>
            </w: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7"/>
              </w:rPr>
              <w:t>The NASDAQ Stock Market LLC</w:t>
            </w:r>
          </w:p>
        </w:tc>
      </w:tr>
      <w:tr>
        <w:trPr>
          <w:trHeight w:val="212"/>
        </w:trPr>
        <w:tc>
          <w:tcPr>
            <w:tcW w:w="3920" w:type="dxa"/>
            <w:vAlign w:val="bottom"/>
          </w:tcPr>
          <w:p>
            <w:pPr>
              <w:spacing w:after="0"/>
              <w:rPr>
                <w:sz w:val="18"/>
                <w:szCs w:val="18"/>
                <w:color w:val="auto"/>
              </w:rPr>
            </w:pPr>
          </w:p>
        </w:tc>
        <w:tc>
          <w:tcPr>
            <w:tcW w:w="370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12(g) of the Act:</w:t>
            </w:r>
          </w:p>
        </w:tc>
        <w:tc>
          <w:tcPr>
            <w:tcW w:w="3660" w:type="dxa"/>
            <w:vAlign w:val="bottom"/>
          </w:tcPr>
          <w:p>
            <w:pPr>
              <w:spacing w:after="0"/>
              <w:rPr>
                <w:sz w:val="18"/>
                <w:szCs w:val="18"/>
                <w:color w:val="auto"/>
              </w:rPr>
            </w:pPr>
          </w:p>
        </w:tc>
      </w:tr>
      <w:tr>
        <w:trPr>
          <w:trHeight w:val="163"/>
        </w:trPr>
        <w:tc>
          <w:tcPr>
            <w:tcW w:w="3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3"/>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3660" w:type="dxa"/>
            <w:vAlign w:val="bottom"/>
          </w:tcPr>
          <w:p>
            <w:pPr>
              <w:spacing w:after="0"/>
              <w:rPr>
                <w:sz w:val="14"/>
                <w:szCs w:val="14"/>
                <w:color w:val="auto"/>
              </w:rPr>
            </w:pPr>
          </w:p>
        </w:tc>
      </w:tr>
    </w:tbl>
    <w:p>
      <w:pPr>
        <w:ind w:left="28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w:t>
      </w:r>
    </w:p>
    <w:p>
      <w:pPr>
        <w:spacing w:after="0" w:line="7" w:lineRule="exact"/>
        <w:rPr>
          <w:sz w:val="24"/>
          <w:szCs w:val="24"/>
          <w:color w:val="auto"/>
        </w:rPr>
      </w:pPr>
    </w:p>
    <w:p>
      <w:pPr>
        <w:ind w:left="260" w:right="4220"/>
        <w:spacing w:after="0" w:line="406" w:lineRule="auto"/>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jc w:val="both"/>
        <w:ind w:firstLine="255"/>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64" w:lineRule="exact"/>
        <w:rPr>
          <w:sz w:val="24"/>
          <w:szCs w:val="24"/>
          <w:color w:val="auto"/>
        </w:rPr>
      </w:pPr>
    </w:p>
    <w:p>
      <w:pPr>
        <w:jc w:val="both"/>
        <w:ind w:firstLine="255"/>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64" w:lineRule="exact"/>
        <w:rPr>
          <w:sz w:val="24"/>
          <w:szCs w:val="24"/>
          <w:color w:val="auto"/>
        </w:rPr>
      </w:pPr>
    </w:p>
    <w:p>
      <w:pPr>
        <w:jc w:val="both"/>
        <w:ind w:firstLine="255"/>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00" w:type="dxa"/>
            <w:vAlign w:val="bottom"/>
          </w:tcPr>
          <w:p>
            <w:pPr>
              <w:ind w:left="780"/>
              <w:spacing w:after="0"/>
              <w:rPr>
                <w:sz w:val="20"/>
                <w:szCs w:val="20"/>
                <w:color w:val="auto"/>
              </w:rPr>
            </w:pPr>
            <w:r>
              <w:rPr>
                <w:rFonts w:ascii="Wingdings" w:cs="Wingdings" w:eastAsia="Wingdings" w:hAnsi="Wingdings"/>
                <w:sz w:val="13"/>
                <w:szCs w:val="13"/>
                <w:b w:val="1"/>
                <w:bCs w:val="1"/>
                <w:color w:val="auto"/>
              </w:rPr>
              <w:t>x</w:t>
            </w:r>
          </w:p>
        </w:tc>
        <w:tc>
          <w:tcPr>
            <w:tcW w:w="472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Accelerated filer</w:t>
            </w:r>
          </w:p>
        </w:tc>
        <w:tc>
          <w:tcPr>
            <w:tcW w:w="780" w:type="dxa"/>
            <w:vAlign w:val="bottom"/>
          </w:tcPr>
          <w:p>
            <w:pPr>
              <w:ind w:left="660"/>
              <w:spacing w:after="0"/>
              <w:rPr>
                <w:sz w:val="20"/>
                <w:szCs w:val="20"/>
                <w:color w:val="auto"/>
              </w:rPr>
            </w:pPr>
            <w:r>
              <w:rPr>
                <w:rFonts w:ascii="Wingdings" w:cs="Wingdings" w:eastAsia="Wingdings" w:hAnsi="Wingdings"/>
                <w:sz w:val="13"/>
                <w:szCs w:val="13"/>
                <w:b w:val="1"/>
                <w:bCs w:val="1"/>
                <w:color w:val="auto"/>
                <w:w w:val="85"/>
              </w:rPr>
              <w:t>o</w:t>
            </w:r>
          </w:p>
        </w:tc>
      </w:tr>
      <w:tr>
        <w:trPr>
          <w:trHeight w:val="170"/>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00" w:type="dxa"/>
            <w:vAlign w:val="bottom"/>
          </w:tcPr>
          <w:p>
            <w:pPr>
              <w:ind w:left="780"/>
              <w:spacing w:after="0"/>
              <w:rPr>
                <w:sz w:val="20"/>
                <w:szCs w:val="20"/>
                <w:color w:val="auto"/>
              </w:rPr>
            </w:pPr>
            <w:r>
              <w:rPr>
                <w:rFonts w:ascii="Wingdings" w:cs="Wingdings" w:eastAsia="Wingdings" w:hAnsi="Wingdings"/>
                <w:sz w:val="13"/>
                <w:szCs w:val="13"/>
                <w:b w:val="1"/>
                <w:bCs w:val="1"/>
                <w:color w:val="auto"/>
              </w:rPr>
              <w:t>o</w:t>
            </w:r>
          </w:p>
        </w:tc>
        <w:tc>
          <w:tcPr>
            <w:tcW w:w="472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80" w:type="dxa"/>
            <w:vAlign w:val="bottom"/>
          </w:tcPr>
          <w:p>
            <w:pPr>
              <w:ind w:left="660"/>
              <w:spacing w:after="0"/>
              <w:rPr>
                <w:sz w:val="20"/>
                <w:szCs w:val="20"/>
                <w:color w:val="auto"/>
              </w:rPr>
            </w:pPr>
            <w:r>
              <w:rPr>
                <w:rFonts w:ascii="Wingdings" w:cs="Wingdings" w:eastAsia="Wingdings" w:hAnsi="Wingdings"/>
                <w:sz w:val="13"/>
                <w:szCs w:val="13"/>
                <w:b w:val="1"/>
                <w:bCs w:val="1"/>
                <w:color w:val="auto"/>
                <w:w w:val="85"/>
              </w:rPr>
              <w:t>o</w:t>
            </w:r>
          </w:p>
        </w:tc>
      </w:tr>
      <w:tr>
        <w:trPr>
          <w:trHeight w:val="170"/>
        </w:trPr>
        <w:tc>
          <w:tcPr>
            <w:tcW w:w="19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72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Emerging growth company</w:t>
            </w:r>
          </w:p>
        </w:tc>
        <w:tc>
          <w:tcPr>
            <w:tcW w:w="780" w:type="dxa"/>
            <w:vAlign w:val="bottom"/>
          </w:tcPr>
          <w:p>
            <w:pPr>
              <w:ind w:left="660"/>
              <w:spacing w:after="0"/>
              <w:rPr>
                <w:sz w:val="20"/>
                <w:szCs w:val="20"/>
                <w:color w:val="auto"/>
              </w:rPr>
            </w:pPr>
            <w:r>
              <w:rPr>
                <w:rFonts w:ascii="Wingdings" w:cs="Wingdings" w:eastAsia="Wingdings" w:hAnsi="Wingdings"/>
                <w:sz w:val="13"/>
                <w:szCs w:val="13"/>
                <w:b w:val="1"/>
                <w:bCs w:val="1"/>
                <w:color w:val="auto"/>
                <w:w w:val="85"/>
              </w:rPr>
              <w:t>o</w:t>
            </w:r>
          </w:p>
        </w:tc>
      </w:tr>
    </w:tbl>
    <w:p>
      <w:pPr>
        <w:spacing w:after="0" w:line="153" w:lineRule="exact"/>
        <w:rPr>
          <w:sz w:val="24"/>
          <w:szCs w:val="24"/>
          <w:color w:val="auto"/>
        </w:rPr>
      </w:pPr>
    </w:p>
    <w:p>
      <w:pPr>
        <w:jc w:val="both"/>
        <w:ind w:firstLine="255"/>
        <w:spacing w:after="0" w:line="264"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64" w:lineRule="exact"/>
        <w:rPr>
          <w:sz w:val="24"/>
          <w:szCs w:val="24"/>
          <w:color w:val="auto"/>
        </w:rPr>
      </w:pPr>
    </w:p>
    <w:p>
      <w:pPr>
        <w:jc w:val="both"/>
        <w:ind w:firstLine="255"/>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64" w:lineRule="exact"/>
        <w:rPr>
          <w:sz w:val="24"/>
          <w:szCs w:val="24"/>
          <w:color w:val="auto"/>
        </w:rPr>
      </w:pPr>
    </w:p>
    <w:p>
      <w:pPr>
        <w:jc w:val="both"/>
        <w:ind w:firstLine="255"/>
        <w:spacing w:after="0" w:line="264"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53" w:lineRule="exact"/>
        <w:rPr>
          <w:sz w:val="24"/>
          <w:szCs w:val="24"/>
          <w:color w:val="auto"/>
        </w:rPr>
      </w:pPr>
    </w:p>
    <w:p>
      <w:pPr>
        <w:jc w:val="both"/>
        <w:ind w:firstLine="255"/>
        <w:spacing w:after="0" w:line="281"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4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95" w:lineRule="exact"/>
        <w:rPr>
          <w:sz w:val="24"/>
          <w:szCs w:val="24"/>
          <w:color w:val="auto"/>
        </w:rPr>
      </w:pPr>
    </w:p>
    <w:p>
      <w:pPr>
        <w:jc w:val="both"/>
        <w:ind w:firstLine="255"/>
        <w:spacing w:after="0" w:line="251" w:lineRule="auto"/>
        <w:rPr>
          <w:sz w:val="20"/>
          <w:szCs w:val="20"/>
          <w:color w:val="auto"/>
        </w:rPr>
      </w:pPr>
      <w:r>
        <w:rPr>
          <w:rFonts w:ascii="Times New Roman" w:cs="Times New Roman" w:eastAsia="Times New Roman" w:hAnsi="Times New Roman"/>
          <w:sz w:val="13"/>
          <w:szCs w:val="13"/>
          <w:color w:val="auto"/>
        </w:rPr>
        <w:t>Aggregate market value of registrant’s common stock held by non-affiliates of the registrant on June 30, 2023, based upon the closing price of Common Stock on such date as reported by NASDAQ Global Select Market, was approximately $3,323,701,933. Shares of voting stock held by each officer and director have been excluded in that such persons may be deemed to be affiliates. This assumption regarding affiliate status is not necessarily a conclusive determination for other purposes.</w:t>
      </w:r>
    </w:p>
    <w:p>
      <w:pPr>
        <w:spacing w:after="0" w:line="7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3"/>
          <w:szCs w:val="13"/>
          <w:color w:val="auto"/>
        </w:rPr>
        <w:t>Number of shares outstanding of the registrant’s common stock as of January 31, 2024: 267,951,880</w:t>
      </w:r>
    </w:p>
    <w:p>
      <w:pPr>
        <w:spacing w:after="0" w:line="8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97" w:lineRule="exact"/>
        <w:rPr>
          <w:sz w:val="24"/>
          <w:szCs w:val="24"/>
          <w:color w:val="auto"/>
        </w:rPr>
      </w:pPr>
    </w:p>
    <w:p>
      <w:pPr>
        <w:jc w:val="both"/>
        <w:ind w:firstLine="255"/>
        <w:spacing w:after="0" w:line="264"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2024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586740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67310</wp:posOffset>
            </wp:positionV>
            <wp:extent cx="70485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98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87630</wp:posOffset>
            </wp:positionV>
            <wp:extent cx="70485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850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380" w:type="dxa"/>
            <w:vAlign w:val="bottom"/>
            <w:gridSpan w:val="4"/>
          </w:tcPr>
          <w:p>
            <w:pPr>
              <w:spacing w:after="0"/>
              <w:rPr>
                <w:sz w:val="20"/>
                <w:szCs w:val="20"/>
                <w:color w:val="auto"/>
              </w:rPr>
            </w:pPr>
            <w:r>
              <w:rPr>
                <w:rFonts w:ascii="Arial" w:cs="Arial" w:eastAsia="Arial" w:hAnsi="Arial"/>
                <w:sz w:val="14"/>
                <w:szCs w:val="14"/>
                <w:color w:val="0000FF"/>
              </w:rPr>
              <w:t>Table of Contents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8"/>
        </w:trPr>
        <w:tc>
          <w:tcPr>
            <w:tcW w:w="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40" w:type="dxa"/>
            <w:vAlign w:val="bottom"/>
            <w:gridSpan w:val="9"/>
          </w:tcPr>
          <w:p>
            <w:pPr>
              <w:jc w:val="center"/>
              <w:ind w:right="3280"/>
              <w:spacing w:after="0"/>
              <w:rPr>
                <w:sz w:val="20"/>
                <w:szCs w:val="20"/>
                <w:color w:val="auto"/>
              </w:rPr>
            </w:pPr>
            <w:r>
              <w:rPr>
                <w:rFonts w:ascii="Arial" w:cs="Arial" w:eastAsia="Arial" w:hAnsi="Arial"/>
                <w:sz w:val="14"/>
                <w:szCs w:val="14"/>
                <w:b w:val="1"/>
                <w:bCs w:val="1"/>
                <w:color w:val="auto"/>
              </w:rPr>
              <w:t>Pacific Biosciences of California,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40" w:type="dxa"/>
            <w:vAlign w:val="bottom"/>
            <w:gridSpan w:val="9"/>
          </w:tcPr>
          <w:p>
            <w:pPr>
              <w:jc w:val="center"/>
              <w:ind w:right="3300"/>
              <w:spacing w:after="0"/>
              <w:rPr>
                <w:sz w:val="20"/>
                <w:szCs w:val="20"/>
                <w:color w:val="auto"/>
              </w:rPr>
            </w:pPr>
            <w:r>
              <w:rPr>
                <w:rFonts w:ascii="Arial" w:cs="Arial" w:eastAsia="Arial" w:hAnsi="Arial"/>
                <w:sz w:val="14"/>
                <w:szCs w:val="14"/>
                <w:b w:val="1"/>
                <w:bCs w:val="1"/>
                <w:color w:val="auto"/>
              </w:rPr>
              <w:t>Annual Report on Form 10-K</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340" w:type="dxa"/>
            <w:vAlign w:val="bottom"/>
            <w:gridSpan w:val="10"/>
          </w:tcPr>
          <w:p>
            <w:pPr>
              <w:jc w:val="center"/>
              <w:ind w:right="2900"/>
              <w:spacing w:after="0"/>
              <w:rPr>
                <w:sz w:val="20"/>
                <w:szCs w:val="20"/>
                <w:color w:val="auto"/>
              </w:rPr>
            </w:pPr>
            <w:r>
              <w:rPr>
                <w:rFonts w:ascii="Arial" w:cs="Arial" w:eastAsia="Arial" w:hAnsi="Arial"/>
                <w:sz w:val="14"/>
                <w:szCs w:val="14"/>
                <w:b w:val="1"/>
                <w:bCs w:val="1"/>
                <w:color w:val="auto"/>
              </w:rPr>
              <w:t>For the Fiscal Year Ended December 31, 2023</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40" w:type="dxa"/>
            <w:vAlign w:val="bottom"/>
            <w:gridSpan w:val="8"/>
          </w:tcPr>
          <w:p>
            <w:pPr>
              <w:jc w:val="center"/>
              <w:ind w:right="3880"/>
              <w:spacing w:after="0"/>
              <w:rPr>
                <w:sz w:val="20"/>
                <w:szCs w:val="20"/>
                <w:color w:val="auto"/>
              </w:rPr>
            </w:pPr>
            <w:r>
              <w:rPr>
                <w:rFonts w:ascii="Arial" w:cs="Arial" w:eastAsia="Arial" w:hAnsi="Arial"/>
                <w:sz w:val="14"/>
                <w:szCs w:val="14"/>
                <w:b w:val="1"/>
                <w:bCs w:val="1"/>
                <w:color w:val="auto"/>
                <w:w w:val="99"/>
              </w:rPr>
              <w:t>Table of Contents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color w:val="auto"/>
              </w:rPr>
              <w:t>PART I</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60" w:type="dxa"/>
            <w:vAlign w:val="bottom"/>
            <w:gridSpan w:val="3"/>
          </w:tcPr>
          <w:p>
            <w:pPr>
              <w:ind w:left="200"/>
              <w:spacing w:after="0" w:line="153" w:lineRule="exact"/>
              <w:rPr>
                <w:sz w:val="20"/>
                <w:szCs w:val="20"/>
                <w:color w:val="auto"/>
              </w:rPr>
            </w:pPr>
            <w:r>
              <w:rPr>
                <w:rFonts w:ascii="Arial" w:cs="Arial" w:eastAsia="Arial" w:hAnsi="Arial"/>
                <w:sz w:val="14"/>
                <w:szCs w:val="14"/>
                <w:color w:val="auto"/>
              </w:rPr>
              <w:t>Item 1.</w:t>
            </w:r>
          </w:p>
        </w:tc>
        <w:tc>
          <w:tcPr>
            <w:tcW w:w="8880" w:type="dxa"/>
            <w:vAlign w:val="bottom"/>
            <w:gridSpan w:val="23"/>
          </w:tcPr>
          <w:p>
            <w:pPr>
              <w:spacing w:after="0" w:line="153" w:lineRule="exact"/>
              <w:rPr>
                <w:sz w:val="20"/>
                <w:szCs w:val="20"/>
                <w:color w:val="auto"/>
              </w:rPr>
            </w:pPr>
            <w:r>
              <w:rPr>
                <w:rFonts w:ascii="Arial" w:cs="Arial" w:eastAsia="Arial" w:hAnsi="Arial"/>
                <w:sz w:val="14"/>
                <w:szCs w:val="14"/>
                <w:color w:val="0000FF"/>
              </w:rPr>
              <w:t>Business</w:t>
            </w:r>
          </w:p>
        </w:tc>
        <w:tc>
          <w:tcPr>
            <w:tcW w:w="1020" w:type="dxa"/>
            <w:vAlign w:val="bottom"/>
          </w:tcPr>
          <w:p>
            <w:pPr>
              <w:jc w:val="center"/>
              <w:spacing w:after="0" w:line="153"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1A.</w:t>
            </w:r>
          </w:p>
        </w:tc>
        <w:tc>
          <w:tcPr>
            <w:tcW w:w="80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rPr>
              <w:t>Risk Factors</w:t>
            </w:r>
          </w:p>
        </w:tc>
        <w:tc>
          <w:tcPr>
            <w:tcW w:w="8080" w:type="dxa"/>
            <w:vAlign w:val="bottom"/>
            <w:gridSpan w:val="19"/>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1B.</w:t>
            </w:r>
          </w:p>
        </w:tc>
        <w:tc>
          <w:tcPr>
            <w:tcW w:w="178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Unresolved Staff Comments</w:t>
            </w:r>
          </w:p>
        </w:tc>
        <w:tc>
          <w:tcPr>
            <w:tcW w:w="7100" w:type="dxa"/>
            <w:vAlign w:val="bottom"/>
            <w:gridSpan w:val="12"/>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1C.</w:t>
            </w:r>
          </w:p>
        </w:tc>
        <w:tc>
          <w:tcPr>
            <w:tcW w:w="88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Cybersecurity</w:t>
            </w:r>
          </w:p>
        </w:tc>
        <w:tc>
          <w:tcPr>
            <w:tcW w:w="8000" w:type="dxa"/>
            <w:vAlign w:val="bottom"/>
            <w:gridSpan w:val="18"/>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2.</w:t>
            </w: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Properties</w:t>
            </w:r>
          </w:p>
        </w:tc>
        <w:tc>
          <w:tcPr>
            <w:tcW w:w="8220" w:type="dxa"/>
            <w:vAlign w:val="bottom"/>
            <w:gridSpan w:val="21"/>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3.</w:t>
            </w:r>
          </w:p>
        </w:tc>
        <w:tc>
          <w:tcPr>
            <w:tcW w:w="118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rPr>
              <w:t>Legal Proceedings</w:t>
            </w:r>
          </w:p>
        </w:tc>
        <w:tc>
          <w:tcPr>
            <w:tcW w:w="7700" w:type="dxa"/>
            <w:vAlign w:val="bottom"/>
            <w:gridSpan w:val="16"/>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4.</w:t>
            </w:r>
          </w:p>
        </w:tc>
        <w:tc>
          <w:tcPr>
            <w:tcW w:w="8880" w:type="dxa"/>
            <w:vAlign w:val="bottom"/>
            <w:gridSpan w:val="23"/>
          </w:tcPr>
          <w:p>
            <w:pPr>
              <w:spacing w:after="0"/>
              <w:rPr>
                <w:sz w:val="20"/>
                <w:szCs w:val="20"/>
                <w:color w:val="auto"/>
              </w:rPr>
            </w:pPr>
            <w:r>
              <w:rPr>
                <w:rFonts w:ascii="Arial" w:cs="Arial" w:eastAsia="Arial" w:hAnsi="Arial"/>
                <w:sz w:val="14"/>
                <w:szCs w:val="14"/>
                <w:color w:val="0000FF"/>
              </w:rPr>
              <w:t>Mine Safety Disclosures</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55</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PART II</w:t>
            </w: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60" w:type="dxa"/>
            <w:vAlign w:val="bottom"/>
            <w:gridSpan w:val="3"/>
          </w:tcPr>
          <w:p>
            <w:pPr>
              <w:ind w:left="200"/>
              <w:spacing w:after="0" w:line="153" w:lineRule="exact"/>
              <w:rPr>
                <w:sz w:val="20"/>
                <w:szCs w:val="20"/>
                <w:color w:val="auto"/>
              </w:rPr>
            </w:pPr>
            <w:r>
              <w:rPr>
                <w:rFonts w:ascii="Arial" w:cs="Arial" w:eastAsia="Arial" w:hAnsi="Arial"/>
                <w:sz w:val="14"/>
                <w:szCs w:val="14"/>
                <w:color w:val="auto"/>
              </w:rPr>
              <w:t>Item 5.</w:t>
            </w:r>
          </w:p>
        </w:tc>
        <w:tc>
          <w:tcPr>
            <w:tcW w:w="8880" w:type="dxa"/>
            <w:vAlign w:val="bottom"/>
            <w:gridSpan w:val="23"/>
          </w:tcPr>
          <w:p>
            <w:pPr>
              <w:spacing w:after="0" w:line="153" w:lineRule="exact"/>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1020" w:type="dxa"/>
            <w:vAlign w:val="bottom"/>
          </w:tcPr>
          <w:p>
            <w:pPr>
              <w:jc w:val="center"/>
              <w:spacing w:after="0" w:line="153" w:lineRule="exact"/>
              <w:rPr>
                <w:sz w:val="20"/>
                <w:szCs w:val="20"/>
                <w:color w:val="auto"/>
              </w:rPr>
            </w:pPr>
            <w:r>
              <w:rPr>
                <w:rFonts w:ascii="Arial" w:cs="Arial" w:eastAsia="Arial" w:hAnsi="Arial"/>
                <w:sz w:val="14"/>
                <w:szCs w:val="14"/>
                <w:color w:val="auto"/>
                <w:w w:val="89"/>
              </w:rPr>
              <w:t>56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6.</w:t>
            </w:r>
          </w:p>
        </w:tc>
        <w:tc>
          <w:tcPr>
            <w:tcW w:w="7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4"/>
                <w:szCs w:val="14"/>
                <w:color w:val="0000FF"/>
              </w:rPr>
              <w:t>[Reserved]</w:t>
            </w:r>
          </w:p>
        </w:tc>
        <w:tc>
          <w:tcPr>
            <w:tcW w:w="6280" w:type="dxa"/>
            <w:vAlign w:val="bottom"/>
            <w:tcBorders>
              <w:top w:val="single" w:sz="8" w:color="0000FF"/>
            </w:tcBorders>
            <w:gridSpan w:val="19"/>
          </w:tcPr>
          <w:p>
            <w:pPr>
              <w:spacing w:after="0"/>
              <w:rPr>
                <w:sz w:val="13"/>
                <w:szCs w:val="13"/>
                <w:color w:val="auto"/>
              </w:rPr>
            </w:pPr>
          </w:p>
        </w:tc>
        <w:tc>
          <w:tcPr>
            <w:tcW w:w="19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7.</w:t>
            </w:r>
          </w:p>
        </w:tc>
        <w:tc>
          <w:tcPr>
            <w:tcW w:w="5580" w:type="dxa"/>
            <w:vAlign w:val="bottom"/>
            <w:tcBorders>
              <w:bottom w:val="single" w:sz="8" w:color="0000FF"/>
            </w:tcBorders>
            <w:gridSpan w:val="19"/>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300" w:type="dxa"/>
            <w:vAlign w:val="bottom"/>
            <w:gridSpan w:val="4"/>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7A.</w:t>
            </w:r>
          </w:p>
        </w:tc>
        <w:tc>
          <w:tcPr>
            <w:tcW w:w="370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5180" w:type="dxa"/>
            <w:vAlign w:val="bottom"/>
            <w:gridSpan w:val="7"/>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8.</w:t>
            </w:r>
          </w:p>
        </w:tc>
        <w:tc>
          <w:tcPr>
            <w:tcW w:w="294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rPr>
              <w:t>Financial Statements and Supplementary Data</w:t>
            </w:r>
          </w:p>
        </w:tc>
        <w:tc>
          <w:tcPr>
            <w:tcW w:w="5940" w:type="dxa"/>
            <w:vAlign w:val="bottom"/>
            <w:gridSpan w:val="9"/>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70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9.</w:t>
            </w:r>
          </w:p>
        </w:tc>
        <w:tc>
          <w:tcPr>
            <w:tcW w:w="5620" w:type="dxa"/>
            <w:vAlign w:val="bottom"/>
            <w:tcBorders>
              <w:bottom w:val="single" w:sz="8" w:color="0000FF"/>
            </w:tcBorders>
            <w:gridSpan w:val="20"/>
          </w:tcPr>
          <w:p>
            <w:pPr>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3260" w:type="dxa"/>
            <w:vAlign w:val="bottom"/>
            <w:gridSpan w:val="3"/>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9A.</w:t>
            </w:r>
          </w:p>
        </w:tc>
        <w:tc>
          <w:tcPr>
            <w:tcW w:w="158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rPr>
              <w:t>Controls and Procedures</w:t>
            </w:r>
          </w:p>
        </w:tc>
        <w:tc>
          <w:tcPr>
            <w:tcW w:w="7300" w:type="dxa"/>
            <w:vAlign w:val="bottom"/>
            <w:gridSpan w:val="13"/>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9B.</w:t>
            </w:r>
          </w:p>
        </w:tc>
        <w:tc>
          <w:tcPr>
            <w:tcW w:w="8880" w:type="dxa"/>
            <w:vAlign w:val="bottom"/>
            <w:gridSpan w:val="23"/>
          </w:tcPr>
          <w:p>
            <w:pPr>
              <w:spacing w:after="0"/>
              <w:rPr>
                <w:sz w:val="20"/>
                <w:szCs w:val="20"/>
                <w:color w:val="auto"/>
              </w:rPr>
            </w:pPr>
            <w:r>
              <w:rPr>
                <w:rFonts w:ascii="Arial" w:cs="Arial" w:eastAsia="Arial" w:hAnsi="Arial"/>
                <w:sz w:val="14"/>
                <w:szCs w:val="14"/>
                <w:color w:val="0000FF"/>
              </w:rPr>
              <w:t>Other Information</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9C</w:t>
            </w:r>
          </w:p>
        </w:tc>
        <w:tc>
          <w:tcPr>
            <w:tcW w:w="8880" w:type="dxa"/>
            <w:vAlign w:val="bottom"/>
            <w:gridSpan w:val="23"/>
          </w:tcPr>
          <w:p>
            <w:pPr>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113</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PART III</w:t>
            </w: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60" w:type="dxa"/>
            <w:vAlign w:val="bottom"/>
            <w:gridSpan w:val="3"/>
          </w:tcPr>
          <w:p>
            <w:pPr>
              <w:ind w:left="200"/>
              <w:spacing w:after="0" w:line="153" w:lineRule="exact"/>
              <w:rPr>
                <w:sz w:val="20"/>
                <w:szCs w:val="20"/>
                <w:color w:val="auto"/>
              </w:rPr>
            </w:pPr>
            <w:r>
              <w:rPr>
                <w:rFonts w:ascii="Arial" w:cs="Arial" w:eastAsia="Arial" w:hAnsi="Arial"/>
                <w:sz w:val="14"/>
                <w:szCs w:val="14"/>
                <w:color w:val="auto"/>
              </w:rPr>
              <w:t>Item 10.</w:t>
            </w:r>
          </w:p>
        </w:tc>
        <w:tc>
          <w:tcPr>
            <w:tcW w:w="8880" w:type="dxa"/>
            <w:vAlign w:val="bottom"/>
            <w:gridSpan w:val="23"/>
          </w:tcPr>
          <w:p>
            <w:pPr>
              <w:spacing w:after="0" w:line="153" w:lineRule="exact"/>
              <w:rPr>
                <w:sz w:val="20"/>
                <w:szCs w:val="20"/>
                <w:color w:val="auto"/>
              </w:rPr>
            </w:pPr>
            <w:r>
              <w:rPr>
                <w:rFonts w:ascii="Arial" w:cs="Arial" w:eastAsia="Arial" w:hAnsi="Arial"/>
                <w:sz w:val="14"/>
                <w:szCs w:val="14"/>
                <w:color w:val="0000FF"/>
              </w:rPr>
              <w:t>Directors, Executive Officers and Corporate Governance</w:t>
            </w:r>
          </w:p>
        </w:tc>
        <w:tc>
          <w:tcPr>
            <w:tcW w:w="1020" w:type="dxa"/>
            <w:vAlign w:val="bottom"/>
          </w:tcPr>
          <w:p>
            <w:pPr>
              <w:jc w:val="center"/>
              <w:spacing w:after="0" w:line="153" w:lineRule="exact"/>
              <w:rPr>
                <w:sz w:val="20"/>
                <w:szCs w:val="20"/>
                <w:color w:val="auto"/>
              </w:rPr>
            </w:pPr>
            <w:r>
              <w:rPr>
                <w:rFonts w:ascii="Arial" w:cs="Arial" w:eastAsia="Arial" w:hAnsi="Arial"/>
                <w:sz w:val="14"/>
                <w:szCs w:val="14"/>
                <w:color w:val="auto"/>
                <w:w w:val="94"/>
              </w:rPr>
              <w:t>113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11.</w:t>
            </w:r>
          </w:p>
        </w:tc>
        <w:tc>
          <w:tcPr>
            <w:tcW w:w="15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4"/>
                <w:szCs w:val="14"/>
                <w:color w:val="0000FF"/>
              </w:rPr>
              <w:t>Executive Compensation</w:t>
            </w:r>
          </w:p>
        </w:tc>
        <w:tc>
          <w:tcPr>
            <w:tcW w:w="1960" w:type="dxa"/>
            <w:vAlign w:val="bottom"/>
            <w:tcBorders>
              <w:top w:val="single" w:sz="8" w:color="0000FF"/>
            </w:tcBorders>
            <w:gridSpan w:val="5"/>
          </w:tcPr>
          <w:p>
            <w:pPr>
              <w:spacing w:after="0"/>
              <w:rPr>
                <w:sz w:val="13"/>
                <w:szCs w:val="13"/>
                <w:color w:val="auto"/>
              </w:rPr>
            </w:pPr>
          </w:p>
        </w:tc>
        <w:tc>
          <w:tcPr>
            <w:tcW w:w="5340" w:type="dxa"/>
            <w:vAlign w:val="bottom"/>
            <w:gridSpan w:val="8"/>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12.</w:t>
            </w:r>
          </w:p>
        </w:tc>
        <w:tc>
          <w:tcPr>
            <w:tcW w:w="8880" w:type="dxa"/>
            <w:vAlign w:val="bottom"/>
            <w:gridSpan w:val="23"/>
          </w:tcPr>
          <w:p>
            <w:pPr>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13.</w:t>
            </w:r>
          </w:p>
        </w:tc>
        <w:tc>
          <w:tcPr>
            <w:tcW w:w="6300" w:type="dxa"/>
            <w:vAlign w:val="bottom"/>
            <w:tcBorders>
              <w:top w:val="single" w:sz="8" w:color="0000FF"/>
            </w:tcBorders>
            <w:gridSpan w:val="21"/>
          </w:tcPr>
          <w:p>
            <w:pPr>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2580" w:type="dxa"/>
            <w:vAlign w:val="bottom"/>
            <w:gridSpan w:val="2"/>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14.</w:t>
            </w:r>
          </w:p>
        </w:tc>
        <w:tc>
          <w:tcPr>
            <w:tcW w:w="4780" w:type="dxa"/>
            <w:vAlign w:val="bottom"/>
            <w:tcBorders>
              <w:top w:val="single" w:sz="8" w:color="0000FF"/>
            </w:tcBorders>
            <w:gridSpan w:val="18"/>
          </w:tcPr>
          <w:p>
            <w:pPr>
              <w:spacing w:after="0"/>
              <w:rPr>
                <w:sz w:val="20"/>
                <w:szCs w:val="20"/>
                <w:color w:val="auto"/>
              </w:rPr>
            </w:pPr>
            <w:r>
              <w:rPr>
                <w:rFonts w:ascii="Arial" w:cs="Arial" w:eastAsia="Arial" w:hAnsi="Arial"/>
                <w:sz w:val="14"/>
                <w:szCs w:val="14"/>
                <w:color w:val="0000FF"/>
              </w:rPr>
              <w:t>Principal Accountant Fees and Services</w:t>
            </w:r>
          </w:p>
        </w:tc>
        <w:tc>
          <w:tcPr>
            <w:tcW w:w="4100" w:type="dxa"/>
            <w:vAlign w:val="bottom"/>
            <w:gridSpan w:val="5"/>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113</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PART IV</w:t>
            </w: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60" w:type="dxa"/>
            <w:vAlign w:val="bottom"/>
            <w:gridSpan w:val="3"/>
          </w:tcPr>
          <w:p>
            <w:pPr>
              <w:ind w:left="200"/>
              <w:spacing w:after="0" w:line="153" w:lineRule="exact"/>
              <w:rPr>
                <w:sz w:val="20"/>
                <w:szCs w:val="20"/>
                <w:color w:val="auto"/>
              </w:rPr>
            </w:pPr>
            <w:r>
              <w:rPr>
                <w:rFonts w:ascii="Arial" w:cs="Arial" w:eastAsia="Arial" w:hAnsi="Arial"/>
                <w:sz w:val="14"/>
                <w:szCs w:val="14"/>
                <w:color w:val="auto"/>
              </w:rPr>
              <w:t>Item 15.</w:t>
            </w:r>
          </w:p>
        </w:tc>
        <w:tc>
          <w:tcPr>
            <w:tcW w:w="2540" w:type="dxa"/>
            <w:vAlign w:val="bottom"/>
            <w:tcBorders>
              <w:bottom w:val="single" w:sz="8" w:color="0000FF"/>
            </w:tcBorders>
            <w:gridSpan w:val="13"/>
          </w:tcPr>
          <w:p>
            <w:pPr>
              <w:spacing w:after="0" w:line="153" w:lineRule="exact"/>
              <w:rPr>
                <w:sz w:val="20"/>
                <w:szCs w:val="20"/>
                <w:color w:val="auto"/>
              </w:rPr>
            </w:pPr>
            <w:r>
              <w:rPr>
                <w:rFonts w:ascii="Arial" w:cs="Arial" w:eastAsia="Arial" w:hAnsi="Arial"/>
                <w:sz w:val="14"/>
                <w:szCs w:val="14"/>
                <w:color w:val="0000FF"/>
              </w:rPr>
              <w:t>Exhibits, Financial Statement Schedules</w:t>
            </w:r>
          </w:p>
        </w:tc>
        <w:tc>
          <w:tcPr>
            <w:tcW w:w="6340" w:type="dxa"/>
            <w:vAlign w:val="bottom"/>
            <w:gridSpan w:val="10"/>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color w:val="auto"/>
                <w:w w:val="94"/>
              </w:rPr>
              <w:t>113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color w:val="auto"/>
              </w:rPr>
              <w:t>Item 16.</w:t>
            </w:r>
          </w:p>
        </w:tc>
        <w:tc>
          <w:tcPr>
            <w:tcW w:w="8880" w:type="dxa"/>
            <w:vAlign w:val="bottom"/>
            <w:gridSpan w:val="23"/>
          </w:tcPr>
          <w:p>
            <w:pPr>
              <w:spacing w:after="0"/>
              <w:rPr>
                <w:sz w:val="20"/>
                <w:szCs w:val="20"/>
                <w:color w:val="auto"/>
              </w:rPr>
            </w:pPr>
            <w:r>
              <w:rPr>
                <w:rFonts w:ascii="Arial" w:cs="Arial" w:eastAsia="Arial" w:hAnsi="Arial"/>
                <w:sz w:val="14"/>
                <w:szCs w:val="14"/>
                <w:color w:val="0000FF"/>
              </w:rPr>
              <w:t>Form 10-K Summary</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116</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0000FF"/>
              </w:rPr>
              <w:t>Signatures</w:t>
            </w: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117</w:t>
            </w:r>
          </w:p>
        </w:tc>
        <w:tc>
          <w:tcPr>
            <w:tcW w:w="0" w:type="dxa"/>
            <w:vAlign w:val="bottom"/>
          </w:tcPr>
          <w:p>
            <w:pPr>
              <w:spacing w:after="0"/>
              <w:rPr>
                <w:sz w:val="1"/>
                <w:szCs w:val="1"/>
                <w:color w:val="auto"/>
              </w:rPr>
            </w:pPr>
          </w:p>
        </w:tc>
      </w:tr>
      <w:tr>
        <w:trPr>
          <w:trHeight w:val="809"/>
        </w:trPr>
        <w:tc>
          <w:tcPr>
            <w:tcW w:w="20" w:type="dxa"/>
            <w:vAlign w:val="bottom"/>
            <w:tcBorders>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Annual Report on Form 10-K, including the sections titled “Business,” “Risk Factors” and “Management’s Discussion and Analysis of Financial Condition and Results of Operations” contain or may contain forward-looking statements that are based on the beliefs and assumptions of the management of Pacific Biosciences of California, Inc. (the “Company,” “we,” “us,” or “our”) and on information currently available to our management. The statements contained in this Annual Report on Form 10-K that are not purely historical are forward-looking statements within the meaning of Section 27A of the Securities Act of 1933, as amended, and Section 21E of the Securities Exchange Act of 1934, as amended (the “Exchange Act”), and include, but are not limited to:</w:t>
      </w:r>
    </w:p>
    <w:p>
      <w:pPr>
        <w:spacing w:after="0" w:line="55" w:lineRule="exact"/>
        <w:rPr>
          <w:sz w:val="20"/>
          <w:szCs w:val="20"/>
          <w:color w:val="auto"/>
        </w:rPr>
      </w:pPr>
    </w:p>
    <w:p>
      <w:pPr>
        <w:ind w:left="520" w:hanging="260"/>
        <w:spacing w:after="0" w:line="27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availability, uses, accuracy, sensitivity, advantages, compatibility, pricing, specifications, quality, or performance of, or benefits or expected benefits or using, our products or technologies, including the Revio</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and Onso</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systems;</w:t>
      </w:r>
    </w:p>
    <w:p>
      <w:pPr>
        <w:spacing w:after="0" w:line="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current and future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strategic and commercial plans, including our expectations for Revio and Onso systems;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market opportunity, including market size and expected market growth;</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the conversion of backlog to revenue and the pricing and gross margin for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manufacturing plans including developing and scaling of manufacturing and delivery of our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research and development plans;</w:t>
      </w:r>
    </w:p>
    <w:p>
      <w:pPr>
        <w:spacing w:after="0" w:line="9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anticipated impact of catastrophic events, including health epidemics or pandemics and military or other armed conflicts, on our business, business plans and results of operations;</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product development plans, roadmaps, and objectives, including, among other things, statements relating to future uses, quality, or performance of, or benefits of using, products or technologies, updates, or improvements of our products;</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intentions regarding seeking regulatory approval for our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competitive landscape, including competition in the short- and long-read sequencing technologies markets;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collaborations and partnerships;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unrecognized income tax benefits;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market risk, including interest rate changes and general macroeconomic conditions;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sufficiency of cash, cash equivalents, and investments to fund projected operating requirements;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effects of recent accounting pronouncements on our financial statements;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future events.</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Forward-looking statements can be identified by words such as: “anticipates,” “believes,” “could,” “estimates,” “expects,” “intends,” “may,” “plans,” “potential,” “predicts,” “projects,” “seeks,” “should,” “target,” “will,” “would,” or similar expressions and the negatives of those terms.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w:t>
      </w:r>
    </w:p>
    <w:p>
      <w:pPr>
        <w:spacing w:after="0" w:line="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Factors that could cause or contribute to such differences include, but are not limited to, those discussed under the heading “Risk Factors” in this report and in other documents we file with the Securities and Exchange Commission (SEC). Given these risks and uncertainties, you should not place undue reliance on forward-looking statements. Also, forward-looking statements represent management’s beliefs and assumptions as of the date of this report. Except as required by law, we assume no obligation to update forward-looking statements publicly, or to update the reasons actual results could differ materially from those anticipated in these forward-looking statements,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435610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Annual Report on Form 10-K also contains estimates, projections, and other information concerning our industry, our business, and the markets for our products, including data regarding the estimated size and estimated growth for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435610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9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w:t>
        <w:tab/>
        <w:t>BUSINESS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are a premier life science technology company that is designing, developing, and manufacturing advanced sequencing solutions that enable scientists and clinical researchers to improve their understanding of the genome and ultimately, resolve genetically complex problems.</w:t>
      </w:r>
    </w:p>
    <w:p>
      <w:pPr>
        <w:spacing w:after="0" w:line="35"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Our products and technology under development stem from two highly differentiated core technologies focused on accuracy, quality, and completeness, which include our HiFi long-read sequencing technology and our Sequencing by Binding (SBB</w:t>
      </w:r>
      <w:r>
        <w:rPr>
          <w:rFonts w:ascii="Arial" w:cs="Arial" w:eastAsia="Arial" w:hAnsi="Arial"/>
          <w:sz w:val="18"/>
          <w:szCs w:val="18"/>
          <w:color w:val="333333"/>
          <w:vertAlign w:val="superscript"/>
        </w:rPr>
        <w:t>®</w:t>
      </w:r>
      <w:r>
        <w:rPr>
          <w:rFonts w:ascii="Arial" w:cs="Arial" w:eastAsia="Arial" w:hAnsi="Arial"/>
          <w:sz w:val="14"/>
          <w:szCs w:val="14"/>
          <w:color w:val="auto"/>
        </w:rPr>
        <w:t xml:space="preserve">) short-read sequencing technology. Our products address solutions across a broad set of applications including human genetics, plant and animal sciences, infectious disease and microbiology, oncology, and other emerging applications. Long-read sequencing was recognized by the journal </w:t>
      </w:r>
      <w:r>
        <w:rPr>
          <w:rFonts w:ascii="Arial" w:cs="Arial" w:eastAsia="Arial" w:hAnsi="Arial"/>
          <w:sz w:val="14"/>
          <w:szCs w:val="14"/>
          <w:i w:val="1"/>
          <w:iCs w:val="1"/>
          <w:color w:val="auto"/>
        </w:rPr>
        <w:t xml:space="preserve">Nature Methods </w:t>
      </w:r>
      <w:r>
        <w:rPr>
          <w:rFonts w:ascii="Arial" w:cs="Arial" w:eastAsia="Arial" w:hAnsi="Arial"/>
          <w:sz w:val="14"/>
          <w:szCs w:val="14"/>
          <w:color w:val="auto"/>
        </w:rPr>
        <w:t>as its “method of the year” for 2022 for its contributions to biological understanding and future potential.</w:t>
      </w:r>
    </w:p>
    <w:p>
      <w:pPr>
        <w:spacing w:after="0" w:line="6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focus is on creating some of the world`s most advanced sequencing systems to provide our customers the most complete and accurate view of genomes, transcriptomes, and epigenomes.</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In 2023, we commercially released two new sequencing platforms, Revio</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and Onso</w:t>
      </w:r>
      <w:r>
        <w:rPr>
          <w:rFonts w:ascii="Arial" w:cs="Arial" w:eastAsia="Arial" w:hAnsi="Arial"/>
          <w:sz w:val="18"/>
          <w:szCs w:val="18"/>
          <w:color w:val="auto"/>
          <w:vertAlign w:val="superscript"/>
        </w:rPr>
        <w:t>TM</w:t>
      </w:r>
      <w:r>
        <w:rPr>
          <w:rFonts w:ascii="Arial" w:cs="Arial" w:eastAsia="Arial" w:hAnsi="Arial"/>
          <w:sz w:val="14"/>
          <w:szCs w:val="14"/>
          <w:color w:val="auto"/>
        </w:rPr>
        <w:t>.</w:t>
      </w:r>
    </w:p>
    <w:p>
      <w:pPr>
        <w:spacing w:after="0" w:line="5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Revio is a new long-read sequencing system designed to enable the use of HiFi sequencing for large studies in human genetics, cancer research, and agricultural genomics. Commercial shipments for Revio commenced in the first quarter of 2023, and 173 systems have since been shipped to more than twenty countries as of December 31, 2023. We released SMRT Link 13.0 software on the Revio system which includes the adaptive loading feature for consistent run performance, run preview for improved lab efficiency, and expanded application support with functionality to sequence shorter and longer fragments of DNA.</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Onso, a short-read DNA sequencing system, is designed to deliver industry-leading sensitivity and specificity for novel insights in oncology, disease research, and other applications. We commenced customer shipments of Onso in the third quarter of 2023.</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August 2023, we acquired Apton Biosystems to accelerate the development of a high-throughput platform based on the SBB chemistry utilized by Onso. Through acquiring Apton, we obtained expertise in state-of-the-art optics and image processing and a novel clustering method and chemistry designed to enable the sequencing of billions of clusters of DNA on one flow cell.</w:t>
      </w:r>
    </w:p>
    <w:p>
      <w:pPr>
        <w:spacing w:after="0" w:line="47"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We also develop products used to prepare molecules for sequencing on our platforms. In the fourth quarter of 2023, we commenced commercial shipments for a new Kinnex</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line of products used to concatenate small molecules into larger fragments to optimize the output on HiFi sequencing systems like Revio. The Kinnex products are designed for various applications in RNA and amplicon sequencing. As of December 31, 2023, we received orders from over 70 customers.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Mission and Impact</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mission is to enable the promise of genomics to better human health. Genomics is core to all biological processes, and our advanced genomics tools provide scientists and clinical researchers with the insights to better understand biology and health. The “promise of genomics” postulates that medicine, agriculture, public health, drug development, and other disciplines will be transformed by incorporating routine genomic information over the coming decades. We see early progress toward this transformation in the applied use of genomics in areas such as genetic disease, oncology, and sustainable food production. However, legacy genomics technologies have fundamental limitations in progressing these fields toward the promise of genomics. We believe that unleashing the full potential of genomics will require a level of accuracy and completeness inaccessible to legacy technologies. Accuracy and completeness are central to our product development strategy; thus, we have created some of the most innovative and high-quality genomics solutions on the market. Our products also have enhanced multi-omic capabilities to look beyond the genome to the transcriptome and epigenome, which we believe is key to understanding a full picture of biology.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Underlying Science</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Genetic inheritance in living organisms is conveyed through a naturally occurring information storage system known as deoxyribonucleic acid, or DNA. DNA stores information in linear chains of the chemical bases adenine, cytosine, guanine, and thymine, represented by the symbols A, C, G, and T respectively.</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humans, the genome is comprised of approximately three billion DNA base pairs, which are divided into 23 chromosomes ranging in size from 50 million to 250 million bases. A human carries two copies of the chromosomes, one inherited from each parent. Approximately 23,000 smaller regions within these chromosomes, called genes, contain the blueprints for protein production. The proteins synthesized from these blueprints essentially underlie the operation of all biological systems.</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Genome sequencing reads the bases of long fragments of nucleic acids. Initial genome sequencing studies have shown that mutations in these DNA base pairs play a critical role in human disease, contributing to the burgeoning field of genomics. Since then, recent discoveries have highlighted additional complexities of DNA and RNA. These discoveries include the presence of chemical modifications to the bases, such as methylation, and post-translational modification, or the processing of RNA molecules after they are transcribed from the genome, both of which can affect protein synthesis.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Principal Markets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Researchers utilize our solutions in human genomics, plant and animal sciences, infectious disease and microbiology, oncology, and other emerging applications.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Human Genomics: Improving rare disease research and understanding</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According to a World Health Organization publication, it is estimated that 400 million people worldwide are affected by up to 8,000 distinct rare diseases, with 80% of these believed to be genetic in nature. These genetic diseases are DNA differences, called variants, in the affected individuals. Variants range in size from single nucleotide substitutions to large losses or gains of entire chromosomes. Other sequencing technologies applied to rare disease diagnosis are technologically limited to interrogating small variants, representing only a subset of possible genomic variation. Consequently, most genetic disease cases are undiagnosed, leaving families on multi-year diagnostic odysseys. Sequencing the human genome with long and accurate reads enables the potential detection of all known classes of disease-causing variation. In addition, the ability of PacBio’s long-read sequencing technology to detect 5-Methylcytosine DNA methylation, an epigenetic modification shown to alter gene behavior, may enable further advances in research and development in genetic disease diagnosis.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Infectious Disease and Microbiology: Understanding and tracking microbes and pathogens in support of global public health</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technology has increased the scientific community’s understanding of microorganisms and viruses and their malignancy, transmission, and potential resistance to antibiotics or vaccines. Our sequencing technology delivers highly comprehensive and complete genomes, enabling federal agencies, public health organizations, and healthcare providers to conduct wide-ranging research and surveillance activities to:</w:t>
      </w:r>
    </w:p>
    <w:p>
      <w:pPr>
        <w:spacing w:after="0" w:line="49" w:lineRule="exact"/>
        <w:rPr>
          <w:sz w:val="20"/>
          <w:szCs w:val="20"/>
          <w:color w:val="auto"/>
        </w:rPr>
      </w:pPr>
    </w:p>
    <w:p>
      <w:pPr>
        <w:ind w:left="52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generate high quality, complete genome assemblies, revealing variants of all known types, to gain a deeper understanding of community-acquired and hospital-associated infections and transmissions;</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identify and characterize pathogens to inform regional, national, and global public health agencies for preparation and response to rapidly evolving microorganisms;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characterize complex microbial communities to understand their role in human, animal, and environmental health.</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Oncology: Enable the discoveries of underlying causes of cancer, progression, and relapse</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Understanding tumor cells` cellular and molecular complexity is critical in developing more effective targeted cancer therapies. Single-cell transcriptomics is particularly impactful in defining cellular identity and function; however, other technologies miss critical information by only sequencing a portion of RNA. Our long-read RNA sequencing method, single-cell Iso-Seq (scIso-Seq), accurately detects molecular events such as RNA isoforms and expressed mutations and provides gene expression information at the single-cell level. We believe scIso-Seq is uniquely positioned to enable discoveries by researchers of the underlying causes of cancer initiation, progression, and relapse, as well as the discovery by researchers of novel diagnostic, prognostic, and predictive biomarkers that may inform future clinical tests.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novel discoveries continue to be made using our long-read sequencing technology, we believe our SBB short-read sequencing technology will enable us to meet customers` demands in the expanding non-invasive testing market in oncology. Due to the small amounts of circulating tumor DNA (ctDNA) present in the blood of early-stage cancer patients and those with minimal residual disease (MRD), the presence of cancer often goes undetected, and a more sensitive assay will be required. Based on testing internally and at beta customer sites, we believe our SBB technology has the potential to offer higher accuracy than competitor sequencing technologies, which may in the future support our customers’ development of more sensitive tests for the purpose of earlier detection and more robust monitoring of cancer.</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Plant and Animal Sciences: Helping scientists answer biological questions for a healthier world</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Plant and Animal Sciences, academic, government and corporate researchers are using our technology to explore and catalog the genetic and biological diversity of organisms for the breeding, propagation, and production of crops and livestock while conserving the planet’s natural resources. PacBio HiFi sequencing enables researchers to build high quality de novo reference genomes and transcriptomes to study variations across species enabling improvements to global conservation initiatives and support the breeding and production of resilient and higher yielding crops to meet the world's growing population and demand.</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Technology, Products, and Solutions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developed HiFi long-read sequencing based on Single-Molecule Real-Time (SMRT) technology, which accurately detects the nucleotide sequence and epigenetic status of individual DNA molecules. We are also expanding our genomic solutions with our short-read SBB chemistry, which offers sensitive sequencing for short-read applications.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sales consist of sequencing instruments, nanofluidic chips (SMRT Cells), and reagents for preparing DNA and performing sequencing based on our SMRT technology; flow cells and reagents for preparing DNA and performing sequencing based on our SBB technology, reagents for DNA extraction based on our Nanobind technology; and the services we perform for customers.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HiFi Long-Read Sequencing</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HiFi long-read sequencing protocol was built upon our SMRT sequencing systems, including consumables and software, and offers customized end-to-end workflows for different sequencing applications. Highly accurate, long sequence reads simplify and accelerate data analysis algorithms, reducing the need for error correction steps and/or assembly aspects, depending on the application.</w:t>
      </w:r>
    </w:p>
    <w:p>
      <w:pPr>
        <w:spacing w:after="0" w:line="4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Customers use our HiFi long-read sequencing platforms in a wide range of sequencing applications, including whole genome sequencing and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genome assembly, long-range phasing, targeted sequencing, full-length RNA and single-cell sequencing, characterization of metagenomic communities and other mixed DNA samples, viral genome sequencing, and others. Our technology is also capable of detecting epigenetic markers simultaneously by analyzing the kinetics of DNA polymerization that is affected, and thereby detectable, by epigenetic markers such as 5-methylcytosine or N</w:t>
      </w:r>
      <w:r>
        <w:rPr>
          <w:rFonts w:ascii="Arial" w:cs="Arial" w:eastAsia="Arial" w:hAnsi="Arial"/>
          <w:sz w:val="18"/>
          <w:szCs w:val="18"/>
          <w:color w:val="auto"/>
          <w:vertAlign w:val="superscript"/>
        </w:rPr>
        <w:t>6</w:t>
      </w:r>
      <w:r>
        <w:rPr>
          <w:rFonts w:ascii="Arial" w:cs="Arial" w:eastAsia="Arial" w:hAnsi="Arial"/>
          <w:sz w:val="14"/>
          <w:szCs w:val="14"/>
          <w:color w:val="auto"/>
        </w:rPr>
        <w:t>-methyladenine.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SMRT Technology</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proprietary SMRT Technology enables the observation of DNA synthesis as it occurs in real-time by harnessing the natural process of DNA replication, which in nature is a highly efficient and accurate process actuated by DNA polymerases. DNA polymerases attach to a strand of DNA to be replicated, examine the individual base at the point it is attached, and then determine which of the four building blocks, or nucleotides (A, C, G, or T), is required to complement that individual base. After determining which nucleotide is required, the polymerases incorporate that nucleotide into the growing strand being produced.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SMRT Sequencing is based on following the activity of DNA polymerase on individual DNA molecules in real time that occurs on our SMRT Cells that are monitored and analyzed within our HiFi long-read sequencing systems: the Revio system, Sequel II system, Sequel IIe system, and Sequel system. Carried out on SMRTbell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templates, which attach hairpin adapters to the ends of double-stranded DNA molecules to be sequenced, SMRT sequencing allows for the successive sequencing of both the forward and reverse strands of the individual DNA molecule occurring multiple times, thereby allowing for the same base of the same molecule to be sequenced more than once in a sequencing run. The base calls from the serial observation of the molecule can be processed to generate the final base call in an analytical procedure called circular consensus sequencing, leading to what we have defined as our HiFi sequence reads, which have high accuracy typically being defined as having greater than 99% read accuracy, but often exceeding greater than 99.9% accuracy, according to research we performed in collaboration with other researchers, subsequently published in </w:t>
      </w:r>
      <w:r>
        <w:rPr>
          <w:rFonts w:ascii="Arial" w:cs="Arial" w:eastAsia="Arial" w:hAnsi="Arial"/>
          <w:sz w:val="14"/>
          <w:szCs w:val="14"/>
          <w:i w:val="1"/>
          <w:iCs w:val="1"/>
          <w:color w:val="auto"/>
        </w:rPr>
        <w:t>Nature Biotechnology</w:t>
      </w:r>
      <w:r>
        <w:rPr>
          <w:rFonts w:ascii="Arial" w:cs="Arial" w:eastAsia="Arial" w:hAnsi="Arial"/>
          <w:sz w:val="14"/>
          <w:szCs w:val="14"/>
          <w:color w:val="auto"/>
        </w:rPr>
        <w:t xml:space="preserve"> in 2019. HiFi reads typically are 15-20 kilobases in size, depending on the input fragments, providing sufficient read length with our accuracy to support a multitude of applications across human health, plant and animal, and microbiology, according to research we performed in collaboration with other researchers, subsequently published in </w:t>
      </w:r>
      <w:r>
        <w:rPr>
          <w:rFonts w:ascii="Arial" w:cs="Arial" w:eastAsia="Arial" w:hAnsi="Arial"/>
          <w:sz w:val="14"/>
          <w:szCs w:val="14"/>
          <w:i w:val="1"/>
          <w:iCs w:val="1"/>
          <w:color w:val="auto"/>
        </w:rPr>
        <w:t>Scientific Data</w:t>
      </w:r>
      <w:r>
        <w:rPr>
          <w:rFonts w:ascii="Arial" w:cs="Arial" w:eastAsia="Arial" w:hAnsi="Arial"/>
          <w:sz w:val="14"/>
          <w:szCs w:val="14"/>
          <w:color w:val="auto"/>
        </w:rPr>
        <w:t xml:space="preserve"> in 2020. The ability to generate single-DNA molecule sequence reads that are both long and highly accurate allows researchers to obtain more contiguous, complete, and accurate genomic data, thereby allowing for greater insights into the complexity of biological systems.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HiFi Long-Read Sequencing Instruments: Revio system + Sequel systems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Revio, Sequel, Sequel II, and Sequel IIe instruments conduct, monitor, and analyze single-molecule biochemical reactions in real time. The instruments use extremely sensitive imaging systems to collect the light pulses emitted by fluorescent reagents allowing the observation of biological processes. Computer algorithms are used to translate the information that is captured by the optics system. Using the recorded information, light pulses are converted into either an A, C, G, or T base call with associated quality metrics. Once sequencing is started, the real-time data is delivered to the system’s primary analysis pipeline, which outputs base identity and quality values.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HiFi Consumables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Customers purchase proprietary consumable products to run their PacBio systems, including our SMRT Cells and reagent kits. One SMRT Cell is consumed per sequencing reaction, and scientists can choose the number of SMRT Cells they use per experiment.</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offer several reagent kits, each designed to address a specific step in the core sequencing workflow. A library preparation kit is used to convert DNA into SMRTbell double-stranded DNA library formats and includes typical molecular biology reagents, such as ligase, buffers, and exonucleases. Our binding/polymerase kits include our modified DNA polymerase and are used to bind SMRTbell libraries to the polymerase in preparation for sequencing. Our core sequencing kits contain reagents required for on-instrument, real-time sequencing, including phospholinked nucleotides.</w:t>
      </w:r>
    </w:p>
    <w:p>
      <w:pPr>
        <w:spacing w:after="0" w:line="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developed and offered a new line of Kinnex kits with companion SMRT Link software to enable high-throughput, scalable, cost-effective RNA applications including bulk RNA, single-cell RNA, and 16S rRNA sequencing. The Kinnex kits are built upon the Multiplexed Array Sequencing (MAS-Seq) method for concatenating smaller amplicons into larger fragments to sequence on PacBio's long read sequencers, increasing the molecular yield by up to 16-fold. Throughput increase in these key RNA applications where the dynamic range of different RNA isoforms (bulk and single-cell) or microbial species (16S) can vary by orders of magnitude, enables characterization of these complex RNA samples while drastically reducing sequencing need.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SBB Short-Read Sequencing</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contrast to SMRT sequencing, SBB reads short fragments of DNA (hundreds of bases instead of kilobases) in a massively parallel manner. Current short-read next generation sequencing technologies available in the market incur various rates of errors in results. Researchers deploy multiple tactics to try to mitigate these effects, including oversampling or implementing complex library preparation methods, yet still face challenges, including missing rare variants.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believe our proprietary SBB approach will enable researchers to address the gap in detecting rare variants, especially in complex heterogenous samples. Employing a two-phase sequencing chemistry, the SBB approach binds a dye-labeled nucleotide without incorporation into the DNA chain, then removes that base, then blocks and extends with a terminated nucleotide. Using nucleotides with single modifications, we incorporate more native bases, avoiding potential scarring due to fluorescent linker presence. This design helps avoid raw errors and we believe can help us develop a product with substantially greater accuracy than currently marketed short-read sequencing products. SBB enables simplified upfront library preparation, redefines coverage requirements, and reduces bioinformatic workload for downstream analysis. The accuracy of our novel sequencing approach has the potential to advance translational cancer research, drive higher fidelity single-cell applications, and broadly enable clinical sequencing—even in regions of the genome prone to sequencing errors with other short-read sequencing technologies.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SBB Short-Read Sequencing Instrument: Onso system</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Onso instrument conducts, monitors, and analyzes SBB biochemical reactions. The instrument uses extremely sensitive imaging systems to collect the light emitted by fluorescent reagents allowing the observation of biological processes. Computer algorithms are used to translate the information that is captured by the optics system. Using the recorded information, light pulses are converted into either an A, C, G, or T base call with associated quality metrics. Once sequencing is started, the imaging data is delivered to the system’s primary analysis pipeline, which outputs base identity and quality values.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SBB Consumables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To complement our Onso instrument, we also sell a range of SBB consumable products including flow cells, clustering, and sequencing reagent kits. One flow cell and associated sequencing reagent pack is consumed per sequencing reaction. Each flow cell contains two lanes and scientists can choose to sequence different samples in each lane while additionally combining any number of flow cells needed per experiment.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offer several reagent kits, each designed to address a specific step in the core sequencing workflow. A library preparation kit is used to convert DNA into SBB compatible, double-stranded DNA library formats and includes typical molecular biology reagents, such as ligase, buffers, and exonucleases. Additionally for library preparation, our conversion kits include reagents to enable scientists to convert existing sequencing libraries into an SBB compatible format. Finally, our clustering and sequencing kits contain all reagents required for generating sequence ready clusters on flow cell and performing SBB sequencing reactions on instrument,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 for Growth</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To enable the promise of genomics, our strategy includes the following key elements:</w:t>
      </w:r>
    </w:p>
    <w:p>
      <w:pPr>
        <w:spacing w:after="0" w:line="94"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Increase technology adoption by increasing market share via new customer acquisition, continue Sequel II conversions to Revio, and scale Onso production;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Leverage innovation to complete development of new sequencing platforms and launch on-market system improvements;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Build upon clinical momentum by expanding HiFi usage in large-scale programs and translational research projects;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Drive towards positive cash flow through gross margin expansion, disciplined operating expense management, and a focus on working capital.</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Marketing, Sales, Service, and Support</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market our products through a global sales force and through distribution partners in Asia and Australia, certain parts of Europe, the Middle East and Africa, and Latin America. We plan to continue to invest in growing our marketing, sales, service, and support resources as we drive continued adoption of products, launch new products, and expand our customer base.</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Our business is subject to seasonal trends. See the </w:t>
      </w:r>
      <w:r>
        <w:rPr>
          <w:rFonts w:ascii="Arial" w:cs="Arial" w:eastAsia="Arial" w:hAnsi="Arial"/>
          <w:sz w:val="14"/>
          <w:szCs w:val="14"/>
          <w:i w:val="1"/>
          <w:iCs w:val="1"/>
          <w:u w:val="single" w:color="auto"/>
          <w:color w:val="0000FF"/>
        </w:rPr>
        <w:t>Risk Factors</w:t>
      </w:r>
      <w:r>
        <w:rPr>
          <w:rFonts w:ascii="Arial" w:cs="Arial" w:eastAsia="Arial" w:hAnsi="Arial"/>
          <w:sz w:val="14"/>
          <w:szCs w:val="14"/>
          <w:color w:val="auto"/>
        </w:rPr>
        <w:t xml:space="preserve"> section, specifically the risk factor titled </w:t>
      </w:r>
      <w:r>
        <w:rPr>
          <w:rFonts w:ascii="Arial" w:cs="Arial" w:eastAsia="Arial" w:hAnsi="Arial"/>
          <w:sz w:val="14"/>
          <w:szCs w:val="14"/>
          <w:i w:val="1"/>
          <w:iCs w:val="1"/>
          <w:u w:val="single" w:color="auto"/>
          <w:color w:val="0000FF"/>
        </w:rPr>
        <w:t>Our operating results fluctuate from quarter to quarter and year over year,</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which makes our future results difficult to predict and could negatively impact the market price of our common stock,</w:t>
      </w:r>
      <w:r>
        <w:rPr>
          <w:rFonts w:ascii="Arial" w:cs="Arial" w:eastAsia="Arial" w:hAnsi="Arial"/>
          <w:sz w:val="14"/>
          <w:szCs w:val="14"/>
          <w:i w:val="1"/>
          <w:iCs w:val="1"/>
          <w:color w:val="0000FF"/>
        </w:rPr>
        <w:t xml:space="preserve"> </w:t>
      </w:r>
      <w:r>
        <w:rPr>
          <w:rFonts w:ascii="Arial" w:cs="Arial" w:eastAsia="Arial" w:hAnsi="Arial"/>
          <w:sz w:val="14"/>
          <w:szCs w:val="14"/>
          <w:color w:val="000000"/>
        </w:rPr>
        <w:t>for additional information.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 In general, our customers will isolate, prepare, and analyze genetic samples using PacBio sequencing systems in their own laboratories, or they will send their genetic samples to third-party service providers who in turn will sequence the samples with PacBio systems and provide the sequence data back to the customer for further analysis. For example, customers in academic research institutions may have bacteria, animal, or human DNA samples isolated from various sources while agricultural biology companies may have DNA samples isolated from different strains of rice, corn, or other crops. For the year ended December 31, 2023, no single customer accounted for 10% or more of our total revenue. For the years ended December 31, 2022, and 2021, one customer accounted for approximately 12% and 13% of our total revenue, respectively.</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believe that the majority of our current customers are early adopters of sequencing technology. By focusing our efforts on high-value applications, and developing whole product solutions around these applications, we seek to drive the adoption of our products across a broader customer base and into numerous large-scale projects. In general, the broader adoption of new technologies by mainstream customers can take a number of years.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December 31, 2023, our product backlog was approximately $18.7 million, compared to $51.5 million as of December 31, 2022. We define backlog as purchase orders or signed contracts from our customers, which we believe are firm and for which we have not yet recognized revenue. We expect to convert the majority of this backlog to revenue during 2024; however, our ability to do so is subject to customers who may seek to cancel or delay their orders even if we are prepared to fulfill them.</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manufacture sequencing instruments, SMRT Cells, and reagents. Our key manufacturing and service facility in Menlo Park, California has received ISO 13485 and ISO 9001 certifications for the design, development, manufacture, distribution, installation, and servicing of its nucleic acid sequencing platforms. We utilize subcontract manufacturers for components of the manufacturing process. We purchase both custom and off-the-shelf components from a large number of suppliers and subject them to significant quality specifications. We periodically conduct quality audits of most of our critical suppliers and have established a supplier qualification program. Some of the components required in our products are currently either sole sourced or single sourced.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historically made and plan to continue to make significant investments in research and development. Our research and development efforts focus on programs to develop new and existing platforms, as well as increasing throughput and decreasing costs on behalf of our customers. We are currently developing higher throughput platforms that utilize our HiFi long-read sequencing and SBB short-read sequencing technologies. We also are developing a benchtop HiFi platform intended to improve accessibility for smaller laboratories, and we continue to extend our on-market platforms, Revio and Onso. In addition to platform development, we also innovate across end-to-end workflows to improve usability, as well as develop new applications for the advancement of human health.</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94"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Developing and maintaining a strong intellectual property portfolio is an important element of our business. We have sought, and will continue to seek, patent protection for our SMRT and SBB technology, for improvements to our SMRT kit and SBB technology, as well as for any of our other technologies where we believe such protection will be advantageous.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current patent portfolio, including patents exclusively licensed to us, is directed to various technologies, including SMRT nucleic acid sequencing and other methods for analyzing biological samples, zero-mode waveguide (ZMW) arrays, surface treatments, phospholinked nucleotides and other reagents for use in nucleic acid sequencing, optical short-read nucleic acid sequencing, nucleic acid preparation, and purification components and systems, processes for identifying nucleotides within nucleic acid sequences, and processes for analysis and comparison of nucleic acid sequence data. Some of the patents and applications that we own, as well as some of the patents and applications that we have licensed from other parties, are subject to U.S.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government march-in rights, whereby the U.S. government may disregard our exclusive patent rights on its own behalf or on behalf of third parties by imposing licenses in certain circumstances, such as if we fail to achieve practical application of the U.S. government funded technology, because action is necessary to alleviate health or safety needs, to meet requirements of federal regulations, or to give preference to U.S. industry. In addition, U.S. government funded inventions must be reported to the government and U.S. government funding must be disclosed in any resulting patent applications.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December 31, 2023, we own or hold exclusive licenses to 437 issued U.S. patents, 89 pending U.S. patent applications, 6 pending Patent Cooperation Treaty ("PCT") patent applications, 441 issued foreign patents, and 166 pending foreign patent applications. The full term of the issued U.S. patents will expire between 2024 and 2041. We also have non-exclusive patent licenses with various third parties to supplement our own large and robust patent portfolio.</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Sequencing Solutions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There are a significant number of companies offering nucleic acid sequencing equipment or consumables. These include, but are not limited to, Illumina, Inc. (“Illumina”), BGI Genomics (also known as MGI or Complete Genomics), Thermo Fisher Scientific Inc. (“Thermo”), Oxford Nanopore Technologies Ltd. (“ONT Ltd.”), Roche Holding AG (“Roche”), Qiagen N.V. (“Qiagen”), Element Biosciences, Inc. (“Element”), Bionano Genomics, Inc. (“Bionano”), Ultima Genomics, Inc. (“Ultima”) and Singular Genomics Systems, Inc. (“Singular”). These companies may have different levels of financial, technical, manufacturing, administrative, and support resources available to them. We expect the competition to intensify within the overall nucleic acid sequencing market as there are also several companies developing new sequencing technologies, products and/or services. Increased competition may result in pricing pressures, which could harm our sales, profitability, or share of supply.</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order for us to maintain and increase our sales, we will need to demonstrate that our products deliver superior performance and value as a result of our key differentiators. Our HiFi long-read sequencing will need to continue to deliver very high consensus accuracy and long-read lengths and include single-molecule, real-time resolution, with the ability to detect real-time kinetic information, fast time-to-result and flexibility, as well as support the breadth and depth of current and future applications.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development, testing, manufacturing, marketing, post-market surveillance, distribution, advertising, and labeling of certain medical devices, including in vitro diagnostic products and laboratory-developed tests, are subject to regulation in the United States by the Center for Devices and Radiological Health of the U.S. Food and Drug Administration (FDA) under the Federal Food, Drug, and Cosmetic Act (FDCA) and comparable state and foreign regulatory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intend to label and sell our products for research use only (“RUO”) and expect to sell them to research customers in various settings, including academic institutions, life sciences and research laboratories that conduct research, and biopharmaceutical and biotechnology companies for non-diagnostic and non-clinical purposes. Our current RUO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the FDA. Rather, while FDA regulations require that RUO products be labeled for research use only and to market and distribute RUO products in accordance with the FDA RUO guidance, the regulations do not subject RUO products to the FDA’s jurisdiction or the broader pre- and post-market controls for medical devices. However, in the future, certain of our products or related applications, such as those that may be developed for clinical uses, could be subject to FDA regulation, or the FDA’s regulatory jurisdiction could be expanded to include our products. If we wish to label and expand product lines to address the diagnosis of disease, regulation by governmental authorities in the United States and other countries will become an increasingly significant factor in development, testing, production, and marketing. In the future, products that we may develop in the molecular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and we would be required to obtain either prior 510(k) clearance or prior pre-market approval from the FDA before commercializing the product. Obtaining the requisite regulatory approvals can be expensive and may involve considerable delay. Some countries have regulatory review processes that are substantially longer than U.S. processes. Failure to obtain regulatory approval in a timely manner and meet all of the local regulatory requirements including language and specific safety standards in any foreign country in which we plan to market our products could prevent us from marketing products in such countries or subject us to sanctions and fines. Changes to the current regulatory framework, including the imposition of additional or new regulations, could arise at any time during the development or marketing of our products.</w:t>
      </w:r>
    </w:p>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November 2013, the FDA issued a final guidance on products labeled for research use only,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FDCA.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FDCA as Class III, which generally requires pre-market approval, or PMA approval. However, the FDA can reclassify or use “de novo classification” for a device that meets the FDCA standards for a Class II device, permitting the device to be marketed without PMA approval. To grant such a reclassification, FDA must determine that the FDCA’s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For example, in some cases, our customers, including laboratories that offer services as part of our certified service provider program,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the FDA may increase its regulation of LDTs. Legislative and administrative proposals to amend the FDA's oversight of LDTs have been introduced in recent years, including the Verifying Accurate Leading-edge IVCT Development Act of 2021 (the “VALID Act”). In September 2022, Congress passed the FDA user fee reauthorization legislation without substantive FDA policy riders, including the VALID Act, but Congress may revisit the policy riders and enact other FDA programmatic reforms in the future. In October 2023, through rulemaking, the FDA proposed to amend the definition of “in vitro diagnostic products” in FDA regulations to include laboratories that manufacture such products and to phase out the FDA’s general enforcement discretion approach for LDTs so that IVDs manufactured by a laboratory would be regulated similarly to IVDs. It is unclear when the FDA will finalize and begin enforcing such rule.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If our products become subject to FDA regulation as medical devices, the regulatory clearance or approval and the maintenance of continued and post-market regulatory compliance for such products will be expensive, time-consuming, and uncertain both in timing and in outcome. Commercialization of such regulated medical devices can increase our exposure under additional laws. For example, medical device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medical products for which we obtain marketing authorization. Such laws include, without limitation, state and federal anti-kickback, fraud and abuse, false claims, data privacy and security, and transparency laws and regulations related to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spacing w:after="0" w:line="6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International sales of medical devices are subject to foreign government regulations, which vary substantially from country to country. In the future, if we decide to distribute or market our diagnostic products as IVDs in Europe, such products are subject to regulation under the European Union (“EU”) IVD Medical Device Regulation (“IVDR”) EU 2017/746. Outside of the EU, regulatory approval needs to be sought on a country-by-country basis in order to market medical devices. Although there is a trend towards harmonization of a quality system, standards and regulations in each country may vary substantially, which can affect timelines of introduction.</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are committed to the protection of our employees and the environment. Our operations require the use of hazardous materials that subject us to various federal, state, and local environmental and safety laws and regulations. We believe that we are in material compliance with current applicable laws and regulations. However, we could be held liable for damages and fines should contamination of the environment or individual exposures to hazardous substances occur. In addition, we cannot predict how changes in these laws and regulations, or the development of new laws and regulations, will affect our business operations or the cost of compliance.</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Additionally, we must comply with complex foreign and U.S. laws and regulations, such as the U.S. Foreign Corrupt Practices Act, the U.K. Bribery Act, and other local laws prohibiting corrupt payments to governmental officials, anti-competition regulations and sanctions imposed by the U.S. Office of Foreign Assets Control, and other similar laws and regulations. Violations of these laws and regulations could result in fines and penalties, criminal sanctions, restrictions on our business conduct, and on our ability to offer our products in one or more countries, and could also materially affect our brand, our ability to attract and retain employees, our international operations,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we continue to expand our business into multiple international markets, our success will depend, in large part, on our ability to anticipate and effectively manage these and other risks associated with our international operations. Any of these risks could harm our international operations and negatively impact our sales, adversely affecting our business, results of operations, financial condition, and growth prospects.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December 31, 2023, we had 796 full-time employees. Of these employees, 317 were in research and development, 91 were in operations, 45 were in service, 226 were in marketing, sales, and customer support, and 117 were in general and administration. With the exception of our field-based sales, marketing, and service teams, the majority of our employees are in California. None of our employees are represented by labor unions or are covered by a collective bargaining agreement with respect to their employment. We have not experienced any work stoppages, and we consider our relationship with our employees to be good.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Talent Acquisition and Retention</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recognize that our employees largely contribute to our success. To this end, we support business growth by seeking to attract and retain best-in-class talent. Our talent acquisition team uses internal and external resources to recruit highly skilled candidates globally.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Rewards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total rewards philosophy has been to invest in our workforce by offering competitive and fair compensation and benefits packages. We provide employees with compensation packages that include base salary, short-term incentives such as annual bonuses and commissions, and long-term equity awards. We also offer comprehensive employee benefits, which vary by country and region, such as life, disability, and health insurance, health savings and flexible spending accounts, time off benefits, paid parental leave, Employee Stock Purchase Program, and a 401(k) plan. It is our expressed intent to be an employer of choice in our industry by providing market-competitive compensation and benefits packages.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Health, Safety, and Wellness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health, safety, and wellness of our employees is a priority in which we have always invested and will continue to do so. We provide our employees and their families with access to a variety of innovative, flexible, and convenient health and wellness programs. Program benefits are intended to provide protection and security, so employees can have peace of mind concerning events that may require time away from work or that may impact their financial well-being. These programs are highlighted and updated regularly on our internal benefits platform.</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Diversity, Equity, and Inclusion</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believe a diverse workforce is critical to our success. Our mission is to value differences in races, ethnicities, religions, nationalities, genders, ages, sexual orientations, as well as education, skill sets and experience. We offer training programs on diversity awareness to help employees understand, recognize, respond, and prevent bias throughout the employee lifecycle. We are focused on inclusive hiring practices, fair and equitable treatment, organizational flexibility, and training and resources.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Training and Development</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believe in encouraging employees to becoming lifelong learners by providing ongoing learning and leadership training opportunities. We provide a scaled learning platform of on-demand and virtual classroom learning focused on personal and professional development. While we strive to provide real-time recognition of employee performance, we have a formal annual review process not only to determine pay and equity adjustments tied to individual contributions, but to identify areas where training and development may be needed.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Our website is located at </w:t>
      </w:r>
      <w:r>
        <w:rPr>
          <w:rFonts w:ascii="Arial" w:cs="Arial" w:eastAsia="Arial" w:hAnsi="Arial"/>
          <w:sz w:val="14"/>
          <w:szCs w:val="14"/>
          <w:u w:val="single" w:color="auto"/>
          <w:color w:val="auto"/>
        </w:rPr>
        <w:t>www.pacb.com</w:t>
      </w:r>
      <w:r>
        <w:rPr>
          <w:rFonts w:ascii="Arial" w:cs="Arial" w:eastAsia="Arial" w:hAnsi="Arial"/>
          <w:sz w:val="14"/>
          <w:szCs w:val="14"/>
          <w:color w:val="auto"/>
        </w:rPr>
        <w:t>. The information posted on, or that can be accessed through, our website is not incorporated by reference into this Annual Report on Form 10-K, and the inclusion of our website address is an inactive textual reference only. Our Annual Report on Form 10-K, Quarterly Reports on Form 10-Q, Current Reports on Form 8-K, and amendments to reports filed or furnished pursuant to Sections 13(a) and 15(d) of the Securities Exchange Act of 1934, as amended, are available free of charge through the “Investor Relations” section of our website as soon as reasonably practicable after we electronically file such material with, or furnish it to, the SEC. The SEC also maintains a website that contains our SEC filings. The address of the site is www.sec.gov.</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Additionally, we use our website (including the blog section of our website) as well as our X (formerly Twitter) account (</w:t>
      </w:r>
      <w:r>
        <w:rPr>
          <w:rFonts w:ascii="Arial" w:cs="Arial" w:eastAsia="Arial" w:hAnsi="Arial"/>
          <w:sz w:val="14"/>
          <w:szCs w:val="14"/>
          <w:u w:val="single" w:color="auto"/>
          <w:color w:val="auto"/>
        </w:rPr>
        <w:t>@pacbio</w:t>
      </w:r>
      <w:r>
        <w:rPr>
          <w:rFonts w:ascii="Arial" w:cs="Arial" w:eastAsia="Arial" w:hAnsi="Arial"/>
          <w:sz w:val="14"/>
          <w:szCs w:val="14"/>
          <w:color w:val="auto"/>
        </w:rPr>
        <w:t xml:space="preserve">) as a channel of distribution for important company information and to comply with our disclosure obligations under Regulation FD. Important information, including press releases, analyst presentations, and financial information regarding us, as well as corporate governance information, is routinely posted and accessible on the “Investor Relations” section of the website, which is accessible by clicking on the tab labeled “Company - Investors” on our website home page. In addition, important information is routinely posted and accessible on the blog section of our website, which is accessible through our website at </w:t>
      </w:r>
      <w:r>
        <w:rPr>
          <w:rFonts w:ascii="Arial" w:cs="Arial" w:eastAsia="Arial" w:hAnsi="Arial"/>
          <w:sz w:val="14"/>
          <w:szCs w:val="14"/>
          <w:u w:val="single" w:color="auto"/>
          <w:color w:val="auto"/>
        </w:rPr>
        <w:t>www.pacb.com/blog</w:t>
      </w:r>
      <w:r>
        <w:rPr>
          <w:rFonts w:ascii="Arial" w:cs="Arial" w:eastAsia="Arial" w:hAnsi="Arial"/>
          <w:sz w:val="14"/>
          <w:szCs w:val="14"/>
          <w:color w:val="auto"/>
        </w:rPr>
        <w:t>, as well as our X account (</w:t>
      </w:r>
      <w:r>
        <w:rPr>
          <w:rFonts w:ascii="Arial" w:cs="Arial" w:eastAsia="Arial" w:hAnsi="Arial"/>
          <w:sz w:val="14"/>
          <w:szCs w:val="14"/>
          <w:u w:val="single" w:color="auto"/>
          <w:color w:val="auto"/>
        </w:rPr>
        <w:t>@pacbio</w:t>
      </w:r>
      <w:r>
        <w:rPr>
          <w:rFonts w:ascii="Arial" w:cs="Arial" w:eastAsia="Arial" w:hAnsi="Arial"/>
          <w:sz w:val="14"/>
          <w:szCs w:val="14"/>
          <w:color w:val="auto"/>
        </w:rPr>
        <w:t>). The contents of our website and our X account are not incorporated by reference into this Annual Report on Form 10-K or in any other report or document we file with the SEC, and any references to our website or X account are intended to be inactive textual references only.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auto"/>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 This situation is changing rapidly, and additional impacts may arise that we are not aware of currently.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Risk Factors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35"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successfully market, commercialize, and sell current and future products and related maintenance services;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achieve profitability for our business;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repay our debt and fund our long-term operations;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successfully leverage and integrate our acquisitions and future acquisitions;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successfully research, develop and timely manufacture our current and future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management of new product introductions and transitions, resultant costs, and ability of new products to generate promised performance;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recent significant changes to our leadership team and resultant disruptions to our business;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retention, recruitment, and training of senior management, key personnel, scientists and engineers;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further penetrate nucleic acid sequencing applications, as well as grow product demand;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reliance on outsourcing to other companies for manufacturing certain components and sub-assemblies, some of which are sole-sourced;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consistently manufacture our instruments and consumables to meet customers’ specifications, quantity, cost, or performance requirements;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high amount of competition we face in our industry;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attract customers and increase sales of current and future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reliance on a limited number of customers for a significant portion of our revenues, including academic, research and government institutions;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complexity of our products giving rise to defects or errors;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unpredictable and lengthy sales cycles;</w:t>
      </w:r>
    </w:p>
    <w:p>
      <w:pPr>
        <w:spacing w:after="0" w:line="9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adverse effects resulting from political and economic tensions between the United States and other countries, including China and Russia, and other geopolitical uncertainties;</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securing and maintaining patent or other intellectual property protection for our products and related improvements;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current and future legal proceedings filed against us claiming intellectual property infringement;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potential adverse impact of health epidemics, including any resurgence of COVID-19 cases or other similar outbreaks;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governmental regulations that burden operations or narrow the market for our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evolving ethical, legal, privacy, social, and regulatory concerns regarding genetic testing;</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volatility of the price of our common stock;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stock price falling as a result of future offerings or sales of securities.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risk factors are not guarantees that no such conditions exist as of the date hereof and should not be interpreted as an affirmative statement that such risks or conditions have not materialized, in whole or in part.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w:t>
      </w:r>
    </w:p>
    <w:p>
      <w:pPr>
        <w:spacing w:after="0" w:line="96"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The commercialization and sales of our current or future products may be unsuccessful or less successful than anticipated. While we plan to continue pursuing new products and expand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spacing w:after="0" w:line="3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have made and expect to continue making substantial investments to develop new products and enhance our existing products through our acquisitions and research and development efforts. For example, we commenced commercial shipments of Revio, our new long-read sequencing system in the first quarter of 2023, and commenced commercial shipments of Onso, our new SBB short-read platform, in the third quarter of 2023. Our future success is substantially dependent on our ability to successfully develop and commercialize our products, including Revio and Onso, as well as acquired technologies, which are anticipated to be used in demanding scientific research that requires substantial levels of accuracy and precision. In addition, we may not be successful in transitioning our prior generation products to our Revio product, or transitioning users of other third party short-read sequencing platforms to Onso, and could incur related obsolete inventory charges and losses on firm purchase commitments. Customers may also be slower than we anticipate in making new capital equipment acquisitions, especially in the current economic environment. Due to challenges we may experience in developing and marketing our existing products and launching new products, we may not be able to effectively:</w:t>
      </w:r>
    </w:p>
    <w:p>
      <w:pPr>
        <w:spacing w:after="0" w:line="58" w:lineRule="exact"/>
        <w:rPr>
          <w:sz w:val="20"/>
          <w:szCs w:val="20"/>
          <w:color w:val="auto"/>
        </w:rPr>
      </w:pPr>
    </w:p>
    <w:p>
      <w:pPr>
        <w:ind w:left="520" w:hanging="260"/>
        <w:spacing w:after="0" w:line="290"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manage the timeliness of our new product introductions and the rate at which sales of our new products may cannibalize sales of our older products or manage sales and marketing of multiple sequencing platforms;</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drive adoption of our current and future products, including the Sequel II/IIe, Revio and Onso systems, and products under development;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maintain our competitive position by continuing to attract and retain customers for our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provide appropriate levels of customer training and support for our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implement an effective marketing strategy to promote awareness of our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develop and implement an effective sales and distribution strategy for our current and future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develop, manufacture and commercialize new products or achieve an acceptable return on our manufacturing or research and development efforts and expenses;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comply with regulatory requirements applicable to our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anticipate and adapt to changes in our market;</w:t>
      </w:r>
    </w:p>
    <w:p>
      <w:pPr>
        <w:spacing w:after="0" w:line="93"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accommodate customer expectations and demands with respect to our products, increase product adoption by our existing customers or develop new customer relationships;</w:t>
      </w:r>
    </w:p>
    <w:p>
      <w:pPr>
        <w:spacing w:after="0" w:line="24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deliver our beta systems to our external beta testing sites or complete our external beta testing program on our currently expected timelines;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overcome unexpected challenges discovered during beta testing;</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complete the scientific and technical validation of new products on our currently expected timeline or at all;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deliver our future products in a timely manner to our customers;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grow our market share by marketing and selling our products for new and additional applications;</w:t>
      </w:r>
    </w:p>
    <w:p>
      <w:pPr>
        <w:spacing w:after="0" w:line="9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manage the significant burdens that expanding our existing or future products into current and new markets may impose on marketing, compliance, and other administrative and managerial resources;</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maintain and develop strategic relationships with vendors, manufacturers, and other industry partners to acquire necessary materials for the production of, and to develop, manufacture and commercialize, our existing or future products;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adapt or scale our manufacturing activities to meet performance specifications and potential demand at a reasonable cost;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avoid infringement and misappropriation of third-party intellectual property;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obtain and maintain any necessary licenses to third-party intellectual property on commercially reasonable terms;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obtain valid and enforceable patents that give us a competitive advantage or enforce existing patents;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protect our proprietary technology;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attract, retain, and motivate qualified personnel.</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incurred losses to date, and we expect to continue to incur significant losses as we develop our business and may never achieve profitability.</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Our net losses since inception and our expectation of incurring substantial losses and negative cash flow for the foreseeable future could:</w:t>
      </w:r>
    </w:p>
    <w:p>
      <w:pPr>
        <w:spacing w:after="0" w:line="94"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make it more difficult for us to satisfy our obligations;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increase our vulnerability to general adverse economic and industry conditions;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limit our ability to fund future working capital, capital expenditures, research and development and other business opportunities;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increase the volatility of the price of our common stock;</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limit our flexibility to react to changes in our business and the industry in which we operate;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place us at a disadvantage to other companies that offer nucleic acid sequencing equipment or consumables;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limit our ability to borrow additional funds.</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Any or all of the foregoing may have a material adverse effect on our business, operations, financial condition, and prospects. An impairment in value of our tangible or intangible assets could also be recorded as a result of weaker economic conditions.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not cash flow positive and may not have sufficient cash to make required payments under the terms of our debt or fund our long-term planned operations.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significant debt, and we may incur additional debt, in the future. As of December 31, 2023, we had outstanding approximately $459.0 million aggregate principal amount of 1.50% convertible senior notes due 2028 (the “2028 Notes”) and $441.0 million aggregate principal amount of our 1.375% convertible senior notes due 2030 (the “2030 Notes” and, together with the 2028 Notes, the “Notes”). We may not have sufficient cash to make required payments under the terms of this debt, and should this occur, debt holders have rights senior to common stockholders to make claims on our assets.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We may be required to seek equity financing at a time when the market price for our common stock is low, which will further contribute to dilution for existing holders.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believe that our growth will depend, in part, on our ability to fund our commercialization efforts and our efforts to develop new products, including any improvements to our existing products.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5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spacing w:after="0" w:line="2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part of our business strategy, we have acquired and expect to continue to pursue acquisitions of complementary businesses, technologies, or assets. We may also pursue technology license arrangements, strategic alliances or investments that complement our business as we have previously with our acquisitions of Circulomics, Omniome and Apton in July 2021, September 2021 and August 2023, respectively.</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Acquisitions and strategic transactions involve numerous risks, any of which could harm our business and negatively affect our financial condition and results of operations, including:</w:t>
      </w:r>
    </w:p>
    <w:p>
      <w:pPr>
        <w:spacing w:after="0" w:line="247"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intense competition for suitable acquisition targets, which could increase prices and adversely affect our ability to consummate deals on favorable or acceptable terms;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failure or material delay in closing a transaction;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transaction-related lawsuits or claims;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difficulties in integrating the technologies, operations, existing contracts, and personnel of an acquired company;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difficulties in retaining key employees or business partners of an acquired company;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difficulties in retaining suppliers, partners, or customers of an acquired company;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challenges with integrating the brand identity of an acquired company with our own;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diversion of financial and management resources from existing operations or alternative acquisition opportunities;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failure to realize the anticipated benefits or synergies of a transaction;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difficulties in developing technology post-acquisition;</w:t>
      </w:r>
    </w:p>
    <w:p>
      <w:pPr>
        <w:spacing w:after="0" w:line="9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risks that regulatory bodies may enact new laws or promulgate new regulations that are adverse to an acquired company or business;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risks that regulatory bodies do not approve our acquisitions or business combinations or delay such approvals;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theft of our trade secrets or confidential information that we share with potential acquisition candidates or other potential strategic partners;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risk that an acquired company or investment in new services cannibalizes a portion of our existing business;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adverse market reaction to an acquisition or other strategic transaction.</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 including potential impairments of goodwill and intangible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are unable to successfully develop and timely manufacture our current and future products, including with respect to SMRT Cells, Sequel II/IIe Systems, Revio, Onso, and other SMRT Cell, HiFi, and SBB products under development, and related products, our business may be adversely affected.</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Sequel II/IIe, Revio and Onso Systems, and the products under development, including acquired technologies,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SMRT Cells, reagents, Sequel II/IIe Systems, Revio, Onso, and other SMRT Cell, HiFi, and SBB products under development, including acquired technologies,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and Revio Systems, and may need to develop in the future, other customized SMRT Cells and consumables for our future products. Our production of the SMRT Cells for the Sequel and Sequel II/IIe Systems has been and may in the future, including with respect to the Revio system, be below desired levels and yields, and we have experienced and may experience in the future manufacturing delays, product or quality defects, SMRT Cell variability, and other issues. For example, the COVID–19 pandemic has impacted and, any resurgence of COVID-19, or the outbreak of other similar health epidemics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 have a material adverse effect on our ability to sell our products or result in other material adverse effects on our business, operations, financial condition, operations and prospects.</w:t>
      </w:r>
    </w:p>
    <w:p>
      <w:pPr>
        <w:spacing w:after="0" w:line="6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 the continued rollout of our current and future products, including with respect to the SMRT Cell, the Sequel II/IIe, Revio, and Onso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Sequel II/IIe Systems, Revio, and Onso, could materially and adversely affect our business, operations, financial condition, and prospects.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in connection with the SMRT Cell, the Sequel II/IIe Systems, Revio and Onso, in addition to other products currently under development, including acquired technologies. Our research and development efforts are complex and require us to incur substantial expenses and we may not be able to develop, manufacture and commercialize new products or obtain regulatory approval if necessary. We may divert significant resources to research and development initiatives that do not result in commercialized products, and even if these efforts do result in commercialized products, there can be no assurance that such products will compete successfully in the market or achieve an acceptable return, if any, on our research and development efforts and expenses. Moreover, our joint research and development efforts with partners require significant management attention and operational resources. If we are unable to successfully manage such joint research and development efforts, our future results may be adversely impacted. Furthermore, we will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spacing w:after="0" w:line="6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must successfully manage new product introductions and transitions, including with respect to the Revio and Onso Systems and each of their related consumables, and the development of acquired technologies, and we may incur significant costs during these transitions and development, and these efforts may not result in the benefits we anticipate.</w:t>
      </w:r>
    </w:p>
    <w:p>
      <w:pPr>
        <w:spacing w:after="0" w:line="3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successfully execute on the commercialization of the Revio HiFi long-read sequencing system, and the Onso SBB short-read sequencing system, and each of their related consumables, and any future products that may be developed for research, medical and clinical uses, including acquired technologies, it could have a material adverse effect on our business, financial condition and results of operations. In addition, the introduction of future products, including with respect to future long-read and short-read products, and related consumables,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including the recent commercialization of our Revio and Onso systems,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Revio and Onso Systems and each of their related consumables, and any future long-read and short-read products, our business, operations, financial condition, and prospects may be materially and adversely affected.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may be adversely affected by health epidemics, including any resurgence of COVID-19 cases or other similar outbreaks.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business has been and could be further adversely impacted by the effects of COVID-19 or other epidemics or pandemics. Although it is not possible at this time to estimate the impact that health epidemics, including the results of the COVID-19 pandemic and any future resurgence of COVID-19 cases or other similar outbreaks, could have on our business, any pandemic or public health outbreaks or related disruptions and the measures taken by the governments of countries affected could disrupt the supply chain and the manufacture of our products.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manufacturing partners and suppliers have been and could continue to be disrupted by conditions related to COVID-19 or other epidemics or pandemics,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There is significant uncertainty relating to the long-term effect of COVID-19 or other epidemics or pandemics on our business. Infections may resurge or become more widespread and any ensuing disruptions to business activities or supply chains could have a negative impact on our business, financial condition, and operating results. Because our semiconductor manufacturers are located in a region where immunization rates in certain communities may be low, new and emerging variants of COVID-19 or other epidemics or pandemics could impact workforce availability at those locations and disrupt supply. For example, the Chinese government may re-impose lockdowns or similar measures to combat the spread of health epidemics such as COVID-19 or other similar outbreaks and such measures have had, and may continue to have in the future, a negative impact on manufacturing and/or supply chains, as well as customer demand for our products and demand through certain distributors.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example, the COVID-19 pandemic caused us to modify our business practices, including limiting certain of our commercial operations and limiting certain employees from working in the office. We offered, and if there is a resurgence of COVID-19 or other similar outbreaks, we may again offer a significant percentage of our employees flexibility in the amount of time they work in an office, which could adversely impact the productivity of certain employees and harm our business, including our future operating results. This may also present risks for our strategy and may present operational, cybersecurity, and workplace culture challenges that may adversely affect our business.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Even after the COVID-19 pandemic has further subsided, we may continue to experience an adverse impact to our business as a result of its global economic impact, including recessionary effects and inflationary pressures. Specifically, difficult macroeconomic conditions, such as decreases in discretionary capital expenditure spending, changes to the government funding environment, a reduction in or the lapsing of COVID-19-related governmental stimulus measures, increased and prolonged unemployment or a decline in consumer confidence as a result of the COVID-19 pandemic or other epidemics or pandemics, as well as limited or significantly reduced points of access of our products, could have a continuing adverse effect on the demand for some of our products and, consequently, related maintenance and support services. The degree of impact of COVID-19 or other epidemics or pandemics on our business will depend on several factors, such as the duration and the extent of the pandemic, the risk of waning immunity among persons already vaccinated and an increase in fatigue or skepticism with respect to initial or booster vaccinations, as well as actions taken by governments, businesses, and consumers in response to the pandemic, all of which continue to evolve and remain uncertain at this time.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changes to our leadership team and the resulting management transitions might harm our future operating results.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experienced significant changes to our leadership team since 2020, including the appointment of our current President and Chief Executive Officer, Chief Financial Officer, Chief Operating Officer, Chief Commercial Officer, Vice President and Chief Accounting Officer, and Chair of the Board.</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may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3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is characterized by high demand and intense competition for talent, and the turnover rate has been and may continue to be high. We compete for qualified management and scientific personnel with other life science companies, academic institutions and research institutions, particularly those focusing on genomics. This competition had been exacerbated by the increase in employee resignations in 2021 and 2022 that had been experienced by us and reported by employers nationwide. In addition, we have experienced significant turnover in our senior management team in recent periods. To induce valuable employees to remain at our company, in addition to salary and cash incentives, we have issued stock options and restricted stock units that vest over time. The value to employees of stock options and restricted stock units that vest over time may be significantly affected by movements in our stock price that are beyond our control and may at any time be insufficient to counteract more lucrative offers from other companies. We may face challenges in retaining and recruiting such individuals due to sustained declines in our stock price that could reduce the retention value of equity awards.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 In addition, we will need to continue to recruit, hire and retain sales personnel to support the commercialization of our existing and new products.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Further, our vaccination and return to office protocols related to COVID-19 or other epidemics or pandemics may also impact the recruitment and retention of key employees.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6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the SMRT Cell, Sequel II/IIe, Revio and Onso Systems, and related products may not grow sufficiently to cover our costs.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There can be no assurance that we will be successful in adding new products or securing additional customers for our current and future products, including with respect to the SMRT Cell, Sequel II/IIe Systems, Revio and Onso. If we are unable to successfully develop acquired technologies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or we may recognize an impairment loss, and our business may not succeed.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source these product components from sole-source third-party manufacturing and supply collaborators for any reason, including in connection with acts of terrorism, hostilities, military conflict and acts of war, including between China and Taiwan, or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operations of our third-party manufacturing partners and suppliers have had and may in the future be disrupted by conditions unrelated to our business or operations or that are beyond our control, including but not limited to international trade restrictions, inflation, supply chain disruptions, and conditions related to COVID-19 or other epidemics or pandemics.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the global shortage of semiconductors, which has been reported since early 2021, has caused challenges for us in our supply chain and resulted in some cost increases that have and may continue to adversely impact margins. During these periods of shortages or delays, the price of components may increase, or the components may not be available at all. Our suppliers have raised their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For example, the Chinese government may re-impose lockdowns or similar measures to combat the spread of COVID-19 or other similar outbreaks and these measures have had, and may continue to have in the future, a negative impact on manufacturing and/or supply chains, in addition to customer demand for our products and demand through certain distributors. If as a result of global economic or political instability, such as the political uncertainty in the Middle East associated with the Israel and Hamas conflict, an escalation of the war in Ukraine, potential uncertainty related to Taiwan and its relationship with China, other disease outbreaks, or supply issues, we or our contractors could experience shortages, business disruptions or delays for materials sourced or manufactured in the affected countries, and their ability to supply us with instruments or product components may be affected. From time to time, certain components of our systems and reagents may reach the end of their life cycles or become obsoleted by our suppliers, and we would have to procure alternative sources for these end-of-life products.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from COVID-19 or other epidemics or pandemics infections are reduced, supply issues or business disruptions are resolved and/or other sources can be developed.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because our semiconductor suppliers are in regions that may have communities with low vaccination rates, any variants of COVID-19 that evolve in the future or other outbreaks could lead to increased infections among workers that could further disrupt the supply chain. Our current manufacturing process is characterized by long lead times between the placement of orders for and delivery of our products. If we do not accurately anticipate our needs or if we receive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spacing w:after="0" w:line="5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may be unable to consistently manufacture our instruments and consumables, including SMRT Cells and reagents, to the necessary specifications or in quantities necessary to meet demand at an acceptable cost or at an acceptable performance level.</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flow cells and of reagents for both our-long and short-read technologies, involve a long and complex manufacturing process and has been and may in the future be below desired yields and resulting output levels. We have experienced and may experience in the future manufacturing delays, product defects, variability in the performance of SMRT Cells, flow cells and other products, inadequate reserves for inventory, or other issues.</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flow cells, or sub-performing reagent lots may have a material adverse effect 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our suppliers are unable to meet our increased demand at a time when the supply chain is under duress due to potential dislocations and disruptions in product and employee availability (whether due to health epidemics or pandemics or otherwise).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spacing w:after="0" w:line="6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Rapidly changing technology in life sciences and research diagnostics could make our products obsolete unless we continue to develop, manufacture and commercialize new and improved products and pursue new opportunities.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industry is characterized by rapid and significant technological changes, frequent new product introductions and enhancements and evolving industry standards. These new and evolving technologies may be superior to, impair, or render obsolete the products we currently offer or the technologies currently underlying our products.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Sequel II/IIe Systems, Revio and Onso, could diminish future demand for our products and may materially and adversely harm our future operating results.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size of the markets for our products, including our Revio and Onso instruments, may be smaller than estimated, and new market opportunities may not develop as quickly as we expect, or at all, limiting our ability to successfully sell our products.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market for sequencing systems and consumables products is evolving, making it difficult to accurately predict the size of the markets for our current and future products, including our Revio and Onso instruments. 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 necessary to allow them to purchase our products. In addition, sales of new products may take time to develop and mature and we cannot be certain that these market opportunities will develop as we expect.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the market acceptance and growth of long-read sequencing technologies, like our Revio system, depends on a variety of factors, including the availability and cost-effectiveness of related tools for high quality sample collection and preparation and advanced bioinformatic tools to process results; as well as the perceived advantages and disadvantages of long-read sequencing compared to short-read or other sequencing technologies: consequently, if potential customers conclude the costs of adopting long-read sequencing technologies outweigh the benefits, the market for our Revio systems may be negatively impaired. There can be no assurance that our current or future products will gain traction in the market. If the markets for our current and future products are smaller than estimated or do not develop as we expect, our growth may be limited, and it could materially and adversely affect our business, operations, financial condition and prospects.</w:t>
      </w:r>
    </w:p>
    <w:p>
      <w:pPr>
        <w:spacing w:after="0" w:line="6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2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industry and if we are not able to compete effectively, our business and operating results will likely be harmed.</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There are a significant number of companies offering nucleic acid sequencing products and/or services, including Illumina, BGI Genomics (also known as MGI or Complete Genomics), Thermo, ONT Ltd., Roche, Bionano, and Qiagen. Other companies recently entering the market include Ultima, Element and Singular.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successfully increase sales of our current products or market and sell our future products.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ability to achieve profitability depends, in part, on our ability to attract customers for our current and future products including Revio and Onso, and we may be unable to effectively market or sell our products or find appropriate partners to do so. To perform sales, marketing, distribution, and customer support functions successfully, we face a number of risks, including:</w:t>
      </w:r>
    </w:p>
    <w:p>
      <w:pPr>
        <w:spacing w:after="0" w:line="49"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attract, retain and manage qualified sales, marketing, and service personnel necessary to expand market acceptance for our technologies;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performance and commercial availability expectations of our existing and potential customers with respect to new and existing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availability of potential sales and distribution partners to sell our technologies, and our ability to attract and retain such sales and distribution partners;</w:t>
      </w:r>
    </w:p>
    <w:p>
      <w:pPr>
        <w:spacing w:after="0" w:line="9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time and cost of maintaining and growing a specialized sales, marketing and service force for a particular application, which may be difficult to justify in light of the revenue generated; and</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sales, marketing and service force may be unable to execute successful commercial activities.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5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receive a significant portion of our revenue from a limited number of customers. For example, for the years ended December 31, 2022 and 2021, one of our customers, who is our primary distributor in China, accounted for approximately 12% and 13% of our total revenue, respectively. For the year ended December 31, 2023, no single customer accounted for 10% or greater of our total revenue.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5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Products using our SMRT sequencing and SBB technology are highly complex and may develop or contain undetected defects or errors. Our customers have previously experienced reliability issues with our existing products, including the Sequel System and the Sequel II/IIe Systems. In addition, it is possible our customers could experience reliability issues with current or future products, including the Sequel II/IIe, Revio and Onso Systems. Despite internal and external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Revio and Onso, or enhancements to our existing products, including the SMRT Cell and Sequel II/IIe Systems,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5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potential impacts from health epidemics or pandemics.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convert our orders in backlog into revenue.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Our backlog represents product orders from our customers that we have confirmed but have not been able to fulfill, and, accordingly, for which we have not yet recognized revenue.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We may not receive revenue from these orders, and any order backlog we report may not be indicative of our future revenue.</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Many events can cause an order to be delayed or not completed at all, some of which may be out of our control, including the potential impacts from health epidemics or pandemics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5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sales cycles are unpredictable and lengthy, which makes it difficult to forecast revenue and may increase the magnitude of quarterly or annual fluctuations in our operating results.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 and those sales cycles may result in lower units sold per cycle, as we continue to introduce our Revio and Onso instruments and their associated consumables to the market, as our customers may have additional administrative, technical or other requirements associated with transitioning to new products and technologies. In anticipation of product orders, we may incur substantial costs before the sales cycle is complete and before we receive any customer payments. As a result, if a sale is not completed 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 on our results and stock price, see “—</w:t>
      </w:r>
      <w:r>
        <w:rPr>
          <w:rFonts w:ascii="Arial" w:cs="Arial" w:eastAsia="Arial" w:hAnsi="Arial"/>
          <w:sz w:val="14"/>
          <w:szCs w:val="14"/>
          <w:i w:val="1"/>
          <w:iCs w:val="1"/>
          <w:u w:val="single" w:color="auto"/>
          <w:color w:val="0000FF"/>
        </w:rPr>
        <w:t>Our operating results fluctuate from quarter to quarter and year over year, which makes our future results difficult to predict and could negatively impact the market price of our</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common stock</w:t>
      </w:r>
      <w:r>
        <w:rPr>
          <w:rFonts w:ascii="Arial" w:cs="Arial" w:eastAsia="Arial" w:hAnsi="Arial"/>
          <w:sz w:val="14"/>
          <w:szCs w:val="14"/>
          <w:color w:val="000000"/>
        </w:rPr>
        <w:t>,” below.</w:t>
      </w:r>
    </w:p>
    <w:p>
      <w:pPr>
        <w:spacing w:after="0" w:line="6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Because some of our customers and suppliers are based in China, our business, financial condition and results of operations could be adversely affected by the political and economic tensions between the United States and China.</w:t>
      </w:r>
    </w:p>
    <w:p>
      <w:pPr>
        <w:spacing w:after="0" w:line="2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are subject to risks associated with political conflicts between the U.S. and China. A significant portion of our revenue is generated from China. For example, for the years ended December 31, 2022 and 2021, one of our customers, who is our primary distributor in China, accounted for approximately 12% and 13% of our total revenue, respectively. For the year ended December 31, 2023, no single customer accounted for 10% or greater of our total revenue. In addition, certain components, some of which are critical components, of our products are manufactured in China. These components are either sourced directly from companies in China or indirectly from third parties that source from companies in China.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retaliate against U.S. trade restrictions in ways that could impact our business.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w:t>
      </w:r>
      <w:r>
        <w:rPr>
          <w:rFonts w:ascii="Arial" w:cs="Arial" w:eastAsia="Arial" w:hAnsi="Arial"/>
          <w:sz w:val="14"/>
          <w:szCs w:val="14"/>
          <w:i w:val="1"/>
          <w:iCs w:val="1"/>
          <w:u w:val="single" w:color="auto"/>
          <w:color w:val="0000FF"/>
        </w:rPr>
        <w:t>Enhanced trade</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tariffs, import restrictions, export restrictions, Chinese regulations or other trade barriers may materially harm our business</w:t>
      </w:r>
      <w:r>
        <w:rPr>
          <w:rFonts w:ascii="Arial" w:cs="Arial" w:eastAsia="Arial" w:hAnsi="Arial"/>
          <w:sz w:val="14"/>
          <w:szCs w:val="14"/>
          <w:b w:val="1"/>
          <w:bCs w:val="1"/>
          <w:i w:val="1"/>
          <w:iCs w:val="1"/>
          <w:u w:val="single" w:color="auto"/>
          <w:color w:val="0000FF"/>
        </w:rPr>
        <w:t>.</w:t>
      </w:r>
      <w:r>
        <w:rPr>
          <w:rFonts w:ascii="Arial" w:cs="Arial" w:eastAsia="Arial" w:hAnsi="Arial"/>
          <w:sz w:val="14"/>
          <w:szCs w:val="14"/>
          <w:color w:val="000000"/>
        </w:rPr>
        <w:t>”</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Other risks could include:</w:t>
      </w:r>
    </w:p>
    <w:p>
      <w:pPr>
        <w:spacing w:after="0" w:line="94" w:lineRule="exact"/>
        <w:rPr>
          <w:sz w:val="20"/>
          <w:szCs w:val="20"/>
          <w:color w:val="auto"/>
        </w:rPr>
      </w:pPr>
    </w:p>
    <w:p>
      <w:pPr>
        <w:jc w:val="both"/>
        <w:ind w:left="520" w:hanging="260"/>
        <w:spacing w:after="0" w:line="27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interruptions to operations in China as a result of potential disease outbreaks, including any further COVID-19 related outbreaks, and natural catastrophic events, which have in the past and can result in the future in business closures, transportation restrictions, import and export complications and cause shortages in the supply of raw materials or disruptions in manufacturing;</w:t>
      </w:r>
    </w:p>
    <w:p>
      <w:pPr>
        <w:spacing w:after="0" w:line="48"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product supply disruptions and increased costs as a result of heightened exposure to changes in the policies of the Chinese government, political unrest or unstable economic conditions in China; and</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nationalization or other expropriation of private enterprises or intellectual property by the Chinese government.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Difficulties in this relationship may require us to take actions adverse to our business to comply with governmental restrictions on business and trade with China.</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We face significant risks associated with doing business with Taiwanese suppliers and manufacturers due to the tense relationship between Taiwan and mainland China.</w:t>
      </w:r>
    </w:p>
    <w:p>
      <w:pPr>
        <w:spacing w:after="0" w:line="24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Substantially all of our consumable chips are partly manufactured by a company based in Taiwan. Our supply of consumables chips and other critical components may be materially and adversely affected by diplomatic, geopolitical, military and other developments affecting the relationship between China and Taiwan. Recent military exercises in the Taiwan Strait have contributed to geopolitical uncertainty regarding the future of the relationship between China and Taiwan. Current or future diplomatic, geopolitical, military or other tensions between China and Taiwan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spacing w:after="0" w:line="5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operating results fluctuate from quarter to quarter and year over year, which makes our future results difficult to predict and could negatively impact the market price of our common stock.</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operate on a December 31st year-end and believe that there are significant seasonal factors which may cause sales of our products, and particularly our sequencing instruments, to vary on a quarterly or yearly basis, contribute to lengthy sales cycles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often coincide with government fiscal year ends. For example, the U.S. government’s fiscal year-end occurs in our third quarter and may result in increased sales of our products during this quarter if government-funded customers have unused funds that may be forfeited, or future budgets that may be reduced if funds remain unspent at fiscal year-end. Furthermore, Lunar New Year celebrations, which occur during our first quarter, and may last for a week or longer, resulting in closure of many of our customers’ offices in China and across the Asia-Pacific region have caused, and may in the future cause, decreased sales of our consumables during our first quarter. These factors have contributed, and in the future may contribute, to substantial fluctuations in our quarterly operating results.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Our operating results during any given period can also be impacted by numerous other factors, including the following:</w:t>
      </w:r>
    </w:p>
    <w:p>
      <w:pPr>
        <w:spacing w:after="0" w:line="94"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market acceptance for our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attract new customers;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length of our sales cycles, as discussed above;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achieve economies of scale and other manufacturing efficiencies at the rate we anticipate;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publications of studies by us, our competitors or third parties;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timing and success of new product introductions by us or our competitors or other changes in the competitive dynamics of our industry, such as consolidation;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amount and timing of our costs and expenses;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changes in our pricing policies or those of our competitors;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general economic, industry and market conditions;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impact of catastrophic events, including health epidemics or pandemics and military or other armed conflicts;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regulatory environment in which we operate;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expenses associated with warranty obligations or unforeseen product quality issues;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hiring, training, and retention of key employees, including our ability to grow our sales organization;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litigation or other claims against us for intellectual property infringement or otherwise;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obtain additional financing as necessary;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changes or trends in new technologies and industry standards.</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spacing w:after="0" w:line="5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and as a result our existing NOLs are currently subject to limitation. Future changes in our stock ownership could result in additional ownership changes, including potentially material changes, under Section 382. Consequently, we may not be able to utilize some or all of our NOLs even if we attain profitability.</w:t>
      </w:r>
    </w:p>
    <w:p>
      <w:pPr>
        <w:spacing w:after="0" w:line="5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2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96"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35" w:lineRule="exact"/>
        <w:rPr>
          <w:sz w:val="20"/>
          <w:szCs w:val="20"/>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or our licensors might not have been the first to make the inventions covered by each of our pending patent applications or issued patents;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or our licensors might not have been the first to file patent applications for these inventions;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it is possible that neither our pending patent applications nor the pending patent applications of our licensors will result in issued patents;</w:t>
      </w:r>
    </w:p>
    <w:p>
      <w:pPr>
        <w:spacing w:after="0" w:line="9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enforcement of patents and proprietary rights in other countries may be problematic or unpredictable;</w:t>
      </w:r>
    </w:p>
    <w:p>
      <w:pPr>
        <w:spacing w:after="0" w:line="9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or our partners may not adequately protect our trade secrets;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 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patents of others may limit our freedom to operate and prevent us from commercializing our technology in accordance with our plans.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Variability in intellectual property laws may adversely affect our intellectual property position.</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6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intellectual property may be subject to challenges in the United States or foreign jurisdictions that could adversely affect our intellectual property position.</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 xml:space="preserve">Our pending, issued and granted U.S. and foreign patents and patent applications have been, are and may in the future be, subject to challenges by ONT Ltd., ONT Inc. and Metrichor, Ltd. (“Metrichor” and, together with ONT Ltd. and ONT Inc., “ONT”) in addition to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reviews of certain patents that we have asserted against ONT Inc. and ONT Ltd. in litigation proceedings for patent infringement. While none of the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of our technology is subject to “march-in” rights by the U.S. government.</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involved in legal proceedings to enforce our intellectual property rights.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we are involved in legal proceedings for alleged patent infringement and related matters in the United States with Personal Genomics of Taiwan, Inc. (“PGI”), Take2 Technologies, Ltd., and the Chinese University of Hong Kong. In addition,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not yet registered some of our trademarks in all of our potential markets, and failure to secure those registrations could adversely affect our business.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“open source” software could adversely affect our ability to sell our products and subject us to possible litigation.</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Regulation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and may become, subject to governmental regulations that may impose burdens on our operations, and the markets for our products may be narrowed.</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are subject, both directly and indirectly, to the adverse impact of government regulation of our operations and markets. For example, export of our instruments may be subject to strict regulatory control in a number of jurisdictions, and we could experience disruption in our supply chain as a result of certain geopolitical events and conflicts and any related political or economic responses and counter-responses or otherwise by various global actors. Following Russia’s invasion of Ukraine in February 2022, the United States and other countries imposed certain economic sanctions and severe export control restrictions against Russia and Belarus as well as certain Russian nationals and individuals and entities with ties to Russia, Belarus, and this conflict. These sanctions and restrictions have continued to increase as the conflict has further escalated and now cover the export of our products to Russia, and the United States and other countries could impose even wider sanctions and export restrictions and take other actions in the future that could further limit our ability to provide products in certain locations. Additionally, restrictions on the ability to send certain products and technology related to semiconductors, semiconductor manufacturing, and supercomputing to China without an export license may impact our ability to provide products to customers or distributors in China.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3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U.S. Food and Drug Administration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FDA has historically exercised enforcement discretion in not enforcing the medical device regulations against laboratories developing and offering LDTs. In 2017, the FDA announced that it would not issue final guidance on the oversight of LDTs, and manufacturers of products used for LDTs, but would seek further public discussion on an appropriate oversight approach, and give Congress an opportunity to develop a legislative solution.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Additionally,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These circumstances may include written or verbal sales and marketing claims or links to articles regarding a product’s performance in clinical applications and a manufacturer’s provision of technical support for clinical applications.</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August 2020, the Department of Health and Human Services ("HHS") announced rescission of guidance and other informal issuances of FDA regarding pre-market review of LDT absent notice-and-comment rulemaking, stating that, absent notice-and-comment rulemaking LDTs are not required to obtain FDA pre-market authorization. In November 2021, HHS under the Biden administration issued a statement that withdrew the August 2020 policy announcement stating that HHS does not have a policy on LDTs that is separate from FDA’s longstanding approach.</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Legislative and administrative proposals to amend the FDA's oversight of LDTs have been introduced in recent years, including the Verifying Accurate Leading-edge IVCT Development Act of 2021 (the "VALID Act"), which aims to create a new category of medical products separate from medical devices called “in vitro clinical tests,” or IVCTs, and bring all such products within the scope of the FDA’s oversight. To date, Congress has not passed the VALID Act, but may revisit the VALID Act or similar policy riders and enact other FDA programmatic reforms in the future. In October 2023, through rulemaking, the FDA proposed to amend the definition of "in vitro diagnostic products" in FDA regulations to include laboratories that manufacture such products and to phase out the FDA's general enforcement discretion approach for LDTs so that IVDs manufactured by a laboratory would be regulated similarly to IVDs. It is unclear when the FDA will finalize and begin enforcing such rule and how future legislation by federal and state governments and FDA regulation will impact the industry, including our business and that of our customers.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auto"/>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4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Enhanced trade tariffs, import restrictions, export restrictions, Chinese regulations, or other trade barriers may materially harm our business.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continuing to expand our international operations as part of our growth strategy and have experienced an increasing concentration of sales in certain regions outside the United States, especially the Asia-Pacific region, as discussed above. There is currently significant uncertainty about the future relationship between the United States and various other countries, most significantly China, with respect to trade policies, treaties, government regulations and tariffs. Starting in September 2018, the U.S. Trade Representative (the “USTR”) enacted various tariffs of 7.5%, 10%, 15%, and 25% on the import of Chinese products, including non-U.S. components and materials that may be used in our products. Additionally, China also has imposed tariffs on imports into China from the United States. These tariffs have and could continue to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additional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Additionally, the U.S. government imposed controls restricting the ability to send certain products and technology related to semiconductors, semiconductor manufacturing, and supercomputing to China without an export license. These controls also apply to certain hardware containing these specified integrated circuits. In many cases, these licenses are subject to a policy of denial and will not be issued. It is possible that additional restrictions will be put in place. These existing and future controls may impact our ability to export certain products to customers or distributors in China or other locations and restrict our ability to use certain integrated circuits in our products. The U.S. government also continues to add additional entities in China to restricted party lists impacting the ability of U.S. companies to provide items to these entities. Moreover,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 Biden Administration has continued to provide updated lists of emerging technologies subject to national security consents. These lists continue to include biotechnologies including “[g]enome and protein engineering including design tools” and “[b]iomanufacturing and bioprocessing technologies.” Therefore, it is possible that our ability to export our products to customers or distributors may be further restricted in the future.</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It is possible that the Chinese government will retaliate in response to existing or future U.S. export controls or trade restrictions in ways that could impact our business. It also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export controls, tariffs, international trade agreements and policies, there could be additional tax or other regulatory changes in the future. Any such changes could directly and adversely impact our financial results and results of operations.</w:t>
      </w:r>
    </w:p>
    <w:p>
      <w:pPr>
        <w:spacing w:after="0" w:line="5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international business could expose us to business, regulatory, political, operational, financial, and economic risks associated with doing business outside of the 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Engaging in international business inherently involves a number of difficulties and risks, including:</w:t>
      </w:r>
    </w:p>
    <w:p>
      <w:pPr>
        <w:spacing w:after="0" w:line="94" w:lineRule="exact"/>
        <w:rPr>
          <w:sz w:val="20"/>
          <w:szCs w:val="20"/>
          <w:color w:val="auto"/>
        </w:rPr>
      </w:pPr>
    </w:p>
    <w:p>
      <w:pPr>
        <w:jc w:val="both"/>
        <w:ind w:left="520" w:hanging="260"/>
        <w:spacing w:after="0" w:line="265"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52"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required compliance with U.S. laws such as the Foreign Corrupt Practices Act, and other U.S. federal laws and trade and economic sanctions and other regulations established by the Office of Foreign Asset Control;</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export requirements and import or trade restrictions;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laws and business practices favoring local companies;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restrictions on both inbound and outbound cross-border investment;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foreign currency exchange, longer payment cycles and difficulties in enforcing agreements and collecting receivables through certain foreign legal systems;</w:t>
      </w:r>
    </w:p>
    <w:p>
      <w:pPr>
        <w:spacing w:after="0" w:line="93"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 and ongoing geopolitical tensions related to the political uncertainty and military actions associated with the war in Ukraine, resulting sanctions imposed by the U.S. and other countries, and retaliatory actions taken by Russia in response to such sanctions;</w:t>
      </w:r>
    </w:p>
    <w:p>
      <w:pPr>
        <w:spacing w:after="0" w:line="52"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potentially adverse tax consequences, tariffs, customs charges, bureaucratic requirements, and other trade barriers;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difficulties and costs of staffing and managing foreign operations; and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hanging="260"/>
        <w:spacing w:after="0" w:line="290"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difficulties protecting, maintaining, enforcing, or procuring intellectual property rights and defending against intellectual property claims under the law and judicial systems of other countries.</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If one or more of these risks occurs, it could require us to dedicate significant resources to remedy such occurrence, and if we are unsuccessful in finding a solution, our financial results will suffer.</w:t>
      </w:r>
    </w:p>
    <w:p>
      <w:pPr>
        <w:spacing w:after="0" w:line="3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6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Ethical, legal, privacy, data protection and social concerns or governmental restrictions surrounding the use of genetic information could reduce demand for our technology.</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are subject to requirements under the Dodd-Frank Wall Street Reform and Consumer Protection Act of 2010 that require us to conduct diligence and report on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Owning Our Common Stock</w:t>
      </w:r>
    </w:p>
    <w:p>
      <w:pPr>
        <w:spacing w:after="0" w:line="9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price of our common stock has been, is, and may continue to be, highly volatile, and you may be unable to sell your shares at or above the price you paid to acquire them.</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35"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actual or anticipated fluctuations in our financial condition and operating results;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announcements of new products, technological innovations or strategic partnerships by us or our competitors;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announcements by us, our customers, partners, or suppliers relating directly or indirectly to our products, services or technologies;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overall conditions in our industry and market;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addition or loss of significant customers;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in laws or regulations applicable to our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actual or anticipated changes in our growth rate relative to our competitors;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strategic partnerships, joint ventures, capital commitments or achievement of significant milestones;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additions or departures of key personnel;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competition from existing products or new products that may emerge;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issuance of new or updated research or reports by securities analysts;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fluctuations in the valuation of companies perceived by investors to be comparable to us;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disputes or other developments related to proprietary rights, including patents, litigation matters or our ability to obtain intellectual property protection for our technologies;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announcement or expectation of additional financing efforts;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sales of our common stock by us or our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stock price and volume fluctuations attributable to inconsistent trading volume levels of our shares;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reports, guidance and ratings issued by securities or industry analysts;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operating results below the expectations of securities analysts or investors; and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left="520" w:hanging="260"/>
        <w:spacing w:after="0" w:line="265"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general economic and market conditions, which could be impacted by various events including health epidemics or pandemics, interest rate fluctuations, increases in fuel prices, foreign currency fluctuations, international tariffs, acts of terrorism, hostilities or the perception that hostilities may be imminent, military conflict and acts of war, including further political uncertainty and military actions associated with the war in Ukraine and the related response, including sanctions or other restrictive actions, by the United States and/or other countries.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If any of the forgoing occurs, it would cause our stock price or trading volume to decline. Stock markets in general and the market for companies in our industry in particular have experienced price and volume fluctuations, which were exacerbated by the COVID-19 pandemic, and current macroeconomic trends and geopolitical events, and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6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2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if our stockholders sell, or indicate an intent to sell, a large number of shares of our common stock in the public market, it could cause our stock price to fall, particularly if such sales occur over a short period time (for example, following delivery of shares upon achievement of milestones in our acquisition agreements).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 of ownership by our principal stockholders may result in control by such stockholders of the composition of our board of directors.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These parties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5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35" w:lineRule="exact"/>
        <w:rPr>
          <w:sz w:val="20"/>
          <w:szCs w:val="20"/>
          <w:color w:val="auto"/>
        </w:rPr>
      </w:pPr>
    </w:p>
    <w:p>
      <w:pPr>
        <w:ind w:left="520" w:hanging="260"/>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require that any action to be taken by our stockholders be effected at a duly called annual or special meeting and not by written consent;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specify that special meetings of our stockholders can be called only by our board of directors, the Chair of the Board, the Chief Executive Officer or the President;</w:t>
      </w:r>
    </w:p>
    <w:p>
      <w:pPr>
        <w:spacing w:after="0" w:line="9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establish advance notice procedures for stockholder approvals to be brought before an annual meeting of our stockholders, including proposed nominations of persons for election to our board of directors;</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establish that our board of directors is divided into three classes, Class I, Class II and Class III, with each class serving staggered terms;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provide that our directors may be removed only for cause;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provide that vacancies on our board of directors may be filled only by a majority of directors then in office, even though less than a quorum.</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auto"/>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 bylaws; or (v) any action asserting a claim governed by the internal affairs doctrine, except as to each of (i) through (v) above, for any claim as to which such court determines that there is an indispensable party not subject to the jurisdiction of such court.</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 Securities Act including, without limitation and for the avoidance of doubt, any auditor, underwriter, expert, control person or other defendant.</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large number of authorized but unissued shares of common stock may potentially dilute existing stockholders’ stockholdings.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intend to pay dividends for the foreseeable future.</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Notes</w:t>
      </w:r>
    </w:p>
    <w:p>
      <w:pPr>
        <w:spacing w:after="0" w:line="9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December 31, 2023, we had outstanding approximately $459.0 million aggregate principal amount of our 2028 Notes and $441.0 million aggregate principal amount of our 2030 Notes. The 2028 Notes will mature on February 15, 2028, subject to earlier conversion, redemption or repurchase, including upon a fundamental change. The 2030 Notes will mature on December 15, 2030, subject to earlier conversion, redemption or repurchase, including upon a fundamental change. The 2030 Notes and 2028 Notes are collectively referred to as the Notes.</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the Notes are converted, it may adversely affect our financial condition and operating results.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issuances of shares of common stock upon conversion of our Notes could depress the market price of our common stock and impair our ability to raise capital through the sale of additional equity securities. The existence of the Notes may encourage short selling by market participants because the conversion of the Notes could depress the price of our common stock.</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global economic or political conditions could adversely affect our business, financial condition or results of operations.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General conditions in the global economy and in the global financial markets could adversely affect our results of operations, including the potential effects from the COVID-19 pandemic or other similar outbreaks as discussed above, and the overall demand for nucleic acid sequencing products may be particularly vulnerable to unfavorable economic conditions. A global financial crisis, inflation or a global or regional political disruption, as well as acts of terrorism, hostilities, military conflict and acts of war, including any further political uncertainty and military actions in the Middle East associated with the Israel and Hamas conflict and the war in Ukraine, as well as the related responses,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 impairment in value of our tangible or intangible assets could also be recorded as a result of weaker economic conditions. Any of the foregoing could harm our business and we cannot anticipate all of the ways in which the political or economic climate and financial market conditions could adversely impact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Delivery of our products could be delayed or disrupted by factors beyond our control, and we could lose customers as a result.</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Doing business internationally creates operational and financial risks for our business.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57"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potential limits to travel as a result of COVID-19 or other epidemics or pandemics;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challenges in staffing and managing foreign operations;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potentially longer sales cycles and more time required to engage and educate customers on the benefits of our platform outside of the United States;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potential need for localized software and documentation;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reduced protection for intellectual property rights in some countries and practical difficulties of enforcing intellectual property and contract rights abroad;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defending against intellectual property claims in other countries;</w:t>
      </w:r>
    </w:p>
    <w:p>
      <w:pPr>
        <w:spacing w:after="0" w:line="9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restrictions on both inbound and outbound cross-border investment, including enhanced oversight by the Committee on Foreign Investment in the United States (“CFIUS”) and substantial restrictions on investment from China;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hanging="260"/>
        <w:spacing w:after="0" w:line="290"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changes in diplomatic and trade relationships, including new tariffs, trade protection measures, import or export licensing requirements, trade embargoes, sanctions, and other trade barriers;</w:t>
      </w:r>
    </w:p>
    <w:p>
      <w:pPr>
        <w:spacing w:after="0" w:line="35"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tariffs imposed by the U.S. on goods from other countries and tariffs imposed by other countries on U.S. goods, including the tariffs by the U.S. government on various imports from China, Canada, Mexico, and the European Union (“E.U.”) and by the governments of these jurisdictions on certain U.S. goods, and any other possible tariffs that may be imposed on products such as ours, the scope and duration of which, if implemented, remains uncertain;</w:t>
      </w:r>
    </w:p>
    <w:p>
      <w:pPr>
        <w:spacing w:after="0" w:line="48"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deterioration of political relations between the U.S. and Russia, China, Japan, Korea, Canada, the United Kingdom (“U.K.”), and the E.U., which could have a material adverse effect on our sales and operations in these countries;</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difficulties in obtaining export licenses or in overcoming other trade barriers and restrictions resulting in delivery delays;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fluctuations in currency exchange rates and the related effect on our results of operations;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increased financial accounting and reporting burdens and complexities;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disruptions to global trade due to disease outbreaks or conflicts;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potential increases on tariffs or restrictions on trade generally; and</w:t>
      </w:r>
    </w:p>
    <w:p>
      <w:pPr>
        <w:spacing w:after="0" w:line="9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significant taxes or other burdens of complying with a variety of foreign laws and regulations, including laws and regulations relating to privacy and data protection such as the E.U. General Data Protection Regulation which took effect in the E.U. in 2018.</w:t>
      </w:r>
    </w:p>
    <w:p>
      <w:pPr>
        <w:spacing w:after="0" w:line="3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23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could be negatively impacted by changes in the United States political environment.</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Disruption of critical information technology systems or material breaches in the security of our systems could harm our business, customer relations and financial condition.</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in our products, sales forecast, order fulfillment and billing, customer service, logistics, and management of data from running samples on our products. Our success depends, in part, on the continued and uninterrupted performance of our IT systems. Our IT systems, including those used in our products,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the political uncertainty and military actions in the Middle East associated with the Israel and Hamas conflict and the war in Ukraine.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If we do not allocate and effectively manage the resources necessary to build and sustain the proper IT infrastructure, including those used in our products, we could be subject to transaction errors, processing inefficiencies, loss of customers, business disruptions or loss of or damage to 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Security breaches and other disruptions could compromise our information and expose us to liability, which would cause our business and reputation to suffer.</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the ordinary course of our business, we collect and store sensitive data, including intellectual property, our proprietary business information and that of our customers, suppliers and business partners, and personal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other processing, or loss or unavailability of, information. Any hacking or other attack on our or our third-party service providers’ or vendors’ systems, and any unauthorized access to, or disclosure, other processing, or loss or unavailability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and data integrity issues,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cyber-attacks that could disrupt the economy generally or that may either directly or indirectly impact our operations specifically.</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artificial intelligence and machine learning technologies may result in reputational harm or liability.</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have incorporated and may continue to incorporate additional artificial intelligence and machine learning, or AIML, technologies into our sequencing platforms, marketing programs, and analysis software, including Revio and otherwise within our business, and these solutions and features are advantageous to describing, enhancing, and maximizing the capabilities of our differentiated technologies and to our future growth over time. We rely and expect to rely on AIML technologies such as basecalling, variant calling, epigenetic analysis and tertiary analysis, but there can be no assurance that we will realize the desired or anticipated benefits from AIML or any at all. We may also fail to properly implement or utilize AIML technologies. Our competitors or other third parties may incorporate AIML into their products, platforms, software and services or otherwise within their business more quickly or more successfully than us, which could impair our ability to compete effectively and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the ordinary course of our business, we currently, and in the future will, collect, store, transfer, use or process sensitive data, including personal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expanded the CCPA as of January 1, 2023, including by introducing additional obligations such as data minimization and storage limitations and granting additional rights to consumers, among others. The enactment of the CCPA has prompted similar legislative developments in other states, and numerous other states have proposed, and in certain cases enacted, legislation relating to privacy and data security, many of which are similar to the CCPA and CPRA. Similar laws are being considered by other state legislatures.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These and future laws and regulations may increase our compliance costs and potential liability.</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disrupted, breached or otherwise compromised due to employee error, malfeasance or other malicious or inadvertent disruptions. Any such breach or disruption could compromise our networks and the information stored there could be accessed, manipulated, publicly disclosed, lost, stolen, made unavailable, or otherwise processed without authorization. Any such disruption, access, breach, unavailability, theft, loss or other unauthorized processing of information, or the perception that any of these has occurred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 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3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Investor advocacy groups, institutional investors, investment funds, proxy advisory services, stockholders, and customers are increasingly focused on environmental, social, and governance (“ESG”) practices of companies. Additionally, public interest and legislative pressure related to public companies’ ESG practices continues to grow. 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as we work to align our ESG practices with industry standards, we will likely continue to expand our disclosures in these areas and doing so may result in additional costs and require additional resources to monitor, report, and comply with our various ESG practices. If we fail to adopt ESG standards or practices as quickly as stakeholders desire, report on our ESG efforts or practices accurately, or satisfy the expectations of stakeholders, our reputation, business, financial performance, and growth may be adversely impacted.</w:t>
      </w:r>
    </w:p>
    <w:p>
      <w:pPr>
        <w:spacing w:after="0" w:line="6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1B.</w:t>
        <w:tab/>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94"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1C.</w:t>
        <w:tab/>
        <w:t>CYBERSECURITY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Management and Strategy</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Senior Director and Head of Information Technology who reports to our Chief Operating Officer, to manage the risk assessment and mitigation process.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part of our overall risk management system, we monitor and test our safeguards, including through annual third-party vulnerability assessments. We train our employees on these safeguards, in collaboration with human resources, IT, and departmental management. Personnel at all levels and departments are made aware of our cybersecurity policies through trainings.</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engage assessors, consultants, auditors, or other third parties in connection with our risk assessment processes. These service providers assist us to design and implement our cybersecurity policies and procedures, as well as to monitor and test our safeguards.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require each third-party infrastructure and applications service provider that has access to our system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not previously experienced a cybersecurity incident that was determined to be material. For additional information regarding whether any risks from cybersecurity threats are reasonably likely to materially affect our company, including our business strategy, results of operations, or financial condition, please refer to Item 1A, “Risk Factors,” in this annual report on Form 10-K.</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Governance</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Senior Director and Head of Information Technology and our management committee on cybersecurity, which includes Facilities, HR, IT, Legal, and Management, are primarily responsible to assess and manage our material risks from cybersecurity threats. Our cybersecurity team and IT management have years of cybersecurity experience and expertise including holding numerous applicable cybersecurity certifications, such as ISC2 Certified Information Systems Security Professional (CISSP).</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Senior Director and Head of Information Technology and our management committee on cybersecurity oversee our cybersecurity policies and processes, including those described in “Risk Management and Strategy” above. Our Senior Director and Head of Information Technology is informed about and monitors the prevention, detection, mitigation, and remediation of cybersecurity incidents by leading the implantation of the cybersecurity risk management program and working directly with our security team. The Senior Director and Head of Information Technology also provides appropriate information and updates to our management committee on cybersecurity.</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Senior Director and Head of Information Technology and representatives from our management committee on cybersecurity provide annual briefings to the audit committee regarding our company’s cybersecurity risks and activities, including any recent cybersecurity incidents and related responses, cybersecurity systems testing, activities of third parties, and the like. Our audit committee provides regular updates to the board of directors on such reports.</w:t>
      </w:r>
    </w:p>
    <w:p>
      <w:pPr>
        <w:spacing w:after="0" w:line="4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3"/>
          <w:szCs w:val="13"/>
          <w:b w:val="1"/>
          <w:bCs w:val="1"/>
          <w:color w:val="auto"/>
        </w:rPr>
        <w:t>PROPERTIES</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corporate headquarters, research and development facilities, and manufacturing and distribution centers are located in Menlo Park, California, where we lease approximately 180,200 square feet under a lease expiring on October 31, 2027. We operate additional research, development, and support functions in San Diego, where we lease approximately 73,500 square feet under a lease expiring on September 30, 2027. Additionally, our European headquarters is located in London, where we lease approximately 7,300 square feet under a lease expiring November 30, 2026. Including these leases, we lease approximately 270,000 square feet globally.</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our existing facilities, together with suitable additional or alternative space available on commercially reasonable terms, will be sufficient to meet our needs.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3.</w:t>
        <w:tab/>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District Court Proceedings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We plan to vigorously defend in this matter. On November 20, 2019, we filed our answer to the complaint, denying infringement and seeking a declaratory judgement of invalidity of the ‘441 Patent.</w:t>
      </w:r>
    </w:p>
    <w:p>
      <w:pPr>
        <w:spacing w:after="0" w:line="4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On June 22, 2020, we filed a petition requesting institution of an inter-partes review ("IPR") to the Patent Trial and Appeals Board (the “Board”) at the United States Patent Office requesting the Board to find a set of claims in the ‘441 Patent invalid. On June 27, 2020, we filed a second petition requesting institution of an IPR requesting the Board to find another set of claims in the ‘441 Patent invalid. The two petitions (the “PacBio IPR Petitions”) requesting IPRs assert that all of the claims relevant to the PGI complaint are invalid. On January 19, 2021, the Board ordered that both PacBio IPR Petitions be instituted on all grounds presented. On January 18, 2022, the Board issued decisions on the two IPRs. In one IPR, all challenged claims were found unpatentable, including PGI’s core device claims. In the second IPR, the Board did not find the disputed claims unpatentable. We appealed the decision in the second IPR to the U.S. Court of Appeals for the Federal Circuit, which held a hearing on December 7, 2023. On January 9, 2024, the U.S. Court of Appeals for the Federal Circuit affirmed the decisions of the Board.</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August 19, 2020, the court ordered a stay of the PGI District Court matter based on a joint stipulation by the parties pending a final written decision on the IPRs. Following the final decision on the IPRs described above, on February 2, 2022, the judge ordered that the PGI District Court matter be reopened. However, in a subsequent order dated September 15, 2022, the judge stayed the PGI District Court matter pending a final decision by the U.S. Court of Appeals for the Federal Circuit regarding the appeal described above. We plan to vigorously defend against the remaining claims.</w:t>
      </w:r>
    </w:p>
    <w:p>
      <w:pPr>
        <w:spacing w:after="0" w:line="5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In December 2022, Take2 Technologies, Ltd. (“Take2”) and the Chinese University of Hong Kong filed a complaint in the U.S. District Court for Delaware against us alleging infringement of U.S. Patent No. 11,091,794 (the “’794 Patent”) (C.A. No. 22- cv-01595). The complaint alleges that our Sequel</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II systems, Sequel IIe Systems, and Revio</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Systems that operate version 11.0 or later of the SMRT</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Link software, infringe the ‘794 Patent. The complaint seeks unspecified monetary damages and an order enjoining us from infringing the ’794 Patent. We believe the infringement allegations in the complaint lack merit and we intend to vigorously defend in this matter. We filed a motion to dismiss on February 14, 2023. We also filed a motion to transfer the case to the Northern District of California which was granted on August 2, 2023 and the case was transferred on August 16, 2023 (C.A. No. 5:23-cv-04166). A hearing occurred on February 22, 2024 on the motion to dismiss the case and the motion was taken under submission for future decision. Take2 filed a motion to disqualify our in-house legal department from representing PacBio in the district court action on September 20, 2023. We opposed Take2’s disqualification motion on October 4, 2023. An oral hearing on the disqualification motion was held on October 26, 2023 and the court issued orders November 6 and December 4 of 2023 partially granting the motion. While some members of the in-house legal department were disqualified, General Counsel for PacBio was not disqualified and continues to represent PacBio in the district court action. On October 17, 2023, we filed a petition requesting institution of an IPR requesting the Board to find all claims of the ’794 patent invalid. We anticipate a decision by the United States Patent and Trademark Office on whether to institute a trial on the validity of the claims of the '794 patent on or before April 26, 2024.</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Proceedings in China</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May 12, 2020, PGI filed a complaint in the Wuhan Intermediate People’s Court in China alleging infringement of one or more claims of China patent No. CN101743321B (the “CN321 Patent”), which is related to the ‘441 Patent.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On December 1, 2021, PGI filed an appeal with the Beijing IP Court, contesting the CNIPA decision. We filed a petition with the Wuhan Intermediate People’s court requesting dismissal of the infringement action based on the CNIPA invalidation decision, and PGI filed a petition to withdraw its complaint. The Wuhan Intermediate People’s court granted PGI’s petition and dismissed the infringement action in May 2022.</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Proceedings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53"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4.</w:t>
        <w:tab/>
        <w:t>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PART II</w:t>
      </w:r>
    </w:p>
    <w:p>
      <w:pPr>
        <w:spacing w:after="0" w:line="9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5.</w:t>
        <w:tab/>
        <w:t>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traded on The Nasdaq Global Select Market under the symbol “PACB.”</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Record</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January 31, 2024, there were approximately 76 stockholders of record of our common stock, although we believe that there are a significantly larger number of beneficial owners of our common stock.</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 Policy</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never declared or paid any cash dividend on our common stock and have no present plans to do so. We intend to retain earnings for use in the operation and expansion of our business.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Performance Graph</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performance graph included in this Annual Report on Form 10-K shall not be deemed “filed” for purposes of Section 18 of the Securities Exchange Act of 1934, as amended (the “Exchange Act”), or incorporated by reference into any filing of Pacific Biosciences under the Securities Act of 1933, as amended, or the Exchange Act, except as shall be expressly set forth by specific reference in such filing.</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following graph shows a comparison from December 31, 2018 through December 31, 2023 of the cumulative total return for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COMPARISON OF 5 YEAR CUMULATIVE TOTAL RETURN*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Among Pacific Biosciences, Inc, the NASDAQ Composite 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61595</wp:posOffset>
            </wp:positionV>
            <wp:extent cx="4446270" cy="26409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46270" cy="2640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300"/>
        <w:spacing w:after="0"/>
        <w:rPr>
          <w:sz w:val="20"/>
          <w:szCs w:val="20"/>
          <w:color w:val="auto"/>
        </w:rPr>
      </w:pPr>
      <w:r>
        <w:rPr>
          <w:rFonts w:ascii="Arial" w:cs="Arial" w:eastAsia="Arial" w:hAnsi="Arial"/>
          <w:sz w:val="10"/>
          <w:szCs w:val="10"/>
          <w:color w:val="auto"/>
        </w:rPr>
        <w:t>*$100 invested on 12/31/2018 in stock or index, including reinvestment of dividends.</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0"/>
          <w:szCs w:val="10"/>
          <w:color w:val="auto"/>
        </w:rPr>
        <w:t>Fiscal year ending December 31.</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Sales of Unregistered Securities</w:t>
      </w:r>
    </w:p>
    <w:p>
      <w:pPr>
        <w:spacing w:after="0" w:line="92"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Other than as previously reported on our Current Reports on Form 8-K filed with the SEC on June 26, 2023 and August 2, 2023, there were no unregistered sales of equity securities by us during 2023.</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[Reserved]</w:t>
      </w:r>
    </w:p>
    <w:p>
      <w:pPr>
        <w:spacing w:after="0" w:line="9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7.</w:t>
        <w:tab/>
        <w:t>MANAGEMENT’S DISCUSSION AND ANALYSIS OF FINANCIAL CONDITION AND RESULTS OF OPERATIONS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our consolidated financial statements and the related notes included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read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Our Management’s Discussion and Analysis (MD&amp;A) is organized in the following sections:</w:t>
      </w:r>
    </w:p>
    <w:p>
      <w:pPr>
        <w:spacing w:after="0" w:line="96"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Overview and Outlook</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Results of Operations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Liquidity and Capital Resources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Critical Accounting Policies and Estimates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Quantitative and Qualitative Disclosure of Market Risk</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Recent Accounting Pronouncements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Contractual Obligations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Off Balance Sheet Arrangements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and Outlook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About PacBio</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are a premier life science technology company that is designing, developing, and manufacturing advanced sequencing solutions that enable scientists and clinical researchers to improve their understanding of the genome and ultimately, resolve genetically complex problems.</w:t>
      </w:r>
    </w:p>
    <w:p>
      <w:pPr>
        <w:spacing w:after="0" w:line="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Our products and technology under development stem from two highly differentiated core technologies focused on accuracy, quality, and completeness, which include our HiFi long-read sequencing technology and our Sequencing by Binding (SBB</w:t>
      </w:r>
      <w:r>
        <w:rPr>
          <w:rFonts w:ascii="Arial" w:cs="Arial" w:eastAsia="Arial" w:hAnsi="Arial"/>
          <w:sz w:val="18"/>
          <w:szCs w:val="18"/>
          <w:color w:val="auto"/>
          <w:vertAlign w:val="superscript"/>
        </w:rPr>
        <w:t>®</w:t>
      </w:r>
      <w:r>
        <w:rPr>
          <w:rFonts w:ascii="Arial" w:cs="Arial" w:eastAsia="Arial" w:hAnsi="Arial"/>
          <w:sz w:val="14"/>
          <w:szCs w:val="14"/>
          <w:color w:val="auto"/>
        </w:rPr>
        <w:t>) short-read sequencing technology. Our products address solutions across a broad set of research applications including human genetics, plant and animal sciences, infectious disease and microbiology, oncology, and other emerging applications.</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focus is on creating some of the world’s most advanced sequencing systems to provide our customers the most complete and accurate view of genomes, transcriptomes, and epigenomes.</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December 31, 2023, our commercial team is comprised of approximately 215 employees, including 71 quota-carrying representatives, many with advanced degrees in biology and significant experience in the genomics industry.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Objectives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2023 exceeded our expectations as we drove adoption of our advanced sequencing technologies, demonstrated short-read accuracy with our Onso platform, and progressed development of our pipeline technologies and products.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Our 2024 strategic objectives are to:</w:t>
      </w:r>
    </w:p>
    <w:p>
      <w:pPr>
        <w:spacing w:after="0" w:line="94"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Increase technology adoption by increasing market share via new customer acquisition, continue Sequel II conversions to Revio, and scale Onso production;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Leverage innovation to complete development of new sequencing platforms and launch on-market system improvements;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Build upon clinical momentum by expanding HiFi usage in large-scale programs and translational research projects;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Drive towards positive cash flow through gross margin expansion, disciplined operating expense management, and a focus on working capital.</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will continue to leverage our commercial organization and make significant improvements in the efficiency and usability of our products in pursuit of a broader customer base.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commercial investments we have recently made will further help drive growth in our business.</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To increase the adoption of HiFi sequencing, we have various development programs in progress to expand our product portfolio as well as increase the throughput and improve the usability of our existing sequencing technologies. We continue to focus on programs to accelerate new platform launches in the near to mid-term as well as increase applications for our technologies.</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continue to believe that with the capabilities of our HiFi chemistry and SMRT 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continue to pursue partner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Overview</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Key highlights of our 2023 consolidated financial results include the following:</w:t>
      </w:r>
    </w:p>
    <w:p>
      <w:pPr>
        <w:spacing w:after="0" w:line="94" w:lineRule="exact"/>
        <w:rPr>
          <w:sz w:val="20"/>
          <w:szCs w:val="20"/>
          <w:color w:val="auto"/>
        </w:rPr>
      </w:pPr>
    </w:p>
    <w:p>
      <w:pPr>
        <w:jc w:val="both"/>
        <w:ind w:left="520" w:hanging="260"/>
        <w:spacing w:after="0" w:line="265"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Revenue increased $72.2 million, or 56%, to $200.5 million for the year ended December 31, 2023, as compared to $128.3 million for the year ended December 31, 2022. Revenue was comprised of $120.5 million in instrument revenue, $63.4 million in consumables revenue and $16.6 million in service and other revenue for the year ended December 31, 2023. The increase was primarily driven by the launch of Revio in the first quarter of 2023, which is sold at a higher average selling price than our previous Sequel II and IIe platforms. We ended the year with an installed base of 173 Revio systems.</w:t>
      </w:r>
    </w:p>
    <w:p>
      <w:pPr>
        <w:spacing w:after="0" w:line="52" w:lineRule="exact"/>
        <w:rPr>
          <w:rFonts w:ascii="Arial" w:cs="Arial" w:eastAsia="Arial" w:hAnsi="Arial"/>
          <w:sz w:val="14"/>
          <w:szCs w:val="14"/>
          <w:color w:val="auto"/>
        </w:rPr>
      </w:pPr>
    </w:p>
    <w:p>
      <w:pPr>
        <w:jc w:val="both"/>
        <w:ind w:left="520" w:hanging="260"/>
        <w:spacing w:after="0" w:line="260"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Gross profit as a percentage of revenue (gross margin) was 26.3% for the year ended December 31, 2023, compared to 38.2% for the year ended December 31, 2022. Gross margin declined due primarily to the instrument mix, as Revio instruments sold during the period had a lower margin than the Sequel II/IIe system, primarily due to loyalty discounts provided and higher initial manufacturing costs, including warranty costs as well as charges for scrap inventory. In addition, we recognized an adjustment during the year ended December 31, 2023 primarily related to excess instrument and consumables inventory. The excess instrument adjustment was primarily due to a change in the Sequel II demand primarily from one customer. The consumables inventory adjustment was primarily resulting from a faster-than-expected decline in demand of Sequel II/IIe consumables due primarily to a faster than expected ramp on the Revio system.</w:t>
      </w:r>
    </w:p>
    <w:p>
      <w:pPr>
        <w:spacing w:after="0" w:line="56"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Loss from operations increased $27.3 million or 9%, to $334.5 million for the year ended December 31, 2023, as compared to $307.2 million for the year ended December 31, 2022, driven primarily by an increase of $31.0 million of operating expenses, including a $12.7 million increase in the change in the fair value of the contingent consideration, a $9.0 million increase in non-recurring merger-related costs incurred, and a $9.0 million increase in sales, general, and administrative expenses, partially offset by a $5.8 million decrease in research and development expenses. See </w:t>
      </w:r>
      <w:r>
        <w:rPr>
          <w:rFonts w:ascii="Arial" w:cs="Arial" w:eastAsia="Arial" w:hAnsi="Arial"/>
          <w:sz w:val="14"/>
          <w:szCs w:val="14"/>
          <w:i w:val="1"/>
          <w:iCs w:val="1"/>
          <w:u w:val="single" w:color="auto"/>
          <w:color w:val="0000FF"/>
        </w:rPr>
        <w:t>Note 2. Business Acquisitions</w:t>
      </w:r>
      <w:r>
        <w:rPr>
          <w:rFonts w:ascii="Arial" w:cs="Arial" w:eastAsia="Arial" w:hAnsi="Arial"/>
          <w:sz w:val="14"/>
          <w:szCs w:val="14"/>
          <w:color w:val="auto"/>
        </w:rPr>
        <w:t xml:space="preserve"> for further details.</w:t>
      </w:r>
    </w:p>
    <w:p>
      <w:pPr>
        <w:spacing w:after="0" w:line="52"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Cash, cash equivalents, and short-term investments were $631.4 million at December 31, 2023, which represents an 18% decrease compared to the balance at December 31, 2022.</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Macroeconomic dynamics including inflation, exchange rates and concerns about an economic downturn, have impacted both the Company and our customers’ behavior. For example, some customers and potential customers are managing capital more conservatively, resulting in lengthened sales cycles, and capital funding in China is being deferred, resulting in less capital equipment purchases. These factors could continue to impact our revenues and results of operations in 2024; however, as the size and duration of these impacts is uncertain, we cannot reasonably estimate the future impact to our operations and financial results.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u w:val="single" w:color="auto"/>
          <w:color w:val="0000FF"/>
        </w:rPr>
        <w:t>Risk Factors</w:t>
      </w:r>
      <w:r>
        <w:rPr>
          <w:rFonts w:ascii="Arial" w:cs="Arial" w:eastAsia="Arial" w:hAnsi="Arial"/>
          <w:sz w:val="14"/>
          <w:szCs w:val="14"/>
          <w:color w:val="auto"/>
        </w:rPr>
        <w:t xml:space="preserve"> section for further discussion of the possible impact of macroeconomic factors on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94" w:lineRule="exact"/>
        <w:rPr>
          <w:sz w:val="20"/>
          <w:szCs w:val="20"/>
          <w:color w:val="auto"/>
        </w:rPr>
      </w:pPr>
    </w:p>
    <w:p>
      <w:pPr>
        <w:jc w:val="both"/>
        <w:spacing w:after="0" w:line="262" w:lineRule="auto"/>
        <w:rPr>
          <w:rFonts w:ascii="Arial" w:cs="Arial" w:eastAsia="Arial" w:hAnsi="Arial"/>
          <w:sz w:val="14"/>
          <w:szCs w:val="14"/>
          <w:i w:val="1"/>
          <w:iCs w:val="1"/>
          <w:color w:val="auto"/>
        </w:rPr>
      </w:pPr>
      <w:r>
        <w:rPr>
          <w:rFonts w:ascii="Arial" w:cs="Arial" w:eastAsia="Arial" w:hAnsi="Arial"/>
          <w:sz w:val="14"/>
          <w:szCs w:val="14"/>
          <w:color w:val="auto"/>
        </w:rPr>
        <w:t xml:space="preserve">A detailed discussion of our consolidated financial results comparison between 2023 and 2022 is presented below. A discussion of the changes in our results of operations between the years ended December 31, 2022 and December 31, 2021, has been omitted from this Annual Report on Form 10-K but may be found in </w:t>
      </w:r>
      <w:r>
        <w:rPr>
          <w:rFonts w:ascii="Arial" w:cs="Arial" w:eastAsia="Arial" w:hAnsi="Arial"/>
          <w:sz w:val="14"/>
          <w:szCs w:val="14"/>
          <w:i w:val="1"/>
          <w:iCs w:val="1"/>
          <w:color w:val="auto"/>
        </w:rPr>
        <w:t>Item 7. Management’s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Analysis of Financial Condition and Results of Operations </w:t>
      </w:r>
      <w:r>
        <w:rPr>
          <w:rFonts w:ascii="Arial" w:cs="Arial" w:eastAsia="Arial" w:hAnsi="Arial"/>
          <w:sz w:val="14"/>
          <w:szCs w:val="14"/>
          <w:color w:val="auto"/>
        </w:rPr>
        <w:t>of our</w:t>
      </w:r>
      <w:r>
        <w:rPr>
          <w:rFonts w:ascii="Arial" w:cs="Arial" w:eastAsia="Arial" w:hAnsi="Arial"/>
          <w:sz w:val="14"/>
          <w:szCs w:val="14"/>
          <w:i w:val="1"/>
          <w:iCs w:val="1"/>
          <w:color w:val="auto"/>
        </w:rPr>
        <w:t xml:space="preserve"> Annual Report on </w:t>
      </w:r>
      <w:hyperlink r:id="rId76">
        <w:r>
          <w:rPr>
            <w:rFonts w:ascii="Arial" w:cs="Arial" w:eastAsia="Arial" w:hAnsi="Arial"/>
            <w:sz w:val="14"/>
            <w:szCs w:val="14"/>
            <w:i w:val="1"/>
            <w:iCs w:val="1"/>
            <w:u w:val="single" w:color="auto"/>
            <w:color w:val="0000FF"/>
          </w:rPr>
          <w:t>Form 10-K</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color w:val="auto"/>
        </w:rPr>
        <w:t>for</w:t>
      </w:r>
      <w:r>
        <w:rPr>
          <w:rFonts w:ascii="Arial" w:cs="Arial" w:eastAsia="Arial" w:hAnsi="Arial"/>
          <w:sz w:val="14"/>
          <w:szCs w:val="14"/>
          <w:i w:val="1"/>
          <w:iCs w:val="1"/>
          <w:color w:val="auto"/>
        </w:rPr>
        <w:t xml:space="preserve"> </w:t>
      </w:r>
      <w:r>
        <w:rPr>
          <w:rFonts w:ascii="Arial" w:cs="Arial" w:eastAsia="Arial" w:hAnsi="Arial"/>
          <w:sz w:val="14"/>
          <w:szCs w:val="14"/>
          <w:color w:val="auto"/>
        </w:rPr>
        <w:t>the year ended December 31, 2022, filed with the Securities and Exchange</w:t>
      </w:r>
      <w:r>
        <w:rPr>
          <w:rFonts w:ascii="Arial" w:cs="Arial" w:eastAsia="Arial" w:hAnsi="Arial"/>
          <w:sz w:val="14"/>
          <w:szCs w:val="14"/>
          <w:i w:val="1"/>
          <w:iCs w:val="1"/>
          <w:color w:val="auto"/>
        </w:rPr>
        <w:t xml:space="preserve"> </w:t>
      </w:r>
      <w:r>
        <w:rPr>
          <w:rFonts w:ascii="Arial" w:cs="Arial" w:eastAsia="Arial" w:hAnsi="Arial"/>
          <w:sz w:val="14"/>
          <w:szCs w:val="14"/>
          <w:color w:val="auto"/>
        </w:rPr>
        <w:t>Commission on February 28, 2023, which is incorporated herein by reference, and is available free of charge on the SEC’s website at www.sec.gov and our corporate website (www.pacb.com).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-332740</wp:posOffset>
            </wp:positionV>
            <wp:extent cx="3294380" cy="1009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294380" cy="10096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Years Ended December 31, 2023 and 2022</w:t>
      </w:r>
    </w:p>
    <w:p>
      <w:pPr>
        <w:spacing w:after="0" w:line="128" w:lineRule="exact"/>
        <w:rPr>
          <w:sz w:val="20"/>
          <w:szCs w:val="20"/>
          <w:color w:val="auto"/>
        </w:rPr>
      </w:pPr>
    </w:p>
    <w:p>
      <w:pPr>
        <w:ind w:left="572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20" w:type="dxa"/>
            <w:vAlign w:val="bottom"/>
          </w:tcPr>
          <w:p>
            <w:pPr>
              <w:ind w:left="20"/>
              <w:spacing w:after="0"/>
              <w:rPr>
                <w:sz w:val="20"/>
                <w:szCs w:val="20"/>
                <w:color w:val="auto"/>
              </w:rPr>
            </w:pPr>
            <w:r>
              <w:rPr>
                <w:rFonts w:ascii="Arial" w:cs="Arial" w:eastAsia="Arial" w:hAnsi="Arial"/>
                <w:sz w:val="11"/>
                <w:szCs w:val="11"/>
                <w:color w:val="auto"/>
              </w:rPr>
              <w:t>(in thousands, except per share amounts)</w:t>
            </w: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Arial" w:cs="Arial" w:eastAsia="Arial" w:hAnsi="Arial"/>
                <w:sz w:val="13"/>
                <w:szCs w:val="13"/>
                <w:b w:val="1"/>
                <w:bCs w:val="1"/>
                <w:color w:val="auto"/>
              </w:rPr>
              <w:t>$ Change</w:t>
            </w:r>
          </w:p>
        </w:tc>
        <w:tc>
          <w:tcPr>
            <w:tcW w:w="1600" w:type="dxa"/>
            <w:vAlign w:val="bottom"/>
          </w:tcPr>
          <w:p>
            <w:pPr>
              <w:jc w:val="right"/>
              <w:ind w:right="436"/>
              <w:spacing w:after="0"/>
              <w:rPr>
                <w:sz w:val="20"/>
                <w:szCs w:val="20"/>
                <w:color w:val="auto"/>
              </w:rPr>
            </w:pPr>
            <w:r>
              <w:rPr>
                <w:rFonts w:ascii="Arial" w:cs="Arial" w:eastAsia="Arial" w:hAnsi="Arial"/>
                <w:sz w:val="13"/>
                <w:szCs w:val="13"/>
                <w:b w:val="1"/>
                <w:bCs w:val="1"/>
                <w:color w:val="auto"/>
              </w:rPr>
              <w:t>% Change</w:t>
            </w:r>
          </w:p>
        </w:tc>
      </w:tr>
      <w:tr>
        <w:trPr>
          <w:trHeight w:val="150"/>
        </w:trPr>
        <w:tc>
          <w:tcPr>
            <w:tcW w:w="50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Revenue:</w:t>
            </w: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r>
      <w:tr>
        <w:trPr>
          <w:trHeight w:val="169"/>
        </w:trPr>
        <w:tc>
          <w:tcPr>
            <w:tcW w:w="5020" w:type="dxa"/>
            <w:vAlign w:val="bottom"/>
          </w:tcPr>
          <w:p>
            <w:pPr>
              <w:ind w:left="280"/>
              <w:spacing w:after="0"/>
              <w:rPr>
                <w:sz w:val="20"/>
                <w:szCs w:val="20"/>
                <w:color w:val="auto"/>
              </w:rPr>
            </w:pPr>
            <w:r>
              <w:rPr>
                <w:rFonts w:ascii="Arial" w:cs="Arial" w:eastAsia="Arial" w:hAnsi="Arial"/>
                <w:sz w:val="13"/>
                <w:szCs w:val="13"/>
                <w:color w:val="auto"/>
              </w:rPr>
              <w:t>Product revenue</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183,872</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108,699</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75,173</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69 %</w:t>
            </w:r>
          </w:p>
        </w:tc>
      </w:tr>
      <w:tr>
        <w:trPr>
          <w:trHeight w:val="171"/>
        </w:trPr>
        <w:tc>
          <w:tcPr>
            <w:tcW w:w="5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Service and other revenue</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16,649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19,605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(2,956)</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r>
      <w:tr>
        <w:trPr>
          <w:trHeight w:val="159"/>
        </w:trPr>
        <w:tc>
          <w:tcPr>
            <w:tcW w:w="502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revenue</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200,521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128,304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72,217</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56 %</w:t>
            </w:r>
          </w:p>
        </w:tc>
      </w:tr>
      <w:tr>
        <w:trPr>
          <w:trHeight w:val="151"/>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169"/>
        </w:trPr>
        <w:tc>
          <w:tcPr>
            <w:tcW w:w="5020" w:type="dxa"/>
            <w:vAlign w:val="bottom"/>
          </w:tcPr>
          <w:p>
            <w:pPr>
              <w:ind w:left="280"/>
              <w:spacing w:after="0"/>
              <w:rPr>
                <w:sz w:val="20"/>
                <w:szCs w:val="20"/>
                <w:color w:val="auto"/>
              </w:rPr>
            </w:pPr>
            <w:r>
              <w:rPr>
                <w:rFonts w:ascii="Arial" w:cs="Arial" w:eastAsia="Arial" w:hAnsi="Arial"/>
                <w:sz w:val="13"/>
                <w:szCs w:val="13"/>
                <w:color w:val="auto"/>
              </w:rPr>
              <w:t>Cost of product revenue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127,568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60,932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66,636</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109 %</w:t>
            </w:r>
          </w:p>
        </w:tc>
      </w:tr>
      <w:tr>
        <w:trPr>
          <w:trHeight w:val="171"/>
        </w:trPr>
        <w:tc>
          <w:tcPr>
            <w:tcW w:w="5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Cost of service and other revenue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6 %</w:t>
            </w:r>
          </w:p>
        </w:tc>
      </w:tr>
      <w:tr>
        <w:trPr>
          <w:trHeight w:val="169"/>
        </w:trPr>
        <w:tc>
          <w:tcPr>
            <w:tcW w:w="5020" w:type="dxa"/>
            <w:vAlign w:val="bottom"/>
          </w:tcPr>
          <w:p>
            <w:pPr>
              <w:ind w:left="280"/>
              <w:spacing w:after="0"/>
              <w:rPr>
                <w:sz w:val="20"/>
                <w:szCs w:val="20"/>
                <w:color w:val="auto"/>
              </w:rPr>
            </w:pPr>
            <w:r>
              <w:rPr>
                <w:rFonts w:ascii="Arial" w:cs="Arial" w:eastAsia="Arial" w:hAnsi="Arial"/>
                <w:sz w:val="13"/>
                <w:szCs w:val="13"/>
                <w:color w:val="auto"/>
              </w:rPr>
              <w:t>Amortization of acquired intangible assets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733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1,250</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171 %</w:t>
            </w:r>
          </w:p>
        </w:tc>
      </w:tr>
      <w:tr>
        <w:trPr>
          <w:trHeight w:val="171"/>
        </w:trPr>
        <w:tc>
          <w:tcPr>
            <w:tcW w:w="5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Loss on purchase commitment</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w:t>
            </w:r>
          </w:p>
        </w:tc>
      </w:tr>
      <w:tr>
        <w:trPr>
          <w:trHeight w:val="159"/>
        </w:trPr>
        <w:tc>
          <w:tcPr>
            <w:tcW w:w="502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cost of revenue</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147,741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79,269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68,472</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86 %</w:t>
            </w:r>
          </w:p>
        </w:tc>
      </w:tr>
      <w:tr>
        <w:trPr>
          <w:trHeight w:val="162"/>
        </w:trPr>
        <w:tc>
          <w:tcPr>
            <w:tcW w:w="5020" w:type="dxa"/>
            <w:vAlign w:val="bottom"/>
            <w:shd w:val="clear" w:color="auto" w:fill="CCEEFF"/>
          </w:tcPr>
          <w:p>
            <w:pPr>
              <w:ind w:left="920"/>
              <w:spacing w:after="0"/>
              <w:rPr>
                <w:sz w:val="20"/>
                <w:szCs w:val="20"/>
                <w:color w:val="auto"/>
              </w:rPr>
            </w:pPr>
            <w:r>
              <w:rPr>
                <w:rFonts w:ascii="Arial" w:cs="Arial" w:eastAsia="Arial" w:hAnsi="Arial"/>
                <w:sz w:val="13"/>
                <w:szCs w:val="13"/>
                <w:color w:val="auto"/>
              </w:rPr>
              <w:t>Gross profit</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52,780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49,035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3,745</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8 %</w:t>
            </w:r>
          </w:p>
        </w:tc>
      </w:tr>
      <w:tr>
        <w:trPr>
          <w:trHeight w:val="149"/>
        </w:trPr>
        <w:tc>
          <w:tcPr>
            <w:tcW w:w="5020" w:type="dxa"/>
            <w:vAlign w:val="bottom"/>
          </w:tcPr>
          <w:p>
            <w:pPr>
              <w:ind w:left="20"/>
              <w:spacing w:after="0" w:line="148" w:lineRule="exact"/>
              <w:rPr>
                <w:sz w:val="20"/>
                <w:szCs w:val="20"/>
                <w:color w:val="auto"/>
              </w:rPr>
            </w:pPr>
            <w:r>
              <w:rPr>
                <w:rFonts w:ascii="Arial" w:cs="Arial" w:eastAsia="Arial" w:hAnsi="Arial"/>
                <w:sz w:val="13"/>
                <w:szCs w:val="13"/>
                <w:color w:val="auto"/>
              </w:rPr>
              <w:t>Operating Expense:</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Research and development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187,170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(5,830)</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w:t>
            </w:r>
          </w:p>
        </w:tc>
      </w:tr>
      <w:tr>
        <w:trPr>
          <w:trHeight w:val="169"/>
        </w:trPr>
        <w:tc>
          <w:tcPr>
            <w:tcW w:w="5020" w:type="dxa"/>
            <w:vAlign w:val="bottom"/>
          </w:tcPr>
          <w:p>
            <w:pPr>
              <w:ind w:left="280"/>
              <w:spacing w:after="0"/>
              <w:rPr>
                <w:sz w:val="20"/>
                <w:szCs w:val="20"/>
                <w:color w:val="auto"/>
              </w:rPr>
            </w:pPr>
            <w:r>
              <w:rPr>
                <w:rFonts w:ascii="Arial" w:cs="Arial" w:eastAsia="Arial" w:hAnsi="Arial"/>
                <w:sz w:val="13"/>
                <w:szCs w:val="13"/>
                <w:color w:val="auto"/>
              </w:rPr>
              <w:t>Sales, general and administrative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169,818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160,854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8,964</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6 %</w:t>
            </w:r>
          </w:p>
        </w:tc>
      </w:tr>
      <w:tr>
        <w:trPr>
          <w:trHeight w:val="171"/>
        </w:trPr>
        <w:tc>
          <w:tcPr>
            <w:tcW w:w="5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Merger-related expenses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9,042</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r>
      <w:tr>
        <w:trPr>
          <w:trHeight w:val="169"/>
        </w:trPr>
        <w:tc>
          <w:tcPr>
            <w:tcW w:w="5020" w:type="dxa"/>
            <w:vAlign w:val="bottom"/>
          </w:tcPr>
          <w:p>
            <w:pPr>
              <w:ind w:left="280"/>
              <w:spacing w:after="0"/>
              <w:rPr>
                <w:sz w:val="20"/>
                <w:szCs w:val="20"/>
                <w:color w:val="auto"/>
              </w:rPr>
            </w:pPr>
            <w:r>
              <w:rPr>
                <w:rFonts w:ascii="Arial" w:cs="Arial" w:eastAsia="Arial" w:hAnsi="Arial"/>
                <w:sz w:val="13"/>
                <w:szCs w:val="13"/>
                <w:color w:val="auto"/>
              </w:rPr>
              <w:t>Amortization of acquired intangible assets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6,157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6,157</w:t>
            </w:r>
          </w:p>
        </w:tc>
        <w:tc>
          <w:tcPr>
            <w:tcW w:w="100" w:type="dxa"/>
            <w:vAlign w:val="bottom"/>
          </w:tcPr>
          <w:p>
            <w:pPr>
              <w:spacing w:after="0"/>
              <w:rPr>
                <w:sz w:val="14"/>
                <w:szCs w:val="14"/>
                <w:color w:val="auto"/>
              </w:rPr>
            </w:pPr>
          </w:p>
        </w:tc>
        <w:tc>
          <w:tcPr>
            <w:tcW w:w="1600" w:type="dxa"/>
            <w:vAlign w:val="bottom"/>
          </w:tcPr>
          <w:p>
            <w:pPr>
              <w:jc w:val="right"/>
              <w:ind w:right="136"/>
              <w:spacing w:after="0"/>
              <w:rPr>
                <w:sz w:val="20"/>
                <w:szCs w:val="20"/>
                <w:color w:val="auto"/>
              </w:rPr>
            </w:pPr>
            <w:r>
              <w:rPr>
                <w:rFonts w:ascii="Arial" w:cs="Arial" w:eastAsia="Arial" w:hAnsi="Arial"/>
                <w:sz w:val="13"/>
                <w:szCs w:val="13"/>
                <w:color w:val="auto"/>
              </w:rPr>
              <w:t>—</w:t>
            </w:r>
          </w:p>
        </w:tc>
      </w:tr>
      <w:tr>
        <w:trPr>
          <w:trHeight w:val="171"/>
        </w:trPr>
        <w:tc>
          <w:tcPr>
            <w:tcW w:w="5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 in fair value of contingent consideration</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15,060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12,683</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534 %</w:t>
            </w:r>
          </w:p>
        </w:tc>
      </w:tr>
      <w:tr>
        <w:trPr>
          <w:trHeight w:val="159"/>
        </w:trPr>
        <w:tc>
          <w:tcPr>
            <w:tcW w:w="502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operating expense</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387,247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356,231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31,016</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9 %</w:t>
            </w: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loss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(334,467)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(307,196)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(27,271)</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9 %</w:t>
            </w:r>
          </w:p>
        </w:tc>
      </w:tr>
      <w:tr>
        <w:trPr>
          <w:trHeight w:val="169"/>
        </w:trPr>
        <w:tc>
          <w:tcPr>
            <w:tcW w:w="5020" w:type="dxa"/>
            <w:vAlign w:val="bottom"/>
          </w:tcPr>
          <w:p>
            <w:pPr>
              <w:ind w:left="280"/>
              <w:spacing w:after="0"/>
              <w:rPr>
                <w:sz w:val="20"/>
                <w:szCs w:val="20"/>
                <w:color w:val="auto"/>
              </w:rPr>
            </w:pPr>
            <w:r>
              <w:rPr>
                <w:rFonts w:ascii="Arial" w:cs="Arial" w:eastAsia="Arial" w:hAnsi="Arial"/>
                <w:sz w:val="13"/>
                <w:szCs w:val="13"/>
                <w:color w:val="auto"/>
              </w:rPr>
              <w:t>Loss on extinguishment of debt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(2,033)</w:t>
            </w:r>
          </w:p>
        </w:tc>
        <w:tc>
          <w:tcPr>
            <w:tcW w:w="100" w:type="dxa"/>
            <w:vAlign w:val="bottom"/>
          </w:tcPr>
          <w:p>
            <w:pPr>
              <w:spacing w:after="0"/>
              <w:rPr>
                <w:sz w:val="14"/>
                <w:szCs w:val="14"/>
                <w:color w:val="auto"/>
              </w:rPr>
            </w:pPr>
          </w:p>
        </w:tc>
        <w:tc>
          <w:tcPr>
            <w:tcW w:w="1600" w:type="dxa"/>
            <w:vAlign w:val="bottom"/>
          </w:tcPr>
          <w:p>
            <w:pPr>
              <w:jc w:val="right"/>
              <w:ind w:right="136"/>
              <w:spacing w:after="0"/>
              <w:rPr>
                <w:sz w:val="20"/>
                <w:szCs w:val="20"/>
                <w:color w:val="auto"/>
              </w:rPr>
            </w:pPr>
            <w:r>
              <w:rPr>
                <w:rFonts w:ascii="Arial" w:cs="Arial" w:eastAsia="Arial" w:hAnsi="Arial"/>
                <w:sz w:val="13"/>
                <w:szCs w:val="13"/>
                <w:color w:val="auto"/>
              </w:rPr>
              <w:t>—</w:t>
            </w:r>
          </w:p>
        </w:tc>
      </w:tr>
      <w:tr>
        <w:trPr>
          <w:trHeight w:val="171"/>
        </w:trPr>
        <w:tc>
          <w:tcPr>
            <w:tcW w:w="5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expense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(2 %)</w:t>
            </w:r>
          </w:p>
        </w:tc>
      </w:tr>
      <w:tr>
        <w:trPr>
          <w:trHeight w:val="169"/>
        </w:trPr>
        <w:tc>
          <w:tcPr>
            <w:tcW w:w="50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income, net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32,684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7,638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25,046</w:t>
            </w:r>
          </w:p>
        </w:tc>
        <w:tc>
          <w:tcPr>
            <w:tcW w:w="10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328 %</w:t>
            </w: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before benefit from income taxes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(318,159)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(314,248)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(3,911)</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r>
      <w:tr>
        <w:trPr>
          <w:trHeight w:val="16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Benefit from income taxes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(11,424)</w:t>
            </w:r>
          </w:p>
        </w:tc>
        <w:tc>
          <w:tcPr>
            <w:tcW w:w="10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jc w:val="right"/>
              <w:ind w:right="136"/>
              <w:spacing w:after="0"/>
              <w:rPr>
                <w:sz w:val="20"/>
                <w:szCs w:val="20"/>
                <w:color w:val="auto"/>
              </w:rPr>
            </w:pPr>
            <w:r>
              <w:rPr>
                <w:rFonts w:ascii="Arial" w:cs="Arial" w:eastAsia="Arial" w:hAnsi="Arial"/>
                <w:sz w:val="13"/>
                <w:szCs w:val="13"/>
                <w:color w:val="auto"/>
              </w:rPr>
              <w:t>—</w:t>
            </w:r>
          </w:p>
        </w:tc>
      </w:tr>
      <w:tr>
        <w:trPr>
          <w:trHeight w:val="18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(306,735)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(314,248)</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7,513</w:t>
            </w:r>
          </w:p>
        </w:tc>
        <w:tc>
          <w:tcPr>
            <w:tcW w:w="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product revenue resulted primarily from an increase of $71.7 million in instrument revenue, as well as an increase of $3.4 million in consumable revenue.</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increase in instrument revenue was primarily due to the sale of 173 Revio systems that have a higher average selling price as compared to the Sequel II/IIe platform. We expect the installed base of Revio instruments to grow, reflecting customer demand for the new product. As a result of this new product launch, we anticipate the installed base and sales volumes of Sequel II/IIe to continue to decline compared to recent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quarters. Additionally, we commenced the shipment of Onso products during the year ended December 31, 2023 and expect the installed base to continue to grow.</w:t>
      </w:r>
    </w:p>
    <w:p>
      <w:pPr>
        <w:spacing w:after="0" w:line="94"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The increase in consumable sales was primarily due to higher Revio consumables sales attributable to the growth in the Revio instrument installed base, partially offset by a decline in Sequel consumables as customers transition to the new platform. As the Revio installed base continues to grow, we anticipate the related consumable sales to continue to increase.</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decrease in service and other revenue was primarily due to the change in our terms of the warranty provided with the instrument during the first quarter of 2022 to remove the service component. As a result, the warranty is no longer a separate performance obligation and, accordingly, we accrue for the cost of the assurance warranty when revenue of the instrument is recognized, and no longer recognize a component of the instrument revenue in service and other revenue over the warranty period. Service revenue also declined as customers transition to Revio, which includes a first-year warranty, and opt to not renew their Sequel II/IIe plans. As the Revio installed base begins to surpass the warranty period in 2024 and customers transition to service plans, we expect the retrospective decline in growth trend to reverse within the year and service revenues to potentially exceed 2023 levels.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 Gross Profit, and Gross Margin</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increase in the cost of product revenue was driven primarily by an increase in system placements and higher overall product costs on the Revio platform, including warranty costs, as well as an increase in adjustments of approximately $4.6 million as compared to the prior year primarily relating to excess consumables inventory resulting from faster-than-expected decline in demand of Sequel II/IIe consumables due primarily to a faster than expected ramp on the Revio system. Cost of revenue included share-based compensation expense of $5.4 million and $4.8 million during the years ended December 31, 2023 and 2022 respectively.</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loss on purchase commitment was $3.4 million and $3.7 million for the years ended December 31, 2023 and 2022, respectively. The purchase commitment loss is based on an estimate of future excess inventory related to supply agreements, for which we do not expect to have related sales.</w:t>
      </w:r>
    </w:p>
    <w:p>
      <w:pPr>
        <w:spacing w:after="0" w:line="3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Gross profit increased $3.7 million, or 8%. Gross margin was 26.3% for the year ended December 31, 2023 compared to 38.2% for the year ended December 31, 2022. The decrease in gross margin percentage was primarily due to instrument mix, in addition to charges for scrap inventory and an increase in adjustments primarily relating to excess consumables inventory resulting from a faster-than-expected decline in demand of Sequel II/IIe consumables due primarily to a faster than expected ramp on the Revio system. Revio instruments sold during the period had a lower margin primarily due to loyalty discounts provided and higher initial manufacturing costs, including warranty costs. Gross margin could fluctuate depending on the pace at which Sequel II/IIe revenue declines, Revio consumable revenue ramps, manufacturing efficiencies and warranty costs improve, as well as fluctuation in average selling prices.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decrease in research and development expense was primarily driven by the transition of Revio from development to commercialization. Research and development expense included share-based compensation of $22.4 million and $30.7 million during the years ended December 31, 2023 and 2022, 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General, and Administrative Expense</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increase in sales, general, and administrative expense was primarily driven by an increase in sales and marketing headcount as we continue to grow our commercial footprint. Sales, general, and administrative expense included share-based compensation expenses of $44.3 million and $43.1 million during the years ended December 31, 2023 and 2022,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Merger-Related Expenses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Merger-related expenses of $9.0 million during the year ended December 31, 2023, consist of $4.9 million of transaction costs arising from the acquisition of Apton, $2.8 million of compensation expense resulting from the liquidity event bonus plan in connection with the Apton acquisition, and $1.3 million of share-based compensation expense resulting from the acceleration of certain equity awards in connection with the Apton acquisition. We recognized $1.3 million of share-based compensation expense for the acceleration that was not attributable to pre-combination services.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Amortization of Acquired Intangible Assets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Amortization of acquired intangible assets of $6.2 million during the year ended December 31, 2023 consists of amortization expense attributable to acquired intangible assets that are not directly related to sales generating activities.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Fair Value of Contingent Consideration</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change in fair value of contingent consideration during the year ended December 31, 2023, represents the remeasurement impact of the Omniome and Apton contingent consideration due upon the achievement of the respective milestone. The increase in the change in fair value of contingent consideration during the year was primarily due to the Omniome contingent consideration and was primarily attributable to the passage of time, changes in the discount rates and probabilities of milestone achievement.</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contingent consideration milestone for the Omniome acquisition was defined as the first commercial shipment to a customer of both an instrument and related consumables, utilizing SBB technology. As a result of the milestone achievement in September 2023, former Omniome securityholders received as milestone consideration, among other things, an aggregate of approximately $100.9 million in cash and approximately 9.0 million shares of our common stock.</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on Extinguishment of Debt</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Loss on extinguishment of debt of $2.0 million during the year ended December 31, 2023, represents the loss resulting from the difference in the fair value of the 2030 Notes and the principal, in addition to the write-off of the unamortized debt issuance costs on the portion of the 2028 Notes that were exchanged as part of the debt modification during the year ended December 31, 2023.</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Interest expense for the year ended December 31, 2023 was $14.3 million compared to $14.7 million for the year ended December 31, 2022 and was primarily comprised of interest on the Convertible Senior Notes.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Net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other income, net was primarily driven by investment income.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Benefit from Income Taxes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 deferred income tax benefit of $11.4 million for the year ended December 31, 2023, is related to the release of the valuation allowance for deferred tax assets due to the recognition of deferred tax liabilities in connection with the Apton acquisition. We maintain a valuation allowance on the net deferred tax assets of our U.S. entities as we have concluded that it is more likely than not that we will not realize our deferred tax assets. Accordingly, this benefit from income taxes is reflected on our consolidated statements of operations and comprehensive loss for the year ended December 31, 2023.</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Our primary sources of liquidity, other than our holdings of cash, cash equivalents, and investments, has primarily been through the issuance of debt or equity securities, together with cash flow from operating activities. For example, in January 2023, as discussed above, we issued and sold an aggregate of 20,125,000 shares of our common stock in a follow-on public offering for aggregate gross proceeds of approximately $201.3 million. We have historically incurred, and expect to continue to incur, operating losses and generate negative cash flows from operations on an annual basis due to the investments we intend to make as described in </w:t>
      </w:r>
      <w:r>
        <w:rPr>
          <w:rFonts w:ascii="Arial" w:cs="Arial" w:eastAsia="Arial" w:hAnsi="Arial"/>
          <w:sz w:val="14"/>
          <w:szCs w:val="14"/>
          <w:i w:val="1"/>
          <w:iCs w:val="1"/>
          <w:u w:val="single" w:color="auto"/>
          <w:color w:val="0000FF"/>
        </w:rPr>
        <w:t>Results of Operations</w:t>
      </w:r>
      <w:r>
        <w:rPr>
          <w:rFonts w:ascii="Arial" w:cs="Arial" w:eastAsia="Arial" w:hAnsi="Arial"/>
          <w:sz w:val="14"/>
          <w:szCs w:val="14"/>
          <w:color w:val="auto"/>
        </w:rPr>
        <w:t xml:space="preserve"> above, and as a result, we may require additional capital resources to execute our strategic initiatives to grow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Cash Equivalents, and Investments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December 31, 2023, we had $631.4 million in cash, cash equivalents, and investments, compared to $772.3 million at December 31, 2022. The decrease was primarily attributable to $259.2 million cash used in operating activities for the twelve months ended December 31, 2023.</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Senior Notes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At December 31, 2022, we had $900 million of principal Convertible Senior Notes outstanding resulting from our February 9, 2021, issuance of convertible notes due 2028 (the “2028 Notes”) with an aggregate principal of $900 million. The Notes bear interest at a rate of 1.50% per annum. Interest on the 2028 Notes is payable semi-</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annually in arrears on February 15 and August 15 commencing on August 15, 2021. The 2028 Notes will mature on February 15, 2028, subject to earlier conversion, redemption, or repurchase. The proceeds from the issuance of the convertible notes are being used to fund operations, strategic investments, and capital requirements.</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2028 Notes are convertible at the option of the holder at any time until the second scheduled trading day prior to the maturity date, including in connection with a redemption by us. The 2028 Notes are convertible into shares of our common stock based on an initial conversion rate of 22.9885 shares of common stock per $1,000 principal amount of the 2028 Notes (which is equal to an initial conversion price of $43.50 per share), in each case subject to customary anti-dilution and other adjustments as a result of certain extraordinary transactions. Upon conversion of the 2028 Notes, we may elect to settle such conversion obligation in shares, cash or a combination of shares and cash.</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June 2023, we entered into a privately negotiated exchange agreement with the holder of our outstanding 2028 Notes, pursuant to which we issued $441.0 million in aggregate principal amount of our 1.375% Convertible Senior Notes due in 2030 (the "2030 Notes") in exchange for $441.0 million principal amount of the 2028 Notes. Interest on the 2030 Notes is payable semi-annually in arrears on June 15 and December 15 commencing on December 15, 2023. The 2030 Notes will mature on December 15, 2030, subject to earlier conversion, redemption, or repurchase.</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$21.50 per share), in each case subject to customary anti-dilution and other adjustments as a result of certain extraordinary transactions. Upon conversion of the 2030 Notes, we may elect to settle such conversion obligation in shares, cash or a combination of shares and cash.</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With certain exceptions, upon a change of control of our company or the failure of our common stock to be listed on certain stock exchanges, the holders of the 2028 Notes and 2030 notes may require that we repurchase all or part of the principal amount of those Notes at a purchase price of par plus unpaid interest up to, but excluding, the maturity date.</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Indenture includes customary “events of default,” which may result in the acceleration of the maturity of the Notes under the Indenture. The Indenture also includes customary covenants for convertible notes of this type.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u w:val="single" w:color="auto"/>
          <w:color w:val="0000FF"/>
        </w:rPr>
        <w:t>Note 7. Convertible Senior Notes</w:t>
      </w:r>
      <w:r>
        <w:rPr>
          <w:rFonts w:ascii="Arial" w:cs="Arial" w:eastAsia="Arial" w:hAnsi="Arial"/>
          <w:sz w:val="14"/>
          <w:szCs w:val="14"/>
          <w:color w:val="auto"/>
        </w:rPr>
        <w:t xml:space="preserve"> for further details.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Additional Capital Requirements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believe that our existing cash, cash equivalents, and investments will be sufficient to fund our projected operating and capital requirements for at least the next 12 months from the date of filing of this Annual Report on Form 10-K for the year ended December 31, 2023. Operating needs include planned costs to operate our business, including costs to fund working capital and capital expenditures. Recent and expected working and other capital requirements, in addition to the above matters, include:</w:t>
      </w:r>
    </w:p>
    <w:p>
      <w:pPr>
        <w:spacing w:after="0" w:line="49" w:lineRule="exact"/>
        <w:rPr>
          <w:sz w:val="20"/>
          <w:szCs w:val="20"/>
          <w:color w:val="auto"/>
        </w:rPr>
      </w:pPr>
    </w:p>
    <w:p>
      <w:pPr>
        <w:jc w:val="both"/>
        <w:ind w:left="520" w:hanging="260"/>
        <w:spacing w:after="0" w:line="265"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purchase orders and contractual obligations of approximately $109.9 million as of December 31, 2023, which consist of open purchase orders and contractual obligations in the ordinary course of business, including commitments with contract manufacturers and suppliers for which we have not received the goods or services.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52" w:lineRule="exact"/>
        <w:rPr>
          <w:rFonts w:ascii="Arial" w:cs="Arial" w:eastAsia="Arial" w:hAnsi="Arial"/>
          <w:sz w:val="14"/>
          <w:szCs w:val="14"/>
          <w:color w:val="auto"/>
        </w:rPr>
      </w:pPr>
    </w:p>
    <w:p>
      <w:pPr>
        <w:jc w:val="both"/>
        <w:ind w:left="520" w:hanging="260"/>
        <w:spacing w:after="0" w:line="260"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As described in more detail in </w:t>
      </w:r>
      <w:r>
        <w:rPr>
          <w:rFonts w:ascii="Arial" w:cs="Arial" w:eastAsia="Arial" w:hAnsi="Arial"/>
          <w:sz w:val="14"/>
          <w:szCs w:val="14"/>
          <w:i w:val="1"/>
          <w:iCs w:val="1"/>
          <w:u w:val="single" w:color="auto"/>
          <w:color w:val="0000FF"/>
        </w:rPr>
        <w:t>Note 8 - Commitments and Contingencies</w:t>
      </w:r>
      <w:r>
        <w:rPr>
          <w:rFonts w:ascii="Arial" w:cs="Arial" w:eastAsia="Arial" w:hAnsi="Arial"/>
          <w:sz w:val="14"/>
          <w:szCs w:val="14"/>
          <w:color w:val="auto"/>
        </w:rPr>
        <w:t xml:space="preserve"> in the Notes to the Consolidated Financial Statements, we signed a Supply Agreement, which was amended in October 2022, with a supplier for the purchase of certain products over the period of 2023 through 2026. As part of the Supply Agreement, we made a $9.0 million deposit during the year ended December 31, 2022, and an additional deposit of $6.0 million in 2023, to secure the supply of certain products through the term of the contract. If we breach the minimum volume purchase commitment during any applicable year, the supplier is entitled to retain a portion or all of the deposit corresponding to that year. If we terminate the Supply Agreement before January 15, 2027, Supplier will refund the remaining balance of the Deposit. If the supplier breaches its minimum volume supply commitment during any applicable year or portions thereof, our remedies include termination, pursuit of damages, or pursuit of specific</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performance. If, on or before October 31, 2024, we commit to purchasing a set amount of additional products during the calendar year 2026, Supplier will increase its maximum capacity guarantee to meet the additional demand. Should we exercise this option, we will be required to make an additional deposit of $5.0 million to Supplier within 30 days of the exercise.</w:t>
      </w:r>
    </w:p>
    <w:p>
      <w:pPr>
        <w:spacing w:after="0" w:line="49" w:lineRule="exact"/>
        <w:rPr>
          <w:sz w:val="20"/>
          <w:szCs w:val="20"/>
          <w:color w:val="auto"/>
        </w:rPr>
      </w:pPr>
    </w:p>
    <w:p>
      <w:pPr>
        <w:jc w:val="both"/>
        <w:ind w:left="520" w:hanging="260"/>
        <w:spacing w:after="0" w:line="27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research and development expenditures of $187.2 million in 2023 and $193.0 million in 2022. While we expect to continue our investment in research and development in 2024, including enhancements of our existing products, and continued development of other new technology and products, we expect research and development expenses to decline slightly in 2024 as compared to the year ended December 31, 2023 due to recent product transitions.</w:t>
      </w:r>
    </w:p>
    <w:p>
      <w:pPr>
        <w:spacing w:after="0" w:line="48"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Cash outflows for capital expenditures of $8.8 million in 2023 and $16.8 million in 2022. We expect to continue to invest in capital expenditures in fiscal 2024 to continue to support manufacturing and expansion of our business, and anticipate a slight increase in 2024 as compared to the year ended December 31, 2023.</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related to future lease payments for operating lease obligations at December 31, 2023, totaling $46.7 million, with $12.1 million expected to be paid within the next 12 months.</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Amounts due under the term loan acquired in connection with Omniome at December 31, 2023, totaling $0.5 million, the remainder of which is expected to be paid within the next 12 months. Please see </w:t>
      </w:r>
      <w:r>
        <w:rPr>
          <w:rFonts w:ascii="Arial" w:cs="Arial" w:eastAsia="Arial" w:hAnsi="Arial"/>
          <w:sz w:val="14"/>
          <w:szCs w:val="14"/>
          <w:i w:val="1"/>
          <w:iCs w:val="1"/>
          <w:u w:val="single" w:color="auto"/>
          <w:color w:val="0000FF"/>
        </w:rPr>
        <w:t>Note 6. Balance Sheet Components</w:t>
      </w:r>
      <w:r>
        <w:rPr>
          <w:rFonts w:ascii="Arial" w:cs="Arial" w:eastAsia="Arial" w:hAnsi="Arial"/>
          <w:sz w:val="14"/>
          <w:szCs w:val="14"/>
          <w:color w:val="auto"/>
        </w:rPr>
        <w:t xml:space="preserve"> for additional information.</w:t>
      </w:r>
    </w:p>
    <w:p>
      <w:pPr>
        <w:spacing w:after="0" w:line="35"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Payments made to third party collaborators to help advance our technologies and the capabilities of our products. We may also choose to drive investments to help create an ecosystem of customers, partners, and collaborators whose expertise and offerings complement and enhance the capabilities and utility of our technology and increase genomic data available on our platforms.</w:t>
      </w:r>
    </w:p>
    <w:p>
      <w:pPr>
        <w:spacing w:after="0" w:line="48"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Payments related to licensing and other arrangements, which are cancellable license agreements with third parties for certain patent rights and technology. Under the terms of these agreements, we may be obligated to pay royalties based on revenue from the sales of licensed products, or minimum royalties, whichever is greater, and license maintenance fees. The future license maintenance fees and minimum royalty payments under the license agreements are not deemed to be material.</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Our future capital requirements and the adequacy of our available funds will depend on many factors, including:</w:t>
      </w:r>
    </w:p>
    <w:p>
      <w:pPr>
        <w:spacing w:after="0" w:line="94" w:lineRule="exact"/>
        <w:rPr>
          <w:sz w:val="20"/>
          <w:szCs w:val="20"/>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to successfully commercialize and develop products and solutions that address customer needs;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pace of adoption of our products and our ability to obtain new customers in markets;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progress of our research and development programs and our ability to initiate or expand research programs;</w:t>
      </w:r>
    </w:p>
    <w:p>
      <w:pPr>
        <w:spacing w:after="0" w:line="93"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to manage manufacturing and production costs, including purchase obligations, and litigation costs, including the costs involved in preparing, filing, prosecuting, defending and enforcing intellectual property rights; and</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extent to which we engage in collaborations with partners and acquire other businesses or technologies.</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 economic, financial, business, or other factors adversely affect our ability to fund our projected operating cash requirements, we may be required to obtain funding through traditional or alternative sources of financing. We cannot be certain that funds will be available on favorable terms, or at all. If we are required and unable to raise additional capital when desired, our business, operating results, and financial condition may be adversely affected. See our risk factor captioned “</w:t>
      </w:r>
      <w:r>
        <w:rPr>
          <w:rFonts w:ascii="Arial" w:cs="Arial" w:eastAsia="Arial" w:hAnsi="Arial"/>
          <w:sz w:val="14"/>
          <w:szCs w:val="14"/>
          <w:i w:val="1"/>
          <w:iCs w:val="1"/>
          <w:u w:val="single" w:color="auto"/>
          <w:color w:val="0000FF"/>
        </w:rPr>
        <w:t>We are not cash flow positive and may not have</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sufficient cash to make required payments under the terms of our debt or fund our long-term planned operations</w:t>
      </w:r>
      <w:r>
        <w:rPr>
          <w:rFonts w:ascii="Arial" w:cs="Arial" w:eastAsia="Arial" w:hAnsi="Arial"/>
          <w:sz w:val="14"/>
          <w:szCs w:val="14"/>
          <w:color w:val="000000"/>
        </w:rPr>
        <w:t>” for more information.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 Summary</w:t>
      </w:r>
    </w:p>
    <w:p>
      <w:pPr>
        <w:spacing w:after="0" w:line="128"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60"/>
        </w:trPr>
        <w:tc>
          <w:tcPr>
            <w:tcW w:w="8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Cash used in operating activities</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(259,173)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(263,211)</w:t>
            </w:r>
          </w:p>
        </w:tc>
      </w:tr>
      <w:tr>
        <w:trPr>
          <w:trHeight w:val="169"/>
        </w:trPr>
        <w:tc>
          <w:tcPr>
            <w:tcW w:w="8220" w:type="dxa"/>
            <w:vAlign w:val="bottom"/>
          </w:tcPr>
          <w:p>
            <w:pPr>
              <w:ind w:left="80"/>
              <w:spacing w:after="0"/>
              <w:rPr>
                <w:sz w:val="20"/>
                <w:szCs w:val="20"/>
                <w:color w:val="auto"/>
              </w:rPr>
            </w:pPr>
            <w:r>
              <w:rPr>
                <w:rFonts w:ascii="Arial" w:cs="Arial" w:eastAsia="Arial" w:hAnsi="Arial"/>
                <w:sz w:val="13"/>
                <w:szCs w:val="13"/>
                <w:color w:val="auto"/>
              </w:rPr>
              <w:t>Cash provided by investing activities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4,604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116,083</w:t>
            </w:r>
          </w:p>
        </w:tc>
      </w:tr>
      <w:tr>
        <w:trPr>
          <w:trHeight w:val="170"/>
        </w:trPr>
        <w:tc>
          <w:tcPr>
            <w:tcW w:w="8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Cash provided by financing activities</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108,891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9,622</w:t>
            </w:r>
          </w:p>
        </w:tc>
      </w:tr>
      <w:tr>
        <w:trPr>
          <w:trHeight w:val="162"/>
        </w:trPr>
        <w:tc>
          <w:tcPr>
            <w:tcW w:w="8220" w:type="dxa"/>
            <w:vAlign w:val="bottom"/>
          </w:tcPr>
          <w:p>
            <w:pPr>
              <w:ind w:left="80"/>
              <w:spacing w:after="0"/>
              <w:rPr>
                <w:sz w:val="20"/>
                <w:szCs w:val="20"/>
                <w:color w:val="auto"/>
              </w:rPr>
            </w:pPr>
            <w:r>
              <w:rPr>
                <w:rFonts w:ascii="Arial" w:cs="Arial" w:eastAsia="Arial" w:hAnsi="Arial"/>
                <w:sz w:val="13"/>
                <w:szCs w:val="13"/>
                <w:color w:val="auto"/>
              </w:rPr>
              <w:t>Net decrease in cash, cash equivalents and restricted cash</w:t>
            </w: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(145,678)</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(137,506)</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Activities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primary uses of cash in operating activities include the development of future products and product enhancements, manufacturing, and support functions related to our sales, general, and administrative activities.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Cash used in operating activities for the year ended December 31, 2023, of $259.2 million was due primarily to a $306.7 million net loss that was partially offset by non-cash items such as share-based compensation of $ 72.1 million, a change in the estimated fair value of contingent consideration of $15.1 million, depreciation of $11.5 million, inventory provision of $10.6 million, amortization of intangible assets of $8.3 million, and amortization of right-of-use assets of $6.8 million, offset by accretion of discount and amortization of premium on marketable securities, net of $12.8 million, and deferred income taxes of $11.4 million. Cash flow impact from changes in net operating assets and liabilities of $ 59.0 million, was primarily attributable to increases of $17.8 million in accounts receivable, net, $13.8 million in inventory, net, $9.0 million in prepaid expenses and other assets, and decreases of $14.9 million in contingent consideration liability, $10.4 million in deferred revenue, and $8.8 million in operating lease liabilities, partially offset by increases of $13.1 million in accrued expenses, and $2.4 million in other liabilities.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Cash used in operating activities for the year ended December 31, 2022, of $263.2 million was due primarily to a $ 314.2 million net loss that was partially offset by non-cash items such as share-based compensation of $78.6 million, depreciation of $9.5 million, amortization of right-of-use assets of $6.9 million, inventory provision of $ 6.0 million, and a change in the estimated fair value of contingent consideration of $2.4 million. Cash flow impact from changes in net operating assets and liabilities of $54.0 million, was primarily attributable to increases of $33.9 million in inventory, net, $12.3 million in prepaid expenses and other assets, and decreases of $7.7 million in operating lease liabilities, $3.7 million in accrued expenses, and $3.7 million in deferred revenue, partially offset by a decrease of $5.5 million in accounts receivable, net, an increase of $1.0 million in accounts payable, and $0.9 million in other liabilities.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investing activities consist primarily of capital expenditures and investment purchases and maturities. Cash provided by investing activities for the year ended December 31, 2023, was due primarily to capital expenditures of $8.8 million and purchases of investments of $756.6 million offset by maturities of investments of $769.5 million.</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Cash used in investing activities for the year ended December 31, 2022, was due primarily to capital expenditures of $16.8 million and purchases of investments of $442.8 million offset by maturities of investments of $575.8 million.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provided by financing activities during the year ended December 31, 2023, resulted from net proceeds from issuance of common stock under equity offerings of $189.2 million, net proceeds of $15.3 million from the issuance of common stock through our equity compensation plans, partially offset by $86.4 million due to the payment of contingent consideration, $7.4 million due to the payment of debt issuance costs, and $1.8 million due to the payment of notes payable.</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Cash provided by financing activities during the year ended December 31, 2022, resulted from net proceeds of $11.2 million from the issuance of common stock through our equity compensation plans, partially offset by $1.6 million due to the payment of notes payable.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Off-Balance Sheet Arrangements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2023, we did not have any off-balance sheet arrangements.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r>
        <w:rPr>
          <w:rFonts w:ascii="Arial" w:cs="Arial" w:eastAsia="Arial" w:hAnsi="Arial"/>
          <w:sz w:val="14"/>
          <w:szCs w:val="14"/>
          <w:i w:val="1"/>
          <w:iCs w:val="1"/>
          <w:u w:val="single" w:color="auto"/>
          <w:color w:val="0000FF"/>
        </w:rPr>
        <w:t>Legal Proceedings</w:t>
      </w:r>
      <w:r>
        <w:rPr>
          <w:rFonts w:ascii="Arial" w:cs="Arial" w:eastAsia="Arial" w:hAnsi="Arial"/>
          <w:sz w:val="14"/>
          <w:szCs w:val="14"/>
          <w:color w:val="auto"/>
        </w:rPr>
        <w:t xml:space="preserve"> in Part I, Item 3 of this Annual Report on Form 10-K, any associated expenses incurred are included within the related accrued litigation expense amounts. No additional liability associated with such indemnification agreements has been recorded as of December 31, 2023.</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Management’s Discussion and Analysis of Financial Condition and Results of Operations is based upon our Consolidated Financial Statements, which we have prepared in accordance with U.S. GAAP. The preparation of these financial statements requires management to make estimates and assumptions that affect the reported amounts of assets, liabilities, revenue, cost of revenue, and operating expenses, and related disclosure of contingent assets and liabilities. Management based its estimates on historical experience and on various other assumptions that it believes to be reasonable under the circumstances, the results of which form the basis for making judgements about the carrying values of assets and liabilities that are not readily apparent from other sources. Actual results may differ materially from these estimates under different assumptions or conditions.</w:t>
      </w:r>
    </w:p>
    <w:p>
      <w:pPr>
        <w:spacing w:after="0" w:line="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revenue is generated primarily from the sale of products and services. Product revenue primarily consists of sales of our instruments and related consumables; service and other revenue consist primarily of revenue earned from product maintenance agreements.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account for a contract with a customer when there is a legally enforceable contract between us and the customer, the rights of the parties are identified, the contract has commercial substance, and collectability of the contract consideration is probable. Revenues are recognized when control of the promised goods are transferred to our customers, or services are performed, in an amount that reflects the consideration we expect to be entitled to in exchange for those goods or services.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may enter into contracts with customers that include a combination of promised products and services, resulting in arrangements containing multiple performance obligations. We determine whether each product or service is distinct, in order to identify the performance obligations in the contract and allocate the contract transaction price among the distinct performance obligations.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 Therefore, instrument revenue is recognized upon transfer of control of the asset to the customer, which is generally upon delivery for sales made to our non-distributor customers and upon shipment for sales made to our distributor customers.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consideration for contracts with multiple performance obligations is allocated between separate performance obligations based on their individual standalone selling price. We determine the best estimate of standalone selling price using average selling prices over a 12-month period combined with an assessment of current market conditions. If the standalone selling price is not directly observable, we rely on estimates by considering multiple factors including, but not limited to, overall market conditions, including geographic or regional specific factors, internal costs, profit objectives, pricing practices, and other observable inputs. We recognize revenues as performance obligations are satisfied by transferring control of the product or service to the customer or over the term of a product maintenance agreement with a customer. Our revenue arrangements generally do not provide a right of return.</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Certain of our agreements provide options to customers which can be exercised at a future date, such as the option to purchase our product at discounted prices, among others. In accounting for customer options, we determine whether an option is a material right and this requires us to exercise significant judgment. If a contract provides the customer an option to acquire additional goods or services at a discount that exceeds the range of discounts that we typically give for that product or service for the same class of customer, or if the option provides the customer certain additional goods or services for free, the option may be considered a material right. If the contract gives the customer the option to acquire additional goods or services at their normal standalone selling prices, we would likely determine that the option is not a material right and, therefore, account for it when the customer exercises the option. If the standalone selling price of the option is not directly observable, an estimated standalone selling price is utilized which considers adjustments for discounts that the customer could receive without exercising the option and the likelihood that the option will be exercised. We may also utilize the alternative approach to estimate the standalone selling price, available pursuant to the applicable accounting guidance, to the extent we conclude the applicable criteria for using the alternative approach has been met. We update the transaction price for expected consideration, subject to constraint, each reporting period if our estimate of future goods to be ordered by customers change.</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Inventories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Inventories are stated at the lower of cost or net realizable value. Cost is determined using the first-in, first-out (“FIFO”) method. Adjustments to reduce the cost of inventory to its net realizable value, if required, are made for estimated excess or obsolete balances. Cost includes depreciation, labor, material, and overhead costs, including product and process technology costs. Determining net realizable value of inventories involves numerous judgements, including projecting future average selling prices, sales volumes, and costs to complete products in work in process inventories.</w:t>
      </w:r>
    </w:p>
    <w:p>
      <w:pPr>
        <w:spacing w:after="0" w:line="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make inventory purchases and commitments to meet future shipment schedules based on forecasted demand for our products. The business environment in which we operate is subject to rapid changes in technology and customer demand. We perform a detailed assessment of inventory each period, which includes a review of, among other factors, demand requirements, product life cycle and development plans, component cost trends, product pricing, product expiration, and quality issues. Based on our analysis, we record adjustments to inventory for potentially excess, obsolete, or impaired goods, when appropriate, to report inventory at net realizable value. Inventory adjustments may be required if actual demand, component costs, supplier arrangements, or product life cycles differ from our estimates. Any such adjustments would result in a charge to our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Under the acquisition method of accounting, we allocate the fair value of the total consideration transferred to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These valuations require us to make estimates and assumptions, especially with respect to intangible assets. We record the excess consideration over the aggregate fair value of tangible and intangible assets, net of liabilities assumed, as goodwill. Costs that we incur to complete the business combination, such as legal and other professional fees, are expensed as they are incurred.</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connection with certain acquisitions, contingent consideration can be earned by the sellers upon completion of certain future performance milestones. In these cases, a liability is recorded on the acquisition date for an estimate of the acquisition date fair value of the contingent consideration. Changes in the fair value of contingent consideration subsequent to the acquisition date are recognized in operating expenses in our consolidated statements of operations and comprehensive loss.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typically use the discounted cash flow method to value our acquired intangible assets. This method requires significant management judgment to forecast future operating results and utilizes significant assumptions such as assumed revenue projections, discount rates and obsolescence factors. The estimates we use to value and amortize intangible assets are consistent with the plans and estimates that we use to manage our business and are based on available historical information and industry estimates and averages. If the subsequent actual results and updated projections of the underlying business activity change compared with the assumptions and projections used to develop these values, we could experience impairment charges. In addition, we have estimated the economic lives of certain acquired assets and these lives are used to calculate depreciation and amortization expense. If our estimates of the economic lives change, depreciation or amortization expense could be accelerated or extended. We capitalize in-process research and development (IPR&amp;D), which is considered indefinite lived until the completion or abandonment of the associated research and development efforts. Upon reaching the end of the relevant research and development project (i.e., upon commercialization), the IPR&amp;D asset is amortized over its estimated useful life. If the relevant research and development project is abandoned, the IPR&amp;D asset is expensed in the period of abandonment.</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the initial accounting for a business combination is incomplete by the end of a reporting period that falls within the measurement period, we report provisional amounts in our financial statements. During the measurement period, we adjust the provisional amounts recognized at the acquisition date to reflect new information obtained about facts and circumstances that existed as of the acquisition date that, if known, would have affected the measurement of the amounts recognized as of that date. We record these adjustments to the provisional amounts with a corresponding offset to goodwill. Any adjustments identified after the measurement period are recorded in the consolidated statements of operations and comprehensive loss.</w:t>
      </w:r>
    </w:p>
    <w:p>
      <w:pPr>
        <w:spacing w:after="0" w:line="55" w:lineRule="exact"/>
        <w:rPr>
          <w:sz w:val="20"/>
          <w:szCs w:val="20"/>
          <w:color w:val="auto"/>
        </w:rPr>
      </w:pPr>
    </w:p>
    <w:p>
      <w:pPr>
        <w:ind w:right="1680"/>
        <w:spacing w:after="0" w:line="379" w:lineRule="auto"/>
        <w:rPr>
          <w:sz w:val="20"/>
          <w:szCs w:val="20"/>
          <w:color w:val="auto"/>
        </w:rPr>
      </w:pPr>
      <w:r>
        <w:rPr>
          <w:rFonts w:ascii="Arial" w:cs="Arial" w:eastAsia="Arial" w:hAnsi="Arial"/>
          <w:sz w:val="14"/>
          <w:szCs w:val="14"/>
          <w:color w:val="auto"/>
        </w:rPr>
        <w:t xml:space="preserve">We acquired $55.0 million of IPR&amp;D, and $52.3 million of goodwill in connection with the acquisition of Apton Biosystems, Inc. in the third quarter of 2023. </w:t>
      </w:r>
      <w:r>
        <w:rPr>
          <w:rFonts w:ascii="Arial" w:cs="Arial" w:eastAsia="Arial" w:hAnsi="Arial"/>
          <w:sz w:val="14"/>
          <w:szCs w:val="14"/>
          <w:b w:val="1"/>
          <w:bCs w:val="1"/>
          <w:i w:val="1"/>
          <w:iCs w:val="1"/>
          <w:color w:val="auto"/>
        </w:rPr>
        <w:t>Goodwill and Intangible Assets with Indefinite Lives — Impairment Assessment</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Goodwill and other intangible assets with indefinite useful lives (i.e., IPR&amp;D) are not amortized, however they are tested annually for impairment, in the second and fourth quarter of our fiscal year, respectively, and whenever events or changes in circumstances indicate that it is more likely than not that the fair value is less than the carrying value. Events that would indicate impairment and trigger an interim impairment test include, but are not limited to, unexpected adverse business conditions, economic factors, unanticipated technological changes or competitive activities, loss of key personnel and acts by governments or courts.</w:t>
      </w: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perform our goodwill impairment analysis at the reporting unit level. We have one reporting unit, which aligns with our reporting structure and availability of discrete financial information. During the goodwill impairment review, we assess qualitative factors to determine whether it is more likely than not that the fair value of our reporting unit is less than the carrying amount, including goodwill. The qualitative factors include, but are not limited to, macroeconomic conditions, industry and market considerations, and our overall financial performance. If, after assessing the totality of these qualitative factors, we determine that it is not more likely than not that the fair value of our reporting unit is less than the carrying amount, then no additional assessment is deemed necessary. Otherwise, we proceed to compare the estimated fair value of the reporting unit with the carrying value, including goodwill. If the carrying amount of the reporting unit exceeds the fair value, we record an impairment loss based on the difference. If a quantitative assessment is performed, the evaluation includes management estimates of cash flow projections based on internal future projections and/or use of a market approach by looking at market values of comparable companies. Key assumptions include, but are not limited to, revenue and operating income growth rates, discount rates and other factors. We consider peer revenues and earnings trading multiples from companies that have operational and financial characteristics that are similar to the asset under measurement and estimated weighted-average costs of capital. Different assumptions from those made in our analysis could materially affect projected cash flows and the evaluation of assets for impairment. We also consider our market capitalization as a part of our analysis. We may elect to bypass the qualitative assessment in a period and proceed to perform the quantitative goodwill impairment test.</w:t>
      </w: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the IPR&amp;D impairment review, we assess qualitative factors to determine whether it is more likely than not that the fair value of the IPR&amp;D is less than the carrying amount. The qualitative factors include, but are not limited to, macroeconomic conditions, industry-specific conditions, and company-specific conditions. If, after assessing the totality of these qualitative factors, we determine that it is not more likely than not that the fair value of the IPR&amp;D is less than the carrying amount, then no additional assessment is deemed necessary. Otherwise, we proceed to compare the estimated fair value of the IPR&amp;D with the carrying value. If the carrying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amount of the IPR&amp;D exceeds the fair value, we record an impairment loss based on the difference. If a quantitative assessment is performed, the evaluation includes management estimates of cash flow projections based on internal future projections. Key assumptions include, but are not limited to, revenue projections, revenue growth rates, discount rates and other factors. We consider peer revenues and earnings trading multiples from companies that have operational and financial characteristics that are similar to the asset under measurement and estimated weighted-average costs of capital. Different assumptions from those made in our analysis could materially affect projected cash flows and the evaluation of assets for impairment. We may elect to bypass the qualitative assessment in a period and proceed to perform the quantitative impairment test.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 and Other Long-Lived Assets — Impairment Assessment</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perform regular reviews to determine if any event has occurred that may indicate that the carrying values of our intangible assets with finite lives and other long-lived assets are impaired. If indicators of impairment exist, we assess the recoverability of the affected assets by determining whether their carrying amounts exceed their undiscounted expected future cash flows. If the affected assets are not recoverable, we estimate the fair value of the assets and record an impairment loss if the carrying value exceeds the fair value. Factors that may indicate potential impairment include a significant decline in our stock price and market capitalization compared to net book value, significant changes in the ability of an asset to generate positive cash flows and the pattern of utilization of a particular asset.</w:t>
      </w:r>
    </w:p>
    <w:p>
      <w:pPr>
        <w:spacing w:after="0" w:line="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order to estimate the fair values of identifiable intangible assets with finite lives and other long-lived assets, we estimate the present value of future cash flows from those assets. The key assumptions that we use in our discounted cash flow model are the amount and timing of estimated future cash flows to be generated by the asset over an extended period of time and a rate of return that considers the relative risk of achieving the cash flows, the time value of money, and other factors that a willing market participant would consider. Significant judgment is required to estimate the amount and timing of future cash flows and the relative risk of achieving those cash flows.</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Assumptions and estimates about future values and remaining useful lives are complex and often subjective. They can be affected by a variety of factors, including external factors such as industry and economic trends, and internal factors such as changes in our business strategy and our internal forecasts.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Contingent Consideration</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connection with the acquisition of Omniome in the third quarter of 2021, we entered into an arrangement where we were obligated to pay $200 million in cash and equity dependent upon the achievement of a milestone event upon the first commercial shipment of products developed from our acquired sequencing technology. In the third quarter of 2023, we commenced customer shipments of the Onso short-read sequencing instrument. The milestone payment associated with PacBio’s acquisition of Omniome was triggered in September 2023 once both the Onso instrument and related consumables had been shipped to one customer. Consequently, we paid the former Omniome security holders milestone consideration of an aggregate of approximately $100.9 million in cash and approximately 9.0 million shares of our common stock in October 2023.</w:t>
      </w:r>
    </w:p>
    <w:p>
      <w:pPr>
        <w:spacing w:after="0" w:line="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In connection with the acquisition of Apton, we entered into an arrangement where we are obligated to pay former holders of Apton's outstanding equity interests $25.0 million upon the achievement of $50 million in revenue associated with a high throughput sequencer using Apton's technology, provided that the milestone event occurs prior to the 5-year anniversary of the closing date of the acquisition, which we may elect to pay in cash, shares of our common stock or a combination of cash and shares of our common stock. See </w:t>
      </w:r>
      <w:r>
        <w:rPr>
          <w:rFonts w:ascii="Arial" w:cs="Arial" w:eastAsia="Arial" w:hAnsi="Arial"/>
          <w:sz w:val="14"/>
          <w:szCs w:val="14"/>
          <w:i w:val="1"/>
          <w:iCs w:val="1"/>
          <w:u w:val="single" w:color="auto"/>
          <w:color w:val="0000FF"/>
        </w:rPr>
        <w:t>Note 2. Business Acquisitions</w:t>
      </w:r>
      <w:r>
        <w:rPr>
          <w:rFonts w:ascii="Arial" w:cs="Arial" w:eastAsia="Arial" w:hAnsi="Arial"/>
          <w:sz w:val="14"/>
          <w:szCs w:val="14"/>
          <w:i w:val="1"/>
          <w:iCs w:val="1"/>
          <w:color w:val="0000FF"/>
        </w:rPr>
        <w:t xml:space="preserve"> </w:t>
      </w:r>
      <w:r>
        <w:rPr>
          <w:rFonts w:ascii="Arial" w:cs="Arial" w:eastAsia="Arial" w:hAnsi="Arial"/>
          <w:sz w:val="14"/>
          <w:szCs w:val="14"/>
          <w:color w:val="000000"/>
        </w:rPr>
        <w:t>for further information.</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contingent consideration liability was measured at fair value as of the acquisition date and is remeasured periodically at each reporting date, with changes in fair value recorded as change in fair value of contingent consideration in the consolidated statements of operations and comprehensive loss. For the Omniome contingent consideration, the initial measurement and post-acquisition remeasurement required estimates and assumptions using a scenario-based method that considers a range of potential outcomes of milestone achievement dates and assigned probabilities of occurrence for each outcome. Outcomes were discounted to present value, which was then weighted by the probability of each scenario to determine the total fair value of the contingent consideration payment as of each reporting period. This method requires significant management judgment, including the probability of achieving certain future milestones and discount rates. For the Apton contingent consideration, the initial measurement and post-acquisition remeasurement required estimates and assumptions using a Monte Carlo Simulation to estimate the volatility and systematic relative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risk of revenues subject to sales milestone payments and discounting the associated cash payment amounts to their present values using a credit-risk-adjusted interest rate to determine the total fair value of the contingent consideration payment as of each reporting period. This method requires significant management judgment, including risk-adjusted forecasted revenues for products and services leveraging Apton's technology and an estimated credit spread. Future changes in our estimates could result in expenses or gains. Refer to </w:t>
      </w:r>
      <w:r>
        <w:rPr>
          <w:rFonts w:ascii="Arial" w:cs="Arial" w:eastAsia="Arial" w:hAnsi="Arial"/>
          <w:sz w:val="14"/>
          <w:szCs w:val="14"/>
          <w:i w:val="1"/>
          <w:iCs w:val="1"/>
          <w:u w:val="single" w:color="auto"/>
          <w:color w:val="0000FF"/>
        </w:rPr>
        <w:t>Note 5. Financial Instruments</w:t>
      </w:r>
      <w:r>
        <w:rPr>
          <w:rFonts w:ascii="Arial" w:cs="Arial" w:eastAsia="Arial" w:hAnsi="Arial"/>
          <w:sz w:val="14"/>
          <w:szCs w:val="14"/>
          <w:color w:val="auto"/>
        </w:rPr>
        <w:t xml:space="preserve"> for further discussion on valuation assumptions.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Please see </w:t>
      </w:r>
      <w:r>
        <w:rPr>
          <w:rFonts w:ascii="Arial" w:cs="Arial" w:eastAsia="Arial" w:hAnsi="Arial"/>
          <w:sz w:val="14"/>
          <w:szCs w:val="14"/>
          <w:i w:val="1"/>
          <w:iCs w:val="1"/>
          <w:u w:val="single" w:color="auto"/>
          <w:color w:val="0000FF"/>
        </w:rPr>
        <w:t>Note 1. Organization and Significant Accounting Policies</w:t>
      </w:r>
      <w:r>
        <w:rPr>
          <w:rFonts w:ascii="Arial" w:cs="Arial" w:eastAsia="Arial" w:hAnsi="Arial"/>
          <w:sz w:val="14"/>
          <w:szCs w:val="14"/>
          <w:color w:val="auto"/>
        </w:rPr>
        <w:t>, subsection titled “Recent Accounting Pronouncements”, in Part II, Item 8 of this Annual Report on Form 10-K for information regarding applicable recent accounting pronouncements.</w:t>
      </w:r>
    </w:p>
    <w:p>
      <w:pPr>
        <w:spacing w:after="0" w:line="35" w:lineRule="exact"/>
        <w:rPr>
          <w:sz w:val="20"/>
          <w:szCs w:val="20"/>
          <w:color w:val="auto"/>
        </w:rPr>
      </w:pPr>
    </w:p>
    <w:p>
      <w:pPr>
        <w:ind w:right="5560"/>
        <w:spacing w:after="0" w:line="379" w:lineRule="auto"/>
        <w:rPr>
          <w:sz w:val="20"/>
          <w:szCs w:val="20"/>
          <w:color w:val="auto"/>
        </w:rPr>
      </w:pPr>
      <w:r>
        <w:rPr>
          <w:rFonts w:ascii="Arial" w:cs="Arial" w:eastAsia="Arial" w:hAnsi="Arial"/>
          <w:sz w:val="14"/>
          <w:szCs w:val="14"/>
          <w:b w:val="1"/>
          <w:bCs w:val="1"/>
          <w:color w:val="auto"/>
        </w:rPr>
        <w:t>ITEM 7A. QUANTITATIVE AND QUALITATIVE DISCLOSURES ABOUT MARKET RISK Interest Rate and Market Risk</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investment portfolio is exposed to market risk from changes in interest rates. The goals of our investment policy are preservation of capital, fulfillment of liquidity needs and fiduciary control of cash and cash equivalents and investments. 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 for sale and are, due to their short-term nature, subject to minimal interest rate risk.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on December 31, 2023 would have affected the fair value of our investment portfolio by approximately $2.7 million.</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The 2030 Notes were recorded at fair value as of the closing date of the Exchange Transaction, less debt issuance costs, on our consolidated balance sheets. We carry our remaining 2028 Notes at the principal amount, less unamortized debt issuance costs, on our consolidated balance sheets. Because the 2030 Notes and 2028 Notes have fixed annual interest rates of 1.375% and 1.50%, respectively, we do not have any economic interest rate exposure or financial statement risk associated with changes in interest rates. The fair value of the notes, however, may fluctuate when interest rates and the market price of our stock changes. See </w:t>
      </w:r>
      <w:r>
        <w:rPr>
          <w:rFonts w:ascii="Arial" w:cs="Arial" w:eastAsia="Arial" w:hAnsi="Arial"/>
          <w:sz w:val="14"/>
          <w:szCs w:val="14"/>
          <w:i w:val="1"/>
          <w:iCs w:val="1"/>
          <w:u w:val="single" w:color="auto"/>
          <w:color w:val="0000FF"/>
        </w:rPr>
        <w:t>Note 7. Convertible Senior Notes</w:t>
      </w:r>
      <w:r>
        <w:rPr>
          <w:rFonts w:ascii="Arial" w:cs="Arial" w:eastAsia="Arial" w:hAnsi="Arial"/>
          <w:sz w:val="14"/>
          <w:szCs w:val="14"/>
          <w:color w:val="auto"/>
        </w:rPr>
        <w:t xml:space="preserve"> in Part II, Item 8 of this Annual Form 10-K for additional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Exchange Risk</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revenue, expense, and capital purchasing activities are primarily transacted in U.S. dollars; however, a portion of our operations is conducted in foreign currencies. As a result, we have foreign exchange exposures relating to non-U.S. dollar denominated cash flows and monetary assets and liabilities that are denominated in currencies other than U.S. dollars. The value of the amounts is exposed to changes in currency exchange rates from the time the transactions are originated, until the time the cash settlement is converted into U.S. dollars. Our foreign currency exposure is primarily concentrated in the Euro. A 10% strengthening of the U.S. dollar exchange rate against all currencies with which we have exposure, after taking into account offsetting positions at December 31, 2023 would have resulted in a $0.9 million decrease in the carrying amounts of those net assets. Actual gains and losses in the future may differ materially from these hypothetical gains and losses based on changes in the timing and amount of foreign currency exchange rate movements and our actual exposure. Our international operations are subject to risks typical of international operations, including, but not limited to, differing economic conditions, changes in political climate, differing tax structures, other regulations and restrictions, and foreign exchange rate volatility.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10140" w:type="dxa"/>
            <w:vAlign w:val="bottom"/>
            <w:gridSpan w:val="9"/>
          </w:tcPr>
          <w:p>
            <w:pPr>
              <w:spacing w:after="0"/>
              <w:rPr>
                <w:sz w:val="20"/>
                <w:szCs w:val="20"/>
                <w:color w:val="auto"/>
              </w:rPr>
            </w:pPr>
            <w:r>
              <w:rPr>
                <w:rFonts w:ascii="Arial" w:cs="Arial" w:eastAsia="Arial" w:hAnsi="Arial"/>
                <w:sz w:val="14"/>
                <w:szCs w:val="14"/>
                <w:color w:val="0000FF"/>
              </w:rPr>
              <w:t>Table of Contents</w:t>
            </w:r>
          </w:p>
        </w:tc>
        <w:tc>
          <w:tcPr>
            <w:tcW w:w="1140" w:type="dxa"/>
            <w:vAlign w:val="bottom"/>
          </w:tcPr>
          <w:p>
            <w:pPr>
              <w:spacing w:after="0"/>
              <w:rPr>
                <w:sz w:val="14"/>
                <w:szCs w:val="14"/>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743"/>
        </w:trPr>
        <w:tc>
          <w:tcPr>
            <w:tcW w:w="10140" w:type="dxa"/>
            <w:vAlign w:val="bottom"/>
            <w:gridSpan w:val="9"/>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11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6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rPr>
              <w:t>PACIFIC BIOSCIENCES OF CALIFORNIA, INC.</w:t>
            </w:r>
          </w:p>
        </w:tc>
        <w:tc>
          <w:tcPr>
            <w:tcW w:w="1140" w:type="dxa"/>
            <w:vAlign w:val="bottom"/>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20" w:type="dxa"/>
            <w:vAlign w:val="bottom"/>
            <w:gridSpan w:val="2"/>
          </w:tcPr>
          <w:p>
            <w:pPr>
              <w:jc w:val="center"/>
              <w:ind w:right="2980"/>
              <w:spacing w:after="0"/>
              <w:rPr>
                <w:sz w:val="20"/>
                <w:szCs w:val="20"/>
                <w:color w:val="auto"/>
              </w:rPr>
            </w:pPr>
            <w:r>
              <w:rPr>
                <w:rFonts w:ascii="Arial" w:cs="Arial" w:eastAsia="Arial" w:hAnsi="Arial"/>
                <w:sz w:val="14"/>
                <w:szCs w:val="14"/>
                <w:b w:val="1"/>
                <w:bCs w:val="1"/>
                <w:color w:val="auto"/>
              </w:rPr>
              <w:t>Index to Consolidated Financial Statements</w:t>
            </w:r>
          </w:p>
        </w:tc>
        <w:tc>
          <w:tcPr>
            <w:tcW w:w="1140" w:type="dxa"/>
            <w:vAlign w:val="bottom"/>
          </w:tcPr>
          <w:p>
            <w:pPr>
              <w:spacing w:after="0"/>
              <w:rPr>
                <w:sz w:val="16"/>
                <w:szCs w:val="16"/>
                <w:color w:val="auto"/>
              </w:rPr>
            </w:pPr>
          </w:p>
        </w:tc>
      </w:tr>
      <w:tr>
        <w:trPr>
          <w:trHeight w:val="27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Page(s)</w:t>
            </w:r>
          </w:p>
        </w:tc>
      </w:tr>
      <w:tr>
        <w:trPr>
          <w:trHeight w:val="341"/>
        </w:trPr>
        <w:tc>
          <w:tcPr>
            <w:tcW w:w="2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Arial" w:cs="Arial" w:eastAsia="Arial" w:hAnsi="Arial"/>
                <w:sz w:val="14"/>
                <w:szCs w:val="14"/>
                <w:color w:val="0000FF"/>
              </w:rPr>
              <w:t xml:space="preserve">Report of Independent Registered Public Accounting Firm (PCAOB ID: </w:t>
            </w:r>
            <w:r>
              <w:rPr>
                <w:rFonts w:ascii="Arial" w:cs="Arial" w:eastAsia="Arial" w:hAnsi="Arial"/>
                <w:sz w:val="14"/>
                <w:szCs w:val="14"/>
                <w:color w:val="000000"/>
              </w:rPr>
              <w:t>42</w:t>
            </w:r>
            <w:r>
              <w:rPr>
                <w:rFonts w:ascii="Arial" w:cs="Arial" w:eastAsia="Arial" w:hAnsi="Arial"/>
                <w:sz w:val="14"/>
                <w:szCs w:val="14"/>
                <w:u w:val="single" w:color="auto"/>
                <w:color w:val="0000FF"/>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71</w:t>
            </w:r>
          </w:p>
        </w:tc>
      </w:tr>
      <w:tr>
        <w:trPr>
          <w:trHeight w:val="244"/>
        </w:trPr>
        <w:tc>
          <w:tcPr>
            <w:tcW w:w="20" w:type="dxa"/>
            <w:vAlign w:val="bottom"/>
          </w:tcPr>
          <w:p>
            <w:pPr>
              <w:spacing w:after="0"/>
              <w:rPr>
                <w:sz w:val="21"/>
                <w:szCs w:val="21"/>
                <w:color w:val="auto"/>
              </w:rPr>
            </w:pPr>
          </w:p>
        </w:tc>
        <w:tc>
          <w:tcPr>
            <w:tcW w:w="4460" w:type="dxa"/>
            <w:vAlign w:val="bottom"/>
            <w:tcBorders>
              <w:top w:val="single" w:sz="8" w:color="0000FF"/>
            </w:tcBorders>
            <w:gridSpan w:val="7"/>
          </w:tcPr>
          <w:p>
            <w:pPr>
              <w:spacing w:after="0"/>
              <w:rPr>
                <w:sz w:val="20"/>
                <w:szCs w:val="20"/>
                <w:color w:val="auto"/>
              </w:rPr>
            </w:pPr>
            <w:r>
              <w:rPr>
                <w:rFonts w:ascii="Arial" w:cs="Arial" w:eastAsia="Arial" w:hAnsi="Arial"/>
                <w:sz w:val="14"/>
                <w:szCs w:val="14"/>
                <w:b w:val="1"/>
                <w:bCs w:val="1"/>
                <w:color w:val="auto"/>
              </w:rPr>
              <w:t>Consolidated Financial Statements</w:t>
            </w:r>
          </w:p>
        </w:tc>
        <w:tc>
          <w:tcPr>
            <w:tcW w:w="56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81"/>
        </w:trPr>
        <w:tc>
          <w:tcPr>
            <w:tcW w:w="20" w:type="dxa"/>
            <w:vAlign w:val="bottom"/>
          </w:tcPr>
          <w:p>
            <w:pPr>
              <w:spacing w:after="0"/>
              <w:rPr>
                <w:sz w:val="15"/>
                <w:szCs w:val="15"/>
                <w:color w:val="auto"/>
              </w:rPr>
            </w:pPr>
          </w:p>
        </w:tc>
        <w:tc>
          <w:tcPr>
            <w:tcW w:w="186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Consolidated Balance Sheets</w:t>
            </w:r>
          </w:p>
        </w:tc>
        <w:tc>
          <w:tcPr>
            <w:tcW w:w="8260" w:type="dxa"/>
            <w:vAlign w:val="bottom"/>
            <w:gridSpan w:val="6"/>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74</w:t>
            </w:r>
          </w:p>
        </w:tc>
      </w:tr>
      <w:tr>
        <w:trPr>
          <w:trHeight w:val="203"/>
        </w:trPr>
        <w:tc>
          <w:tcPr>
            <w:tcW w:w="20" w:type="dxa"/>
            <w:vAlign w:val="bottom"/>
          </w:tcPr>
          <w:p>
            <w:pPr>
              <w:spacing w:after="0"/>
              <w:rPr>
                <w:sz w:val="17"/>
                <w:szCs w:val="17"/>
                <w:color w:val="auto"/>
              </w:rPr>
            </w:pPr>
          </w:p>
        </w:tc>
        <w:tc>
          <w:tcPr>
            <w:tcW w:w="10120" w:type="dxa"/>
            <w:vAlign w:val="bottom"/>
            <w:gridSpan w:val="8"/>
          </w:tcPr>
          <w:p>
            <w:pPr>
              <w:spacing w:after="0"/>
              <w:rPr>
                <w:sz w:val="20"/>
                <w:szCs w:val="20"/>
                <w:color w:val="auto"/>
              </w:rPr>
            </w:pPr>
            <w:r>
              <w:rPr>
                <w:rFonts w:ascii="Arial" w:cs="Arial" w:eastAsia="Arial" w:hAnsi="Arial"/>
                <w:sz w:val="14"/>
                <w:szCs w:val="14"/>
                <w:color w:val="0000FF"/>
              </w:rPr>
              <w:t>Consolidated Statements of Operations and Comprehensive Loss</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75</w:t>
            </w:r>
          </w:p>
        </w:tc>
      </w:tr>
      <w:tr>
        <w:trPr>
          <w:trHeight w:val="203"/>
        </w:trPr>
        <w:tc>
          <w:tcPr>
            <w:tcW w:w="20" w:type="dxa"/>
            <w:vAlign w:val="bottom"/>
          </w:tcPr>
          <w:p>
            <w:pPr>
              <w:spacing w:after="0"/>
              <w:rPr>
                <w:sz w:val="17"/>
                <w:szCs w:val="17"/>
                <w:color w:val="auto"/>
              </w:rPr>
            </w:pPr>
          </w:p>
        </w:tc>
        <w:tc>
          <w:tcPr>
            <w:tcW w:w="30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4"/>
                <w:szCs w:val="14"/>
                <w:color w:val="0000FF"/>
              </w:rPr>
              <w:t>Consolidated Statements of Stockholders’ Equity</w:t>
            </w:r>
          </w:p>
        </w:tc>
        <w:tc>
          <w:tcPr>
            <w:tcW w:w="1040" w:type="dxa"/>
            <w:vAlign w:val="bottom"/>
            <w:tcBorders>
              <w:top w:val="single" w:sz="8" w:color="0000FF"/>
            </w:tcBorders>
          </w:tcPr>
          <w:p>
            <w:pPr>
              <w:spacing w:after="0"/>
              <w:rPr>
                <w:sz w:val="17"/>
                <w:szCs w:val="17"/>
                <w:color w:val="auto"/>
              </w:rPr>
            </w:pPr>
          </w:p>
        </w:tc>
        <w:tc>
          <w:tcPr>
            <w:tcW w:w="6020" w:type="dxa"/>
            <w:vAlign w:val="bottom"/>
            <w:gridSpan w:val="2"/>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76</w:t>
            </w:r>
          </w:p>
        </w:tc>
      </w:tr>
      <w:tr>
        <w:trPr>
          <w:trHeight w:val="203"/>
        </w:trPr>
        <w:tc>
          <w:tcPr>
            <w:tcW w:w="20" w:type="dxa"/>
            <w:vAlign w:val="bottom"/>
          </w:tcPr>
          <w:p>
            <w:pPr>
              <w:spacing w:after="0"/>
              <w:rPr>
                <w:sz w:val="17"/>
                <w:szCs w:val="17"/>
                <w:color w:val="auto"/>
              </w:rPr>
            </w:pPr>
          </w:p>
        </w:tc>
        <w:tc>
          <w:tcPr>
            <w:tcW w:w="252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rPr>
              <w:t>Consolidated Statements of Cash Flows</w:t>
            </w:r>
          </w:p>
        </w:tc>
        <w:tc>
          <w:tcPr>
            <w:tcW w:w="7600" w:type="dxa"/>
            <w:vAlign w:val="bottom"/>
            <w:gridSpan w:val="5"/>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77</w:t>
            </w:r>
          </w:p>
        </w:tc>
      </w:tr>
      <w:tr>
        <w:trPr>
          <w:trHeight w:val="203"/>
        </w:trPr>
        <w:tc>
          <w:tcPr>
            <w:tcW w:w="20" w:type="dxa"/>
            <w:vAlign w:val="bottom"/>
          </w:tcPr>
          <w:p>
            <w:pPr>
              <w:spacing w:after="0"/>
              <w:rPr>
                <w:sz w:val="17"/>
                <w:szCs w:val="17"/>
                <w:color w:val="auto"/>
              </w:rPr>
            </w:pPr>
          </w:p>
        </w:tc>
        <w:tc>
          <w:tcPr>
            <w:tcW w:w="276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rPr>
              <w:t>Notes to Consolidated Financial Statements</w:t>
            </w:r>
          </w:p>
        </w:tc>
        <w:tc>
          <w:tcPr>
            <w:tcW w:w="7360" w:type="dxa"/>
            <w:vAlign w:val="bottom"/>
            <w:gridSpan w:val="4"/>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78</w:t>
            </w:r>
          </w:p>
        </w:tc>
      </w:tr>
      <w:tr>
        <w:trPr>
          <w:trHeight w:val="724"/>
        </w:trPr>
        <w:tc>
          <w:tcPr>
            <w:tcW w:w="10140" w:type="dxa"/>
            <w:vAlign w:val="bottom"/>
            <w:gridSpan w:val="9"/>
          </w:tcPr>
          <w:p>
            <w:pPr>
              <w:jc w:val="center"/>
              <w:ind w:left="1069"/>
              <w:spacing w:after="0"/>
              <w:rPr>
                <w:sz w:val="20"/>
                <w:szCs w:val="20"/>
                <w:color w:val="auto"/>
              </w:rPr>
            </w:pPr>
            <w:r>
              <w:rPr>
                <w:rFonts w:ascii="Arial" w:cs="Arial" w:eastAsia="Arial" w:hAnsi="Arial"/>
                <w:sz w:val="14"/>
                <w:szCs w:val="14"/>
                <w:color w:val="auto"/>
              </w:rPr>
              <w:t>70</w:t>
            </w:r>
          </w:p>
        </w:tc>
        <w:tc>
          <w:tcPr>
            <w:tcW w:w="1140" w:type="dxa"/>
            <w:vAlign w:val="bottom"/>
          </w:tcPr>
          <w:p>
            <w:pPr>
              <w:spacing w:after="0"/>
              <w:rPr>
                <w:sz w:val="24"/>
                <w:szCs w:val="24"/>
                <w:color w:val="auto"/>
              </w:rPr>
            </w:pPr>
          </w:p>
        </w:tc>
      </w:tr>
      <w:tr>
        <w:trPr>
          <w:trHeight w:val="85"/>
        </w:trPr>
        <w:tc>
          <w:tcPr>
            <w:tcW w:w="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6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3680" w:firstLine="3687"/>
        <w:spacing w:after="0" w:line="379" w:lineRule="auto"/>
        <w:rPr>
          <w:sz w:val="20"/>
          <w:szCs w:val="20"/>
          <w:color w:val="auto"/>
        </w:rPr>
      </w:pPr>
      <w:r>
        <w:rPr>
          <w:rFonts w:ascii="Arial" w:cs="Arial" w:eastAsia="Arial" w:hAnsi="Arial"/>
          <w:sz w:val="14"/>
          <w:szCs w:val="14"/>
          <w:b w:val="1"/>
          <w:bCs w:val="1"/>
          <w:color w:val="auto"/>
        </w:rPr>
        <w:t xml:space="preserve">Report of Independent Registered Public Accounting Firm </w:t>
      </w:r>
      <w:r>
        <w:rPr>
          <w:rFonts w:ascii="Arial" w:cs="Arial" w:eastAsia="Arial" w:hAnsi="Arial"/>
          <w:sz w:val="14"/>
          <w:szCs w:val="14"/>
          <w:color w:val="auto"/>
        </w:rPr>
        <w:t xml:space="preserve">To the Stockholders and the Board of Directors of Pacific Biosciences of California, Inc. </w:t>
      </w:r>
      <w:r>
        <w:rPr>
          <w:rFonts w:ascii="Arial" w:cs="Arial" w:eastAsia="Arial" w:hAnsi="Arial"/>
          <w:sz w:val="14"/>
          <w:szCs w:val="14"/>
          <w:b w:val="1"/>
          <w:bCs w:val="1"/>
          <w:color w:val="auto"/>
        </w:rPr>
        <w:t>Opinion on the Financial Statements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audited the accompanying consolidated balance sheets of Pacific Biosciences of California, Inc. (the Company) as of December 31, 2023 and 2022, the related consolidated statements of operations and comprehensive loss</w:t>
      </w:r>
      <w:r>
        <w:rPr>
          <w:rFonts w:ascii="Arial" w:cs="Arial" w:eastAsia="Arial" w:hAnsi="Arial"/>
          <w:sz w:val="14"/>
          <w:szCs w:val="14"/>
          <w:b w:val="1"/>
          <w:bCs w:val="1"/>
          <w:color w:val="auto"/>
        </w:rPr>
        <w:t>,</w:t>
      </w:r>
      <w:r>
        <w:rPr>
          <w:rFonts w:ascii="Arial" w:cs="Arial" w:eastAsia="Arial" w:hAnsi="Arial"/>
          <w:sz w:val="14"/>
          <w:szCs w:val="14"/>
          <w:color w:val="auto"/>
        </w:rPr>
        <w:t xml:space="preserve">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28, 2024, expressed an unqualified opinion thereon.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 - Identification of performance obligations and allocation of contract consideration</w:t>
      </w:r>
    </w:p>
    <w:p>
      <w:pPr>
        <w:spacing w:after="0" w:line="157" w:lineRule="exact"/>
        <w:rPr>
          <w:sz w:val="20"/>
          <w:szCs w:val="20"/>
          <w:color w:val="auto"/>
        </w:rPr>
      </w:pPr>
    </w:p>
    <w:p>
      <w:pPr>
        <w:jc w:val="both"/>
        <w:ind w:right="579"/>
        <w:spacing w:after="0" w:line="258" w:lineRule="auto"/>
        <w:rPr>
          <w:sz w:val="20"/>
          <w:szCs w:val="20"/>
          <w:color w:val="auto"/>
        </w:rPr>
      </w:pPr>
      <w:r>
        <w:rPr>
          <w:rFonts w:ascii="Arial" w:cs="Arial" w:eastAsia="Arial" w:hAnsi="Arial"/>
          <w:sz w:val="14"/>
          <w:szCs w:val="14"/>
          <w:color w:val="auto"/>
        </w:rPr>
        <w:t>For the year ended December 31, 2023, the Company recognized revenue of $200.5 million, including $183.9 million of product revenue, which consists primarily of instrument sales and related consumables. As described in Note 1 to the consolidated financial statements, the Company may enter into contracts with customers that includes a combination of promised products and services, resulting in arrangements containing multiple performance obligations. The Company identifies a performance obligation for each promise to transfer to the customer, a product or service that is distinct. The consideration is allocated between each performance obligation based on its individual standalone selling price, which is estimated by the Company, using historical sales data, as well as management judgment.</w:t>
      </w:r>
    </w:p>
    <w:p>
      <w:pPr>
        <w:spacing w:after="0" w:line="334" w:lineRule="exact"/>
        <w:rPr>
          <w:sz w:val="20"/>
          <w:szCs w:val="20"/>
          <w:color w:val="auto"/>
        </w:rPr>
      </w:pPr>
    </w:p>
    <w:p>
      <w:pPr>
        <w:jc w:val="both"/>
        <w:ind w:right="579"/>
        <w:spacing w:after="0" w:line="259" w:lineRule="auto"/>
        <w:rPr>
          <w:sz w:val="20"/>
          <w:szCs w:val="20"/>
          <w:color w:val="auto"/>
        </w:rPr>
      </w:pPr>
      <w:r>
        <w:rPr>
          <w:rFonts w:ascii="Arial" w:cs="Arial" w:eastAsia="Arial" w:hAnsi="Arial"/>
          <w:sz w:val="14"/>
          <w:szCs w:val="14"/>
          <w:color w:val="auto"/>
        </w:rPr>
        <w:t>The Company enters into, or periodically modifies, revenue contracts with non-standard terms, requiring management to evaluate whether these non-standard terms represent a performance obligation. For example, the Company may offer specified discounts on current products within an arrangement and on future purchase options, for which historical information may not be available. As part of the Company's identification of performance obligations and the resulting determination of the allocation of contract consideration, the Company considers if these specified discounts represent a material right when compared to the estimated standalone selling price and, therefore, a performance obligation to be included in the allocation of the contract value.</w:t>
      </w:r>
    </w:p>
    <w:p>
      <w:pPr>
        <w:spacing w:after="0" w:line="248" w:lineRule="exact"/>
        <w:rPr>
          <w:sz w:val="20"/>
          <w:szCs w:val="20"/>
          <w:color w:val="auto"/>
        </w:rPr>
      </w:pPr>
    </w:p>
    <w:p>
      <w:pPr>
        <w:jc w:val="both"/>
        <w:ind w:right="579"/>
        <w:spacing w:after="0" w:line="265" w:lineRule="auto"/>
        <w:rPr>
          <w:sz w:val="20"/>
          <w:szCs w:val="20"/>
          <w:color w:val="auto"/>
        </w:rPr>
      </w:pPr>
      <w:r>
        <w:rPr>
          <w:rFonts w:ascii="Arial" w:cs="Arial" w:eastAsia="Arial" w:hAnsi="Arial"/>
          <w:sz w:val="14"/>
          <w:szCs w:val="14"/>
          <w:color w:val="auto"/>
        </w:rPr>
        <w:t>Auditing management’s identification of the performance obligations and the resulting determination of the allocation of contract consideration in certain contracts involved a higher degree of judgment due to the subjective nature of identifying certain performance obligations and the related determination of standalone selling price when it is not based on historical information.</w:t>
      </w:r>
    </w:p>
    <w:p>
      <w:pPr>
        <w:spacing w:after="0" w:line="182" w:lineRule="exact"/>
        <w:rPr>
          <w:sz w:val="20"/>
          <w:szCs w:val="20"/>
          <w:color w:val="auto"/>
        </w:rPr>
      </w:pPr>
    </w:p>
    <w:p>
      <w:pPr>
        <w:sectPr>
          <w:pgSz w:w="11900" w:h="16838" w:orient="portrait"/>
          <w:cols w:equalWidth="0" w:num="2">
            <w:col w:w="1840" w:space="720"/>
            <w:col w:w="7599"/>
          </w:cols>
          <w:pgMar w:left="300" w:top="125" w:right="1440" w:bottom="1440" w:gutter="0" w:footer="0" w:header="0"/>
        </w:sectPr>
      </w:pPr>
    </w:p>
    <w:p>
      <w:pPr>
        <w:ind w:left="20"/>
        <w:spacing w:after="0"/>
        <w:rPr>
          <w:sz w:val="20"/>
          <w:szCs w:val="20"/>
          <w:color w:val="auto"/>
        </w:rPr>
      </w:pPr>
      <w:r>
        <w:rPr>
          <w:rFonts w:ascii="Arial" w:cs="Arial" w:eastAsia="Arial" w:hAnsi="Arial"/>
          <w:sz w:val="14"/>
          <w:szCs w:val="14"/>
          <w:b w:val="1"/>
          <w:bCs w:val="1"/>
          <w:i w:val="1"/>
          <w:iCs w:val="1"/>
          <w:color w:val="auto"/>
        </w:rPr>
        <w:t>How We Addressed the Matter in Our</w:t>
      </w:r>
    </w:p>
    <w:p>
      <w:pPr>
        <w:jc w:val="both"/>
        <w:ind w:left="2560" w:right="579" w:hanging="2539"/>
        <w:spacing w:after="0" w:line="190" w:lineRule="auto"/>
        <w:tabs>
          <w:tab w:leader="none" w:pos="2540" w:val="left"/>
        </w:tabs>
        <w:rPr>
          <w:sz w:val="20"/>
          <w:szCs w:val="20"/>
          <w:color w:val="auto"/>
        </w:rPr>
      </w:pPr>
      <w:r>
        <w:rPr>
          <w:rFonts w:ascii="Arial" w:cs="Arial" w:eastAsia="Arial" w:hAnsi="Arial"/>
          <w:sz w:val="28"/>
          <w:szCs w:val="28"/>
          <w:b w:val="1"/>
          <w:bCs w:val="1"/>
          <w:i w:val="1"/>
          <w:iCs w:val="1"/>
          <w:color w:val="auto"/>
          <w:vertAlign w:val="subscript"/>
        </w:rPr>
        <w:t>Audit</w:t>
      </w:r>
      <w:r>
        <w:rPr>
          <w:sz w:val="20"/>
          <w:szCs w:val="20"/>
          <w:color w:val="auto"/>
        </w:rPr>
        <w:tab/>
      </w:r>
      <w:r>
        <w:rPr>
          <w:rFonts w:ascii="Arial" w:cs="Arial" w:eastAsia="Arial" w:hAnsi="Arial"/>
          <w:sz w:val="14"/>
          <w:szCs w:val="14"/>
          <w:color w:val="auto"/>
        </w:rPr>
        <w:t>We obtained an understanding, evaluated the design, and tested the operating effectiveness of the Company’s internal controls addressing management’s identification of performance obligations and allocation of contract consideration, including standalone selling price determination.</w:t>
      </w:r>
    </w:p>
    <w:p>
      <w:pPr>
        <w:spacing w:after="0" w:line="261" w:lineRule="exact"/>
        <w:rPr>
          <w:sz w:val="20"/>
          <w:szCs w:val="20"/>
          <w:color w:val="auto"/>
        </w:rPr>
      </w:pPr>
    </w:p>
    <w:p>
      <w:pPr>
        <w:jc w:val="both"/>
        <w:ind w:left="2560" w:right="579"/>
        <w:spacing w:after="0" w:line="262" w:lineRule="auto"/>
        <w:rPr>
          <w:sz w:val="20"/>
          <w:szCs w:val="20"/>
          <w:color w:val="auto"/>
        </w:rPr>
      </w:pPr>
      <w:r>
        <w:rPr>
          <w:rFonts w:ascii="Arial" w:cs="Arial" w:eastAsia="Arial" w:hAnsi="Arial"/>
          <w:sz w:val="14"/>
          <w:szCs w:val="14"/>
          <w:color w:val="auto"/>
        </w:rPr>
        <w:t>Our audit procedures included, among others, reading executed contracts for a sample of arrangements and evaluating whether terms of the contracts (including specified discounts on current and future purchase options) resulted in additional performance obligations. Additionally, we tested the completeness and accuracy of the information used in management’s allocation of contract consideration, including the data incorporated in underlying calculations to determine standalone selling price.</w:t>
      </w:r>
    </w:p>
    <w:p>
      <w:pPr>
        <w:spacing w:after="0" w:line="200" w:lineRule="exact"/>
        <w:rPr>
          <w:sz w:val="20"/>
          <w:szCs w:val="20"/>
          <w:color w:val="auto"/>
        </w:rPr>
      </w:pPr>
    </w:p>
    <w:p>
      <w:pPr>
        <w:spacing w:after="0" w:line="33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combination - Valuation of intangible asset</w:t>
      </w:r>
    </w:p>
    <w:p>
      <w:pPr>
        <w:spacing w:after="0" w:line="157" w:lineRule="exact"/>
        <w:rPr>
          <w:sz w:val="20"/>
          <w:szCs w:val="20"/>
          <w:color w:val="auto"/>
        </w:rPr>
      </w:pPr>
    </w:p>
    <w:p>
      <w:pPr>
        <w:jc w:val="both"/>
        <w:ind w:right="579"/>
        <w:spacing w:after="0" w:line="271" w:lineRule="auto"/>
        <w:rPr>
          <w:sz w:val="20"/>
          <w:szCs w:val="20"/>
          <w:color w:val="auto"/>
        </w:rPr>
      </w:pPr>
      <w:r>
        <w:rPr>
          <w:rFonts w:ascii="Arial" w:cs="Arial" w:eastAsia="Arial" w:hAnsi="Arial"/>
          <w:sz w:val="14"/>
          <w:szCs w:val="14"/>
          <w:color w:val="auto"/>
        </w:rPr>
        <w:t>As described in Note 2 to the consolidated financial statements, the Company completed its acquisition of Apton Biosystems, Inc. during 2023. The transaction was accounted for as a business combination, and the Company recorded an indefinite-lived intangible asset of $55.0 million.</w:t>
      </w:r>
    </w:p>
    <w:p>
      <w:pPr>
        <w:spacing w:after="0" w:line="200" w:lineRule="exact"/>
        <w:rPr>
          <w:sz w:val="20"/>
          <w:szCs w:val="20"/>
          <w:color w:val="auto"/>
        </w:rPr>
      </w:pPr>
    </w:p>
    <w:p>
      <w:pPr>
        <w:spacing w:after="0" w:line="210" w:lineRule="exact"/>
        <w:rPr>
          <w:sz w:val="20"/>
          <w:szCs w:val="20"/>
          <w:color w:val="auto"/>
        </w:rPr>
      </w:pPr>
    </w:p>
    <w:p>
      <w:pPr>
        <w:jc w:val="both"/>
        <w:ind w:right="579"/>
        <w:spacing w:after="0" w:line="259" w:lineRule="auto"/>
        <w:rPr>
          <w:sz w:val="20"/>
          <w:szCs w:val="20"/>
          <w:color w:val="auto"/>
        </w:rPr>
      </w:pPr>
      <w:r>
        <w:rPr>
          <w:rFonts w:ascii="Arial" w:cs="Arial" w:eastAsia="Arial" w:hAnsi="Arial"/>
          <w:sz w:val="14"/>
          <w:szCs w:val="14"/>
          <w:color w:val="auto"/>
        </w:rPr>
        <w:t>Auditing the Company’s accounting for the acquisition was challenging because the determination of the fair value of the identified intangible asset, which consisted of in-process research and development (IPR&amp;D), required management to make certain subjective estimates and assumptions. The Company used an income approach to measure the intangible asset. The valuation of the intangible asset is subject to higher estimation uncertainty due to management’s judgments in determining significant assumptions, which included certain components of the revenue projection and the discount rate. A change in these significant assumptions could have a significant effect on the fair value of the intangible asset.</w:t>
      </w:r>
    </w:p>
    <w:p>
      <w:pPr>
        <w:spacing w:after="0" w:line="200" w:lineRule="exact"/>
        <w:rPr>
          <w:sz w:val="20"/>
          <w:szCs w:val="20"/>
          <w:color w:val="auto"/>
        </w:rPr>
      </w:pPr>
    </w:p>
    <w:p>
      <w:pPr>
        <w:sectPr>
          <w:pgSz w:w="11900" w:h="16838" w:orient="portrait"/>
          <w:cols w:equalWidth="0" w:num="2">
            <w:col w:w="1840" w:space="720"/>
            <w:col w:w="7599"/>
          </w:cols>
          <w:pgMar w:left="300" w:top="125" w:right="1440" w:bottom="1440" w:gutter="0" w:footer="0" w:header="0"/>
        </w:sectPr>
      </w:pPr>
    </w:p>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How We Addressed the Matter in Our</w:t>
      </w:r>
    </w:p>
    <w:p>
      <w:pPr>
        <w:jc w:val="both"/>
        <w:ind w:left="2560" w:right="579" w:hanging="2539"/>
        <w:spacing w:after="0" w:line="203" w:lineRule="auto"/>
        <w:tabs>
          <w:tab w:leader="none" w:pos="2540" w:val="left"/>
        </w:tabs>
        <w:rPr>
          <w:sz w:val="20"/>
          <w:szCs w:val="20"/>
          <w:color w:val="auto"/>
        </w:rPr>
      </w:pPr>
      <w:r>
        <w:rPr>
          <w:rFonts w:ascii="Arial" w:cs="Arial" w:eastAsia="Arial" w:hAnsi="Arial"/>
          <w:sz w:val="28"/>
          <w:szCs w:val="28"/>
          <w:b w:val="1"/>
          <w:bCs w:val="1"/>
          <w:i w:val="1"/>
          <w:iCs w:val="1"/>
          <w:color w:val="auto"/>
          <w:vertAlign w:val="subscript"/>
        </w:rPr>
        <w:t>Audit</w:t>
      </w:r>
      <w:r>
        <w:rPr>
          <w:sz w:val="20"/>
          <w:szCs w:val="20"/>
          <w:color w:val="auto"/>
        </w:rPr>
        <w:tab/>
      </w:r>
      <w:r>
        <w:rPr>
          <w:rFonts w:ascii="Arial" w:cs="Arial" w:eastAsia="Arial" w:hAnsi="Arial"/>
          <w:sz w:val="14"/>
          <w:szCs w:val="14"/>
          <w:color w:val="auto"/>
        </w:rPr>
        <w:t>We obtained an understanding, evaluated the design and tested the operating effectiveness of controls addressing the identified audit risk. For example, we tested controls over management’s review of the significant assumptions used to develop the fair value estimate of the intangible asset. We also tested management’s controls to validate that data used in the fair value estimate was complete and accurate.</w:t>
      </w:r>
    </w:p>
    <w:p>
      <w:pPr>
        <w:spacing w:after="0" w:line="260" w:lineRule="exact"/>
        <w:rPr>
          <w:sz w:val="20"/>
          <w:szCs w:val="20"/>
          <w:color w:val="auto"/>
        </w:rPr>
      </w:pPr>
    </w:p>
    <w:p>
      <w:pPr>
        <w:jc w:val="both"/>
        <w:ind w:left="2560" w:right="579"/>
        <w:spacing w:after="0" w:line="260" w:lineRule="auto"/>
        <w:rPr>
          <w:sz w:val="20"/>
          <w:szCs w:val="20"/>
          <w:color w:val="auto"/>
        </w:rPr>
      </w:pPr>
      <w:r>
        <w:rPr>
          <w:rFonts w:ascii="Arial" w:cs="Arial" w:eastAsia="Arial" w:hAnsi="Arial"/>
          <w:sz w:val="14"/>
          <w:szCs w:val="14"/>
          <w:color w:val="auto"/>
        </w:rPr>
        <w:t>To test the estimated fair value of the intangible asset, we performed audit procedures that included, among others, evaluating the Company’s valuation model with the assistance of valuation specialists, performing sensitivity analyses to determine which assumptions had the greatest impact on the overall determination of value, and testing the completeness and accuracy of the underlying data used to develop the assumptions. We also evaluated the assumptions by comparing them to market and economic trends, historical results of the Company’s business and other guideline companies within the same industry.</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2011.</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San Mateo, California</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PACIFIC BIOSCIENCES OF CALIFORNIA,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13"/>
                <w:szCs w:val="13"/>
                <w:color w:val="auto"/>
              </w:rPr>
            </w:pPr>
          </w:p>
        </w:tc>
      </w:tr>
      <w:tr>
        <w:trPr>
          <w:trHeight w:val="15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 except per share amounts)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2022</w:t>
            </w:r>
          </w:p>
        </w:tc>
      </w:tr>
      <w:tr>
        <w:trPr>
          <w:trHeight w:val="139"/>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179,911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325,089</w:t>
            </w: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Investments</w:t>
            </w: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451,505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447,229</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Accounts receivable, net</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36,615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18,786</w:t>
            </w: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Inventory, net</w:t>
            </w: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56,676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50,381</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Prepaid expenses and other current assets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17,040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10,289</w:t>
            </w:r>
          </w:p>
        </w:tc>
      </w:tr>
      <w:tr>
        <w:trPr>
          <w:trHeight w:val="15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Short-term restricted cash</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300</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300</w:t>
            </w:r>
          </w:p>
        </w:tc>
      </w:tr>
      <w:tr>
        <w:trPr>
          <w:trHeight w:val="153"/>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current assets</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742,047</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852,074</w:t>
            </w: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Property and equipment, net</w:t>
            </w: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36,432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41,580</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assets, net</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32,593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39,763</w:t>
            </w: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Long-term restricted cash</w:t>
            </w: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2,422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2,922</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Intangible assets, net</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456,984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410,245</w:t>
            </w: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Goodwill</w:t>
            </w: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462,261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409,974</w:t>
            </w:r>
          </w:p>
        </w:tc>
      </w:tr>
      <w:tr>
        <w:trPr>
          <w:trHeight w:val="159"/>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long-term assets</w:t>
            </w: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13,274</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10,528</w:t>
            </w:r>
          </w:p>
        </w:tc>
      </w:tr>
      <w:tr>
        <w:trPr>
          <w:trHeight w:val="153"/>
        </w:trPr>
        <w:tc>
          <w:tcPr>
            <w:tcW w:w="8220" w:type="dxa"/>
            <w:vAlign w:val="bottom"/>
          </w:tcPr>
          <w:p>
            <w:pPr>
              <w:ind w:left="20"/>
              <w:spacing w:after="0"/>
              <w:rPr>
                <w:sz w:val="20"/>
                <w:szCs w:val="20"/>
                <w:color w:val="auto"/>
              </w:rPr>
            </w:pPr>
            <w:r>
              <w:rPr>
                <w:rFonts w:ascii="Arial" w:cs="Arial" w:eastAsia="Arial" w:hAnsi="Arial"/>
                <w:sz w:val="11"/>
                <w:szCs w:val="11"/>
                <w:color w:val="auto"/>
              </w:rPr>
              <w:t>Total assets</w:t>
            </w: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1,746,013</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1,767,086</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0"/>
        </w:trPr>
        <w:tc>
          <w:tcPr>
            <w:tcW w:w="822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Liabilities and Stockholders’ Equity</w:t>
            </w: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Accounts payable</w:t>
            </w: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15,062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12,028</w:t>
            </w: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Accrued expenses</w:t>
            </w: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45,708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32,596</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revenue, current</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16,342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30,498</w:t>
            </w: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Operating lease liabilities, current</w:t>
            </w: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9,591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8,886</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liabilities, current</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8,326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7,233</w:t>
            </w: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Contingent consideration liability, current</w:t>
            </w: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172,094</w:t>
            </w:r>
          </w:p>
        </w:tc>
      </w:tr>
      <w:tr>
        <w:trPr>
          <w:trHeight w:val="15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current liabilities</w:t>
            </w:r>
          </w:p>
        </w:tc>
        <w:tc>
          <w:tcPr>
            <w:tcW w:w="3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95,029</w:t>
            </w: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263,335</w:t>
            </w: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Deferred revenue, non-current</w:t>
            </w: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5,530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1,794</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Contingent consideration liability, non-current</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19,550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Operating lease liabilities, non-current</w:t>
            </w: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31,606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41,070</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Convertible senior notes, net, non-current</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892,243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896,683</w:t>
            </w:r>
          </w:p>
        </w:tc>
      </w:tr>
      <w:tr>
        <w:trPr>
          <w:trHeight w:val="15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 non-current</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751</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1,300</w:t>
            </w:r>
          </w:p>
        </w:tc>
      </w:tr>
      <w:tr>
        <w:trPr>
          <w:trHeight w:val="153"/>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liabilities</w:t>
            </w: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1,044,709</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1,204,182</w:t>
            </w:r>
          </w:p>
        </w:tc>
      </w:tr>
      <w:tr>
        <w:trPr>
          <w:trHeight w:val="22"/>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9"/>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Commitments and contingencies</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42"/>
        </w:trPr>
        <w:tc>
          <w:tcPr>
            <w:tcW w:w="8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59"/>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Preferred stock, $0.001 par value:</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Authorized 50,000 shares; No shares issued or outstanding</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Common stock, $0.001 par value:</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Authorized 1,000,000 shares; issued and outstanding 267,744 and 226,505 shares at December 31, 2023 and December 31, 2022, respectively</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w:t>
            </w:r>
          </w:p>
        </w:tc>
      </w:t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Additional paid-in capital</w:t>
            </w: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2,539,892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2,099,782</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Accumulated other comprehensive income (loss)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(4,765)</w:t>
            </w:r>
          </w:p>
        </w:tc>
      </w:tr>
      <w:tr>
        <w:trPr>
          <w:trHeight w:val="15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Accumulated deficit</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(1,839,075)</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(1,532,340)</w:t>
            </w:r>
          </w:p>
        </w:tc>
      </w:tr>
      <w:tr>
        <w:trPr>
          <w:trHeight w:val="150"/>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stockholders’ equity</w:t>
            </w: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701,304</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562,904</w:t>
            </w:r>
          </w:p>
        </w:tc>
      </w:tr>
      <w:tr>
        <w:trPr>
          <w:trHeight w:val="153"/>
        </w:trPr>
        <w:tc>
          <w:tcPr>
            <w:tcW w:w="8220" w:type="dxa"/>
            <w:vAlign w:val="bottom"/>
          </w:tcPr>
          <w:p>
            <w:pPr>
              <w:ind w:left="20"/>
              <w:spacing w:after="0"/>
              <w:rPr>
                <w:sz w:val="20"/>
                <w:szCs w:val="20"/>
                <w:color w:val="auto"/>
              </w:rPr>
            </w:pPr>
            <w:r>
              <w:rPr>
                <w:rFonts w:ascii="Arial" w:cs="Arial" w:eastAsia="Arial" w:hAnsi="Arial"/>
                <w:sz w:val="11"/>
                <w:szCs w:val="11"/>
                <w:color w:val="auto"/>
              </w:rPr>
              <w:t>Total liabilities and stockholders’ equity</w:t>
            </w: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1,746,013</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1,767,086</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accompanying </w:t>
      </w:r>
      <w:r>
        <w:rPr>
          <w:rFonts w:ascii="Arial" w:cs="Arial" w:eastAsia="Arial" w:hAnsi="Arial"/>
          <w:sz w:val="14"/>
          <w:szCs w:val="14"/>
          <w:u w:val="single" w:color="auto"/>
          <w:color w:val="0000FF"/>
        </w:rPr>
        <w:t>notes</w:t>
      </w:r>
      <w:r>
        <w:rPr>
          <w:rFonts w:ascii="Arial" w:cs="Arial" w:eastAsia="Arial" w:hAnsi="Arial"/>
          <w:sz w:val="14"/>
          <w:szCs w:val="14"/>
          <w:color w:val="auto"/>
        </w:rPr>
        <w:t xml:space="preserve"> to the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PACIFIC BIOSCIENCES OF CALIFORNIA,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Years Ended December 31,</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 except per share amounts)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39"/>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660" w:type="dxa"/>
            <w:vAlign w:val="bottom"/>
          </w:tcPr>
          <w:p>
            <w:pPr>
              <w:ind w:left="140"/>
              <w:spacing w:after="0"/>
              <w:rPr>
                <w:sz w:val="20"/>
                <w:szCs w:val="20"/>
                <w:color w:val="auto"/>
              </w:rPr>
            </w:pPr>
            <w:r>
              <w:rPr>
                <w:rFonts w:ascii="Arial" w:cs="Arial" w:eastAsia="Arial" w:hAnsi="Arial"/>
                <w:sz w:val="11"/>
                <w:szCs w:val="11"/>
                <w:color w:val="auto"/>
              </w:rPr>
              <w:t>Product revenue</w:t>
            </w: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183,872</w:t>
            </w:r>
          </w:p>
        </w:tc>
        <w:tc>
          <w:tcPr>
            <w:tcW w:w="8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108,699</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113,505</w:t>
            </w: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Service and other revenue</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16,649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19,605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17,008</w:t>
            </w:r>
          </w:p>
        </w:tc>
        <w:tc>
          <w:tcPr>
            <w:tcW w:w="0" w:type="dxa"/>
            <w:vAlign w:val="bottom"/>
          </w:tcPr>
          <w:p>
            <w:pPr>
              <w:spacing w:after="0"/>
              <w:rPr>
                <w:sz w:val="1"/>
                <w:szCs w:val="1"/>
                <w:color w:val="auto"/>
              </w:rPr>
            </w:pPr>
          </w:p>
        </w:tc>
      </w:tr>
      <w:tr>
        <w:trPr>
          <w:trHeight w:val="147"/>
        </w:trPr>
        <w:tc>
          <w:tcPr>
            <w:tcW w:w="6660" w:type="dxa"/>
            <w:vAlign w:val="bottom"/>
          </w:tcPr>
          <w:p>
            <w:pPr>
              <w:ind w:left="280"/>
              <w:spacing w:after="0"/>
              <w:rPr>
                <w:sz w:val="20"/>
                <w:szCs w:val="20"/>
                <w:color w:val="auto"/>
              </w:rPr>
            </w:pPr>
            <w:r>
              <w:rPr>
                <w:rFonts w:ascii="Arial" w:cs="Arial" w:eastAsia="Arial" w:hAnsi="Arial"/>
                <w:sz w:val="11"/>
                <w:szCs w:val="11"/>
                <w:color w:val="auto"/>
              </w:rPr>
              <w:t>Total revenue</w:t>
            </w: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200,521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128,304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130,513</w:t>
            </w: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Revenue: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tcPr>
          <w:p>
            <w:pPr>
              <w:ind w:left="140"/>
              <w:spacing w:after="0"/>
              <w:rPr>
                <w:sz w:val="20"/>
                <w:szCs w:val="20"/>
                <w:color w:val="auto"/>
              </w:rPr>
            </w:pPr>
            <w:r>
              <w:rPr>
                <w:rFonts w:ascii="Arial" w:cs="Arial" w:eastAsia="Arial" w:hAnsi="Arial"/>
                <w:sz w:val="11"/>
                <w:szCs w:val="11"/>
                <w:color w:val="auto"/>
              </w:rPr>
              <w:t>Cost of product revenue</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127,568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60,932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56,358</w:t>
            </w: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Cost of service and other revenue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14,754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13,899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14,989</w:t>
            </w:r>
          </w:p>
        </w:tc>
        <w:tc>
          <w:tcPr>
            <w:tcW w:w="0" w:type="dxa"/>
            <w:vAlign w:val="bottom"/>
          </w:tcPr>
          <w:p>
            <w:pPr>
              <w:spacing w:after="0"/>
              <w:rPr>
                <w:sz w:val="1"/>
                <w:szCs w:val="1"/>
                <w:color w:val="auto"/>
              </w:rPr>
            </w:pPr>
          </w:p>
        </w:tc>
      </w:tr>
      <w:tr>
        <w:trPr>
          <w:trHeight w:val="156"/>
        </w:trPr>
        <w:tc>
          <w:tcPr>
            <w:tcW w:w="6660" w:type="dxa"/>
            <w:vAlign w:val="bottom"/>
          </w:tcPr>
          <w:p>
            <w:pPr>
              <w:ind w:left="140"/>
              <w:spacing w:after="0"/>
              <w:rPr>
                <w:sz w:val="20"/>
                <w:szCs w:val="20"/>
                <w:color w:val="auto"/>
              </w:rPr>
            </w:pPr>
            <w:r>
              <w:rPr>
                <w:rFonts w:ascii="Arial" w:cs="Arial" w:eastAsia="Arial" w:hAnsi="Arial"/>
                <w:sz w:val="11"/>
                <w:szCs w:val="11"/>
                <w:color w:val="auto"/>
              </w:rPr>
              <w:t>Amortization of acquired intangible assets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1,983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733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306</w:t>
            </w: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Loss on purchase commitment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3,436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3,705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666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Total cost of revenue</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147,741</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79,269</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71,653</w:t>
            </w:r>
          </w:p>
        </w:tc>
        <w:tc>
          <w:tcPr>
            <w:tcW w:w="0" w:type="dxa"/>
            <w:vAlign w:val="bottom"/>
          </w:tcPr>
          <w:p>
            <w:pPr>
              <w:spacing w:after="0"/>
              <w:rPr>
                <w:sz w:val="1"/>
                <w:szCs w:val="1"/>
                <w:color w:val="auto"/>
              </w:rPr>
            </w:pPr>
          </w:p>
        </w:tc>
      </w:tr>
      <w:tr>
        <w:trPr>
          <w:trHeight w:val="153"/>
        </w:trPr>
        <w:tc>
          <w:tcPr>
            <w:tcW w:w="66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Gross profit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52,780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49,035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58,860</w:t>
            </w:r>
          </w:p>
        </w:tc>
        <w:tc>
          <w:tcPr>
            <w:tcW w:w="0" w:type="dxa"/>
            <w:vAlign w:val="bottom"/>
          </w:tcPr>
          <w:p>
            <w:pPr>
              <w:spacing w:after="0"/>
              <w:rPr>
                <w:sz w:val="1"/>
                <w:szCs w:val="1"/>
                <w:color w:val="auto"/>
              </w:rPr>
            </w:pPr>
          </w:p>
        </w:tc>
      </w:tr>
      <w:tr>
        <w:trPr>
          <w:trHeight w:val="156"/>
        </w:trPr>
        <w:tc>
          <w:tcPr>
            <w:tcW w:w="6660" w:type="dxa"/>
            <w:vAlign w:val="bottom"/>
          </w:tcPr>
          <w:p>
            <w:pPr>
              <w:ind w:left="20"/>
              <w:spacing w:after="0"/>
              <w:rPr>
                <w:sz w:val="20"/>
                <w:szCs w:val="20"/>
                <w:color w:val="auto"/>
              </w:rPr>
            </w:pPr>
            <w:r>
              <w:rPr>
                <w:rFonts w:ascii="Arial" w:cs="Arial" w:eastAsia="Arial" w:hAnsi="Arial"/>
                <w:sz w:val="11"/>
                <w:szCs w:val="11"/>
                <w:color w:val="auto"/>
              </w:rPr>
              <w:t>Operating Expense:</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Research and development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187,170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193,000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112,899</w:t>
            </w:r>
          </w:p>
        </w:tc>
        <w:tc>
          <w:tcPr>
            <w:tcW w:w="0" w:type="dxa"/>
            <w:vAlign w:val="bottom"/>
          </w:tcPr>
          <w:p>
            <w:pPr>
              <w:spacing w:after="0"/>
              <w:rPr>
                <w:sz w:val="1"/>
                <w:szCs w:val="1"/>
                <w:color w:val="auto"/>
              </w:rPr>
            </w:pPr>
          </w:p>
        </w:tc>
      </w:tr>
      <w:tr>
        <w:trPr>
          <w:trHeight w:val="156"/>
        </w:trPr>
        <w:tc>
          <w:tcPr>
            <w:tcW w:w="6660" w:type="dxa"/>
            <w:vAlign w:val="bottom"/>
          </w:tcPr>
          <w:p>
            <w:pPr>
              <w:ind w:left="140"/>
              <w:spacing w:after="0"/>
              <w:rPr>
                <w:sz w:val="20"/>
                <w:szCs w:val="20"/>
                <w:color w:val="auto"/>
              </w:rPr>
            </w:pPr>
            <w:r>
              <w:rPr>
                <w:rFonts w:ascii="Arial" w:cs="Arial" w:eastAsia="Arial" w:hAnsi="Arial"/>
                <w:sz w:val="11"/>
                <w:szCs w:val="11"/>
                <w:color w:val="auto"/>
              </w:rPr>
              <w:t>Sales, general and administrative</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169,818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160,854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124,124</w:t>
            </w: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Merger-related expenses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9,042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31,129</w:t>
            </w:r>
          </w:p>
        </w:tc>
        <w:tc>
          <w:tcPr>
            <w:tcW w:w="0" w:type="dxa"/>
            <w:vAlign w:val="bottom"/>
          </w:tcPr>
          <w:p>
            <w:pPr>
              <w:spacing w:after="0"/>
              <w:rPr>
                <w:sz w:val="1"/>
                <w:szCs w:val="1"/>
                <w:color w:val="auto"/>
              </w:rPr>
            </w:pPr>
          </w:p>
        </w:tc>
      </w:tr>
      <w:tr>
        <w:trPr>
          <w:trHeight w:val="156"/>
        </w:trPr>
        <w:tc>
          <w:tcPr>
            <w:tcW w:w="6660" w:type="dxa"/>
            <w:vAlign w:val="bottom"/>
          </w:tcPr>
          <w:p>
            <w:pPr>
              <w:ind w:left="140"/>
              <w:spacing w:after="0"/>
              <w:rPr>
                <w:sz w:val="20"/>
                <w:szCs w:val="20"/>
                <w:color w:val="auto"/>
              </w:rPr>
            </w:pPr>
            <w:r>
              <w:rPr>
                <w:rFonts w:ascii="Arial" w:cs="Arial" w:eastAsia="Arial" w:hAnsi="Arial"/>
                <w:sz w:val="11"/>
                <w:szCs w:val="11"/>
                <w:color w:val="auto"/>
              </w:rPr>
              <w:t>Change in fair value of contingent consideration</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15,060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2,377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1,143</w:t>
            </w: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Amortization of acquired intangible assets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6,157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6660" w:type="dxa"/>
            <w:vAlign w:val="bottom"/>
          </w:tcPr>
          <w:p>
            <w:pPr>
              <w:ind w:left="280"/>
              <w:spacing w:after="0"/>
              <w:rPr>
                <w:sz w:val="20"/>
                <w:szCs w:val="20"/>
                <w:color w:val="auto"/>
              </w:rPr>
            </w:pPr>
            <w:r>
              <w:rPr>
                <w:rFonts w:ascii="Arial" w:cs="Arial" w:eastAsia="Arial" w:hAnsi="Arial"/>
                <w:sz w:val="11"/>
                <w:szCs w:val="11"/>
                <w:color w:val="auto"/>
              </w:rPr>
              <w:t>Total operating expense</w:t>
            </w: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387,247</w:t>
            </w: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356,231</w:t>
            </w: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269,295</w:t>
            </w: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loss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(334,467)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(307,196)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(210,435)</w:t>
            </w:r>
          </w:p>
        </w:tc>
        <w:tc>
          <w:tcPr>
            <w:tcW w:w="0" w:type="dxa"/>
            <w:vAlign w:val="bottom"/>
          </w:tcPr>
          <w:p>
            <w:pPr>
              <w:spacing w:after="0"/>
              <w:rPr>
                <w:sz w:val="1"/>
                <w:szCs w:val="1"/>
                <w:color w:val="auto"/>
              </w:rPr>
            </w:pPr>
          </w:p>
        </w:tc>
      </w:tr>
      <w:tr>
        <w:trPr>
          <w:trHeight w:val="156"/>
        </w:trPr>
        <w:tc>
          <w:tcPr>
            <w:tcW w:w="6660" w:type="dxa"/>
            <w:vAlign w:val="bottom"/>
          </w:tcPr>
          <w:p>
            <w:pPr>
              <w:ind w:left="140"/>
              <w:spacing w:after="0"/>
              <w:rPr>
                <w:sz w:val="20"/>
                <w:szCs w:val="20"/>
                <w:color w:val="auto"/>
              </w:rPr>
            </w:pPr>
            <w:r>
              <w:rPr>
                <w:rFonts w:ascii="Arial" w:cs="Arial" w:eastAsia="Arial" w:hAnsi="Arial"/>
                <w:sz w:val="11"/>
                <w:szCs w:val="11"/>
                <w:color w:val="auto"/>
              </w:rPr>
              <w:t>Loss from Continuation Advances from Illumina</w:t>
            </w:r>
          </w:p>
        </w:tc>
        <w:tc>
          <w:tcPr>
            <w:tcW w:w="3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(52,000)</w:t>
            </w: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Loss on extinguishment of debt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6660" w:type="dxa"/>
            <w:vAlign w:val="bottom"/>
          </w:tcPr>
          <w:p>
            <w:pPr>
              <w:ind w:left="140"/>
              <w:spacing w:after="0"/>
              <w:rPr>
                <w:sz w:val="20"/>
                <w:szCs w:val="20"/>
                <w:color w:val="auto"/>
              </w:rPr>
            </w:pPr>
            <w:r>
              <w:rPr>
                <w:rFonts w:ascii="Arial" w:cs="Arial" w:eastAsia="Arial" w:hAnsi="Arial"/>
                <w:sz w:val="11"/>
                <w:szCs w:val="11"/>
                <w:color w:val="auto"/>
              </w:rPr>
              <w:t>Interest expense</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(14,343)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(14,690)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(12,530)</w:t>
            </w: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income, net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32,684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7,638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w:t>
            </w:r>
          </w:p>
        </w:tc>
        <w:tc>
          <w:tcPr>
            <w:tcW w:w="0" w:type="dxa"/>
            <w:vAlign w:val="bottom"/>
          </w:tcPr>
          <w:p>
            <w:pPr>
              <w:spacing w:after="0"/>
              <w:rPr>
                <w:sz w:val="1"/>
                <w:szCs w:val="1"/>
                <w:color w:val="auto"/>
              </w:rPr>
            </w:pPr>
          </w:p>
        </w:tc>
      </w:tr>
      <w:tr>
        <w:trPr>
          <w:trHeight w:val="147"/>
        </w:trPr>
        <w:tc>
          <w:tcPr>
            <w:tcW w:w="6660" w:type="dxa"/>
            <w:vAlign w:val="bottom"/>
          </w:tcPr>
          <w:p>
            <w:pPr>
              <w:ind w:left="20"/>
              <w:spacing w:after="0"/>
              <w:rPr>
                <w:sz w:val="20"/>
                <w:szCs w:val="20"/>
                <w:color w:val="auto"/>
              </w:rPr>
            </w:pPr>
            <w:r>
              <w:rPr>
                <w:rFonts w:ascii="Arial" w:cs="Arial" w:eastAsia="Arial" w:hAnsi="Arial"/>
                <w:sz w:val="11"/>
                <w:szCs w:val="11"/>
                <w:color w:val="auto"/>
              </w:rPr>
              <w:t>Loss before benefit from income taxes</w:t>
            </w: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(318,159)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(314,248)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(274,872)</w:t>
            </w: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Benefit from income taxes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(11,424)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(93,649)</w:t>
            </w:r>
          </w:p>
        </w:tc>
        <w:tc>
          <w:tcPr>
            <w:tcW w:w="0" w:type="dxa"/>
            <w:vAlign w:val="bottom"/>
          </w:tcPr>
          <w:p>
            <w:pPr>
              <w:spacing w:after="0"/>
              <w:rPr>
                <w:sz w:val="1"/>
                <w:szCs w:val="1"/>
                <w:color w:val="auto"/>
              </w:rPr>
            </w:pPr>
          </w:p>
        </w:tc>
      </w:tr>
      <w:tr>
        <w:trPr>
          <w:trHeight w:val="147"/>
        </w:trPr>
        <w:tc>
          <w:tcPr>
            <w:tcW w:w="6660" w:type="dxa"/>
            <w:vAlign w:val="bottom"/>
          </w:tcPr>
          <w:p>
            <w:pPr>
              <w:ind w:left="20"/>
              <w:spacing w:after="0"/>
              <w:rPr>
                <w:sz w:val="20"/>
                <w:szCs w:val="20"/>
                <w:color w:val="auto"/>
              </w:rPr>
            </w:pPr>
            <w:r>
              <w:rPr>
                <w:rFonts w:ascii="Arial" w:cs="Arial" w:eastAsia="Arial" w:hAnsi="Arial"/>
                <w:sz w:val="11"/>
                <w:szCs w:val="11"/>
                <w:color w:val="auto"/>
              </w:rPr>
              <w:t>Net loss</w:t>
            </w: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(306,735)</w:t>
            </w: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(314,248)</w:t>
            </w: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(181,223)</w:t>
            </w: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(loss):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Unrealized gain (loss) on investments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4,984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(3,678)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(1,172)</w:t>
            </w:r>
          </w:p>
        </w:tc>
        <w:tc>
          <w:tcPr>
            <w:tcW w:w="0" w:type="dxa"/>
            <w:vAlign w:val="bottom"/>
          </w:tcPr>
          <w:p>
            <w:pPr>
              <w:spacing w:after="0"/>
              <w:rPr>
                <w:sz w:val="1"/>
                <w:szCs w:val="1"/>
                <w:color w:val="auto"/>
              </w:rPr>
            </w:pPr>
          </w:p>
        </w:tc>
      </w:tr>
      <w:tr>
        <w:trPr>
          <w:trHeight w:val="17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Comprehensive loss</w:t>
            </w: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(301,751)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(317,926)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(182,395)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1"/>
                <w:szCs w:val="11"/>
                <w:color w:val="auto"/>
              </w:rPr>
              <w:t>Net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6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(0.89)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660" w:type="dxa"/>
            <w:vAlign w:val="bottom"/>
          </w:tcPr>
          <w:p>
            <w:pPr>
              <w:ind w:left="140"/>
              <w:spacing w:after="0" w:line="122" w:lineRule="exact"/>
              <w:rPr>
                <w:sz w:val="20"/>
                <w:szCs w:val="20"/>
                <w:color w:val="auto"/>
              </w:rPr>
            </w:pPr>
            <w:r>
              <w:rPr>
                <w:rFonts w:ascii="Arial" w:cs="Arial" w:eastAsia="Arial" w:hAnsi="Arial"/>
                <w:sz w:val="11"/>
                <w:szCs w:val="11"/>
                <w:color w:val="auto"/>
              </w:rPr>
              <w:t>Diluted</w:t>
            </w:r>
          </w:p>
        </w:tc>
        <w:tc>
          <w:tcPr>
            <w:tcW w:w="340" w:type="dxa"/>
            <w:vAlign w:val="bottom"/>
            <w:tcBorders>
              <w:bottom w:val="single" w:sz="8" w:color="auto"/>
            </w:tcBorders>
          </w:tcPr>
          <w:p>
            <w:pPr>
              <w:jc w:val="right"/>
              <w:ind w:right="203"/>
              <w:spacing w:after="0" w:line="122" w:lineRule="exact"/>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(1.21)</w:t>
            </w:r>
          </w:p>
        </w:tc>
        <w:tc>
          <w:tcPr>
            <w:tcW w:w="80" w:type="dxa"/>
            <w:vAlign w:val="bottom"/>
          </w:tcPr>
          <w:p>
            <w:pPr>
              <w:spacing w:after="0"/>
              <w:rPr>
                <w:sz w:val="10"/>
                <w:szCs w:val="10"/>
                <w:color w:val="auto"/>
              </w:rPr>
            </w:pPr>
          </w:p>
        </w:tc>
        <w:tc>
          <w:tcPr>
            <w:tcW w:w="360" w:type="dxa"/>
            <w:vAlign w:val="bottom"/>
            <w:tcBorders>
              <w:bottom w:val="single" w:sz="8" w:color="auto"/>
            </w:tcBorders>
          </w:tcPr>
          <w:p>
            <w:pPr>
              <w:ind w:left="20"/>
              <w:spacing w:after="0" w:line="122" w:lineRule="exact"/>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(1.40)</w:t>
            </w:r>
          </w:p>
        </w:tc>
        <w:tc>
          <w:tcPr>
            <w:tcW w:w="80" w:type="dxa"/>
            <w:vAlign w:val="bottom"/>
          </w:tcPr>
          <w:p>
            <w:pPr>
              <w:spacing w:after="0"/>
              <w:rPr>
                <w:sz w:val="10"/>
                <w:szCs w:val="10"/>
                <w:color w:val="auto"/>
              </w:rPr>
            </w:pPr>
          </w:p>
        </w:tc>
        <w:tc>
          <w:tcPr>
            <w:tcW w:w="340" w:type="dxa"/>
            <w:vAlign w:val="bottom"/>
            <w:tcBorders>
              <w:bottom w:val="single" w:sz="8" w:color="auto"/>
            </w:tcBorders>
          </w:tcPr>
          <w:p>
            <w:pPr>
              <w:jc w:val="right"/>
              <w:ind w:right="203"/>
              <w:spacing w:after="0" w:line="122" w:lineRule="exact"/>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(0.89)</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60" w:type="dxa"/>
            <w:vAlign w:val="bottom"/>
          </w:tcPr>
          <w:p>
            <w:pPr>
              <w:ind w:left="80"/>
              <w:spacing w:after="0"/>
              <w:rPr>
                <w:sz w:val="20"/>
                <w:szCs w:val="20"/>
                <w:color w:val="auto"/>
              </w:rPr>
            </w:pPr>
            <w:r>
              <w:rPr>
                <w:rFonts w:ascii="Arial" w:cs="Arial" w:eastAsia="Arial" w:hAnsi="Arial"/>
                <w:sz w:val="11"/>
                <w:szCs w:val="11"/>
                <w:color w:val="auto"/>
              </w:rPr>
              <w:t>Weighted average shares outstanding used in calculating net loss per share</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253,629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224,550</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204,136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660" w:type="dxa"/>
            <w:vAlign w:val="bottom"/>
          </w:tcPr>
          <w:p>
            <w:pPr>
              <w:ind w:left="140"/>
              <w:spacing w:after="0" w:line="122" w:lineRule="exact"/>
              <w:rPr>
                <w:sz w:val="20"/>
                <w:szCs w:val="20"/>
                <w:color w:val="auto"/>
              </w:rPr>
            </w:pPr>
            <w:r>
              <w:rPr>
                <w:rFonts w:ascii="Arial" w:cs="Arial" w:eastAsia="Arial" w:hAnsi="Arial"/>
                <w:sz w:val="11"/>
                <w:szCs w:val="11"/>
                <w:color w:val="auto"/>
              </w:rPr>
              <w:t>Diluted</w:t>
            </w: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253,629</w:t>
            </w:r>
          </w:p>
        </w:tc>
        <w:tc>
          <w:tcPr>
            <w:tcW w:w="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3"/>
              <w:spacing w:after="0" w:line="122" w:lineRule="exact"/>
              <w:rPr>
                <w:sz w:val="20"/>
                <w:szCs w:val="20"/>
                <w:color w:val="auto"/>
              </w:rPr>
            </w:pPr>
            <w:r>
              <w:rPr>
                <w:rFonts w:ascii="Arial" w:cs="Arial" w:eastAsia="Arial" w:hAnsi="Arial"/>
                <w:sz w:val="11"/>
                <w:szCs w:val="11"/>
                <w:color w:val="auto"/>
              </w:rPr>
              <w:t>224,550</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204,136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accompanying </w:t>
      </w:r>
      <w:r>
        <w:rPr>
          <w:rFonts w:ascii="Arial" w:cs="Arial" w:eastAsia="Arial" w:hAnsi="Arial"/>
          <w:sz w:val="14"/>
          <w:szCs w:val="14"/>
          <w:u w:val="single" w:color="auto"/>
          <w:color w:val="0000FF"/>
        </w:rPr>
        <w:t>notes</w:t>
      </w:r>
      <w:r>
        <w:rPr>
          <w:rFonts w:ascii="Arial" w:cs="Arial" w:eastAsia="Arial" w:hAnsi="Arial"/>
          <w:sz w:val="14"/>
          <w:szCs w:val="14"/>
          <w:color w:val="auto"/>
        </w:rPr>
        <w:t xml:space="preserve"> to the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PACIFIC BIOSCIENCES OF CALIFORNIA,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rPr>
              <w:t>Additional</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Accumulated</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center"/>
              <w:ind w:right="144"/>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1700" w:type="dxa"/>
            <w:vAlign w:val="bottom"/>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Other</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2820" w:type="dxa"/>
            <w:vAlign w:val="bottom"/>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gridSpan w:val="2"/>
          </w:tcPr>
          <w:p>
            <w:pPr>
              <w:jc w:val="center"/>
              <w:ind w:right="320"/>
              <w:spacing w:after="0" w:line="69" w:lineRule="exact"/>
              <w:rPr>
                <w:sz w:val="20"/>
                <w:szCs w:val="20"/>
                <w:color w:val="auto"/>
              </w:rPr>
            </w:pPr>
            <w:r>
              <w:rPr>
                <w:rFonts w:ascii="Arial" w:cs="Arial" w:eastAsia="Arial" w:hAnsi="Arial"/>
                <w:sz w:val="8"/>
                <w:szCs w:val="8"/>
                <w:b w:val="1"/>
                <w:bCs w:val="1"/>
                <w:color w:val="auto"/>
              </w:rPr>
              <w:t>Paid-in</w:t>
            </w:r>
          </w:p>
        </w:tc>
        <w:tc>
          <w:tcPr>
            <w:tcW w:w="180" w:type="dxa"/>
            <w:vAlign w:val="bottom"/>
          </w:tcPr>
          <w:p>
            <w:pPr>
              <w:spacing w:after="0"/>
              <w:rPr>
                <w:sz w:val="6"/>
                <w:szCs w:val="6"/>
                <w:color w:val="auto"/>
              </w:rPr>
            </w:pPr>
          </w:p>
        </w:tc>
        <w:tc>
          <w:tcPr>
            <w:tcW w:w="1380" w:type="dxa"/>
            <w:vAlign w:val="bottom"/>
            <w:gridSpan w:val="2"/>
          </w:tcPr>
          <w:p>
            <w:pPr>
              <w:jc w:val="center"/>
              <w:ind w:right="300"/>
              <w:spacing w:after="0" w:line="69" w:lineRule="exact"/>
              <w:rPr>
                <w:sz w:val="20"/>
                <w:szCs w:val="20"/>
                <w:color w:val="auto"/>
              </w:rPr>
            </w:pPr>
            <w:r>
              <w:rPr>
                <w:rFonts w:ascii="Arial" w:cs="Arial" w:eastAsia="Arial" w:hAnsi="Arial"/>
                <w:sz w:val="8"/>
                <w:szCs w:val="8"/>
                <w:b w:val="1"/>
                <w:bCs w:val="1"/>
                <w:color w:val="auto"/>
              </w:rPr>
              <w:t>Comprehensive</w:t>
            </w:r>
          </w:p>
        </w:tc>
        <w:tc>
          <w:tcPr>
            <w:tcW w:w="200" w:type="dxa"/>
            <w:vAlign w:val="bottom"/>
          </w:tcPr>
          <w:p>
            <w:pPr>
              <w:spacing w:after="0"/>
              <w:rPr>
                <w:sz w:val="6"/>
                <w:szCs w:val="6"/>
                <w:color w:val="auto"/>
              </w:rPr>
            </w:pPr>
          </w:p>
        </w:tc>
        <w:tc>
          <w:tcPr>
            <w:tcW w:w="1260" w:type="dxa"/>
            <w:vAlign w:val="bottom"/>
            <w:gridSpan w:val="2"/>
          </w:tcPr>
          <w:p>
            <w:pPr>
              <w:jc w:val="center"/>
              <w:ind w:right="320"/>
              <w:spacing w:after="0" w:line="69" w:lineRule="exact"/>
              <w:rPr>
                <w:sz w:val="20"/>
                <w:szCs w:val="20"/>
                <w:color w:val="auto"/>
              </w:rPr>
            </w:pPr>
            <w:r>
              <w:rPr>
                <w:rFonts w:ascii="Arial" w:cs="Arial" w:eastAsia="Arial" w:hAnsi="Arial"/>
                <w:sz w:val="8"/>
                <w:szCs w:val="8"/>
                <w:b w:val="1"/>
                <w:bCs w:val="1"/>
                <w:color w:val="auto"/>
              </w:rPr>
              <w:t>Accumulated</w:t>
            </w:r>
          </w:p>
        </w:tc>
        <w:tc>
          <w:tcPr>
            <w:tcW w:w="180" w:type="dxa"/>
            <w:vAlign w:val="bottom"/>
          </w:tcPr>
          <w:p>
            <w:pPr>
              <w:spacing w:after="0"/>
              <w:rPr>
                <w:sz w:val="6"/>
                <w:szCs w:val="6"/>
                <w:color w:val="auto"/>
              </w:rPr>
            </w:pPr>
          </w:p>
        </w:tc>
        <w:tc>
          <w:tcPr>
            <w:tcW w:w="1180" w:type="dxa"/>
            <w:vAlign w:val="bottom"/>
          </w:tcPr>
          <w:p>
            <w:pPr>
              <w:jc w:val="center"/>
              <w:ind w:right="124"/>
              <w:spacing w:after="0" w:line="69"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65"/>
        </w:trPr>
        <w:tc>
          <w:tcPr>
            <w:tcW w:w="28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320" w:type="dxa"/>
            <w:vAlign w:val="bottom"/>
            <w:gridSpan w:val="2"/>
          </w:tcPr>
          <w:p>
            <w:pPr>
              <w:ind w:left="420"/>
              <w:spacing w:after="0"/>
              <w:rPr>
                <w:sz w:val="20"/>
                <w:szCs w:val="20"/>
                <w:color w:val="auto"/>
              </w:rPr>
            </w:pPr>
            <w:r>
              <w:rPr>
                <w:rFonts w:ascii="Arial" w:cs="Arial" w:eastAsia="Arial" w:hAnsi="Arial"/>
                <w:sz w:val="11"/>
                <w:szCs w:val="11"/>
                <w:b w:val="1"/>
                <w:bCs w:val="1"/>
                <w:color w:val="auto"/>
              </w:rPr>
              <w:t>Shares</w:t>
            </w:r>
          </w:p>
        </w:tc>
        <w:tc>
          <w:tcPr>
            <w:tcW w:w="3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Capital</w:t>
            </w: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Income (Loss)</w:t>
            </w:r>
          </w:p>
        </w:tc>
        <w:tc>
          <w:tcPr>
            <w:tcW w:w="2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Deficit</w:t>
            </w:r>
          </w:p>
        </w:tc>
        <w:tc>
          <w:tcPr>
            <w:tcW w:w="180" w:type="dxa"/>
            <w:vAlign w:val="bottom"/>
          </w:tcPr>
          <w:p>
            <w:pPr>
              <w:spacing w:after="0"/>
              <w:rPr>
                <w:sz w:val="14"/>
                <w:szCs w:val="14"/>
                <w:color w:val="auto"/>
              </w:rPr>
            </w:pPr>
          </w:p>
        </w:tc>
        <w:tc>
          <w:tcPr>
            <w:tcW w:w="1180" w:type="dxa"/>
            <w:vAlign w:val="bottom"/>
          </w:tcPr>
          <w:p>
            <w:pPr>
              <w:jc w:val="center"/>
              <w:ind w:right="124"/>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61"/>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192,294</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192</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1,372,083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85</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(1,036,869)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335,491</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1"/>
                <w:szCs w:val="11"/>
                <w:color w:val="auto"/>
              </w:rPr>
              <w:t>Net loss</w:t>
            </w: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(181,223)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(181,223)</w:t>
            </w:r>
          </w:p>
        </w:tc>
        <w:tc>
          <w:tcPr>
            <w:tcW w:w="0" w:type="dxa"/>
            <w:vAlign w:val="bottom"/>
          </w:tcPr>
          <w:p>
            <w:pPr>
              <w:spacing w:after="0"/>
              <w:rPr>
                <w:sz w:val="1"/>
                <w:szCs w:val="1"/>
                <w:color w:val="auto"/>
              </w:rPr>
            </w:pPr>
          </w:p>
        </w:tc>
      </w:tr>
      <w:tr>
        <w:trPr>
          <w:trHeight w:val="178"/>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(1,172)</w:t>
            </w:r>
          </w:p>
        </w:tc>
        <w:tc>
          <w:tcPr>
            <w:tcW w:w="0" w:type="dxa"/>
            <w:vAlign w:val="bottom"/>
          </w:tcPr>
          <w:p>
            <w:pPr>
              <w:spacing w:after="0"/>
              <w:rPr>
                <w:sz w:val="1"/>
                <w:szCs w:val="1"/>
                <w:color w:val="auto"/>
              </w:rPr>
            </w:pPr>
          </w:p>
        </w:tc>
      </w:tr>
      <w:tr>
        <w:trPr>
          <w:trHeight w:val="132"/>
        </w:trPr>
        <w:tc>
          <w:tcPr>
            <w:tcW w:w="2820" w:type="dxa"/>
            <w:vAlign w:val="bottom"/>
          </w:tcPr>
          <w:p>
            <w:pPr>
              <w:ind w:left="20"/>
              <w:spacing w:after="0"/>
              <w:rPr>
                <w:sz w:val="20"/>
                <w:szCs w:val="20"/>
                <w:color w:val="auto"/>
              </w:rPr>
            </w:pPr>
            <w:r>
              <w:rPr>
                <w:rFonts w:ascii="Arial" w:cs="Arial" w:eastAsia="Arial" w:hAnsi="Arial"/>
                <w:sz w:val="11"/>
                <w:szCs w:val="11"/>
                <w:color w:val="auto"/>
              </w:rPr>
              <w:t>Issuance of common stock in conjunction with equity</w:t>
            </w:r>
          </w:p>
        </w:tc>
        <w:tc>
          <w:tcPr>
            <w:tcW w:w="1220" w:type="dxa"/>
            <w:vAlign w:val="bottom"/>
            <w:vMerge w:val="restart"/>
          </w:tcPr>
          <w:p>
            <w:pPr>
              <w:jc w:val="right"/>
              <w:spacing w:after="0"/>
              <w:rPr>
                <w:sz w:val="20"/>
                <w:szCs w:val="20"/>
                <w:color w:val="auto"/>
              </w:rPr>
            </w:pPr>
            <w:r>
              <w:rPr>
                <w:rFonts w:ascii="Arial" w:cs="Arial" w:eastAsia="Arial" w:hAnsi="Arial"/>
                <w:sz w:val="11"/>
                <w:szCs w:val="11"/>
                <w:color w:val="auto"/>
              </w:rPr>
              <w:t>8,557</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1"/>
                <w:szCs w:val="11"/>
                <w:color w:val="auto"/>
              </w:rPr>
              <w:t>31,797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1"/>
                <w:szCs w:val="11"/>
                <w:color w:val="auto"/>
              </w:rPr>
              <w:t>31,806</w:t>
            </w:r>
          </w:p>
        </w:tc>
        <w:tc>
          <w:tcPr>
            <w:tcW w:w="0" w:type="dxa"/>
            <w:vAlign w:val="bottom"/>
          </w:tcPr>
          <w:p>
            <w:pPr>
              <w:spacing w:after="0"/>
              <w:rPr>
                <w:sz w:val="1"/>
                <w:szCs w:val="1"/>
                <w:color w:val="auto"/>
              </w:rPr>
            </w:pPr>
          </w:p>
        </w:tc>
      </w:tr>
      <w:tr>
        <w:trPr>
          <w:trHeight w:val="152"/>
        </w:trPr>
        <w:tc>
          <w:tcPr>
            <w:tcW w:w="2820" w:type="dxa"/>
            <w:vAlign w:val="bottom"/>
          </w:tcPr>
          <w:p>
            <w:pPr>
              <w:ind w:left="20"/>
              <w:spacing w:after="0"/>
              <w:rPr>
                <w:sz w:val="20"/>
                <w:szCs w:val="20"/>
                <w:color w:val="auto"/>
              </w:rPr>
            </w:pPr>
            <w:r>
              <w:rPr>
                <w:rFonts w:ascii="Arial" w:cs="Arial" w:eastAsia="Arial" w:hAnsi="Arial"/>
                <w:sz w:val="11"/>
                <w:szCs w:val="11"/>
                <w:color w:val="auto"/>
              </w:rPr>
              <w:t>plans</w:t>
            </w: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in Private Placement, net of</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11,215</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294,834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294,845</w:t>
            </w: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costs</w:t>
            </w:r>
          </w:p>
        </w:tc>
        <w:tc>
          <w:tcPr>
            <w:tcW w:w="12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1"/>
                <w:szCs w:val="11"/>
                <w:color w:val="auto"/>
              </w:rPr>
              <w:t>Issuance of common stock in acquisition of Omniome</w:t>
            </w:r>
          </w:p>
        </w:tc>
        <w:tc>
          <w:tcPr>
            <w:tcW w:w="1220" w:type="dxa"/>
            <w:vAlign w:val="bottom"/>
          </w:tcPr>
          <w:p>
            <w:pPr>
              <w:jc w:val="right"/>
              <w:spacing w:after="0"/>
              <w:rPr>
                <w:sz w:val="20"/>
                <w:szCs w:val="20"/>
                <w:color w:val="auto"/>
              </w:rPr>
            </w:pPr>
            <w:r>
              <w:rPr>
                <w:rFonts w:ascii="Arial" w:cs="Arial" w:eastAsia="Arial" w:hAnsi="Arial"/>
                <w:sz w:val="11"/>
                <w:szCs w:val="11"/>
                <w:color w:val="auto"/>
              </w:rPr>
              <w:t>8,912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237,876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237,885</w:t>
            </w:r>
          </w:p>
        </w:tc>
        <w:tc>
          <w:tcPr>
            <w:tcW w:w="0" w:type="dxa"/>
            <w:vAlign w:val="bottom"/>
          </w:tcPr>
          <w:p>
            <w:pPr>
              <w:spacing w:after="0"/>
              <w:rPr>
                <w:sz w:val="1"/>
                <w:szCs w:val="1"/>
                <w:color w:val="auto"/>
              </w:rPr>
            </w:pPr>
          </w:p>
        </w:tc>
      </w:tr>
      <w:tr>
        <w:trPr>
          <w:trHeight w:val="178"/>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Share-based compensation expense</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73,355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73,355</w:t>
            </w:r>
          </w:p>
        </w:tc>
        <w:tc>
          <w:tcPr>
            <w:tcW w:w="0" w:type="dxa"/>
            <w:vAlign w:val="bottom"/>
          </w:tcPr>
          <w:p>
            <w:pPr>
              <w:spacing w:after="0"/>
              <w:rPr>
                <w:sz w:val="1"/>
                <w:szCs w:val="1"/>
                <w:color w:val="auto"/>
              </w:rPr>
            </w:pPr>
          </w:p>
        </w:tc>
      </w:tr>
      <w:tr>
        <w:trPr>
          <w:trHeight w:val="155"/>
        </w:trPr>
        <w:tc>
          <w:tcPr>
            <w:tcW w:w="282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220,978</w:t>
            </w:r>
          </w:p>
        </w:tc>
        <w:tc>
          <w:tcPr>
            <w:tcW w:w="100" w:type="dxa"/>
            <w:vAlign w:val="bottom"/>
          </w:tcPr>
          <w:p>
            <w:pPr>
              <w:spacing w:after="0"/>
              <w:rPr>
                <w:sz w:val="13"/>
                <w:szCs w:val="13"/>
                <w:color w:val="auto"/>
              </w:rPr>
            </w:pPr>
          </w:p>
        </w:tc>
        <w:tc>
          <w:tcPr>
            <w:tcW w:w="380" w:type="dxa"/>
            <w:vAlign w:val="bottom"/>
            <w:tcBorders>
              <w:top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221</w:t>
            </w: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2,009,945</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(1,087)</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(1,218,092)</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790,987</w:t>
            </w: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(314,248)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(314,248)</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(3,678)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(3,678)</w:t>
            </w:r>
          </w:p>
        </w:tc>
        <w:tc>
          <w:tcPr>
            <w:tcW w:w="0" w:type="dxa"/>
            <w:vAlign w:val="bottom"/>
          </w:tcPr>
          <w:p>
            <w:pPr>
              <w:spacing w:after="0"/>
              <w:rPr>
                <w:sz w:val="1"/>
                <w:szCs w:val="1"/>
                <w:color w:val="auto"/>
              </w:rPr>
            </w:pPr>
          </w:p>
        </w:tc>
      </w:tr>
      <w:tr>
        <w:trPr>
          <w:trHeight w:val="140"/>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in conjunction with equity</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5,527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11,224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11,230</w:t>
            </w: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plans</w:t>
            </w:r>
          </w:p>
        </w:tc>
        <w:tc>
          <w:tcPr>
            <w:tcW w:w="12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1"/>
                <w:szCs w:val="11"/>
                <w:color w:val="auto"/>
              </w:rPr>
              <w:t>Share-based compensation expense</w:t>
            </w: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78,613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78,613</w:t>
            </w:r>
          </w:p>
        </w:tc>
        <w:tc>
          <w:tcPr>
            <w:tcW w:w="0" w:type="dxa"/>
            <w:vAlign w:val="bottom"/>
          </w:tcPr>
          <w:p>
            <w:pPr>
              <w:spacing w:after="0"/>
              <w:rPr>
                <w:sz w:val="1"/>
                <w:szCs w:val="1"/>
                <w:color w:val="auto"/>
              </w:rPr>
            </w:pPr>
          </w:p>
        </w:tc>
      </w:tr>
      <w:tr>
        <w:trPr>
          <w:trHeight w:val="169"/>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226,505</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2,099,782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(4,765)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(1,532,340)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562,904</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1"/>
                <w:szCs w:val="11"/>
                <w:color w:val="auto"/>
              </w:rPr>
              <w:t>Net loss</w:t>
            </w: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(306,735)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(306,735)</w:t>
            </w:r>
          </w:p>
        </w:tc>
        <w:tc>
          <w:tcPr>
            <w:tcW w:w="0" w:type="dxa"/>
            <w:vAlign w:val="bottom"/>
          </w:tcPr>
          <w:p>
            <w:pPr>
              <w:spacing w:after="0"/>
              <w:rPr>
                <w:sz w:val="1"/>
                <w:szCs w:val="1"/>
                <w:color w:val="auto"/>
              </w:rPr>
            </w:pPr>
          </w:p>
        </w:tc>
      </w:tr>
      <w:tr>
        <w:trPr>
          <w:trHeight w:val="178"/>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4,984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4,984</w:t>
            </w:r>
          </w:p>
        </w:tc>
        <w:tc>
          <w:tcPr>
            <w:tcW w:w="0" w:type="dxa"/>
            <w:vAlign w:val="bottom"/>
          </w:tcPr>
          <w:p>
            <w:pPr>
              <w:spacing w:after="0"/>
              <w:rPr>
                <w:sz w:val="1"/>
                <w:szCs w:val="1"/>
                <w:color w:val="auto"/>
              </w:rPr>
            </w:pPr>
          </w:p>
        </w:tc>
      </w:tr>
      <w:tr>
        <w:trPr>
          <w:trHeight w:val="132"/>
        </w:trPr>
        <w:tc>
          <w:tcPr>
            <w:tcW w:w="2820" w:type="dxa"/>
            <w:vAlign w:val="bottom"/>
          </w:tcPr>
          <w:p>
            <w:pPr>
              <w:ind w:left="20"/>
              <w:spacing w:after="0"/>
              <w:rPr>
                <w:sz w:val="20"/>
                <w:szCs w:val="20"/>
                <w:color w:val="auto"/>
              </w:rPr>
            </w:pPr>
            <w:r>
              <w:rPr>
                <w:rFonts w:ascii="Arial" w:cs="Arial" w:eastAsia="Arial" w:hAnsi="Arial"/>
                <w:sz w:val="11"/>
                <w:szCs w:val="11"/>
                <w:color w:val="auto"/>
              </w:rPr>
              <w:t>Issuance of common stock following milestone</w:t>
            </w:r>
          </w:p>
        </w:tc>
        <w:tc>
          <w:tcPr>
            <w:tcW w:w="1220" w:type="dxa"/>
            <w:vAlign w:val="bottom"/>
            <w:vMerge w:val="restart"/>
          </w:tcPr>
          <w:p>
            <w:pPr>
              <w:jc w:val="right"/>
              <w:spacing w:after="0"/>
              <w:rPr>
                <w:sz w:val="20"/>
                <w:szCs w:val="20"/>
                <w:color w:val="auto"/>
              </w:rPr>
            </w:pPr>
            <w:r>
              <w:rPr>
                <w:rFonts w:ascii="Arial" w:cs="Arial" w:eastAsia="Arial" w:hAnsi="Arial"/>
                <w:sz w:val="11"/>
                <w:szCs w:val="11"/>
                <w:color w:val="auto"/>
              </w:rPr>
              <w:t>8,988</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1"/>
                <w:szCs w:val="11"/>
                <w:color w:val="auto"/>
              </w:rPr>
              <w:t>84,752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1"/>
                <w:szCs w:val="11"/>
                <w:color w:val="auto"/>
              </w:rPr>
              <w:t>84,761</w:t>
            </w:r>
          </w:p>
        </w:tc>
        <w:tc>
          <w:tcPr>
            <w:tcW w:w="0" w:type="dxa"/>
            <w:vAlign w:val="bottom"/>
          </w:tcPr>
          <w:p>
            <w:pPr>
              <w:spacing w:after="0"/>
              <w:rPr>
                <w:sz w:val="1"/>
                <w:szCs w:val="1"/>
                <w:color w:val="auto"/>
              </w:rPr>
            </w:pPr>
          </w:p>
        </w:tc>
      </w:tr>
      <w:tr>
        <w:trPr>
          <w:trHeight w:val="152"/>
        </w:trPr>
        <w:tc>
          <w:tcPr>
            <w:tcW w:w="2820" w:type="dxa"/>
            <w:vAlign w:val="bottom"/>
          </w:tcPr>
          <w:p>
            <w:pPr>
              <w:ind w:left="20"/>
              <w:spacing w:after="0"/>
              <w:rPr>
                <w:sz w:val="20"/>
                <w:szCs w:val="20"/>
                <w:color w:val="auto"/>
              </w:rPr>
            </w:pPr>
            <w:r>
              <w:rPr>
                <w:rFonts w:ascii="Arial" w:cs="Arial" w:eastAsia="Arial" w:hAnsi="Arial"/>
                <w:sz w:val="11"/>
                <w:szCs w:val="11"/>
                <w:color w:val="auto"/>
              </w:rPr>
              <w:t>achievement</w:t>
            </w: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in acquisition of Apton</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76,636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76,642</w:t>
            </w:r>
          </w:p>
        </w:tc>
        <w:tc>
          <w:tcPr>
            <w:tcW w:w="0" w:type="dxa"/>
            <w:vAlign w:val="bottom"/>
          </w:tcPr>
          <w:p>
            <w:pPr>
              <w:spacing w:after="0"/>
              <w:rPr>
                <w:sz w:val="1"/>
                <w:szCs w:val="1"/>
                <w:color w:val="auto"/>
              </w:rPr>
            </w:pPr>
          </w:p>
        </w:tc>
      </w:tr>
      <w:tr>
        <w:trPr>
          <w:trHeight w:val="132"/>
        </w:trPr>
        <w:tc>
          <w:tcPr>
            <w:tcW w:w="2820" w:type="dxa"/>
            <w:vAlign w:val="bottom"/>
          </w:tcPr>
          <w:p>
            <w:pPr>
              <w:ind w:left="20"/>
              <w:spacing w:after="0"/>
              <w:rPr>
                <w:sz w:val="20"/>
                <w:szCs w:val="20"/>
                <w:color w:val="auto"/>
              </w:rPr>
            </w:pPr>
            <w:r>
              <w:rPr>
                <w:rFonts w:ascii="Arial" w:cs="Arial" w:eastAsia="Arial" w:hAnsi="Arial"/>
                <w:sz w:val="11"/>
                <w:szCs w:val="11"/>
                <w:color w:val="auto"/>
              </w:rPr>
              <w:t>Issuance of common stock in connection with Apton</w:t>
            </w:r>
          </w:p>
        </w:tc>
        <w:tc>
          <w:tcPr>
            <w:tcW w:w="1220" w:type="dxa"/>
            <w:vAlign w:val="bottom"/>
            <w:vMerge w:val="restart"/>
          </w:tcPr>
          <w:p>
            <w:pPr>
              <w:jc w:val="right"/>
              <w:spacing w:after="0"/>
              <w:rPr>
                <w:sz w:val="20"/>
                <w:szCs w:val="20"/>
                <w:color w:val="auto"/>
              </w:rPr>
            </w:pPr>
            <w:r>
              <w:rPr>
                <w:rFonts w:ascii="Arial" w:cs="Arial" w:eastAsia="Arial" w:hAnsi="Arial"/>
                <w:sz w:val="11"/>
                <w:szCs w:val="11"/>
                <w:color w:val="auto"/>
              </w:rPr>
              <w:t>169</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1"/>
                <w:szCs w:val="11"/>
                <w:color w:val="auto"/>
              </w:rPr>
              <w:t>2,111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1"/>
                <w:szCs w:val="11"/>
                <w:color w:val="auto"/>
              </w:rPr>
              <w:t>2,111</w:t>
            </w:r>
          </w:p>
        </w:tc>
        <w:tc>
          <w:tcPr>
            <w:tcW w:w="0" w:type="dxa"/>
            <w:vAlign w:val="bottom"/>
          </w:tcPr>
          <w:p>
            <w:pPr>
              <w:spacing w:after="0"/>
              <w:rPr>
                <w:sz w:val="1"/>
                <w:szCs w:val="1"/>
                <w:color w:val="auto"/>
              </w:rPr>
            </w:pPr>
          </w:p>
        </w:tc>
      </w:tr>
      <w:tr>
        <w:trPr>
          <w:trHeight w:val="152"/>
        </w:trPr>
        <w:tc>
          <w:tcPr>
            <w:tcW w:w="2820" w:type="dxa"/>
            <w:vAlign w:val="bottom"/>
          </w:tcPr>
          <w:p>
            <w:pPr>
              <w:ind w:left="20"/>
              <w:spacing w:after="0"/>
              <w:rPr>
                <w:sz w:val="20"/>
                <w:szCs w:val="20"/>
                <w:color w:val="auto"/>
              </w:rPr>
            </w:pPr>
            <w:r>
              <w:rPr>
                <w:rFonts w:ascii="Arial" w:cs="Arial" w:eastAsia="Arial" w:hAnsi="Arial"/>
                <w:sz w:val="11"/>
                <w:szCs w:val="11"/>
                <w:color w:val="auto"/>
              </w:rPr>
              <w:t>liquidity event bonus plan</w:t>
            </w: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from Underwritten Public</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20,125</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189,180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189,200</w:t>
            </w: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Offering, net of issuance costs</w:t>
            </w:r>
          </w:p>
        </w:tc>
        <w:tc>
          <w:tcPr>
            <w:tcW w:w="12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20" w:type="dxa"/>
            <w:vAlign w:val="bottom"/>
          </w:tcPr>
          <w:p>
            <w:pPr>
              <w:ind w:left="20"/>
              <w:spacing w:after="0"/>
              <w:rPr>
                <w:sz w:val="20"/>
                <w:szCs w:val="20"/>
                <w:color w:val="auto"/>
              </w:rPr>
            </w:pPr>
            <w:r>
              <w:rPr>
                <w:rFonts w:ascii="Arial" w:cs="Arial" w:eastAsia="Arial" w:hAnsi="Arial"/>
                <w:sz w:val="11"/>
                <w:szCs w:val="11"/>
                <w:color w:val="auto"/>
              </w:rPr>
              <w:t>Issuance of common stock in conjunction with equity</w:t>
            </w:r>
          </w:p>
        </w:tc>
        <w:tc>
          <w:tcPr>
            <w:tcW w:w="1220" w:type="dxa"/>
            <w:vAlign w:val="bottom"/>
            <w:vMerge w:val="restart"/>
          </w:tcPr>
          <w:p>
            <w:pPr>
              <w:jc w:val="right"/>
              <w:spacing w:after="0"/>
              <w:rPr>
                <w:sz w:val="20"/>
                <w:szCs w:val="20"/>
                <w:color w:val="auto"/>
              </w:rPr>
            </w:pPr>
            <w:r>
              <w:rPr>
                <w:rFonts w:ascii="Arial" w:cs="Arial" w:eastAsia="Arial" w:hAnsi="Arial"/>
                <w:sz w:val="11"/>
                <w:szCs w:val="11"/>
                <w:color w:val="auto"/>
              </w:rPr>
              <w:t>5,836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1"/>
                <w:szCs w:val="11"/>
                <w:color w:val="auto"/>
              </w:rPr>
              <w:t>15,313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1"/>
                <w:szCs w:val="11"/>
                <w:color w:val="auto"/>
              </w:rPr>
              <w:t>15,319</w:t>
            </w:r>
          </w:p>
        </w:tc>
        <w:tc>
          <w:tcPr>
            <w:tcW w:w="0" w:type="dxa"/>
            <w:vAlign w:val="bottom"/>
          </w:tcPr>
          <w:p>
            <w:pPr>
              <w:spacing w:after="0"/>
              <w:rPr>
                <w:sz w:val="1"/>
                <w:szCs w:val="1"/>
                <w:color w:val="auto"/>
              </w:rPr>
            </w:pPr>
          </w:p>
        </w:tc>
      </w:tr>
      <w:tr>
        <w:trPr>
          <w:trHeight w:val="152"/>
        </w:trPr>
        <w:tc>
          <w:tcPr>
            <w:tcW w:w="2820" w:type="dxa"/>
            <w:vAlign w:val="bottom"/>
          </w:tcPr>
          <w:p>
            <w:pPr>
              <w:ind w:left="20"/>
              <w:spacing w:after="0"/>
              <w:rPr>
                <w:sz w:val="20"/>
                <w:szCs w:val="20"/>
                <w:color w:val="auto"/>
              </w:rPr>
            </w:pPr>
            <w:r>
              <w:rPr>
                <w:rFonts w:ascii="Arial" w:cs="Arial" w:eastAsia="Arial" w:hAnsi="Arial"/>
                <w:sz w:val="11"/>
                <w:szCs w:val="11"/>
                <w:color w:val="auto"/>
              </w:rPr>
              <w:t>plans</w:t>
            </w: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Share-based compensation expense</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72,118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72,118</w:t>
            </w:r>
          </w:p>
        </w:tc>
        <w:tc>
          <w:tcPr>
            <w:tcW w:w="0" w:type="dxa"/>
            <w:vAlign w:val="bottom"/>
          </w:tcPr>
          <w:p>
            <w:pPr>
              <w:spacing w:after="0"/>
              <w:rPr>
                <w:sz w:val="1"/>
                <w:szCs w:val="1"/>
                <w:color w:val="auto"/>
              </w:rPr>
            </w:pPr>
          </w:p>
        </w:tc>
      </w:tr>
      <w:tr>
        <w:trPr>
          <w:trHeight w:val="169"/>
        </w:trPr>
        <w:tc>
          <w:tcPr>
            <w:tcW w:w="282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2023</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267,744</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268</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2,539,892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219</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(1,839,075)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701,304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accompanying </w:t>
      </w:r>
      <w:r>
        <w:rPr>
          <w:rFonts w:ascii="Arial" w:cs="Arial" w:eastAsia="Arial" w:hAnsi="Arial"/>
          <w:sz w:val="14"/>
          <w:szCs w:val="14"/>
          <w:u w:val="single" w:color="auto"/>
          <w:color w:val="0000FF"/>
        </w:rPr>
        <w:t>notes</w:t>
      </w:r>
      <w:r>
        <w:rPr>
          <w:rFonts w:ascii="Arial" w:cs="Arial" w:eastAsia="Arial" w:hAnsi="Arial"/>
          <w:sz w:val="14"/>
          <w:szCs w:val="14"/>
          <w:color w:val="auto"/>
        </w:rPr>
        <w:t xml:space="preserve"> to the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PACIFIC BIOSCIENCES OF CALIFORNIA,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0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Years Ended December 31,</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 thousands)</w:t>
            </w: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19"/>
        </w:trPr>
        <w:tc>
          <w:tcPr>
            <w:tcW w:w="7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0" w:type="dxa"/>
            <w:vAlign w:val="bottom"/>
          </w:tcPr>
          <w:p>
            <w:pPr>
              <w:ind w:left="20"/>
              <w:spacing w:after="0"/>
              <w:rPr>
                <w:sz w:val="20"/>
                <w:szCs w:val="20"/>
                <w:color w:val="auto"/>
              </w:rPr>
            </w:pPr>
            <w:r>
              <w:rPr>
                <w:rFonts w:ascii="Arial" w:cs="Arial" w:eastAsia="Arial" w:hAnsi="Arial"/>
                <w:sz w:val="10"/>
                <w:szCs w:val="10"/>
                <w:color w:val="auto"/>
              </w:rPr>
              <w:t>Net loss</w:t>
            </w:r>
          </w:p>
        </w:tc>
        <w:tc>
          <w:tcPr>
            <w:tcW w:w="32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(306,735)</w:t>
            </w:r>
          </w:p>
        </w:tc>
        <w:tc>
          <w:tcPr>
            <w:tcW w:w="80" w:type="dxa"/>
            <w:vAlign w:val="bottom"/>
          </w:tcPr>
          <w:p>
            <w:pPr>
              <w:spacing w:after="0"/>
              <w:rPr>
                <w:sz w:val="11"/>
                <w:szCs w:val="11"/>
                <w:color w:val="auto"/>
              </w:rPr>
            </w:pPr>
          </w:p>
        </w:tc>
        <w:tc>
          <w:tcPr>
            <w:tcW w:w="32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(314,248)</w:t>
            </w:r>
          </w:p>
        </w:tc>
        <w:tc>
          <w:tcPr>
            <w:tcW w:w="100" w:type="dxa"/>
            <w:vAlign w:val="bottom"/>
          </w:tcPr>
          <w:p>
            <w:pPr>
              <w:spacing w:after="0"/>
              <w:rPr>
                <w:sz w:val="11"/>
                <w:szCs w:val="11"/>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(181,223)</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20"/>
              <w:spacing w:after="0"/>
              <w:rPr>
                <w:sz w:val="20"/>
                <w:szCs w:val="20"/>
                <w:color w:val="auto"/>
              </w:rPr>
            </w:pPr>
            <w:r>
              <w:rPr>
                <w:rFonts w:ascii="Arial" w:cs="Arial" w:eastAsia="Arial" w:hAnsi="Arial"/>
                <w:sz w:val="10"/>
                <w:szCs w:val="10"/>
                <w:color w:val="auto"/>
              </w:rPr>
              <w:t>Adjustments to reconcile net loss to net cash used in operating activities</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000" w:type="dxa"/>
            <w:vAlign w:val="bottom"/>
          </w:tcPr>
          <w:p>
            <w:pPr>
              <w:ind w:left="220"/>
              <w:spacing w:after="0"/>
              <w:rPr>
                <w:sz w:val="20"/>
                <w:szCs w:val="20"/>
                <w:color w:val="auto"/>
              </w:rPr>
            </w:pPr>
            <w:r>
              <w:rPr>
                <w:rFonts w:ascii="Arial" w:cs="Arial" w:eastAsia="Arial" w:hAnsi="Arial"/>
                <w:sz w:val="10"/>
                <w:szCs w:val="10"/>
                <w:color w:val="auto"/>
              </w:rPr>
              <w:t>Loss (gain) from Continuation Advances</w:t>
            </w:r>
          </w:p>
        </w:tc>
        <w:tc>
          <w:tcPr>
            <w:tcW w:w="3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52,000</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Depreciation</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11,463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9,480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7,199</w:t>
            </w:r>
          </w:p>
        </w:tc>
        <w:tc>
          <w:tcPr>
            <w:tcW w:w="0" w:type="dxa"/>
            <w:vAlign w:val="bottom"/>
          </w:tcPr>
          <w:p>
            <w:pPr>
              <w:spacing w:after="0"/>
              <w:rPr>
                <w:sz w:val="1"/>
                <w:szCs w:val="1"/>
                <w:color w:val="auto"/>
              </w:rPr>
            </w:pPr>
          </w:p>
        </w:tc>
      </w:tr>
      <w:tr>
        <w:trPr>
          <w:trHeight w:val="134"/>
        </w:trPr>
        <w:tc>
          <w:tcPr>
            <w:tcW w:w="7000" w:type="dxa"/>
            <w:vAlign w:val="bottom"/>
          </w:tcPr>
          <w:p>
            <w:pPr>
              <w:ind w:left="220"/>
              <w:spacing w:after="0"/>
              <w:rPr>
                <w:sz w:val="20"/>
                <w:szCs w:val="20"/>
                <w:color w:val="auto"/>
              </w:rPr>
            </w:pPr>
            <w:r>
              <w:rPr>
                <w:rFonts w:ascii="Arial" w:cs="Arial" w:eastAsia="Arial" w:hAnsi="Arial"/>
                <w:sz w:val="10"/>
                <w:szCs w:val="10"/>
                <w:color w:val="auto"/>
              </w:rPr>
              <w:t>Amortization of intangible assets</w:t>
            </w:r>
          </w:p>
        </w:tc>
        <w:tc>
          <w:tcPr>
            <w:tcW w:w="32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Arial" w:cs="Arial" w:eastAsia="Arial" w:hAnsi="Arial"/>
                <w:sz w:val="10"/>
                <w:szCs w:val="10"/>
                <w:color w:val="auto"/>
              </w:rPr>
              <w:t>8,261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913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381</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Amortization of right-of-use assets</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6,810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6,925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4,005</w:t>
            </w:r>
          </w:p>
        </w:tc>
        <w:tc>
          <w:tcPr>
            <w:tcW w:w="0" w:type="dxa"/>
            <w:vAlign w:val="bottom"/>
          </w:tcPr>
          <w:p>
            <w:pPr>
              <w:spacing w:after="0"/>
              <w:rPr>
                <w:sz w:val="1"/>
                <w:szCs w:val="1"/>
                <w:color w:val="auto"/>
              </w:rPr>
            </w:pPr>
          </w:p>
        </w:tc>
      </w:tr>
      <w:tr>
        <w:trPr>
          <w:trHeight w:val="134"/>
        </w:trPr>
        <w:tc>
          <w:tcPr>
            <w:tcW w:w="7000" w:type="dxa"/>
            <w:vAlign w:val="bottom"/>
          </w:tcPr>
          <w:p>
            <w:pPr>
              <w:ind w:left="220"/>
              <w:spacing w:after="0"/>
              <w:rPr>
                <w:sz w:val="20"/>
                <w:szCs w:val="20"/>
                <w:color w:val="auto"/>
              </w:rPr>
            </w:pPr>
            <w:r>
              <w:rPr>
                <w:rFonts w:ascii="Arial" w:cs="Arial" w:eastAsia="Arial" w:hAnsi="Arial"/>
                <w:sz w:val="10"/>
                <w:szCs w:val="10"/>
                <w:color w:val="auto"/>
              </w:rPr>
              <w:t>Share-based compensation</w:t>
            </w:r>
          </w:p>
        </w:tc>
        <w:tc>
          <w:tcPr>
            <w:tcW w:w="32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Arial" w:cs="Arial" w:eastAsia="Arial" w:hAnsi="Arial"/>
                <w:sz w:val="10"/>
                <w:szCs w:val="10"/>
                <w:color w:val="auto"/>
              </w:rPr>
              <w:t>72,118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78,613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73,355</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Merger-related compensation expense</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3,395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7000" w:type="dxa"/>
            <w:vAlign w:val="bottom"/>
          </w:tcPr>
          <w:p>
            <w:pPr>
              <w:ind w:left="220"/>
              <w:spacing w:after="0"/>
              <w:rPr>
                <w:sz w:val="20"/>
                <w:szCs w:val="20"/>
                <w:color w:val="auto"/>
              </w:rPr>
            </w:pPr>
            <w:r>
              <w:rPr>
                <w:rFonts w:ascii="Arial" w:cs="Arial" w:eastAsia="Arial" w:hAnsi="Arial"/>
                <w:sz w:val="10"/>
                <w:szCs w:val="10"/>
                <w:color w:val="auto"/>
              </w:rPr>
              <w:t>Loss on extinguishment of debt</w:t>
            </w:r>
          </w:p>
        </w:tc>
        <w:tc>
          <w:tcPr>
            <w:tcW w:w="32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Arial" w:cs="Arial" w:eastAsia="Arial" w:hAnsi="Arial"/>
                <w:sz w:val="10"/>
                <w:szCs w:val="10"/>
                <w:color w:val="auto"/>
              </w:rPr>
              <w:t>2,033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Amortization of premium and accretion of discount on marketable securities, net</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(12,840)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4,011</w:t>
            </w:r>
          </w:p>
        </w:tc>
        <w:tc>
          <w:tcPr>
            <w:tcW w:w="0" w:type="dxa"/>
            <w:vAlign w:val="bottom"/>
          </w:tcPr>
          <w:p>
            <w:pPr>
              <w:spacing w:after="0"/>
              <w:rPr>
                <w:sz w:val="1"/>
                <w:szCs w:val="1"/>
                <w:color w:val="auto"/>
              </w:rPr>
            </w:pPr>
          </w:p>
        </w:tc>
      </w:tr>
      <w:tr>
        <w:trPr>
          <w:trHeight w:val="134"/>
        </w:trPr>
        <w:tc>
          <w:tcPr>
            <w:tcW w:w="7000" w:type="dxa"/>
            <w:vAlign w:val="bottom"/>
          </w:tcPr>
          <w:p>
            <w:pPr>
              <w:ind w:left="220"/>
              <w:spacing w:after="0"/>
              <w:rPr>
                <w:sz w:val="20"/>
                <w:szCs w:val="20"/>
                <w:color w:val="auto"/>
              </w:rPr>
            </w:pPr>
            <w:r>
              <w:rPr>
                <w:rFonts w:ascii="Arial" w:cs="Arial" w:eastAsia="Arial" w:hAnsi="Arial"/>
                <w:sz w:val="10"/>
                <w:szCs w:val="10"/>
                <w:color w:val="auto"/>
              </w:rPr>
              <w:t>Change in the estimated fair value of contingent consideration</w:t>
            </w:r>
          </w:p>
        </w:tc>
        <w:tc>
          <w:tcPr>
            <w:tcW w:w="32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Arial" w:cs="Arial" w:eastAsia="Arial" w:hAnsi="Arial"/>
                <w:sz w:val="10"/>
                <w:szCs w:val="10"/>
                <w:color w:val="auto"/>
              </w:rPr>
              <w:t>15,060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2,377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1,143</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Inventory provision</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10,584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6,027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678</w:t>
            </w:r>
          </w:p>
        </w:tc>
        <w:tc>
          <w:tcPr>
            <w:tcW w:w="0" w:type="dxa"/>
            <w:vAlign w:val="bottom"/>
          </w:tcPr>
          <w:p>
            <w:pPr>
              <w:spacing w:after="0"/>
              <w:rPr>
                <w:sz w:val="1"/>
                <w:szCs w:val="1"/>
                <w:color w:val="auto"/>
              </w:rPr>
            </w:pPr>
          </w:p>
        </w:tc>
      </w:tr>
      <w:tr>
        <w:trPr>
          <w:trHeight w:val="134"/>
        </w:trPr>
        <w:tc>
          <w:tcPr>
            <w:tcW w:w="7000" w:type="dxa"/>
            <w:vAlign w:val="bottom"/>
          </w:tcPr>
          <w:p>
            <w:pPr>
              <w:ind w:left="220"/>
              <w:spacing w:after="0"/>
              <w:rPr>
                <w:sz w:val="20"/>
                <w:szCs w:val="20"/>
                <w:color w:val="auto"/>
              </w:rPr>
            </w:pPr>
            <w:r>
              <w:rPr>
                <w:rFonts w:ascii="Arial" w:cs="Arial" w:eastAsia="Arial" w:hAnsi="Arial"/>
                <w:sz w:val="10"/>
                <w:szCs w:val="10"/>
                <w:color w:val="auto"/>
              </w:rPr>
              <w:t>Deferred income taxes</w:t>
            </w: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(11,424)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(93,649)</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Other</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1,059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w:t>
            </w:r>
          </w:p>
        </w:tc>
        <w:tc>
          <w:tcPr>
            <w:tcW w:w="0" w:type="dxa"/>
            <w:vAlign w:val="bottom"/>
          </w:tcPr>
          <w:p>
            <w:pPr>
              <w:spacing w:after="0"/>
              <w:rPr>
                <w:sz w:val="1"/>
                <w:szCs w:val="1"/>
                <w:color w:val="auto"/>
              </w:rPr>
            </w:pPr>
          </w:p>
        </w:tc>
      </w:tr>
      <w:tr>
        <w:trPr>
          <w:trHeight w:val="134"/>
        </w:trPr>
        <w:tc>
          <w:tcPr>
            <w:tcW w:w="7000" w:type="dxa"/>
            <w:vAlign w:val="bottom"/>
          </w:tcPr>
          <w:p>
            <w:pPr>
              <w:ind w:left="220"/>
              <w:spacing w:after="0"/>
              <w:rPr>
                <w:sz w:val="20"/>
                <w:szCs w:val="20"/>
                <w:color w:val="auto"/>
              </w:rPr>
            </w:pPr>
            <w:r>
              <w:rPr>
                <w:rFonts w:ascii="Arial" w:cs="Arial" w:eastAsia="Arial" w:hAnsi="Arial"/>
                <w:sz w:val="10"/>
                <w:szCs w:val="10"/>
                <w:color w:val="auto"/>
              </w:rPr>
              <w:t>Changes in assets and liabilities</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340"/>
              <w:spacing w:after="0"/>
              <w:rPr>
                <w:sz w:val="20"/>
                <w:szCs w:val="20"/>
                <w:color w:val="auto"/>
              </w:rPr>
            </w:pPr>
            <w:r>
              <w:rPr>
                <w:rFonts w:ascii="Arial" w:cs="Arial" w:eastAsia="Arial" w:hAnsi="Arial"/>
                <w:sz w:val="10"/>
                <w:szCs w:val="10"/>
                <w:color w:val="auto"/>
              </w:rPr>
              <w:t>Accounts receivable, net</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(17,829)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5,455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(7,166)</w:t>
            </w:r>
          </w:p>
        </w:tc>
        <w:tc>
          <w:tcPr>
            <w:tcW w:w="0" w:type="dxa"/>
            <w:vAlign w:val="bottom"/>
          </w:tcPr>
          <w:p>
            <w:pPr>
              <w:spacing w:after="0"/>
              <w:rPr>
                <w:sz w:val="1"/>
                <w:szCs w:val="1"/>
                <w:color w:val="auto"/>
              </w:rPr>
            </w:pPr>
          </w:p>
        </w:tc>
      </w:tr>
      <w:tr>
        <w:trPr>
          <w:trHeight w:val="134"/>
        </w:trPr>
        <w:tc>
          <w:tcPr>
            <w:tcW w:w="7000" w:type="dxa"/>
            <w:vAlign w:val="bottom"/>
          </w:tcPr>
          <w:p>
            <w:pPr>
              <w:ind w:left="340"/>
              <w:spacing w:after="0"/>
              <w:rPr>
                <w:sz w:val="20"/>
                <w:szCs w:val="20"/>
                <w:color w:val="auto"/>
              </w:rPr>
            </w:pPr>
            <w:r>
              <w:rPr>
                <w:rFonts w:ascii="Arial" w:cs="Arial" w:eastAsia="Arial" w:hAnsi="Arial"/>
                <w:sz w:val="10"/>
                <w:szCs w:val="10"/>
                <w:color w:val="auto"/>
              </w:rPr>
              <w:t>Inventory, net</w:t>
            </w: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(13,841)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(33,906)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(13,109)</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340"/>
              <w:spacing w:after="0"/>
              <w:rPr>
                <w:sz w:val="20"/>
                <w:szCs w:val="20"/>
                <w:color w:val="auto"/>
              </w:rPr>
            </w:pPr>
            <w:r>
              <w:rPr>
                <w:rFonts w:ascii="Arial" w:cs="Arial" w:eastAsia="Arial" w:hAnsi="Arial"/>
                <w:sz w:val="10"/>
                <w:szCs w:val="10"/>
                <w:color w:val="auto"/>
              </w:rPr>
              <w:t>Prepaid expenses and other assets</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(8,984)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(12,324)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(1,024)</w:t>
            </w:r>
          </w:p>
        </w:tc>
        <w:tc>
          <w:tcPr>
            <w:tcW w:w="0" w:type="dxa"/>
            <w:vAlign w:val="bottom"/>
          </w:tcPr>
          <w:p>
            <w:pPr>
              <w:spacing w:after="0"/>
              <w:rPr>
                <w:sz w:val="1"/>
                <w:szCs w:val="1"/>
                <w:color w:val="auto"/>
              </w:rPr>
            </w:pPr>
          </w:p>
        </w:tc>
      </w:tr>
      <w:tr>
        <w:trPr>
          <w:trHeight w:val="134"/>
        </w:trPr>
        <w:tc>
          <w:tcPr>
            <w:tcW w:w="7000" w:type="dxa"/>
            <w:vAlign w:val="bottom"/>
          </w:tcPr>
          <w:p>
            <w:pPr>
              <w:ind w:left="340"/>
              <w:spacing w:after="0"/>
              <w:rPr>
                <w:sz w:val="20"/>
                <w:szCs w:val="20"/>
                <w:color w:val="auto"/>
              </w:rPr>
            </w:pPr>
            <w:r>
              <w:rPr>
                <w:rFonts w:ascii="Arial" w:cs="Arial" w:eastAsia="Arial" w:hAnsi="Arial"/>
                <w:sz w:val="10"/>
                <w:szCs w:val="10"/>
                <w:color w:val="auto"/>
              </w:rPr>
              <w:t>Accounts payable</w:t>
            </w:r>
          </w:p>
        </w:tc>
        <w:tc>
          <w:tcPr>
            <w:tcW w:w="32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Arial" w:cs="Arial" w:eastAsia="Arial" w:hAnsi="Arial"/>
                <w:sz w:val="10"/>
                <w:szCs w:val="10"/>
                <w:color w:val="auto"/>
              </w:rPr>
              <w:t>206</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1,025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6,363</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340"/>
              <w:spacing w:after="0"/>
              <w:rPr>
                <w:sz w:val="20"/>
                <w:szCs w:val="20"/>
                <w:color w:val="auto"/>
              </w:rPr>
            </w:pPr>
            <w:r>
              <w:rPr>
                <w:rFonts w:ascii="Arial" w:cs="Arial" w:eastAsia="Arial" w:hAnsi="Arial"/>
                <w:sz w:val="10"/>
                <w:szCs w:val="10"/>
                <w:color w:val="auto"/>
              </w:rPr>
              <w:t>Accrued expenses</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13,103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(3,651)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15,320</w:t>
            </w:r>
          </w:p>
        </w:tc>
        <w:tc>
          <w:tcPr>
            <w:tcW w:w="0" w:type="dxa"/>
            <w:vAlign w:val="bottom"/>
          </w:tcPr>
          <w:p>
            <w:pPr>
              <w:spacing w:after="0"/>
              <w:rPr>
                <w:sz w:val="1"/>
                <w:szCs w:val="1"/>
                <w:color w:val="auto"/>
              </w:rPr>
            </w:pPr>
          </w:p>
        </w:tc>
      </w:tr>
      <w:tr>
        <w:trPr>
          <w:trHeight w:val="134"/>
        </w:trPr>
        <w:tc>
          <w:tcPr>
            <w:tcW w:w="7000" w:type="dxa"/>
            <w:vAlign w:val="bottom"/>
          </w:tcPr>
          <w:p>
            <w:pPr>
              <w:ind w:left="340"/>
              <w:spacing w:after="0"/>
              <w:rPr>
                <w:sz w:val="20"/>
                <w:szCs w:val="20"/>
                <w:color w:val="auto"/>
              </w:rPr>
            </w:pPr>
            <w:r>
              <w:rPr>
                <w:rFonts w:ascii="Arial" w:cs="Arial" w:eastAsia="Arial" w:hAnsi="Arial"/>
                <w:sz w:val="10"/>
                <w:szCs w:val="10"/>
                <w:color w:val="auto"/>
              </w:rPr>
              <w:t>Deferred revenue</w:t>
            </w: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(10,420)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(3,734)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25,736</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340"/>
              <w:spacing w:after="0"/>
              <w:rPr>
                <w:sz w:val="20"/>
                <w:szCs w:val="20"/>
                <w:color w:val="auto"/>
              </w:rPr>
            </w:pPr>
            <w:r>
              <w:rPr>
                <w:rFonts w:ascii="Arial" w:cs="Arial" w:eastAsia="Arial" w:hAnsi="Arial"/>
                <w:sz w:val="10"/>
                <w:szCs w:val="10"/>
                <w:color w:val="auto"/>
              </w:rPr>
              <w:t>Operating lease liabilities</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(8,759)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(7,724)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(4,990)</w:t>
            </w:r>
          </w:p>
        </w:tc>
        <w:tc>
          <w:tcPr>
            <w:tcW w:w="0" w:type="dxa"/>
            <w:vAlign w:val="bottom"/>
          </w:tcPr>
          <w:p>
            <w:pPr>
              <w:spacing w:after="0"/>
              <w:rPr>
                <w:sz w:val="1"/>
                <w:szCs w:val="1"/>
                <w:color w:val="auto"/>
              </w:rPr>
            </w:pPr>
          </w:p>
        </w:tc>
      </w:tr>
      <w:tr>
        <w:trPr>
          <w:trHeight w:val="134"/>
        </w:trPr>
        <w:tc>
          <w:tcPr>
            <w:tcW w:w="7000" w:type="dxa"/>
            <w:vAlign w:val="bottom"/>
          </w:tcPr>
          <w:p>
            <w:pPr>
              <w:ind w:left="340"/>
              <w:spacing w:after="0"/>
              <w:rPr>
                <w:sz w:val="20"/>
                <w:szCs w:val="20"/>
                <w:color w:val="auto"/>
              </w:rPr>
            </w:pPr>
            <w:r>
              <w:rPr>
                <w:rFonts w:ascii="Arial" w:cs="Arial" w:eastAsia="Arial" w:hAnsi="Arial"/>
                <w:sz w:val="10"/>
                <w:szCs w:val="10"/>
                <w:color w:val="auto"/>
              </w:rPr>
              <w:t>Contingent consideration liability</w:t>
            </w: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(14,882)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340"/>
              <w:spacing w:after="0"/>
              <w:rPr>
                <w:sz w:val="20"/>
                <w:szCs w:val="20"/>
                <w:color w:val="auto"/>
              </w:rPr>
            </w:pPr>
            <w:r>
              <w:rPr>
                <w:rFonts w:ascii="Arial" w:cs="Arial" w:eastAsia="Arial" w:hAnsi="Arial"/>
                <w:sz w:val="10"/>
                <w:szCs w:val="10"/>
                <w:color w:val="auto"/>
              </w:rPr>
              <w:t>Other liabilities</w:t>
            </w: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2,449</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887</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(803)</w:t>
            </w:r>
          </w:p>
        </w:tc>
        <w:tc>
          <w:tcPr>
            <w:tcW w:w="0" w:type="dxa"/>
            <w:vAlign w:val="bottom"/>
          </w:tcPr>
          <w:p>
            <w:pPr>
              <w:spacing w:after="0"/>
              <w:rPr>
                <w:sz w:val="1"/>
                <w:szCs w:val="1"/>
                <w:color w:val="auto"/>
              </w:rPr>
            </w:pPr>
          </w:p>
        </w:tc>
      </w:tr>
      <w:tr>
        <w:trPr>
          <w:trHeight w:val="124"/>
        </w:trPr>
        <w:tc>
          <w:tcPr>
            <w:tcW w:w="7000" w:type="dxa"/>
            <w:vAlign w:val="bottom"/>
            <w:tcBorders>
              <w:bottom w:val="single" w:sz="8" w:color="CCEEFF"/>
            </w:tcBorders>
          </w:tcPr>
          <w:p>
            <w:pPr>
              <w:ind w:left="600"/>
              <w:spacing w:after="0"/>
              <w:rPr>
                <w:sz w:val="20"/>
                <w:szCs w:val="20"/>
                <w:color w:val="auto"/>
              </w:rPr>
            </w:pPr>
            <w:r>
              <w:rPr>
                <w:rFonts w:ascii="Arial" w:cs="Arial" w:eastAsia="Arial" w:hAnsi="Arial"/>
                <w:sz w:val="10"/>
                <w:szCs w:val="10"/>
                <w:color w:val="auto"/>
              </w:rPr>
              <w:t>Net cash used in operating activities</w:t>
            </w: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(259,173)</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(263,211)</w:t>
            </w: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(111,180)</w:t>
            </w:r>
          </w:p>
        </w:tc>
        <w:tc>
          <w:tcPr>
            <w:tcW w:w="0" w:type="dxa"/>
            <w:vAlign w:val="bottom"/>
          </w:tcPr>
          <w:p>
            <w:pPr>
              <w:spacing w:after="0"/>
              <w:rPr>
                <w:sz w:val="1"/>
                <w:szCs w:val="1"/>
                <w:color w:val="auto"/>
              </w:rPr>
            </w:pPr>
          </w:p>
        </w:tc>
      </w:tr>
      <w:tr>
        <w:trPr>
          <w:trHeight w:val="122"/>
        </w:trPr>
        <w:tc>
          <w:tcPr>
            <w:tcW w:w="700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Cash flows from investing activities</w:t>
            </w: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0" w:type="dxa"/>
            <w:vAlign w:val="bottom"/>
          </w:tcPr>
          <w:p>
            <w:pPr>
              <w:ind w:left="80"/>
              <w:spacing w:after="0"/>
              <w:rPr>
                <w:sz w:val="20"/>
                <w:szCs w:val="20"/>
                <w:color w:val="auto"/>
              </w:rPr>
            </w:pPr>
            <w:r>
              <w:rPr>
                <w:rFonts w:ascii="Arial" w:cs="Arial" w:eastAsia="Arial" w:hAnsi="Arial"/>
                <w:sz w:val="10"/>
                <w:szCs w:val="10"/>
                <w:color w:val="auto"/>
              </w:rPr>
              <w:t>Purchase of property and equipment</w:t>
            </w: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(8,843)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(16,750)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(5,931)</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80"/>
              <w:spacing w:after="0"/>
              <w:rPr>
                <w:sz w:val="20"/>
                <w:szCs w:val="20"/>
                <w:color w:val="auto"/>
              </w:rPr>
            </w:pPr>
            <w:r>
              <w:rPr>
                <w:rFonts w:ascii="Arial" w:cs="Arial" w:eastAsia="Arial" w:hAnsi="Arial"/>
                <w:sz w:val="10"/>
                <w:szCs w:val="10"/>
                <w:color w:val="auto"/>
              </w:rPr>
              <w:t>Purchase of intangible assets</w:t>
            </w: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7000" w:type="dxa"/>
            <w:vAlign w:val="bottom"/>
          </w:tcPr>
          <w:p>
            <w:pPr>
              <w:ind w:left="80"/>
              <w:spacing w:after="0"/>
              <w:rPr>
                <w:sz w:val="20"/>
                <w:szCs w:val="20"/>
                <w:color w:val="auto"/>
              </w:rPr>
            </w:pPr>
            <w:r>
              <w:rPr>
                <w:rFonts w:ascii="Arial" w:cs="Arial" w:eastAsia="Arial" w:hAnsi="Arial"/>
                <w:sz w:val="10"/>
                <w:szCs w:val="10"/>
                <w:color w:val="auto"/>
              </w:rPr>
              <w:t>Cash paid for purchases of acquired entities, net of cash acquired</w:t>
            </w: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(102)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(319,793)</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80"/>
              <w:spacing w:after="0"/>
              <w:rPr>
                <w:sz w:val="20"/>
                <w:szCs w:val="20"/>
                <w:color w:val="auto"/>
              </w:rPr>
            </w:pPr>
            <w:r>
              <w:rPr>
                <w:rFonts w:ascii="Arial" w:cs="Arial" w:eastAsia="Arial" w:hAnsi="Arial"/>
                <w:sz w:val="10"/>
                <w:szCs w:val="10"/>
                <w:color w:val="auto"/>
              </w:rPr>
              <w:t>Purchase of investments</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(756,567)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(442,788)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(988,046)</w:t>
            </w:r>
          </w:p>
        </w:tc>
        <w:tc>
          <w:tcPr>
            <w:tcW w:w="0" w:type="dxa"/>
            <w:vAlign w:val="bottom"/>
          </w:tcPr>
          <w:p>
            <w:pPr>
              <w:spacing w:after="0"/>
              <w:rPr>
                <w:sz w:val="1"/>
                <w:szCs w:val="1"/>
                <w:color w:val="auto"/>
              </w:rPr>
            </w:pPr>
          </w:p>
        </w:tc>
      </w:tr>
      <w:tr>
        <w:trPr>
          <w:trHeight w:val="134"/>
        </w:trPr>
        <w:tc>
          <w:tcPr>
            <w:tcW w:w="7000" w:type="dxa"/>
            <w:vAlign w:val="bottom"/>
          </w:tcPr>
          <w:p>
            <w:pPr>
              <w:ind w:left="80"/>
              <w:spacing w:after="0"/>
              <w:rPr>
                <w:sz w:val="20"/>
                <w:szCs w:val="20"/>
                <w:color w:val="auto"/>
              </w:rPr>
            </w:pPr>
            <w:r>
              <w:rPr>
                <w:rFonts w:ascii="Arial" w:cs="Arial" w:eastAsia="Arial" w:hAnsi="Arial"/>
                <w:sz w:val="10"/>
                <w:szCs w:val="10"/>
                <w:color w:val="auto"/>
              </w:rPr>
              <w:t>Sales of investments</w:t>
            </w:r>
          </w:p>
        </w:tc>
        <w:tc>
          <w:tcPr>
            <w:tcW w:w="32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Arial" w:cs="Arial" w:eastAsia="Arial" w:hAnsi="Arial"/>
                <w:sz w:val="10"/>
                <w:szCs w:val="10"/>
                <w:color w:val="auto"/>
              </w:rPr>
              <w:t>595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212,734</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80"/>
              <w:spacing w:after="0"/>
              <w:rPr>
                <w:sz w:val="20"/>
                <w:szCs w:val="20"/>
                <w:color w:val="auto"/>
              </w:rPr>
            </w:pPr>
            <w:r>
              <w:rPr>
                <w:rFonts w:ascii="Arial" w:cs="Arial" w:eastAsia="Arial" w:hAnsi="Arial"/>
                <w:sz w:val="10"/>
                <w:szCs w:val="10"/>
                <w:color w:val="auto"/>
              </w:rPr>
              <w:t>Maturities of investments</w:t>
            </w: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769,521</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575,800</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422,505</w:t>
            </w:r>
          </w:p>
        </w:tc>
        <w:tc>
          <w:tcPr>
            <w:tcW w:w="0" w:type="dxa"/>
            <w:vAlign w:val="bottom"/>
          </w:tcPr>
          <w:p>
            <w:pPr>
              <w:spacing w:after="0"/>
              <w:rPr>
                <w:sz w:val="1"/>
                <w:szCs w:val="1"/>
                <w:color w:val="auto"/>
              </w:rPr>
            </w:pPr>
          </w:p>
        </w:tc>
      </w:tr>
      <w:tr>
        <w:trPr>
          <w:trHeight w:val="124"/>
        </w:trPr>
        <w:tc>
          <w:tcPr>
            <w:tcW w:w="7000" w:type="dxa"/>
            <w:vAlign w:val="bottom"/>
            <w:tcBorders>
              <w:bottom w:val="single" w:sz="8" w:color="CCEEFF"/>
            </w:tcBorders>
          </w:tcPr>
          <w:p>
            <w:pPr>
              <w:ind w:left="600"/>
              <w:spacing w:after="0"/>
              <w:rPr>
                <w:sz w:val="20"/>
                <w:szCs w:val="20"/>
                <w:color w:val="auto"/>
              </w:rPr>
            </w:pPr>
            <w:r>
              <w:rPr>
                <w:rFonts w:ascii="Arial" w:cs="Arial" w:eastAsia="Arial" w:hAnsi="Arial"/>
                <w:sz w:val="10"/>
                <w:szCs w:val="10"/>
                <w:color w:val="auto"/>
              </w:rPr>
              <w:t>Net cash provided by (used in) in investing activities</w:t>
            </w: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4,604</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116,083</w:t>
            </w: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(678,531)</w:t>
            </w:r>
          </w:p>
        </w:tc>
        <w:tc>
          <w:tcPr>
            <w:tcW w:w="0" w:type="dxa"/>
            <w:vAlign w:val="bottom"/>
          </w:tcPr>
          <w:p>
            <w:pPr>
              <w:spacing w:after="0"/>
              <w:rPr>
                <w:sz w:val="1"/>
                <w:szCs w:val="1"/>
                <w:color w:val="auto"/>
              </w:rPr>
            </w:pPr>
          </w:p>
        </w:tc>
      </w:tr>
      <w:tr>
        <w:trPr>
          <w:trHeight w:val="122"/>
        </w:trPr>
        <w:tc>
          <w:tcPr>
            <w:tcW w:w="700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Cash flows from financing activities</w:t>
            </w: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0" w:type="dxa"/>
            <w:vAlign w:val="bottom"/>
          </w:tcPr>
          <w:p>
            <w:pPr>
              <w:ind w:left="80"/>
              <w:spacing w:after="0"/>
              <w:rPr>
                <w:sz w:val="20"/>
                <w:szCs w:val="20"/>
                <w:color w:val="auto"/>
              </w:rPr>
            </w:pPr>
            <w:r>
              <w:rPr>
                <w:rFonts w:ascii="Arial" w:cs="Arial" w:eastAsia="Arial" w:hAnsi="Arial"/>
                <w:sz w:val="10"/>
                <w:szCs w:val="10"/>
                <w:color w:val="auto"/>
              </w:rPr>
              <w:t>Continuation Advances</w:t>
            </w:r>
          </w:p>
        </w:tc>
        <w:tc>
          <w:tcPr>
            <w:tcW w:w="3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(52,000)</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80"/>
              <w:spacing w:after="0"/>
              <w:rPr>
                <w:sz w:val="20"/>
                <w:szCs w:val="20"/>
                <w:color w:val="auto"/>
              </w:rPr>
            </w:pPr>
            <w:r>
              <w:rPr>
                <w:rFonts w:ascii="Arial" w:cs="Arial" w:eastAsia="Arial" w:hAnsi="Arial"/>
                <w:sz w:val="10"/>
                <w:szCs w:val="10"/>
                <w:color w:val="auto"/>
              </w:rPr>
              <w:t>Proceeds from issuance of Convertible Senior Notes, net of issuance costs</w:t>
            </w: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895,536</w:t>
            </w:r>
          </w:p>
        </w:tc>
        <w:tc>
          <w:tcPr>
            <w:tcW w:w="0" w:type="dxa"/>
            <w:vAlign w:val="bottom"/>
          </w:tcPr>
          <w:p>
            <w:pPr>
              <w:spacing w:after="0"/>
              <w:rPr>
                <w:sz w:val="1"/>
                <w:szCs w:val="1"/>
                <w:color w:val="auto"/>
              </w:rPr>
            </w:pPr>
          </w:p>
        </w:tc>
      </w:tr>
      <w:tr>
        <w:trPr>
          <w:trHeight w:val="134"/>
        </w:trPr>
        <w:tc>
          <w:tcPr>
            <w:tcW w:w="7000" w:type="dxa"/>
            <w:vAlign w:val="bottom"/>
          </w:tcPr>
          <w:p>
            <w:pPr>
              <w:ind w:left="80"/>
              <w:spacing w:after="0"/>
              <w:rPr>
                <w:sz w:val="20"/>
                <w:szCs w:val="20"/>
                <w:color w:val="auto"/>
              </w:rPr>
            </w:pPr>
            <w:r>
              <w:rPr>
                <w:rFonts w:ascii="Arial" w:cs="Arial" w:eastAsia="Arial" w:hAnsi="Arial"/>
                <w:sz w:val="10"/>
                <w:szCs w:val="10"/>
                <w:color w:val="auto"/>
              </w:rPr>
              <w:t>Proceeds from issuance of common stock under equity offerings, net of issuance costs</w:t>
            </w:r>
          </w:p>
        </w:tc>
        <w:tc>
          <w:tcPr>
            <w:tcW w:w="32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Arial" w:cs="Arial" w:eastAsia="Arial" w:hAnsi="Arial"/>
                <w:sz w:val="10"/>
                <w:szCs w:val="10"/>
                <w:color w:val="auto"/>
              </w:rPr>
              <w:t>189,200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294,845</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80"/>
              <w:spacing w:after="0"/>
              <w:rPr>
                <w:sz w:val="20"/>
                <w:szCs w:val="20"/>
                <w:color w:val="auto"/>
              </w:rPr>
            </w:pPr>
            <w:r>
              <w:rPr>
                <w:rFonts w:ascii="Arial" w:cs="Arial" w:eastAsia="Arial" w:hAnsi="Arial"/>
                <w:sz w:val="10"/>
                <w:szCs w:val="10"/>
                <w:color w:val="auto"/>
              </w:rPr>
              <w:t>Proceeds from issuance of common stock from equity plans</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15,319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11,230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31,806</w:t>
            </w:r>
          </w:p>
        </w:tc>
        <w:tc>
          <w:tcPr>
            <w:tcW w:w="0" w:type="dxa"/>
            <w:vAlign w:val="bottom"/>
          </w:tcPr>
          <w:p>
            <w:pPr>
              <w:spacing w:after="0"/>
              <w:rPr>
                <w:sz w:val="1"/>
                <w:szCs w:val="1"/>
                <w:color w:val="auto"/>
              </w:rPr>
            </w:pPr>
          </w:p>
        </w:tc>
      </w:tr>
      <w:tr>
        <w:trPr>
          <w:trHeight w:val="134"/>
        </w:trPr>
        <w:tc>
          <w:tcPr>
            <w:tcW w:w="7000" w:type="dxa"/>
            <w:vAlign w:val="bottom"/>
          </w:tcPr>
          <w:p>
            <w:pPr>
              <w:ind w:left="80"/>
              <w:spacing w:after="0"/>
              <w:rPr>
                <w:sz w:val="20"/>
                <w:szCs w:val="20"/>
                <w:color w:val="auto"/>
              </w:rPr>
            </w:pPr>
            <w:r>
              <w:rPr>
                <w:rFonts w:ascii="Arial" w:cs="Arial" w:eastAsia="Arial" w:hAnsi="Arial"/>
                <w:sz w:val="10"/>
                <w:szCs w:val="10"/>
                <w:color w:val="auto"/>
              </w:rPr>
              <w:t>Payment of debt issuance costs</w:t>
            </w: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(7,375)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80"/>
              <w:spacing w:after="0"/>
              <w:rPr>
                <w:sz w:val="20"/>
                <w:szCs w:val="20"/>
                <w:color w:val="auto"/>
              </w:rPr>
            </w:pPr>
            <w:r>
              <w:rPr>
                <w:rFonts w:ascii="Arial" w:cs="Arial" w:eastAsia="Arial" w:hAnsi="Arial"/>
                <w:sz w:val="10"/>
                <w:szCs w:val="10"/>
                <w:color w:val="auto"/>
              </w:rPr>
              <w:t>Payment of contingent consideration</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(86,411)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7000" w:type="dxa"/>
            <w:vAlign w:val="bottom"/>
          </w:tcPr>
          <w:p>
            <w:pPr>
              <w:ind w:left="80"/>
              <w:spacing w:after="0"/>
              <w:rPr>
                <w:sz w:val="20"/>
                <w:szCs w:val="20"/>
                <w:color w:val="auto"/>
              </w:rPr>
            </w:pPr>
            <w:r>
              <w:rPr>
                <w:rFonts w:ascii="Arial" w:cs="Arial" w:eastAsia="Arial" w:hAnsi="Arial"/>
                <w:sz w:val="10"/>
                <w:szCs w:val="10"/>
                <w:color w:val="auto"/>
              </w:rPr>
              <w:t>Notes payable principal payoff</w:t>
            </w: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(1,842)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(1,608)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(361)</w:t>
            </w:r>
          </w:p>
        </w:tc>
        <w:tc>
          <w:tcPr>
            <w:tcW w:w="0" w:type="dxa"/>
            <w:vAlign w:val="bottom"/>
          </w:tcPr>
          <w:p>
            <w:pPr>
              <w:spacing w:after="0"/>
              <w:rPr>
                <w:sz w:val="1"/>
                <w:szCs w:val="1"/>
                <w:color w:val="auto"/>
              </w:rPr>
            </w:pPr>
          </w:p>
        </w:tc>
      </w:tr>
      <w:tr>
        <w:trPr>
          <w:trHeight w:val="142"/>
        </w:trPr>
        <w:tc>
          <w:tcPr>
            <w:tcW w:w="7000" w:type="dxa"/>
            <w:vAlign w:val="bottom"/>
            <w:shd w:val="clear" w:color="auto" w:fill="CCEEFF"/>
          </w:tcPr>
          <w:p>
            <w:pPr>
              <w:ind w:left="80"/>
              <w:spacing w:after="0"/>
              <w:rPr>
                <w:sz w:val="20"/>
                <w:szCs w:val="20"/>
                <w:color w:val="auto"/>
              </w:rPr>
            </w:pPr>
            <w:r>
              <w:rPr>
                <w:rFonts w:ascii="Arial" w:cs="Arial" w:eastAsia="Arial" w:hAnsi="Arial"/>
                <w:sz w:val="10"/>
                <w:szCs w:val="10"/>
                <w:color w:val="auto"/>
              </w:rPr>
              <w:t>Other</w:t>
            </w: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w:t>
            </w:r>
          </w:p>
        </w:tc>
        <w:tc>
          <w:tcPr>
            <w:tcW w:w="0" w:type="dxa"/>
            <w:vAlign w:val="bottom"/>
          </w:tcPr>
          <w:p>
            <w:pPr>
              <w:spacing w:after="0"/>
              <w:rPr>
                <w:sz w:val="1"/>
                <w:szCs w:val="1"/>
                <w:color w:val="auto"/>
              </w:rPr>
            </w:pPr>
          </w:p>
        </w:tc>
      </w:tr>
      <w:tr>
        <w:trPr>
          <w:trHeight w:val="124"/>
        </w:trPr>
        <w:tc>
          <w:tcPr>
            <w:tcW w:w="7000" w:type="dxa"/>
            <w:vAlign w:val="bottom"/>
            <w:tcBorders>
              <w:bottom w:val="single" w:sz="8" w:color="CCEEFF"/>
            </w:tcBorders>
          </w:tcPr>
          <w:p>
            <w:pPr>
              <w:ind w:left="600"/>
              <w:spacing w:after="0"/>
              <w:rPr>
                <w:sz w:val="20"/>
                <w:szCs w:val="20"/>
                <w:color w:val="auto"/>
              </w:rPr>
            </w:pPr>
            <w:r>
              <w:rPr>
                <w:rFonts w:ascii="Arial" w:cs="Arial" w:eastAsia="Arial" w:hAnsi="Arial"/>
                <w:sz w:val="10"/>
                <w:szCs w:val="10"/>
                <w:color w:val="auto"/>
              </w:rPr>
              <w:t>Net cash provided by financing activities</w:t>
            </w:r>
          </w:p>
        </w:tc>
        <w:tc>
          <w:tcPr>
            <w:tcW w:w="320" w:type="dxa"/>
            <w:vAlign w:val="bottom"/>
            <w:tcBorders>
              <w:top w:val="single" w:sz="8" w:color="auto"/>
              <w:bottom w:val="single" w:sz="8" w:color="auto"/>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108,891</w:t>
            </w:r>
          </w:p>
        </w:tc>
        <w:tc>
          <w:tcPr>
            <w:tcW w:w="8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9,622</w:t>
            </w:r>
          </w:p>
        </w:tc>
        <w:tc>
          <w:tcPr>
            <w:tcW w:w="10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1,169,581</w:t>
            </w:r>
          </w:p>
        </w:tc>
        <w:tc>
          <w:tcPr>
            <w:tcW w:w="0" w:type="dxa"/>
            <w:vAlign w:val="bottom"/>
          </w:tcPr>
          <w:p>
            <w:pPr>
              <w:spacing w:after="0"/>
              <w:rPr>
                <w:sz w:val="1"/>
                <w:szCs w:val="1"/>
                <w:color w:val="auto"/>
              </w:rPr>
            </w:pPr>
          </w:p>
        </w:tc>
      </w:tr>
      <w:tr>
        <w:trPr>
          <w:trHeight w:val="133"/>
        </w:trPr>
        <w:tc>
          <w:tcPr>
            <w:tcW w:w="7000" w:type="dxa"/>
            <w:vAlign w:val="bottom"/>
            <w:shd w:val="clear" w:color="auto" w:fill="CCEEFF"/>
          </w:tcPr>
          <w:p>
            <w:pPr>
              <w:ind w:left="80"/>
              <w:spacing w:after="0"/>
              <w:rPr>
                <w:sz w:val="20"/>
                <w:szCs w:val="20"/>
                <w:color w:val="auto"/>
              </w:rPr>
            </w:pPr>
            <w:r>
              <w:rPr>
                <w:rFonts w:ascii="Arial" w:cs="Arial" w:eastAsia="Arial" w:hAnsi="Arial"/>
                <w:sz w:val="10"/>
                <w:szCs w:val="10"/>
                <w:color w:val="auto"/>
              </w:rPr>
              <w:t>Net (decrease) increase in cash, cash equivalents, and restricted cash</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(145,678)</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(137,506)</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379,870</w:t>
            </w:r>
          </w:p>
        </w:tc>
        <w:tc>
          <w:tcPr>
            <w:tcW w:w="0" w:type="dxa"/>
            <w:vAlign w:val="bottom"/>
          </w:tcPr>
          <w:p>
            <w:pPr>
              <w:spacing w:after="0"/>
              <w:rPr>
                <w:sz w:val="1"/>
                <w:szCs w:val="1"/>
                <w:color w:val="auto"/>
              </w:rPr>
            </w:pPr>
          </w:p>
        </w:tc>
      </w:tr>
      <w:tr>
        <w:trPr>
          <w:trHeight w:val="134"/>
        </w:trPr>
        <w:tc>
          <w:tcPr>
            <w:tcW w:w="700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Cash, cash equivalents, and restricted cash at beginning of period</w:t>
            </w: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328,311</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465,817</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85,947</w:t>
            </w:r>
          </w:p>
        </w:tc>
        <w:tc>
          <w:tcPr>
            <w:tcW w:w="0" w:type="dxa"/>
            <w:vAlign w:val="bottom"/>
          </w:tcPr>
          <w:p>
            <w:pPr>
              <w:spacing w:after="0"/>
              <w:rPr>
                <w:sz w:val="1"/>
                <w:szCs w:val="1"/>
                <w:color w:val="auto"/>
              </w:rPr>
            </w:pPr>
          </w:p>
        </w:tc>
      </w:tr>
      <w:tr>
        <w:trPr>
          <w:trHeight w:val="158"/>
        </w:trPr>
        <w:tc>
          <w:tcPr>
            <w:tcW w:w="7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Cash, cash equivalents, and restricted cash at end of period</w:t>
            </w:r>
          </w:p>
        </w:tc>
        <w:tc>
          <w:tcPr>
            <w:tcW w:w="3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182,633</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328,311</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465,817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0"/>
                <w:szCs w:val="10"/>
                <w:color w:val="auto"/>
              </w:rPr>
              <w:t>Cash and cash equivalents at end of period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70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jc w:val="right"/>
              <w:ind w:right="11"/>
              <w:spacing w:after="0" w:line="96" w:lineRule="exact"/>
              <w:rPr>
                <w:sz w:val="20"/>
                <w:szCs w:val="20"/>
                <w:color w:val="auto"/>
              </w:rPr>
            </w:pPr>
            <w:r>
              <w:rPr>
                <w:rFonts w:ascii="Arial" w:cs="Arial" w:eastAsia="Arial" w:hAnsi="Arial"/>
                <w:sz w:val="10"/>
                <w:szCs w:val="10"/>
                <w:color w:val="auto"/>
              </w:rPr>
              <w:t>179,911</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jc w:val="right"/>
              <w:spacing w:after="0" w:line="96" w:lineRule="exact"/>
              <w:rPr>
                <w:sz w:val="20"/>
                <w:szCs w:val="20"/>
                <w:color w:val="auto"/>
              </w:rPr>
            </w:pPr>
            <w:r>
              <w:rPr>
                <w:rFonts w:ascii="Arial" w:cs="Arial" w:eastAsia="Arial" w:hAnsi="Arial"/>
                <w:sz w:val="10"/>
                <w:szCs w:val="10"/>
                <w:color w:val="auto"/>
              </w:rPr>
              <w:t>325,089</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jc w:val="right"/>
              <w:spacing w:after="0" w:line="96" w:lineRule="exact"/>
              <w:rPr>
                <w:sz w:val="20"/>
                <w:szCs w:val="20"/>
                <w:color w:val="auto"/>
              </w:rPr>
            </w:pPr>
            <w:r>
              <w:rPr>
                <w:rFonts w:ascii="Arial" w:cs="Arial" w:eastAsia="Arial" w:hAnsi="Arial"/>
                <w:sz w:val="10"/>
                <w:szCs w:val="10"/>
                <w:color w:val="auto"/>
              </w:rPr>
              <w:t>460,725</w:t>
            </w:r>
          </w:p>
        </w:tc>
        <w:tc>
          <w:tcPr>
            <w:tcW w:w="0" w:type="dxa"/>
            <w:vAlign w:val="bottom"/>
          </w:tcPr>
          <w:p>
            <w:pPr>
              <w:spacing w:after="0"/>
              <w:rPr>
                <w:sz w:val="1"/>
                <w:szCs w:val="1"/>
                <w:color w:val="auto"/>
              </w:rPr>
            </w:pPr>
          </w:p>
        </w:tc>
      </w:tr>
      <w:tr>
        <w:trPr>
          <w:trHeight w:val="138"/>
        </w:trPr>
        <w:tc>
          <w:tcPr>
            <w:tcW w:w="7000" w:type="dxa"/>
            <w:vAlign w:val="bottom"/>
            <w:shd w:val="clear" w:color="auto" w:fill="CCEEFF"/>
          </w:tcPr>
          <w:p>
            <w:pPr>
              <w:ind w:left="80"/>
              <w:spacing w:after="0"/>
              <w:rPr>
                <w:sz w:val="20"/>
                <w:szCs w:val="20"/>
                <w:color w:val="auto"/>
              </w:rPr>
            </w:pPr>
            <w:r>
              <w:rPr>
                <w:rFonts w:ascii="Arial" w:cs="Arial" w:eastAsia="Arial" w:hAnsi="Arial"/>
                <w:sz w:val="10"/>
                <w:szCs w:val="10"/>
                <w:color w:val="auto"/>
              </w:rPr>
              <w:t>Restricted cash at end of period</w:t>
            </w:r>
          </w:p>
        </w:tc>
        <w:tc>
          <w:tcPr>
            <w:tcW w:w="3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2,722</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3,222</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5,092</w:t>
            </w:r>
          </w:p>
        </w:tc>
        <w:tc>
          <w:tcPr>
            <w:tcW w:w="0" w:type="dxa"/>
            <w:vAlign w:val="bottom"/>
          </w:tcPr>
          <w:p>
            <w:pPr>
              <w:spacing w:after="0"/>
              <w:rPr>
                <w:sz w:val="1"/>
                <w:szCs w:val="1"/>
                <w:color w:val="auto"/>
              </w:rPr>
            </w:pPr>
          </w:p>
        </w:tc>
      </w:tr>
      <w:tr>
        <w:trPr>
          <w:trHeight w:val="133"/>
        </w:trPr>
        <w:tc>
          <w:tcPr>
            <w:tcW w:w="7000" w:type="dxa"/>
            <w:vAlign w:val="bottom"/>
          </w:tcPr>
          <w:p>
            <w:pPr>
              <w:ind w:left="80"/>
              <w:spacing w:after="0"/>
              <w:rPr>
                <w:sz w:val="20"/>
                <w:szCs w:val="20"/>
                <w:color w:val="auto"/>
              </w:rPr>
            </w:pPr>
            <w:r>
              <w:rPr>
                <w:rFonts w:ascii="Arial" w:cs="Arial" w:eastAsia="Arial" w:hAnsi="Arial"/>
                <w:sz w:val="10"/>
                <w:szCs w:val="10"/>
                <w:color w:val="auto"/>
              </w:rPr>
              <w:t>Cash, cash equivalents, and restricted cash at end of period</w:t>
            </w:r>
          </w:p>
        </w:tc>
        <w:tc>
          <w:tcPr>
            <w:tcW w:w="32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182,633</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328,311</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465,817</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70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0" w:type="dxa"/>
            <w:vAlign w:val="bottom"/>
          </w:tcPr>
          <w:p>
            <w:pPr>
              <w:ind w:left="80"/>
              <w:spacing w:after="0"/>
              <w:rPr>
                <w:sz w:val="20"/>
                <w:szCs w:val="20"/>
                <w:color w:val="auto"/>
              </w:rPr>
            </w:pPr>
            <w:r>
              <w:rPr>
                <w:rFonts w:ascii="Arial" w:cs="Arial" w:eastAsia="Arial" w:hAnsi="Arial"/>
                <w:sz w:val="10"/>
                <w:szCs w:val="10"/>
                <w:b w:val="1"/>
                <w:bCs w:val="1"/>
                <w:color w:val="auto"/>
              </w:rPr>
              <w:t>Supplemental disclosure of cash flow information</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Interest paid</w:t>
            </w:r>
          </w:p>
        </w:tc>
        <w:tc>
          <w:tcPr>
            <w:tcW w:w="3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15,687</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14,049</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6,928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0"/>
                <w:szCs w:val="10"/>
                <w:b w:val="1"/>
                <w:bCs w:val="1"/>
                <w:color w:val="auto"/>
              </w:rPr>
              <w:t>Supplemental disclosure of non-cash investing and financing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70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7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Inventory transferred to property and equipment</w:t>
            </w:r>
          </w:p>
        </w:tc>
        <w:tc>
          <w:tcPr>
            <w:tcW w:w="3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3,984</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2,812</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2,586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7000" w:type="dxa"/>
            <w:vAlign w:val="bottom"/>
          </w:tcPr>
          <w:p>
            <w:pPr>
              <w:ind w:left="80"/>
              <w:spacing w:after="0" w:line="101" w:lineRule="exact"/>
              <w:rPr>
                <w:sz w:val="20"/>
                <w:szCs w:val="20"/>
                <w:color w:val="auto"/>
              </w:rPr>
            </w:pPr>
            <w:r>
              <w:rPr>
                <w:rFonts w:ascii="Arial" w:cs="Arial" w:eastAsia="Arial" w:hAnsi="Arial"/>
                <w:sz w:val="10"/>
                <w:szCs w:val="10"/>
                <w:color w:val="auto"/>
              </w:rPr>
              <w:t>Property and equipment transferred to inventory</w:t>
            </w:r>
          </w:p>
        </w:tc>
        <w:tc>
          <w:tcPr>
            <w:tcW w:w="320" w:type="dxa"/>
            <w:vAlign w:val="bottom"/>
            <w:tcBorders>
              <w:bottom w:val="single" w:sz="8" w:color="auto"/>
            </w:tcBorders>
          </w:tcPr>
          <w:p>
            <w:pPr>
              <w:jc w:val="right"/>
              <w:ind w:right="191"/>
              <w:spacing w:after="0" w:line="101" w:lineRule="exact"/>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(7,022)</w:t>
            </w:r>
          </w:p>
        </w:tc>
        <w:tc>
          <w:tcPr>
            <w:tcW w:w="80" w:type="dxa"/>
            <w:vAlign w:val="bottom"/>
          </w:tcPr>
          <w:p>
            <w:pPr>
              <w:spacing w:after="0"/>
              <w:rPr>
                <w:sz w:val="8"/>
                <w:szCs w:val="8"/>
                <w:color w:val="auto"/>
              </w:rPr>
            </w:pPr>
          </w:p>
        </w:tc>
        <w:tc>
          <w:tcPr>
            <w:tcW w:w="320" w:type="dxa"/>
            <w:vAlign w:val="bottom"/>
            <w:tcBorders>
              <w:bottom w:val="single" w:sz="8" w:color="auto"/>
            </w:tcBorders>
          </w:tcPr>
          <w:p>
            <w:pPr>
              <w:jc w:val="right"/>
              <w:ind w:right="191"/>
              <w:spacing w:after="0" w:line="101" w:lineRule="exact"/>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(715)</w:t>
            </w:r>
          </w:p>
        </w:tc>
        <w:tc>
          <w:tcPr>
            <w:tcW w:w="100" w:type="dxa"/>
            <w:vAlign w:val="bottom"/>
          </w:tcPr>
          <w:p>
            <w:pPr>
              <w:spacing w:after="0"/>
              <w:rPr>
                <w:sz w:val="8"/>
                <w:szCs w:val="8"/>
                <w:color w:val="auto"/>
              </w:rPr>
            </w:pPr>
          </w:p>
        </w:tc>
        <w:tc>
          <w:tcPr>
            <w:tcW w:w="320" w:type="dxa"/>
            <w:vAlign w:val="bottom"/>
            <w:tcBorders>
              <w:bottom w:val="single" w:sz="8" w:color="auto"/>
            </w:tcBorders>
          </w:tcPr>
          <w:p>
            <w:pPr>
              <w:jc w:val="right"/>
              <w:ind w:right="211"/>
              <w:spacing w:after="0" w:line="101" w:lineRule="exact"/>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(383)</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Right-of-use asset and liability additions and modifications</w:t>
            </w:r>
          </w:p>
        </w:tc>
        <w:tc>
          <w:tcPr>
            <w:tcW w:w="3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2,576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7000" w:type="dxa"/>
            <w:vAlign w:val="bottom"/>
          </w:tcPr>
          <w:p>
            <w:pPr>
              <w:ind w:left="80"/>
              <w:spacing w:after="0" w:line="101" w:lineRule="exact"/>
              <w:rPr>
                <w:sz w:val="20"/>
                <w:szCs w:val="20"/>
                <w:color w:val="auto"/>
              </w:rPr>
            </w:pPr>
            <w:r>
              <w:rPr>
                <w:rFonts w:ascii="Arial" w:cs="Arial" w:eastAsia="Arial" w:hAnsi="Arial"/>
                <w:sz w:val="10"/>
                <w:szCs w:val="10"/>
                <w:color w:val="auto"/>
              </w:rPr>
              <w:t>Issuance of common stock in acquisition of Apton and Omniome</w:t>
            </w:r>
          </w:p>
        </w:tc>
        <w:tc>
          <w:tcPr>
            <w:tcW w:w="320" w:type="dxa"/>
            <w:vAlign w:val="bottom"/>
            <w:tcBorders>
              <w:top w:val="single" w:sz="8" w:color="auto"/>
              <w:bottom w:val="single" w:sz="8" w:color="auto"/>
            </w:tcBorders>
          </w:tcPr>
          <w:p>
            <w:pPr>
              <w:jc w:val="right"/>
              <w:ind w:right="191"/>
              <w:spacing w:after="0" w:line="101" w:lineRule="exact"/>
              <w:rPr>
                <w:sz w:val="20"/>
                <w:szCs w:val="20"/>
                <w:color w:val="auto"/>
              </w:rPr>
            </w:pPr>
            <w:r>
              <w:rPr>
                <w:rFonts w:ascii="Arial" w:cs="Arial" w:eastAsia="Arial" w:hAnsi="Arial"/>
                <w:sz w:val="10"/>
                <w:szCs w:val="10"/>
                <w:color w:val="auto"/>
              </w:rPr>
              <w:t>$</w:t>
            </w:r>
          </w:p>
        </w:tc>
        <w:tc>
          <w:tcPr>
            <w:tcW w:w="1060" w:type="dxa"/>
            <w:vAlign w:val="bottom"/>
            <w:tcBorders>
              <w:top w:val="single" w:sz="8" w:color="auto"/>
              <w:bottom w:val="single" w:sz="8" w:color="auto"/>
            </w:tcBorders>
          </w:tcPr>
          <w:p>
            <w:pPr>
              <w:jc w:val="right"/>
              <w:ind w:right="11"/>
              <w:spacing w:after="0" w:line="101" w:lineRule="exact"/>
              <w:rPr>
                <w:sz w:val="20"/>
                <w:szCs w:val="20"/>
                <w:color w:val="auto"/>
              </w:rPr>
            </w:pPr>
            <w:r>
              <w:rPr>
                <w:rFonts w:ascii="Arial" w:cs="Arial" w:eastAsia="Arial" w:hAnsi="Arial"/>
                <w:sz w:val="10"/>
                <w:szCs w:val="10"/>
                <w:color w:val="auto"/>
              </w:rPr>
              <w:t>76,642</w:t>
            </w:r>
          </w:p>
        </w:tc>
        <w:tc>
          <w:tcPr>
            <w:tcW w:w="80" w:type="dxa"/>
            <w:vAlign w:val="bottom"/>
          </w:tcPr>
          <w:p>
            <w:pPr>
              <w:spacing w:after="0"/>
              <w:rPr>
                <w:sz w:val="8"/>
                <w:szCs w:val="8"/>
                <w:color w:val="auto"/>
              </w:rPr>
            </w:pPr>
          </w:p>
        </w:tc>
        <w:tc>
          <w:tcPr>
            <w:tcW w:w="320" w:type="dxa"/>
            <w:vAlign w:val="bottom"/>
            <w:tcBorders>
              <w:top w:val="single" w:sz="8" w:color="auto"/>
              <w:bottom w:val="single" w:sz="8" w:color="auto"/>
            </w:tcBorders>
          </w:tcPr>
          <w:p>
            <w:pPr>
              <w:jc w:val="right"/>
              <w:ind w:right="191"/>
              <w:spacing w:after="0" w:line="101" w:lineRule="exact"/>
              <w:rPr>
                <w:sz w:val="20"/>
                <w:szCs w:val="20"/>
                <w:color w:val="auto"/>
              </w:rPr>
            </w:pPr>
            <w:r>
              <w:rPr>
                <w:rFonts w:ascii="Arial" w:cs="Arial" w:eastAsia="Arial" w:hAnsi="Arial"/>
                <w:sz w:val="10"/>
                <w:szCs w:val="10"/>
                <w:color w:val="auto"/>
              </w:rPr>
              <w:t>$</w:t>
            </w:r>
          </w:p>
        </w:tc>
        <w:tc>
          <w:tcPr>
            <w:tcW w:w="10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320" w:type="dxa"/>
            <w:vAlign w:val="bottom"/>
            <w:tcBorders>
              <w:top w:val="single" w:sz="8" w:color="auto"/>
              <w:bottom w:val="single" w:sz="8" w:color="auto"/>
            </w:tcBorders>
          </w:tcPr>
          <w:p>
            <w:pPr>
              <w:jc w:val="right"/>
              <w:ind w:right="211"/>
              <w:spacing w:after="0" w:line="101" w:lineRule="exact"/>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237,885</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Issuance of common stock in connection with Apton liquidity event bonus plan</w:t>
            </w:r>
          </w:p>
        </w:tc>
        <w:tc>
          <w:tcPr>
            <w:tcW w:w="3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2,111</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7000" w:type="dxa"/>
            <w:vAlign w:val="bottom"/>
          </w:tcPr>
          <w:p>
            <w:pPr>
              <w:ind w:left="80"/>
              <w:spacing w:after="0" w:line="101" w:lineRule="exact"/>
              <w:rPr>
                <w:sz w:val="20"/>
                <w:szCs w:val="20"/>
                <w:color w:val="auto"/>
              </w:rPr>
            </w:pPr>
            <w:r>
              <w:rPr>
                <w:rFonts w:ascii="Arial" w:cs="Arial" w:eastAsia="Arial" w:hAnsi="Arial"/>
                <w:sz w:val="10"/>
                <w:szCs w:val="10"/>
                <w:color w:val="auto"/>
              </w:rPr>
              <w:t>Convertible Senior Notes exchange</w:t>
            </w:r>
          </w:p>
        </w:tc>
        <w:tc>
          <w:tcPr>
            <w:tcW w:w="320" w:type="dxa"/>
            <w:vAlign w:val="bottom"/>
            <w:tcBorders>
              <w:top w:val="single" w:sz="8" w:color="auto"/>
              <w:bottom w:val="single" w:sz="8" w:color="auto"/>
            </w:tcBorders>
          </w:tcPr>
          <w:p>
            <w:pPr>
              <w:jc w:val="right"/>
              <w:ind w:right="191"/>
              <w:spacing w:after="0" w:line="101" w:lineRule="exact"/>
              <w:rPr>
                <w:sz w:val="20"/>
                <w:szCs w:val="20"/>
                <w:color w:val="auto"/>
              </w:rPr>
            </w:pPr>
            <w:r>
              <w:rPr>
                <w:rFonts w:ascii="Arial" w:cs="Arial" w:eastAsia="Arial" w:hAnsi="Arial"/>
                <w:sz w:val="10"/>
                <w:szCs w:val="10"/>
                <w:color w:val="auto"/>
              </w:rPr>
              <w:t>$</w:t>
            </w:r>
          </w:p>
        </w:tc>
        <w:tc>
          <w:tcPr>
            <w:tcW w:w="1060" w:type="dxa"/>
            <w:vAlign w:val="bottom"/>
            <w:tcBorders>
              <w:top w:val="single" w:sz="8" w:color="auto"/>
              <w:bottom w:val="single" w:sz="8" w:color="auto"/>
            </w:tcBorders>
          </w:tcPr>
          <w:p>
            <w:pPr>
              <w:jc w:val="right"/>
              <w:ind w:right="11"/>
              <w:spacing w:after="0" w:line="101" w:lineRule="exact"/>
              <w:rPr>
                <w:sz w:val="20"/>
                <w:szCs w:val="20"/>
                <w:color w:val="auto"/>
              </w:rPr>
            </w:pPr>
            <w:r>
              <w:rPr>
                <w:rFonts w:ascii="Arial" w:cs="Arial" w:eastAsia="Arial" w:hAnsi="Arial"/>
                <w:sz w:val="10"/>
                <w:szCs w:val="10"/>
                <w:color w:val="auto"/>
              </w:rPr>
              <w:t>441,000</w:t>
            </w:r>
          </w:p>
        </w:tc>
        <w:tc>
          <w:tcPr>
            <w:tcW w:w="80" w:type="dxa"/>
            <w:vAlign w:val="bottom"/>
          </w:tcPr>
          <w:p>
            <w:pPr>
              <w:spacing w:after="0"/>
              <w:rPr>
                <w:sz w:val="8"/>
                <w:szCs w:val="8"/>
                <w:color w:val="auto"/>
              </w:rPr>
            </w:pPr>
          </w:p>
        </w:tc>
        <w:tc>
          <w:tcPr>
            <w:tcW w:w="320" w:type="dxa"/>
            <w:vAlign w:val="bottom"/>
            <w:tcBorders>
              <w:top w:val="single" w:sz="8" w:color="auto"/>
              <w:bottom w:val="single" w:sz="8" w:color="auto"/>
            </w:tcBorders>
          </w:tcPr>
          <w:p>
            <w:pPr>
              <w:jc w:val="right"/>
              <w:ind w:right="191"/>
              <w:spacing w:after="0" w:line="101" w:lineRule="exact"/>
              <w:rPr>
                <w:sz w:val="20"/>
                <w:szCs w:val="20"/>
                <w:color w:val="auto"/>
              </w:rPr>
            </w:pPr>
            <w:r>
              <w:rPr>
                <w:rFonts w:ascii="Arial" w:cs="Arial" w:eastAsia="Arial" w:hAnsi="Arial"/>
                <w:sz w:val="10"/>
                <w:szCs w:val="10"/>
                <w:color w:val="auto"/>
              </w:rPr>
              <w:t>$</w:t>
            </w:r>
          </w:p>
        </w:tc>
        <w:tc>
          <w:tcPr>
            <w:tcW w:w="10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320" w:type="dxa"/>
            <w:vAlign w:val="bottom"/>
            <w:tcBorders>
              <w:top w:val="single" w:sz="8" w:color="auto"/>
              <w:bottom w:val="single" w:sz="8" w:color="auto"/>
            </w:tcBorders>
          </w:tcPr>
          <w:p>
            <w:pPr>
              <w:jc w:val="right"/>
              <w:ind w:right="211"/>
              <w:spacing w:after="0" w:line="101" w:lineRule="exact"/>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Issuance of common stock following milestone achievement</w:t>
            </w:r>
          </w:p>
        </w:tc>
        <w:tc>
          <w:tcPr>
            <w:tcW w:w="3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84,761</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accompanying </w:t>
      </w:r>
      <w:r>
        <w:rPr>
          <w:rFonts w:ascii="Arial" w:cs="Arial" w:eastAsia="Arial" w:hAnsi="Arial"/>
          <w:sz w:val="14"/>
          <w:szCs w:val="14"/>
          <w:u w:val="single" w:color="auto"/>
          <w:color w:val="0000FF"/>
        </w:rPr>
        <w:t>notes</w:t>
      </w:r>
      <w:r>
        <w:rPr>
          <w:rFonts w:ascii="Arial" w:cs="Arial" w:eastAsia="Arial" w:hAnsi="Arial"/>
          <w:sz w:val="14"/>
          <w:szCs w:val="14"/>
          <w:color w:val="auto"/>
        </w:rPr>
        <w:t xml:space="preserve"> to the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PACIFIC BIOSCIENCES OF CALIFORNIA, INC.</w:t>
      </w:r>
    </w:p>
    <w:p>
      <w:pPr>
        <w:spacing w:after="0" w:line="94"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ORGANIZATION AND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94"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We are a life science technology company that is designing, developing, and manufacturing advanced sequencing solutions that enable scientists and clinical researchers to improve their understanding of the genome and ultimately, resolve genetically complex problems. Our products and technology under development stem from two highly differentiated core technologies focused on accuracy, quality, and completeness, which include our HiFi long-read sequencing technology and our Sequencing by Binding (SBB</w:t>
      </w:r>
      <w:r>
        <w:rPr>
          <w:rFonts w:ascii="Arial" w:cs="Arial" w:eastAsia="Arial" w:hAnsi="Arial"/>
          <w:sz w:val="18"/>
          <w:szCs w:val="18"/>
          <w:color w:val="333333"/>
          <w:vertAlign w:val="superscript"/>
        </w:rPr>
        <w:t>®</w:t>
      </w:r>
      <w:r>
        <w:rPr>
          <w:rFonts w:ascii="Arial" w:cs="Arial" w:eastAsia="Arial" w:hAnsi="Arial"/>
          <w:sz w:val="14"/>
          <w:szCs w:val="14"/>
          <w:color w:val="auto"/>
        </w:rPr>
        <w:t>) technology. Our products address solutions across a broad set of applications including human genetics, plant and animal sciences, infectious disease and microbiology, oncology, and other emerging applications. Our focus is on creating some of the world's most advanced sequencing systems to provide our customers the most complete and accurate view of genomes, transcriptomes, and epigenomes. 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66" w:lineRule="exact"/>
        <w:rPr>
          <w:sz w:val="20"/>
          <w:szCs w:val="20"/>
          <w:color w:val="auto"/>
        </w:rPr>
      </w:pPr>
    </w:p>
    <w:p>
      <w:pPr>
        <w:ind w:right="1720"/>
        <w:spacing w:after="0" w:line="379" w:lineRule="auto"/>
        <w:rPr>
          <w:sz w:val="20"/>
          <w:szCs w:val="20"/>
          <w:color w:val="auto"/>
        </w:rPr>
      </w:pPr>
      <w:r>
        <w:rPr>
          <w:rFonts w:ascii="Arial" w:cs="Arial" w:eastAsia="Arial" w:hAnsi="Arial"/>
          <w:sz w:val="14"/>
          <w:szCs w:val="14"/>
          <w:color w:val="auto"/>
        </w:rPr>
        <w:t xml:space="preserve">References in this report to “PacBio,” “we,” “us,” the “Company,” and “our” refer to Pacific Biosciences of California, Inc. and its consolidated subsidiaries. </w:t>
      </w:r>
      <w:r>
        <w:rPr>
          <w:rFonts w:ascii="Arial" w:cs="Arial" w:eastAsia="Arial" w:hAnsi="Arial"/>
          <w:sz w:val="14"/>
          <w:szCs w:val="14"/>
          <w:b w:val="1"/>
          <w:bCs w:val="1"/>
          <w:color w:val="auto"/>
        </w:rPr>
        <w:t>Basis of Presentation and Consolidation</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consolidated financial statements have been prepared in conformity with accounting principles generally accepted in the United States, or U.S. GAAP, as set forth in the Financial Accounting Standards Board, or FASB, Accounting Standards Codification, or ASC. The consolidated financial statements include the accounts of Pacific Biosciences and our wholly owned subsidiaries. All intercompany transactions and balances have been eliminated. Certain prior period amounts have been reclassified to conform to the current period presentation.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preparation of financial statements in conformity with GAAP requires us to make estimates and assumptions that affect the amounts reported in the financial statements and accompanying notes to the financial statements. On an ongoing basis, we evaluate our significant estimates including, but not limited to, the valuation of inventory, the fair value of contingent consideration, the valuation of acquired intangible assets, the useful lives assigned to long-lived assets, the computation of provisions for income taxes, and the valuations related to our convertible senior notes. While the extent of the potential impact of the current macroeconomic conditions on our business is highly uncertain, we considered information available related to assumptions and estimates used to determine the results reported and asset valuations as of December 31, 2023. Actual results could differ materially from these estimates.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Functional Currency</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U.S. dollar is the functional currency of our international operations. We remeasure foreign subsidiaries monetary assets and liabilities to the U.S. dollar and record net gains or losses from remeasurement in other income, net, in the consolidated statements of operations and comprehensive loss.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Cash Equivalents, Restricted Cash, and Investments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classify our investments in debt securities as available-for-sale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income (loss) in stockholders’ equity. Realized gains and losses, expected credit losses, as well as interest income, on available-for-sale securities are also reported in other income,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net.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Restricted cash includes cash that is not readily available for use in the Company’s operating activities. Restricted cash is primarily comprised of cash pledged under letters of credit.</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and Other Risks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Financial instruments that potentially subject us to credit risk consist principally of interest-bearing investments and trade receivables. We maintain cash, cash equivalents, and investments with various major financial institutions. The counterparties to the agreements relating to our investment securities consist of various major corporations, financial institutions, municipalities, and government agencies of high credit standing. At December 31, 2023, most of our cash was deposited with U.S. financial institutions. Our investment policy generally restricts the amount of credit exposure to any one issuer. There is no limit to the percentage of the portfolio that may be maintained in securities issued by the U.S. Treasury and U.S. Government Agencies, or other securities fully backed by U.S. Treasury or Government agencies. We have not experienced significant credit losses from financial institutions.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trade receivables are derived from revenue to customers and distributors located in the United States and other countries. We perform credit evaluations of our customers’ financial condition and, generally, require no collateral from our customers. The allowance for credit losses is based on our assessment of the collectability of customer accounts. We regularly review our trade receivables including consideration of factors such as historical experience, the age of the accounts receivable balances, customer creditworthiness, customer industry, and current and forecasted economic conditions that may affect a customer’s ability to pay. We have not experienced any significant credit losses to date.</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Although we have historically not experienced significant credit losses, our exposure to credit losses may increase if our customers are adversely affected by changes in economic pressures or uncertainty associated with local or global economic recessions, or other customer-specific factors.</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For the year ended December 31, 2023, no single customer accounted for 10% or greater of our total revenue. For the years ended December 31, 2022 and 2021, one customer accounted for approximately 12%, and 13% of our total revenue, respectively.</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December 31, 2023 and 2022, 49% and 57% of our accounts receivable were from domestic customers, respectively. As of December 31, 2023, one customer represented approximately 10% of our net accounts receivable. As of December 31, 2022, one customer represented approximately 10% of our net accounts receivable.</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currently purchase several key parts and components used in the manufacture of our products from a limited number of suppliers. Generally, we have been able to obtain an adequate supply of such parts and components but in certain instances have incurred additional costs to secure a supply of constrained material. An extended interruption in the supply of parts and components currently obtained from our suppliers could adversely affect our business and consolidated financial statements.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Inventory, Net</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Inventories are stated at the lower of cost or net realizable value on a first-in, first-out (“FIFO”) method. Adjustments to reduce the cost of inventory to its net realizable value, if required, are made for estimated excess or obsolete balances. Cost includes depreciation, labor, material, and overhead costs, including product and process technology costs. Determining net realizable value of inventories involves numerous judgements, including projecting future average selling prices, sales volumes, and costs to complete products in work in process inventories.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make inventory purchases and commitments to meet future shipment schedules based on forecasted demand for our products. The business environment in which we operate is subject to rapid changes in technology and customer demand. We perform a detailed assessment of inventory each period, which includes a review of, among other factors, demand requirements, product life cycle and development plans, component cost trends, product pricing, product expiration, and quality issues. Based on our analysis, we record adjustments to inventory for potentially excess, obsolete, or impaired goods, when appropriate, to report inventory at net realizable value. Inventory adjustments may be required if actual demand, component costs, supplier arrangements, or product life cycles differ from our estimates. Any such adjustments would result in a charge to our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 Net</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Property and equipment are stated at cost, reviewed regularly for impairment, and depreciated over the estimated useful lives of the assets, using the straight-line method. Leasehold improvements are depreciated over the shorter of the lease term or the estimated useful life of the related asset. Major improvements are capitalized, while maintenance and repairs are expensed as incurred. Transfers of assets between property and equipment, net, and inventory are transferred at standard cost and recognized at carrying value.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Estimated useful lives of the major classes of property and equipment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4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Estimated Useful Lives</w:t>
            </w:r>
          </w:p>
        </w:tc>
      </w:tr>
      <w:tr>
        <w:trPr>
          <w:trHeight w:val="160"/>
        </w:trPr>
        <w:tc>
          <w:tcPr>
            <w:tcW w:w="9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Leasehold improvements</w:t>
            </w: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3 to 10 years</w:t>
            </w:r>
          </w:p>
        </w:tc>
      </w:tr>
      <w:tr>
        <w:trPr>
          <w:trHeight w:val="169"/>
        </w:trPr>
        <w:tc>
          <w:tcPr>
            <w:tcW w:w="9440" w:type="dxa"/>
            <w:vAlign w:val="bottom"/>
          </w:tcPr>
          <w:p>
            <w:pPr>
              <w:ind w:left="20"/>
              <w:spacing w:after="0"/>
              <w:rPr>
                <w:sz w:val="20"/>
                <w:szCs w:val="20"/>
                <w:color w:val="auto"/>
              </w:rPr>
            </w:pPr>
            <w:r>
              <w:rPr>
                <w:rFonts w:ascii="Arial" w:cs="Arial" w:eastAsia="Arial" w:hAnsi="Arial"/>
                <w:sz w:val="13"/>
                <w:szCs w:val="13"/>
                <w:color w:val="auto"/>
              </w:rPr>
              <w:t>Lab equipment</w:t>
            </w:r>
          </w:p>
        </w:tc>
        <w:tc>
          <w:tcPr>
            <w:tcW w:w="1840" w:type="dxa"/>
            <w:vAlign w:val="bottom"/>
          </w:tcPr>
          <w:p>
            <w:pPr>
              <w:jc w:val="center"/>
              <w:spacing w:after="0"/>
              <w:rPr>
                <w:sz w:val="20"/>
                <w:szCs w:val="20"/>
                <w:color w:val="auto"/>
              </w:rPr>
            </w:pPr>
            <w:r>
              <w:rPr>
                <w:rFonts w:ascii="Arial" w:cs="Arial" w:eastAsia="Arial" w:hAnsi="Arial"/>
                <w:sz w:val="13"/>
                <w:szCs w:val="13"/>
                <w:color w:val="auto"/>
                <w:w w:val="97"/>
              </w:rPr>
              <w:t>3 to 5 years</w:t>
            </w:r>
          </w:p>
        </w:tc>
      </w:tr>
      <w:tr>
        <w:trPr>
          <w:trHeight w:val="171"/>
        </w:trPr>
        <w:tc>
          <w:tcPr>
            <w:tcW w:w="9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Computer equipment</w:t>
            </w: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 to 5 years</w:t>
            </w:r>
          </w:p>
        </w:tc>
      </w:tr>
      <w:tr>
        <w:trPr>
          <w:trHeight w:val="169"/>
        </w:trPr>
        <w:tc>
          <w:tcPr>
            <w:tcW w:w="9440" w:type="dxa"/>
            <w:vAlign w:val="bottom"/>
          </w:tcPr>
          <w:p>
            <w:pPr>
              <w:ind w:left="20"/>
              <w:spacing w:after="0"/>
              <w:rPr>
                <w:sz w:val="20"/>
                <w:szCs w:val="20"/>
                <w:color w:val="auto"/>
              </w:rPr>
            </w:pPr>
            <w:r>
              <w:rPr>
                <w:rFonts w:ascii="Arial" w:cs="Arial" w:eastAsia="Arial" w:hAnsi="Arial"/>
                <w:sz w:val="13"/>
                <w:szCs w:val="13"/>
                <w:color w:val="auto"/>
              </w:rPr>
              <w:t>Computer software</w:t>
            </w:r>
          </w:p>
        </w:tc>
        <w:tc>
          <w:tcPr>
            <w:tcW w:w="1840" w:type="dxa"/>
            <w:vAlign w:val="bottom"/>
          </w:tcPr>
          <w:p>
            <w:pPr>
              <w:jc w:val="center"/>
              <w:spacing w:after="0"/>
              <w:rPr>
                <w:sz w:val="20"/>
                <w:szCs w:val="20"/>
                <w:color w:val="auto"/>
              </w:rPr>
            </w:pPr>
            <w:r>
              <w:rPr>
                <w:rFonts w:ascii="Arial" w:cs="Arial" w:eastAsia="Arial" w:hAnsi="Arial"/>
                <w:sz w:val="13"/>
                <w:szCs w:val="13"/>
                <w:color w:val="auto"/>
                <w:w w:val="98"/>
              </w:rPr>
              <w:t>3 years</w:t>
            </w:r>
          </w:p>
        </w:tc>
      </w:tr>
      <w:tr>
        <w:trPr>
          <w:trHeight w:val="171"/>
        </w:trPr>
        <w:tc>
          <w:tcPr>
            <w:tcW w:w="9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Furniture and fixtures</w:t>
            </w: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 to 5 years</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Leases</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record operating lease right-of-use assets and liabilities on our consolidated balance sheets for all leases with a term of more than 12 months. The operating lease right-of-use assets and liabilities are calculated as the present value of remaining minimum lease payments over the remaining lease term using our estimated secured incremental borrowing rates at the commencement date. Lease payments included in the measurement of the lease liability comprise the fixed rent per the term of the Lease. Operating lease expense is recognized on a straight-line basis over the lease term, with variable lease payments, such as common area maintenance fees, recognized in the period incurred.</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Combinations</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Under the acquisition method of accounting, we allocate the fair value of the total consideration transferred to the tangible and identifiable intangible assets acquired and liabilities assumed based on their estimated fair values on the date of acquisition. These valuations require us to make estimates and assumptions, especially with respect to intangible assets. We record the excess consideration over the aggregate fair value of tangible and intangible assets, net of liabilities assumed, as goodwill. Costs that we incur to complete the business combination, such as legal and other professional fees, are expensed as they are incurred.</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connection with certain acquisitions, contingent consideration can be earned by the sellers upon completion of certain future performance milestones. In these cases, a liability is recorded on the acquisition date for an estimate of the acquisition date fair value of the contingent consideration. These estimates require significant management judgment, including probabilities of achieving certain future milestones. Changes in the fair value of the contingent consideration subsequent to the acquisition date are recognized in operating expense in our consolidated statements of operations and comprehensive loss.</w:t>
      </w:r>
    </w:p>
    <w:p>
      <w:pPr>
        <w:spacing w:after="0" w:line="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the initial accounting for a business combination is incomplete by the end of a reporting period that falls within the measurement period, we report provisional amounts in our financial statements. During the measurement period, we adjust the provisional amounts recognized at the acquisition date to reflect new information obtained about facts and circumstances that existed as of the acquisition date that, if known, would have affected the measurement of the amounts recognized as of that date. We record these adjustments to the provisional amounts with a corresponding offset to goodwill. Any adjustments identified after the measurement period are recorded in the consolidated statements of operations and comprehensive loss.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 Intangible Assets, and Other Long-Lived Assets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Assets acquired, including intangible assets and capitalized in-process research and development (“IPR&amp;D”), and liabilities assumed are measured at fair value as of the acquisition date. Goodwill, which has an indefinite useful life, represents the excess of cost over fair value of the net assets acquired. Intangible assets acquired in a business combination that are used for IPR&amp;D activities are considered indefinite lived until the completion or abandonment of the associated research and development efforts. Upon reaching the end of the relevant research and development project (i.e., upon commercialization), the IPR&amp;D asset is assessed for impairment and then amortized over its estimated useful life. If the relevant research and development project is abandoned, the IPR&amp;D asset is expensed in the period of abandonment.</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Goodwill and IPR&amp;D are not amortized; however, they are reviewed for impairment at least annually. We perform annual impairment testing of goodwill in the second quarter of each year, or more frequently if indicators of potential impairment exist. We generally perform annual impairment testing of IPR&amp;D in the fourth quarter of each year, or more frequently if indicators of potential impairment exist.</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perform our goodwill impairment analysis at the reporting unit level. We have one reporting unit, which aligns with our reporting structure and availability of discrete financial information. During the goodwill impairment review, we assess qualitative factors to determine whether it is more likely than not that the fair values of our reporting unit is less than the carrying amount, including goodwill. The qualitative factors include, but are not limited to, macroeconomic conditions, industry and market considerations, and our overall financial performance. If, after assessing the totality of these qualitative factors, we determine that it is not more likely than not that the fair value of our reporting unit is less than the carrying amount, then no additional assessment is deemed necessary. Otherwise, we proceed to compare the estimated fair value of the reporting unit with the carrying value, including goodwill. If the carrying amount of the reporting unit exceeds the fair value, we record an impairment loss based on the difference. We may elect to bypass the qualitative assessment in a period and proceed to perform the quantitative goodwill impairment test.</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During the IPR&amp;D impairment review, we assess qualitative factors to determine whether it is more likely than not that the fair value of the IPR&amp;D is less than the carrying amount. The qualitative factors include, but are not limited to, macroeconomic conditions, industry-specific conditions, and company-specific conditions. If, after assessing the totality of these qualitative factors, we determine that it is not more likely than not that the fair value of the IPR&amp;D is less than the carrying amount, then no additional assessment is deemed necessary. Otherwise, we proceed to compare the estimated fair value of the IPR&amp;D with the carrying value. If the carrying amount of the IPR&amp;D exceeds the fair value, we record an impairment loss based on the difference. We may elect to bypass the qualitative assessment in a period and proceed to perform the quantitative impairment test.</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Finite-lived intangibles assets include our acquired developed technology and customer relationships. We capitalize finite-lived intangibles assets and generally amortize them on a straight-line basis over the estimated useful lives. We regularly review the carrying amount and useful lives of our finite-lived assets to determine whether indicators of impairment may exist which warrant adjustments to carrying values or estimated useful lives. If indicators of impairment exist, an impairment test is performed to assess the recoverability of the affected assets by determining whether the carrying amount of such assets exceeds the undiscounted expected future cash flows. If the affected assets are not recoverable, we estimate the fair value of the assets and record an impairment loss if the carrying value of the assets exceeds the fair value. Factors that may indicate potential impairment include a significant decline in our stock price and market capitalization compared to the net book value, significant changes in the ability of a particular asset to generate positive cash flows for our strategic business objectives, and the pattern of utilization of a particular asset.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revenue is generated primarily from the sale of products and services. Product revenue primarily consists of sales of our instruments and related consumables; service and other revenue consist primarily of revenue earned from product maintenance agreements.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account for a contract with a customer when there is a legally enforceable contract between us and the customer, the rights of the parties are identified, the contract has commercial substance, and collectability of the contract consideration is probable. Revenues are recognized when control of the promised goods are transferred to our customers, or services are performed, in an amount that reflects the consideration we expect to be entitled to in exchange for those goods or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may enter into contracts with customers that include a combination of promised products and services, resulting in arrangements containing multiple performance obligations. We determine whether each product or service is distinct, in order to identify the performance obligations in the contract and allocate the contract transaction price among the distinct performance obligations.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 Therefore, instrument revenue is recognized upon transfer of control of the asset to the customer, which is generally upon delivery for sales made to our non-distributor customers and upon shipment for sales made to our distributor customers.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consideration for contracts with multiple performance obligations is allocated between separate performance obligations based on their individual standalone selling price. We determine the best estimate of standalone selling price using average selling prices over a 12-month period combined with an assessment of current market conditions. If the standalone selling price is not directly observable, we rely on estimates by considering multiple factors including, but not limited to, overall market conditions, including geographic or regional specific factors, internal costs, profit objectives, pricing practices, and other observable inputs. We recognize revenues as performance obligations are satisfied by transferring control of the product or service to the customer or over the term of a product maintenance agreement with a customer. Our revenue arrangements generally do not provide a right of return. Revenue is recorded net of discounts and sales taxes collected on behalf of governmental authorities.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Certain of our agreements provide options to customers which can be exercised at a future date, such as the option to purchase our product at discounted prices, among others. In accounting for customer options, we determine whether an option is a material right and this requires us to exercise significant judgment. If a contract provides the customer an option to acquire additional goods or services at a discount that exceeds the range of discounts that we typically give for that product or service for the same class of customer, or if the option provides the customer certain additional goods or services for free, the option may be considered a material right. If the contract gives the customer the option to acquire additional goods or services at their normal standalone selling prices, we would likely determine that the option is not a material right and, therefore, account for it when the customer exercises the option. If the standalone selling price of the option is not directly observable, an estimated standalone selling price is utilized which considers adjustments for discounts that the customer could receive without exercising the option and the likelihood that the option will be exercised. We may also utilize the alternative approach to estimate the standalone selling price, available pursuant to the applicable accounting guidance, to the extent we conclude the applicable criteria for using the alternative approach has been met. We update the transaction price for expected consideration, subject to constraint, each reporting period if our estimate of future goods to be ordered by customers change.</w:t>
      </w:r>
    </w:p>
    <w:p>
      <w:pPr>
        <w:spacing w:after="0" w:line="2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Additionally, we generally provide a one-year warranty on instruments. We accrue the cost of the assurance warranty when revenue of the instrument is recognized. Employee sales commissions are generally recorded as selling, general, and administrative expense when incurred as the amortization period for such costs, if capitalized, would have been one year or less.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 of Revenue</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Cost of revenue reflects the direct cost of product components, third-party manufacturing services, and our internal manufacturing overhead and customer service infrastructure costs incurred to produce, deliver, maintain, and support our instruments, consumables, and services.</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Manufacturing overhead is predominantly comprised of labor and facility costs. We capitalize manufacturing overhead into inventory based on a standard cost model that approximates actual costs.</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Service costs include the direct costs of components used in support, repair and maintenance of customer instruments as well as the cost of personnel, materials, shipping and support infrastructure necessary to support our installed customer base.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Research and development expense consists primarily of expenses for personnel engaged in the development of our core technology, the design and development of our future products and current product enhancements. These expenses also include prototype-related expenditures, development equipment and supplies, partner development costs, facilities costs, and other related overhead. We expense research and development costs during the period in which the costs are incurred. We defer and capitalize non-refundable advance payments made for research and development activities until the related goods are received or the related services are rendered.</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Losses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 accounts receivable</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allowance for credit losses is based on our assessment of the collectability of customer accounts. We regularly review the allowance by considering factors such as the age of the accounts receivable balances, customer creditworthiness, customer industry, and current and forecasted economic conditions that may affect a customer’s ability to pay. Credit loss expense was immaterial for the years ended December 31, 2023, 2022, and 2021.</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Available-for-sale debt securities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investment portfolio contains investments in cash deposits, money market funds, commercial paper, corporate debt securities and U.S. government and agency securities. We regularly assess whether our securities in an unrealized loss position are credit related. The credit-related portion of unrealized losses, and any subsequent improvements, are recorded in interest income. Unrealized losses that are not credit related are included in accumulated other comprehensive income (loss). The unrealized losses on our investments are mainly attributable to government securities, including U.S. government and U.S. agency bond securities, impacted by movements in market rates and not due to issuer credit risk. We have the ability to hold and do not intend to sell the investments in unrealized loss positions before the recovery of their amortized cost bases.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Although we have historically not experienced significant credit losses, our exposure to credit losses may increase if our customers are adversely affected by changes in economic pressures or uncertainty associated with local or global economic recessions, disruptions associated with the evolution of COVID-19 or other epidemics or pandemics, or other customer-specific factors.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account for income taxes under the asset and liability method, which requires, among other things, that deferred income taxes be provided for temporary differences between the tax bases of our assets and liabilities and the amounts reported in the financial statements. In addition, deferred tax assets are recorded for the future benefit of utilizing net operating losses and research and development credit carryforwards. The effect of a change in tax rates on the deferred tax assets and liabilities is recognized in the provision for income taxes in the period that includes the enactment date. A full valuation allowance is provided against our net deferred tax assets as it is more likely than not that the deferred tax assets will not be fully realized.</w:t>
      </w:r>
    </w:p>
    <w:p>
      <w:pPr>
        <w:spacing w:after="0" w:line="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regularly review our positions taken relative to income taxes. To the extent our tax positions are more likely than not going to result in additional taxes, we accrue the estimated amount of tax related to such uncertain positions.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Share-based Compensation</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We recognize share-based compensation expense for share-based payments, including stock options, restricted stock units, performance stock units and stock issued under our employee stock purchase plan ("ESPP") based on the grant-date fair value. We estimate the fair value of stock options and ESPP using an option-pricing model. See </w:t>
      </w:r>
      <w:r>
        <w:rPr>
          <w:rFonts w:ascii="Arial" w:cs="Arial" w:eastAsia="Arial" w:hAnsi="Arial"/>
          <w:sz w:val="14"/>
          <w:szCs w:val="14"/>
          <w:i w:val="1"/>
          <w:iCs w:val="1"/>
          <w:u w:val="single" w:color="auto"/>
          <w:color w:val="0000FF"/>
        </w:rPr>
        <w:t>Note 10.</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Stockholders’ Equity</w:t>
      </w:r>
      <w:r>
        <w:rPr>
          <w:rFonts w:ascii="Arial" w:cs="Arial" w:eastAsia="Arial" w:hAnsi="Arial"/>
          <w:sz w:val="14"/>
          <w:szCs w:val="14"/>
          <w:i w:val="1"/>
          <w:iCs w:val="1"/>
          <w:color w:val="0000FF"/>
        </w:rPr>
        <w:t xml:space="preserve"> </w:t>
      </w:r>
      <w:r>
        <w:rPr>
          <w:rFonts w:ascii="Arial" w:cs="Arial" w:eastAsia="Arial" w:hAnsi="Arial"/>
          <w:sz w:val="14"/>
          <w:szCs w:val="14"/>
          <w:color w:val="000000"/>
        </w:rPr>
        <w:t>for further information regarding share-based compensation.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Comprehensive Income (Loss)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 (loss) is comprised of unrealized gains (losses) on our investment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Shipping and Handling</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Costs related to shipping and handling are included in cost of revenues for all periods presented.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Share</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Basic net loss per share is computed by dividing net loss by the weighted-average number of shares of common stock outstanding during the period. Diluted net loss per share is computed using the weighted-average number of shares of common stock outstanding and potential shares assuming the dilutive effect of outstanding stock options, restricted stock units, and common stock issuable pursuant to our ESPP, using the treasury stock method.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Standards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In October 2021, the FASB issued Accounting Standards Update ("ASU") No. 2021-08, </w:t>
      </w:r>
      <w:r>
        <w:rPr>
          <w:rFonts w:ascii="Arial" w:cs="Arial" w:eastAsia="Arial" w:hAnsi="Arial"/>
          <w:sz w:val="14"/>
          <w:szCs w:val="14"/>
          <w:i w:val="1"/>
          <w:iCs w:val="1"/>
          <w:color w:val="auto"/>
        </w:rPr>
        <w:t>Business Combinations (Topic 805): Accounting for Contract Assets and Contract Liabilities</w:t>
      </w:r>
      <w:r>
        <w:rPr>
          <w:rFonts w:ascii="Arial" w:cs="Arial" w:eastAsia="Arial" w:hAnsi="Arial"/>
          <w:sz w:val="14"/>
          <w:szCs w:val="14"/>
          <w:color w:val="auto"/>
        </w:rPr>
        <w:t xml:space="preserve"> </w:t>
      </w:r>
      <w:r>
        <w:rPr>
          <w:rFonts w:ascii="Arial" w:cs="Arial" w:eastAsia="Arial" w:hAnsi="Arial"/>
          <w:sz w:val="14"/>
          <w:szCs w:val="14"/>
          <w:i w:val="1"/>
          <w:iCs w:val="1"/>
          <w:color w:val="auto"/>
        </w:rPr>
        <w:t>from Contracts with Customers</w:t>
      </w:r>
      <w:r>
        <w:rPr>
          <w:rFonts w:ascii="Arial" w:cs="Arial" w:eastAsia="Arial" w:hAnsi="Arial"/>
          <w:sz w:val="14"/>
          <w:szCs w:val="14"/>
          <w:color w:val="auto"/>
        </w:rPr>
        <w:t>. This ASU provides specific guidance on how to recognize contract assets and contract liabilities related to revenue contracts with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acquired in a business combination. This amendment improves comparability for both the recognition and measurement of acquired revenue contracts with customers at the date of and after a business combination. We adopted this ASU on January 1, 2023. The adoption of this guidance did not have a material effect on our consolidated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Accounting Pronouncements Pending Adoption</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In December 2023, the FASB issued ASU 2023-09, </w:t>
      </w:r>
      <w:r>
        <w:rPr>
          <w:rFonts w:ascii="Arial" w:cs="Arial" w:eastAsia="Arial" w:hAnsi="Arial"/>
          <w:sz w:val="14"/>
          <w:szCs w:val="14"/>
          <w:i w:val="1"/>
          <w:iCs w:val="1"/>
          <w:color w:val="auto"/>
        </w:rPr>
        <w:t>Income Taxes (Topic 740): Improvements to Income Tax Disclosures</w:t>
      </w:r>
      <w:r>
        <w:rPr>
          <w:rFonts w:ascii="Arial" w:cs="Arial" w:eastAsia="Arial" w:hAnsi="Arial"/>
          <w:sz w:val="14"/>
          <w:szCs w:val="14"/>
          <w:color w:val="auto"/>
        </w:rPr>
        <w:t>. This ASU requires entities to expand its existing income tax disclosures, specifically related to the rate reconciliation and income taxes paid. This authoritative guidance will be effective for us in fiscal year 2025, with early adoption permitted. The Company is currently evaluating the impact of the ASU but does not expect any material impacts upon adoption.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BUSINESS ACQUISITIONS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Apton Biosystems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August 2, 2023, we acquired Apton Biosystems, Inc. (“Apton”), a California-based genomics company focused on developing a high throughput short-read sequencer using highly differentiated optics and image processing, paired with novel clustering and chemistry (the “Apton acquisition”).</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connection with the Apton acquisition, all outstanding equity securities of Apton were cancelled in exchange for shares of our common stock with a fair value of $76.6 million, cash of $0.2 million, and contingent consideration with a preliminary estimated fair value of $18.5 million. Excluded from consideration transferred was $1.3 million attributable to accelerated share-based compensation expense. The fair value of the 6,121,571 common shares issued was determined based on the closing market price of our common stock on the acquisition date.</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connection with the Apton acquisition, contingent consideration of $25.0 million, which we may elect to pay in cash, shares of our common stock or a combination of cash and shares of our common stock, is due upon the achievement of a milestone, defined as the achievement of $50.0 million in revenue associated with Apton's technology, provided that the milestone event occurs prior to the 5-year anniversary of the closing date of the acquisition. At this time, the number of shares, if any, to be issued in connection with the achievement of the specified milestone is not known and will be calculated based on the daily volume-weighted average price of our common stock for the twenty trading days ending on and including the fifth trading day immediately prior to the occurrence of the specified milestone. Upon achievement of the milestone, we may pay cash in lieu of our common stock to ensure that the issuance of our common stock does not exceed 19.9% of our outstanding shares of common stock then outstanding.</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contingent consideration is accounted for as a liability at fair value, with changes during each reporting period recognized in our consolidated statements of operations and comprehensive loss. The fair value of the contingent consideration liability is calculated, with the assistance from a third-party valuation firm, using a Monte Carlo Simulation to estimate the volatility and systematic relative risk of revenues subject to sales milestone payments and discounting the associated cash payment amounts to their present values using a credit-risk-adjusted interest rate.</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allocated the consideration transferred to the identifiable assets acquired and liabilities assumed based on preliminary estimates of their respective fair values at the date of the completion of the Apton acquisition, and such allocation is subject to adjustment for up to one year after the close of the acquisition as additional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information is obtained. The major classes of assets and liabilities to which we have allocated the total fair value of the consideration transferred, based on the preliminary estimated fair values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1079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7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Cash and cash equivalents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61530" cy="1079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Goodwill</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assets,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079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Deferred income tax liability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28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2" w:lineRule="exact"/>
        <w:rPr>
          <w:sz w:val="20"/>
          <w:szCs w:val="20"/>
          <w:color w:val="auto"/>
        </w:rPr>
      </w:pPr>
    </w:p>
    <w:p>
      <w:pPr>
        <w:ind w:left="80"/>
        <w:spacing w:after="0"/>
        <w:rPr>
          <w:sz w:val="20"/>
          <w:szCs w:val="20"/>
          <w:color w:val="auto"/>
        </w:rPr>
      </w:pPr>
      <w:r>
        <w:rPr>
          <w:rFonts w:ascii="Arial" w:cs="Arial" w:eastAsia="Arial" w:hAnsi="Arial"/>
          <w:sz w:val="13"/>
          <w:szCs w:val="13"/>
          <w:color w:val="auto"/>
        </w:rPr>
        <w:t>Total consideration transferred</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1268" w:hanging="1268"/>
        <w:spacing w:after="0"/>
        <w:tabs>
          <w:tab w:leader="none" w:pos="1268" w:val="left"/>
        </w:tabs>
        <w:numPr>
          <w:ilvl w:val="0"/>
          <w:numId w:val="31"/>
        </w:numPr>
        <w:rPr>
          <w:rFonts w:ascii="Arial" w:cs="Arial" w:eastAsia="Arial" w:hAnsi="Arial"/>
          <w:sz w:val="13"/>
          <w:szCs w:val="13"/>
          <w:color w:val="auto"/>
        </w:rPr>
      </w:pPr>
      <w:r>
        <w:rPr>
          <w:rFonts w:ascii="Arial" w:cs="Arial" w:eastAsia="Arial" w:hAnsi="Arial"/>
          <w:sz w:val="13"/>
          <w:szCs w:val="13"/>
          <w:color w:val="auto"/>
        </w:rPr>
        <w:t>97</w:t>
      </w:r>
    </w:p>
    <w:p>
      <w:pPr>
        <w:spacing w:after="0" w:line="20" w:lineRule="exact"/>
        <w:rPr>
          <w:rFonts w:ascii="Arial" w:cs="Arial" w:eastAsia="Arial" w:hAnsi="Arial"/>
          <w:sz w:val="13"/>
          <w:szCs w:val="13"/>
          <w:color w:val="auto"/>
        </w:rPr>
      </w:pPr>
    </w:p>
    <w:p>
      <w:pPr>
        <w:ind w:left="1028"/>
        <w:spacing w:after="0"/>
        <w:rPr>
          <w:rFonts w:ascii="Arial" w:cs="Arial" w:eastAsia="Arial" w:hAnsi="Arial"/>
          <w:sz w:val="13"/>
          <w:szCs w:val="13"/>
          <w:color w:val="auto"/>
        </w:rPr>
      </w:pPr>
      <w:r>
        <w:rPr>
          <w:rFonts w:ascii="Arial" w:cs="Arial" w:eastAsia="Arial" w:hAnsi="Arial"/>
          <w:sz w:val="13"/>
          <w:szCs w:val="13"/>
          <w:color w:val="auto"/>
        </w:rPr>
        <w:t>55,000</w:t>
      </w:r>
    </w:p>
    <w:p>
      <w:pPr>
        <w:spacing w:after="0" w:line="20" w:lineRule="exact"/>
        <w:rPr>
          <w:rFonts w:ascii="Arial" w:cs="Arial" w:eastAsia="Arial" w:hAnsi="Arial"/>
          <w:sz w:val="13"/>
          <w:szCs w:val="13"/>
          <w:color w:val="auto"/>
        </w:rPr>
      </w:pPr>
    </w:p>
    <w:p>
      <w:pPr>
        <w:ind w:left="1028"/>
        <w:spacing w:after="0"/>
        <w:rPr>
          <w:rFonts w:ascii="Arial" w:cs="Arial" w:eastAsia="Arial" w:hAnsi="Arial"/>
          <w:sz w:val="13"/>
          <w:szCs w:val="13"/>
          <w:color w:val="auto"/>
        </w:rPr>
      </w:pPr>
      <w:r>
        <w:rPr>
          <w:rFonts w:ascii="Arial" w:cs="Arial" w:eastAsia="Arial" w:hAnsi="Arial"/>
          <w:sz w:val="13"/>
          <w:szCs w:val="13"/>
          <w:color w:val="auto"/>
        </w:rPr>
        <w:t>52,287</w:t>
      </w:r>
    </w:p>
    <w:p>
      <w:pPr>
        <w:spacing w:after="0" w:line="20" w:lineRule="exact"/>
        <w:rPr>
          <w:rFonts w:ascii="Arial" w:cs="Arial" w:eastAsia="Arial" w:hAnsi="Arial"/>
          <w:sz w:val="13"/>
          <w:szCs w:val="13"/>
          <w:color w:val="auto"/>
        </w:rPr>
      </w:pPr>
    </w:p>
    <w:p>
      <w:pPr>
        <w:ind w:left="1208"/>
        <w:spacing w:after="0"/>
        <w:rPr>
          <w:rFonts w:ascii="Arial" w:cs="Arial" w:eastAsia="Arial" w:hAnsi="Arial"/>
          <w:sz w:val="13"/>
          <w:szCs w:val="13"/>
          <w:color w:val="auto"/>
        </w:rPr>
      </w:pPr>
      <w:r>
        <w:rPr>
          <w:rFonts w:ascii="Arial" w:cs="Arial" w:eastAsia="Arial" w:hAnsi="Arial"/>
          <w:sz w:val="13"/>
          <w:szCs w:val="13"/>
          <w:color w:val="auto"/>
        </w:rPr>
        <w:t>153</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(11,338)</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(2,191)</w:t>
      </w:r>
    </w:p>
    <w:p>
      <w:pPr>
        <w:spacing w:after="0" w:line="31" w:lineRule="exact"/>
        <w:rPr>
          <w:sz w:val="20"/>
          <w:szCs w:val="20"/>
          <w:color w:val="auto"/>
        </w:rPr>
      </w:pPr>
    </w:p>
    <w:p>
      <w:pPr>
        <w:ind w:left="1028" w:hanging="1028"/>
        <w:spacing w:after="0"/>
        <w:tabs>
          <w:tab w:leader="none" w:pos="1028" w:val="left"/>
        </w:tabs>
        <w:numPr>
          <w:ilvl w:val="0"/>
          <w:numId w:val="32"/>
        </w:numPr>
        <w:rPr>
          <w:rFonts w:ascii="Arial" w:cs="Arial" w:eastAsia="Arial" w:hAnsi="Arial"/>
          <w:sz w:val="13"/>
          <w:szCs w:val="13"/>
          <w:color w:val="auto"/>
        </w:rPr>
      </w:pPr>
      <w:r>
        <w:rPr>
          <w:rFonts w:ascii="Arial" w:cs="Arial" w:eastAsia="Arial" w:hAnsi="Arial"/>
          <w:sz w:val="13"/>
          <w:szCs w:val="13"/>
          <w:color w:val="auto"/>
        </w:rPr>
        <w:t>94,008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94297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9092" w:space="720"/>
            <w:col w:w="1468"/>
          </w:cols>
          <w:pgMar w:left="300" w:top="125" w:right="319" w:bottom="1440" w:gutter="0" w:footer="0" w:header="0"/>
          <w:type w:val="continuous"/>
        </w:sectPr>
      </w:pPr>
    </w:p>
    <w:p>
      <w:pPr>
        <w:jc w:val="both"/>
        <w:spacing w:after="0" w:line="260" w:lineRule="auto"/>
        <w:rPr>
          <w:sz w:val="20"/>
          <w:szCs w:val="20"/>
          <w:color w:val="auto"/>
        </w:rPr>
      </w:pPr>
      <w:r>
        <w:rPr>
          <w:rFonts w:ascii="Arial" w:cs="Arial" w:eastAsia="Arial" w:hAnsi="Arial"/>
          <w:sz w:val="14"/>
          <w:szCs w:val="14"/>
          <w:color w:val="auto"/>
        </w:rPr>
        <w:t>The purchase price allocation is preliminary, primarily due to the pending finalization of review of various tax attributes. We continue to collect information regarding certain estimates and assumptions, including potential liabilities and contingencies. We will record adjustments to the fair value of the assets acquired, liabilities assumed and goodwill within the twelve months measurement period, if necessary. During the year ended December 31, 2023, we recorded a measurement period adjustment of $1.6 million to decrease goodwill, and a corresponding $2.0 million increase in intangible assets and $0.4 million decrease in the deferred tax liability on the consolidated balance sheets, and a $0.7 million increase to our benefit from income taxes on the consolidated statements of operations and comprehensive loss. The measurement period adjustment was due to new information that became available to us upon the completion of the valuation assessment of the in-process research and development and the tax provision.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incurred costs related to the Apton acquisition of approximately $9.0 million during the year ended December 31, 2023, which are included in merger-related expenses on the consolidated statement of operations and comprehensive loss. Merger-related expenses include $ 2.8 million relating to a liquidity event bonus plan that was treated as a separate transaction and included the issuance of 168,621 shares of common stock that were issued with a fair value of $2.1 million based on the closing market price of our common stock on the acquisition date. As a result, the total shares issued in connection with the Apton acquisition were 6.3 million shares of common stock.</w:t>
      </w:r>
    </w:p>
    <w:p>
      <w:pPr>
        <w:spacing w:after="0" w:line="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excess of the value of consideration paid over the aggregate fair value of those net assets has been recorded as goodwill. We recognized goodwill of $52.3 million, based on preliminary estimates, which is primarily attributable to the synergies expected to occur from the integration of Apton and is not deductible for income tax purposes. We preliminarily allocated $55.0 million of the purchase price to acquired in-process research and development ("IPR&amp;D"). The fair value of the IPR&amp;D was determined, with the assistance of a third-party valuation firm, using an income approach based on a forecast of expected future cash flows. Expected future cash flows utilize significant assumptions such as assumed revenue projections and discount rate.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Omniome, Inc.</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September 20, 2021, we completed our acquisition of Omniome, Inc. (“Omniome”), a San Diego-based company, to obtain their proprietary short-read DNA sequencing platform capable of delivering high accuracy (the “Omniome acquisition”).</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connection with the Omniome acquisition, all outstanding equity securities of Omniome were cancelled in exchange for approximately $315.7 million in cash, 8,911,580 shares of our common stock with a fair value of $ 249.4 million and contingent consideration with a fair value of $168.6 million. The fair value of the 8,911,580 common shares issued was determined based on the closing market price of PacBio’s common shares on the acquisition date.</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approximately $18.9 million, comprised of $7.4 million of cash, 226,811 shares of our common stock with a fair value of $6.3 million, and $5.2 million related to contingent consideration, was accounted for as a one-time post-acquisition share-based compensation expense. This share-based compensation expense was due to accelerated vesting of Omniome stock awards in connection with the acquisition.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connection with the acquisition the contingent consideration of $200 million (composed of $100 million in cash and $100 million in shares of our common stock) is due upon the achievement of a milestone, defined as the first commercial shipment to a customer of a nucleotide sequencing platform, comprising both an instrument and related consumables, that utilizes SBB technology. The number of shares of stock to be issued will be determined using the volume-weighted average of the trading prices of our common stock for the twenty trading days ending with and including the trading day that is two days immediately prior to the achievement of the milestone. Of the $100 million in shares of our common stock to be issued as part of the milestone, $4.1 million was attributable to stock options issued by PacBio in replacement of Omniome’s unvested options as part of the transaction. Upon achievement of the milestone, shares will be issued not in excess of an amount equal to 19.9% of our outstanding shares of common stock on the date of closing (prior to the issuance of any shares issued in connection with the transaction or the related private placement), less 11,500,000 shares.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The contingent consideration is accounted for as a liability at fair value, with changes during each reporting period recognized in our Consolidated Statements of Operations and Comprehensive Loss. The fair value of the contingent consideration liability is calculated, with the assistance from a third-party valuation firm, using a scenario-based method that considers a range of possible outcomes and their assigned probabilities of occurrence. The potential outcomes are discounted to present value at a discount rate equal to the sum of the term-matched risk-free-interest rate plus PacBio’s credit spread. On September 20, 2023, we achieved the commercial milestone in connection with the acquisition of Omniome. See </w:t>
      </w:r>
      <w:r>
        <w:rPr>
          <w:rFonts w:ascii="Arial" w:cs="Arial" w:eastAsia="Arial" w:hAnsi="Arial"/>
          <w:sz w:val="14"/>
          <w:szCs w:val="14"/>
          <w:i w:val="1"/>
          <w:iCs w:val="1"/>
          <w:u w:val="single" w:color="auto"/>
          <w:color w:val="0000FF"/>
        </w:rPr>
        <w:t>Note 5. Financial Instruments</w:t>
      </w:r>
      <w:r>
        <w:rPr>
          <w:rFonts w:ascii="Arial" w:cs="Arial" w:eastAsia="Arial" w:hAnsi="Arial"/>
          <w:sz w:val="14"/>
          <w:szCs w:val="14"/>
          <w:color w:val="auto"/>
        </w:rPr>
        <w:t xml:space="preserve"> for additional information on amounts paid and shares issued to former Omniome securityholders during the year ended December 31, 2023.</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Total consideration transferred for the acquisition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cash paid</w:t>
            </w: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315,703</w:t>
            </w:r>
          </w:p>
        </w:tc>
      </w:tr>
      <w:tr>
        <w:trPr>
          <w:trHeight w:val="169"/>
        </w:trPr>
        <w:tc>
          <w:tcPr>
            <w:tcW w:w="9800" w:type="dxa"/>
            <w:vAlign w:val="bottom"/>
          </w:tcPr>
          <w:p>
            <w:pPr>
              <w:ind w:left="20"/>
              <w:spacing w:after="0"/>
              <w:rPr>
                <w:sz w:val="20"/>
                <w:szCs w:val="20"/>
                <w:color w:val="auto"/>
              </w:rPr>
            </w:pPr>
            <w:r>
              <w:rPr>
                <w:rFonts w:ascii="Arial" w:cs="Arial" w:eastAsia="Arial" w:hAnsi="Arial"/>
                <w:sz w:val="13"/>
                <w:szCs w:val="13"/>
                <w:color w:val="auto"/>
              </w:rPr>
              <w:t>Fair value of share consideration</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249,435</w:t>
            </w:r>
          </w:p>
        </w:tc>
      </w:tr>
      <w:tr>
        <w:trPr>
          <w:trHeight w:val="171"/>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contingent consideration</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168,574</w:t>
            </w:r>
          </w:p>
        </w:tc>
      </w:tr>
      <w:tr>
        <w:trPr>
          <w:trHeight w:val="16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Share-based compensation expense excluded from consideration transferred</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(18,923)</w:t>
            </w:r>
          </w:p>
        </w:tc>
      </w:tr>
      <w:tr>
        <w:trPr>
          <w:trHeight w:val="187"/>
        </w:trPr>
        <w:tc>
          <w:tcPr>
            <w:tcW w:w="9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Total consideration transferred</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714,789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acquisition was accounted for as a business combination and, accordingly, the total fair value of the consideration transferred was allocated to the tangible and intangible assets acquired and liabilities assumed based on their fair values on the acquisition date. As of December 31, 2021, the major classes of assets and liabilities to which we have allocated the total fair value of the consideration transferred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61530" cy="1079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Cash and cash equivalents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079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Operating lease right-of-use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07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Goodwill</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assets,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07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Deferred income tax liability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282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2" w:lineRule="exact"/>
        <w:rPr>
          <w:sz w:val="20"/>
          <w:szCs w:val="20"/>
          <w:color w:val="auto"/>
        </w:rPr>
      </w:pPr>
    </w:p>
    <w:p>
      <w:pPr>
        <w:ind w:left="80"/>
        <w:spacing w:after="0"/>
        <w:rPr>
          <w:sz w:val="20"/>
          <w:szCs w:val="20"/>
          <w:color w:val="auto"/>
        </w:rPr>
      </w:pPr>
      <w:r>
        <w:rPr>
          <w:rFonts w:ascii="Arial" w:cs="Arial" w:eastAsia="Arial" w:hAnsi="Arial"/>
          <w:sz w:val="13"/>
          <w:szCs w:val="13"/>
          <w:color w:val="auto"/>
        </w:rPr>
        <w:t>Total consideration transferred</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1028" w:hanging="1028"/>
        <w:spacing w:after="0"/>
        <w:tabs>
          <w:tab w:leader="none" w:pos="1028" w:val="left"/>
        </w:tabs>
        <w:numPr>
          <w:ilvl w:val="0"/>
          <w:numId w:val="33"/>
        </w:numPr>
        <w:rPr>
          <w:rFonts w:ascii="Arial" w:cs="Arial" w:eastAsia="Arial" w:hAnsi="Arial"/>
          <w:sz w:val="13"/>
          <w:szCs w:val="13"/>
          <w:color w:val="auto"/>
        </w:rPr>
      </w:pPr>
      <w:r>
        <w:rPr>
          <w:rFonts w:ascii="Arial" w:cs="Arial" w:eastAsia="Arial" w:hAnsi="Arial"/>
          <w:sz w:val="13"/>
          <w:szCs w:val="13"/>
          <w:color w:val="auto"/>
        </w:rPr>
        <w:t>15,338</w:t>
      </w:r>
    </w:p>
    <w:p>
      <w:pPr>
        <w:spacing w:after="0" w:line="20" w:lineRule="exact"/>
        <w:rPr>
          <w:rFonts w:ascii="Arial" w:cs="Arial" w:eastAsia="Arial" w:hAnsi="Arial"/>
          <w:sz w:val="13"/>
          <w:szCs w:val="13"/>
          <w:color w:val="auto"/>
        </w:rPr>
      </w:pPr>
    </w:p>
    <w:p>
      <w:pPr>
        <w:ind w:left="1088"/>
        <w:spacing w:after="0"/>
        <w:rPr>
          <w:rFonts w:ascii="Arial" w:cs="Arial" w:eastAsia="Arial" w:hAnsi="Arial"/>
          <w:sz w:val="13"/>
          <w:szCs w:val="13"/>
          <w:color w:val="auto"/>
        </w:rPr>
      </w:pPr>
      <w:r>
        <w:rPr>
          <w:rFonts w:ascii="Arial" w:cs="Arial" w:eastAsia="Arial" w:hAnsi="Arial"/>
          <w:sz w:val="13"/>
          <w:szCs w:val="13"/>
          <w:color w:val="auto"/>
        </w:rPr>
        <w:t>6,123</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18,095</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400,000</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390,665</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3,203</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(91,814)</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(26,821)</w:t>
      </w:r>
    </w:p>
    <w:p>
      <w:pPr>
        <w:spacing w:after="0" w:line="31" w:lineRule="exact"/>
        <w:rPr>
          <w:sz w:val="20"/>
          <w:szCs w:val="20"/>
          <w:color w:val="auto"/>
        </w:rPr>
      </w:pPr>
    </w:p>
    <w:p>
      <w:pPr>
        <w:ind w:left="948" w:hanging="948"/>
        <w:spacing w:after="0"/>
        <w:tabs>
          <w:tab w:leader="none" w:pos="948" w:val="left"/>
        </w:tabs>
        <w:numPr>
          <w:ilvl w:val="0"/>
          <w:numId w:val="34"/>
        </w:numPr>
        <w:rPr>
          <w:rFonts w:ascii="Arial" w:cs="Arial" w:eastAsia="Arial" w:hAnsi="Arial"/>
          <w:sz w:val="13"/>
          <w:szCs w:val="13"/>
          <w:color w:val="auto"/>
        </w:rPr>
      </w:pPr>
      <w:r>
        <w:rPr>
          <w:rFonts w:ascii="Arial" w:cs="Arial" w:eastAsia="Arial" w:hAnsi="Arial"/>
          <w:sz w:val="13"/>
          <w:szCs w:val="13"/>
          <w:color w:val="auto"/>
        </w:rPr>
        <w:t>714,789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94297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9092" w:space="720"/>
            <w:col w:w="1468"/>
          </w:cols>
          <w:pgMar w:left="300" w:top="125" w:right="319" w:bottom="1440" w:gutter="0" w:footer="0" w:header="0"/>
          <w:type w:val="continuous"/>
        </w:sectPr>
      </w:pPr>
    </w:p>
    <w:p>
      <w:pPr>
        <w:jc w:val="both"/>
        <w:spacing w:after="0" w:line="262" w:lineRule="auto"/>
        <w:rPr>
          <w:sz w:val="20"/>
          <w:szCs w:val="20"/>
          <w:color w:val="auto"/>
        </w:rPr>
      </w:pPr>
      <w:r>
        <w:rPr>
          <w:rFonts w:ascii="Arial" w:cs="Arial" w:eastAsia="Arial" w:hAnsi="Arial"/>
          <w:sz w:val="14"/>
          <w:szCs w:val="14"/>
          <w:color w:val="auto"/>
        </w:rPr>
        <w:t>During the year ended December 31, 2021, we recorded a measurement period adjustment of $ 1.6 million to decrease goodwill and a corresponding $0.4 million to decrease the deferred tax liability on the Consolidated Balance Sheet, and a $1.2 million decrease to our benefit from income taxes on the Consolidated Statements of Operations and Comprehensive (Loss) Income. The measurement period adjustment was due to new information that became available to us upon the completion of the IRC Section 382 Tax Study, where we identified additional net operating losses that are available to us from acquired assets. Refer to Note 9 – Income Taxes, in Part II, Item 8 of the Annual Report on Form 10-K for the year ended December 31, 2021 for more information. There were no measurement period adjustments recorded in the year ended December 31, 2022.</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goodwill recognized was primarily attributable to the assembled workforce and synergies that are expected to occur from the integration of Omniome and is not deductible for income tax purposes.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incurred costs related to the Omniome acquisition of approximately $12.0 million during the twelve months ended December 31, 2021, which are included in merger-related costs on the Consolidated Statement of Operations and Comprehensive (Loss) Income. No significant merger-related costs were incurred during the twelve months ended December 31, 2022.</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following unaudited pro forma financial information presents combined results of operations for each of the periods presented as if Omniome had been acquired as of the beginning of 2020, giving effect on a pro forma basis to the purchase accounting adjustments such as $12.0 million of PacBio acquisition-related costs, $18.9 million of share-based compensation expense related to acceleration of certain Omniome stock options not attributable to pre -combination service, and a $91.0 million one-time income tax benefit from the reduction of our deferred tax asset valuation allowance resulting from the Omniome acquisition, as well as a pro forma adjustment to reflect $16.7 million of Omniome’s acquisition-related costs.</w:t>
      </w:r>
    </w:p>
    <w:p>
      <w:pPr>
        <w:spacing w:after="0" w:line="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unaudited pro forma information presented below is for informational purposes only and is not necessarily indicative of the consolidated results of the combined business had the acquisition actually occurred at the beginning of 2020 or the results of future operations of the combined business.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unaudited pro forma financial information:</w:t>
      </w:r>
    </w:p>
    <w:p>
      <w:pPr>
        <w:spacing w:after="0" w:line="130"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 except per share amounts)</w:t>
            </w: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 forma total revenue</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130,513</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78,893</w:t>
            </w:r>
          </w:p>
        </w:tc>
      </w:tr>
      <w:tr>
        <w:trPr>
          <w:trHeight w:val="15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 forma net (loss) income</w:t>
            </w: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(278,451)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17,510</w:t>
            </w: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 forma net (loss) income per share - basic and diluted</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0.09</w:t>
            </w:r>
          </w:p>
        </w:tc>
      </w:tr>
    </w:tbl>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consolidated financial statements include the results of operations for Omniome beginning September 20, 2021. Revenues of $0 and a net loss of $15.6 million from the acquired Omniome business have been included in our Consolidated Statement of Operations and Comprehensive (Loss) Income for the twelve months ended December 31, 2021.</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Circulomics, Inc.</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July 20, 2021, we acquired Circulomics Inc. (“Circulomics”), a Maryland-based biotechnology company focused on delivering highly differentiated sample preparation products that enable genomic workflows (the “Circulomics acquisition”).</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paid $29.5 million in cash in exchange for all outstanding shares of common stock of Circulomics. We allocated the consideration transferred to the identifiable assets acquired and liabilities assumed based on their respective fair values at the date of the completion of the Circulomics acquisition. The major classes of assets and liabilities to which we have allocated the total fair value of the consideration transferred were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r>
      <w:tr>
        <w:trPr>
          <w:trHeight w:val="169"/>
        </w:trPr>
        <w:tc>
          <w:tcPr>
            <w:tcW w:w="980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214</w:t>
            </w:r>
          </w:p>
        </w:tc>
      </w:tr>
      <w:tr>
        <w:trPr>
          <w:trHeight w:val="171"/>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11,360</w:t>
            </w:r>
          </w:p>
        </w:tc>
      </w:tr>
      <w:tr>
        <w:trPr>
          <w:trHeight w:val="169"/>
        </w:trPr>
        <w:tc>
          <w:tcPr>
            <w:tcW w:w="9800" w:type="dxa"/>
            <w:vAlign w:val="bottom"/>
          </w:tcPr>
          <w:p>
            <w:pPr>
              <w:ind w:left="20"/>
              <w:spacing w:after="0"/>
              <w:rPr>
                <w:sz w:val="20"/>
                <w:szCs w:val="20"/>
                <w:color w:val="auto"/>
              </w:rPr>
            </w:pPr>
            <w:r>
              <w:rPr>
                <w:rFonts w:ascii="Arial" w:cs="Arial" w:eastAsia="Arial" w:hAnsi="Arial"/>
                <w:sz w:val="13"/>
                <w:szCs w:val="13"/>
                <w:color w:val="auto"/>
              </w:rPr>
              <w:t>Goodwill</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19,309</w:t>
            </w:r>
          </w:p>
        </w:tc>
      </w:tr>
      <w:tr>
        <w:trPr>
          <w:trHeight w:val="171"/>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assets, non-current</w:t>
            </w: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w:t>
            </w:r>
          </w:p>
        </w:tc>
      </w:tr>
      <w:tr>
        <w:trPr>
          <w:trHeight w:val="169"/>
        </w:trPr>
        <w:tc>
          <w:tcPr>
            <w:tcW w:w="9800" w:type="dxa"/>
            <w:vAlign w:val="bottom"/>
          </w:tcPr>
          <w:p>
            <w:pPr>
              <w:ind w:left="20"/>
              <w:spacing w:after="0"/>
              <w:rPr>
                <w:sz w:val="20"/>
                <w:szCs w:val="20"/>
                <w:color w:val="auto"/>
              </w:rPr>
            </w:pPr>
            <w:r>
              <w:rPr>
                <w:rFonts w:ascii="Arial" w:cs="Arial" w:eastAsia="Arial" w:hAnsi="Arial"/>
                <w:sz w:val="13"/>
                <w:szCs w:val="13"/>
                <w:color w:val="auto"/>
              </w:rPr>
              <w:t>Deferred income tax liability</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(2,672)</w:t>
            </w:r>
          </w:p>
        </w:tc>
      </w:tr>
      <w:tr>
        <w:trPr>
          <w:trHeight w:val="170"/>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Liabilities assumed</w:t>
            </w: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w:t>
            </w:r>
          </w:p>
        </w:tc>
      </w:tr>
      <w:tr>
        <w:trPr>
          <w:trHeight w:val="162"/>
        </w:trPr>
        <w:tc>
          <w:tcPr>
            <w:tcW w:w="9800" w:type="dxa"/>
            <w:vAlign w:val="bottom"/>
          </w:tcPr>
          <w:p>
            <w:pPr>
              <w:ind w:left="80"/>
              <w:spacing w:after="0"/>
              <w:rPr>
                <w:sz w:val="20"/>
                <w:szCs w:val="20"/>
                <w:color w:val="auto"/>
              </w:rPr>
            </w:pPr>
            <w:r>
              <w:rPr>
                <w:rFonts w:ascii="Arial" w:cs="Arial" w:eastAsia="Arial" w:hAnsi="Arial"/>
                <w:sz w:val="13"/>
                <w:szCs w:val="13"/>
                <w:color w:val="auto"/>
              </w:rPr>
              <w:t>Total consideration transferred</w:t>
            </w:r>
          </w:p>
        </w:tc>
        <w:tc>
          <w:tcPr>
            <w:tcW w:w="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29,547</w:t>
            </w:r>
          </w:p>
        </w:tc>
      </w:tr>
      <w:tr>
        <w:trPr>
          <w:trHeight w:val="20"/>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excess of the value of consideration paid over the aggregate fair value of those net assets has been recorded as goodwill. We recognized goodwill of $19.3 million, which is primarily attributable to the synergies expected from capabilities in extraction and sample preparation and is not deductible for income tax purposes. We recorded $11.4 million for the fair value of acquired intangible assets, which consists of developed technology and customer relationships.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INVITAE COLLABORATION</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June 24, 2022, we entered into an Amended and Restated Development and Commercialization Agreement (the “Amended and Restated Agreement”) with Invitae Corporation (“Invitae”). The Amended and Restated Agreement amended and restated the existing Development and Commercialization Agreement, effective as of January 12, 2021, as amended by Amendment No. 1 to Development and Commercialization Agreement, entered into on June 3, 2021, by and between us and Invitae (together, the “Original Agreement”). Unless otherwise agreed in writing or terminated in accordance with the Amended and Restated Agreement, the term of the Amended and Restated Agreement shall continue until June 30, 2028 (“Term”).</w:t>
      </w:r>
    </w:p>
    <w:p>
      <w:pPr>
        <w:spacing w:after="0" w:line="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Pursuant to the Original Agreement, Invitae provided certain funding to us to develop products relating to production-scale high-throughput sequencing (“Program Products”). If Program Products were to become commercially available, Invitae had the right to purchase the Program Products at preferred pricing.</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Under the Amended and Restated Agreement, we will continue to receive feedback, input and insight from Invitae in connection with the intended development of our new sequencing systems; however, such feedback will not be contractually required, and Invitae has no contractual right to participate in decisions regarding the development program for such new sequencing systems. Our development plans for such new sequencing systems will be at our discretion and pursuant to our own internal processes and programs. Invitae will not be contractually obligated to reimburse us for development costs under the Amended and Restated Agreement. There can be no assurances that the in-development sequencing systems will continue to be developed, be successfully developed or become available for commercial sale.</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consideration of the non-refundable payments received from Invitae pursuant to the Original Agreement of $23.5 million, we will provide Invitae with credits in connection with Invitae’s anticipated purchase of certain currently sequencing systems (instruments, consumables and service contracts). The credits will expire on June 30, 2025 (“Credit Expiration Date”). Subject to certain conditions, Invitae will also be entitled to most favored pricing for the Company’s Sequel IIe systems and certain in-development systems through the Term.</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and Invitae may terminate the Amended and Restated Agreement if the other party remains in material breach of the Amended and Restated Agreement following a cure period to remedy the material breach.</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Amended and Restated Agreement was deemed a contract modification and accounted for on a prospective basis in accordance with ASC Topic 606. We will recognize proportionate amounts of the transaction price, including payments made by Invitae to us pursuant to the Original Agreement, in revenue as the remaining performance obligations are satisfied, which is when Invitae places purchase orders for certain sequencing platforms and the associated goods or services are delivered. Any remaining unused credits will be recognized when they expire.</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Invitae purchased certain instruments and consumables under the terms of the Amended and Restated Agreement, for which $ 10.5 million and $3.7 million of revenue was recognized as product revenue during the years ended December 31, 2023 and 2022, respectively, on the consolidated statements of operations and comprehensive loss.</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December 31, 2023, $8.0 million of deferred revenue, current, and $2.9 million of deferred revenue, non-current, is recorded on the consolidated balance sheet relating to all future performance obligations under the Amended and Restated Agreement.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TERMINATION OF MERGER WITH ILLUMINA</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November 1, 2018, we entered into an Agreement and Plan of Merger (as amended, the “Illumina Merger Agreement”) with Illumina, Inc. (“Illumina”) and FC Ops Corp., a wholly owned subsidiary of Illumina (“Illumina Merger Sub”). On January 2, 2020, we, Illumina and Illumina Merger Sub, entered into an agreement to terminate the Merger Agreement (the “Termination Agreement”).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Continuation Advances from Illumina</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part of the Termination Agreement, Illumina paid us cash payments (“Continuation Advances”) totaling $52 million. Up to the full $52.0 million of Continuation Advances paid to us were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Resulting from the issuance and sale of $900 million of 1.50% Convertible Senior Notes due February 15, 2028, $52.0 million of Continuation Advances were paid without interest to Illumina in February 2021 and recorded 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non-operating expense in the consolidated statements of operations and comprehensive loss for the year ended December 31, 2021.</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FINANCIAL INSTRUMENTS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Financial Instruments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Fair value is the exchange price that would be received to sell an asset or paid to transfer a liability in an orderly transaction between market participants at the measurement date.</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fair value hierarchy established under GAAP requires an entity to maximize the use of observable inputs and minimize the use of unobservable inputs when measuring fair value. The three levels of inputs that may be used to measure fair value are as follows:</w:t>
      </w:r>
    </w:p>
    <w:p>
      <w:pPr>
        <w:spacing w:after="0" w:line="35" w:lineRule="exact"/>
        <w:rPr>
          <w:sz w:val="20"/>
          <w:szCs w:val="20"/>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Level 1: quoted prices in active markets for identical assets or liabilities;</w:t>
      </w:r>
    </w:p>
    <w:p>
      <w:pPr>
        <w:spacing w:after="0" w:line="93"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48"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Level 3: unobservable inputs that are supported by little or no market activity and that are significant to the fair value of the assets or liabilities.</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carrying amount of our accounts receivable, prepaid expenses, other current assets, accounts payable, accrued expenses and other liabilities, current, approximate fair value due to their short maturities.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Assets and Liabilities Measured at Fair Value on a Recurring Basis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sets forth the fair value of our financial assets and liabilities that were measured on a recurring basis as of December 31, 2023 and December 31, 2022, respectively:</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December 31, 2023</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December 31, 2022</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2</w:t>
            </w:r>
          </w:p>
        </w:tc>
        <w:tc>
          <w:tcPr>
            <w:tcW w:w="18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3</w:t>
            </w:r>
          </w:p>
        </w:tc>
        <w:tc>
          <w:tcPr>
            <w:tcW w:w="22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1</w:t>
            </w:r>
          </w:p>
        </w:tc>
        <w:tc>
          <w:tcPr>
            <w:tcW w:w="20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2</w:t>
            </w:r>
          </w:p>
        </w:tc>
        <w:tc>
          <w:tcPr>
            <w:tcW w:w="20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3</w:t>
            </w:r>
          </w:p>
        </w:tc>
        <w:tc>
          <w:tcPr>
            <w:tcW w:w="260" w:type="dxa"/>
            <w:vAlign w:val="bottom"/>
          </w:tcPr>
          <w:p>
            <w:pPr>
              <w:spacing w:after="0"/>
              <w:rPr>
                <w:sz w:val="13"/>
                <w:szCs w:val="13"/>
                <w:color w:val="auto"/>
              </w:rPr>
            </w:pPr>
          </w:p>
        </w:tc>
        <w:tc>
          <w:tcPr>
            <w:tcW w:w="860" w:type="dxa"/>
            <w:vAlign w:val="bottom"/>
          </w:tcPr>
          <w:p>
            <w:pPr>
              <w:jc w:val="right"/>
              <w:ind w:right="33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0"/>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money market funds</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70,172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70,172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137,636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137,636</w:t>
            </w:r>
          </w:p>
        </w:tc>
        <w:tc>
          <w:tcPr>
            <w:tcW w:w="0" w:type="dxa"/>
            <w:vAlign w:val="bottom"/>
          </w:tcPr>
          <w:p>
            <w:pPr>
              <w:spacing w:after="0"/>
              <w:rPr>
                <w:sz w:val="1"/>
                <w:szCs w:val="1"/>
                <w:color w:val="auto"/>
              </w:rPr>
            </w:pPr>
          </w:p>
        </w:tc>
      </w:tr>
      <w:tr>
        <w:trPr>
          <w:trHeight w:val="169"/>
        </w:trPr>
        <w:tc>
          <w:tcPr>
            <w:tcW w:w="2460" w:type="dxa"/>
            <w:vAlign w:val="bottom"/>
          </w:tcPr>
          <w:p>
            <w:pPr>
              <w:ind w:left="20"/>
              <w:spacing w:after="0"/>
              <w:rPr>
                <w:sz w:val="20"/>
                <w:szCs w:val="20"/>
                <w:color w:val="auto"/>
              </w:rPr>
            </w:pPr>
            <w:r>
              <w:rPr>
                <w:rFonts w:ascii="Arial" w:cs="Arial" w:eastAsia="Arial" w:hAnsi="Arial"/>
                <w:sz w:val="13"/>
                <w:szCs w:val="13"/>
                <w:color w:val="auto"/>
              </w:rPr>
              <w:t>Commercial paper</w:t>
            </w:r>
          </w:p>
        </w:tc>
        <w:tc>
          <w:tcPr>
            <w:tcW w:w="2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166,453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166,453</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&amp; agency securities</w:t>
            </w: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109,739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109,739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21,000</w:t>
            </w:r>
          </w:p>
        </w:tc>
        <w:tc>
          <w:tcPr>
            <w:tcW w:w="0" w:type="dxa"/>
            <w:vAlign w:val="bottom"/>
          </w:tcPr>
          <w:p>
            <w:pPr>
              <w:spacing w:after="0"/>
              <w:rPr>
                <w:sz w:val="1"/>
                <w:szCs w:val="1"/>
                <w:color w:val="auto"/>
              </w:rPr>
            </w:pPr>
          </w:p>
        </w:tc>
      </w:tr>
      <w:tr>
        <w:trPr>
          <w:trHeight w:val="159"/>
        </w:trPr>
        <w:tc>
          <w:tcPr>
            <w:tcW w:w="2460" w:type="dxa"/>
            <w:vAlign w:val="bottom"/>
          </w:tcPr>
          <w:p>
            <w:pPr>
              <w:ind w:left="20"/>
              <w:spacing w:after="0"/>
              <w:rPr>
                <w:sz w:val="20"/>
                <w:szCs w:val="20"/>
                <w:color w:val="auto"/>
              </w:rPr>
            </w:pPr>
            <w:r>
              <w:rPr>
                <w:rFonts w:ascii="Arial" w:cs="Arial" w:eastAsia="Arial" w:hAnsi="Arial"/>
                <w:sz w:val="13"/>
                <w:szCs w:val="13"/>
                <w:color w:val="auto"/>
              </w:rPr>
              <w:t>Total cash and cash equivalents</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70,172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109,739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179,911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137,636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187,453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325,089</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Investments:</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60" w:type="dxa"/>
            <w:vAlign w:val="bottom"/>
          </w:tcPr>
          <w:p>
            <w:pPr>
              <w:ind w:left="20"/>
              <w:spacing w:after="0"/>
              <w:rPr>
                <w:sz w:val="20"/>
                <w:szCs w:val="20"/>
                <w:color w:val="auto"/>
              </w:rPr>
            </w:pPr>
            <w:r>
              <w:rPr>
                <w:rFonts w:ascii="Arial" w:cs="Arial" w:eastAsia="Arial" w:hAnsi="Arial"/>
                <w:sz w:val="13"/>
                <w:szCs w:val="13"/>
                <w:color w:val="auto"/>
              </w:rPr>
              <w:t>Commercial paper</w:t>
            </w:r>
          </w:p>
        </w:tc>
        <w:tc>
          <w:tcPr>
            <w:tcW w:w="2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9,947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127,302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127,302</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88,579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88,579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49,491</w:t>
            </w:r>
          </w:p>
        </w:tc>
        <w:tc>
          <w:tcPr>
            <w:tcW w:w="0" w:type="dxa"/>
            <w:vAlign w:val="bottom"/>
          </w:tcPr>
          <w:p>
            <w:pPr>
              <w:spacing w:after="0"/>
              <w:rPr>
                <w:sz w:val="1"/>
                <w:szCs w:val="1"/>
                <w:color w:val="auto"/>
              </w:rPr>
            </w:pPr>
          </w:p>
        </w:tc>
      </w:tr>
      <w:tr>
        <w:trPr>
          <w:trHeight w:val="169"/>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U.S. government &amp; agency securities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352,979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352,979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270,436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270,436</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investments</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451,505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451,505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447,229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447,229</w:t>
            </w:r>
          </w:p>
        </w:tc>
        <w:tc>
          <w:tcPr>
            <w:tcW w:w="0" w:type="dxa"/>
            <w:vAlign w:val="bottom"/>
          </w:tcPr>
          <w:p>
            <w:pPr>
              <w:spacing w:after="0"/>
              <w:rPr>
                <w:sz w:val="1"/>
                <w:szCs w:val="1"/>
                <w:color w:val="auto"/>
              </w:rPr>
            </w:pPr>
          </w:p>
        </w:tc>
      </w:tr>
      <w:tr>
        <w:trPr>
          <w:trHeight w:val="212"/>
        </w:trPr>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restricted cash</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69"/>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Long-term restricted cash</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2,422</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2,422</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2,922</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 measured at fair value</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72,894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561,244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634,138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140,858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634,682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775,540</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460" w:type="dxa"/>
            <w:vAlign w:val="bottom"/>
          </w:tcPr>
          <w:p>
            <w:pPr>
              <w:ind w:left="20"/>
              <w:spacing w:after="0" w:line="128" w:lineRule="exact"/>
              <w:rPr>
                <w:sz w:val="20"/>
                <w:szCs w:val="20"/>
                <w:color w:val="auto"/>
              </w:rPr>
            </w:pPr>
            <w:r>
              <w:rPr>
                <w:rFonts w:ascii="Arial" w:cs="Arial" w:eastAsia="Arial" w:hAnsi="Arial"/>
                <w:sz w:val="13"/>
                <w:szCs w:val="13"/>
                <w:color w:val="auto"/>
              </w:rPr>
              <w:t>Contingent consideration - Omniome</w:t>
            </w:r>
          </w:p>
        </w:tc>
        <w:tc>
          <w:tcPr>
            <w:tcW w:w="20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172,094</w:t>
            </w:r>
          </w:p>
        </w:tc>
        <w:tc>
          <w:tcPr>
            <w:tcW w:w="80" w:type="dxa"/>
            <w:vAlign w:val="bottom"/>
          </w:tcPr>
          <w:p>
            <w:pPr>
              <w:spacing w:after="0"/>
              <w:rPr>
                <w:sz w:val="11"/>
                <w:szCs w:val="11"/>
                <w:color w:val="auto"/>
              </w:rPr>
            </w:pPr>
          </w:p>
        </w:tc>
        <w:tc>
          <w:tcPr>
            <w:tcW w:w="260" w:type="dxa"/>
            <w:vAlign w:val="bottom"/>
            <w:vMerge w:val="restart"/>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172,094</w:t>
            </w:r>
          </w:p>
        </w:tc>
        <w:tc>
          <w:tcPr>
            <w:tcW w:w="0" w:type="dxa"/>
            <w:vAlign w:val="bottom"/>
          </w:tcPr>
          <w:p>
            <w:pPr>
              <w:spacing w:after="0"/>
              <w:rPr>
                <w:sz w:val="1"/>
                <w:szCs w:val="1"/>
                <w:color w:val="auto"/>
              </w:rPr>
            </w:pPr>
          </w:p>
        </w:tc>
      </w:tr>
      <w:tr>
        <w:trPr>
          <w:trHeight w:val="168"/>
        </w:trPr>
        <w:tc>
          <w:tcPr>
            <w:tcW w:w="2460" w:type="dxa"/>
            <w:vAlign w:val="bottom"/>
          </w:tcPr>
          <w:p>
            <w:pPr>
              <w:ind w:left="20"/>
              <w:spacing w:after="0"/>
              <w:rPr>
                <w:sz w:val="20"/>
                <w:szCs w:val="20"/>
                <w:color w:val="auto"/>
              </w:rPr>
            </w:pPr>
            <w:r>
              <w:rPr>
                <w:rFonts w:ascii="Arial" w:cs="Arial" w:eastAsia="Arial" w:hAnsi="Arial"/>
                <w:sz w:val="13"/>
                <w:szCs w:val="13"/>
                <w:color w:val="auto"/>
              </w:rPr>
              <w:t>acquisition</w:t>
            </w:r>
          </w:p>
        </w:tc>
        <w:tc>
          <w:tcPr>
            <w:tcW w:w="2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Contingent consideration - Apton</w:t>
            </w:r>
          </w:p>
        </w:tc>
        <w:tc>
          <w:tcPr>
            <w:tcW w:w="20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1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1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19,550</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19,550</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2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20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26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w:t>
            </w: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rPr>
                <w:sz w:val="20"/>
                <w:szCs w:val="20"/>
                <w:color w:val="auto"/>
              </w:rPr>
            </w:pPr>
            <w:r>
              <w:rPr>
                <w:rFonts w:ascii="Arial" w:cs="Arial" w:eastAsia="Arial" w:hAnsi="Arial"/>
                <w:sz w:val="13"/>
                <w:szCs w:val="13"/>
                <w:color w:val="auto"/>
              </w:rPr>
              <w:t>Total liabilities measured at fair value</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19,550</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19,550</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172,094</w:t>
            </w:r>
          </w:p>
        </w:tc>
        <w:tc>
          <w:tcPr>
            <w:tcW w:w="80" w:type="dxa"/>
            <w:vAlign w:val="bottom"/>
          </w:tcPr>
          <w:p>
            <w:pPr>
              <w:spacing w:after="0"/>
              <w:rPr>
                <w:sz w:val="14"/>
                <w:szCs w:val="14"/>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172,094</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classify contingent consideration, which was incurred in connection with the acquisition of Apton, within Level 3 as factors used to develop the estimate of fair value include unobservable inputs that are not supported by market activity and are significant to the fair value. Estimates and assumptions used in the Monte Carlo simulation include risk-adjusted forecasted revenues for products and services leveraging Apton's technology and an estimated credit spread.</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estimate the fair value of the contingent consideration liability based on the simulated revenue of the Company through the 5-year anniversary of the closing date of the acquisition. As of December 31, 2023, the key input used in the determination of the fair value included projected revenues of the Company relating to the high-throughput short-read products and services leveraging Apton's technology. A decrease in the projected revenues would result in a decrease in the fair value of the liability. The discount rates used are the sum of the U.S. risk-free rate and the estimated subordinated credit spread for B- credit rating, which ranges from 7.8% to 8.2%. Changes in our estimated subordinated credit spread can result in changes in the fair value of the contingent consideration liability, where a lower credit spread may result in an increased liability valuation.</w:t>
      </w:r>
    </w:p>
    <w:p>
      <w:pPr>
        <w:spacing w:after="0" w:line="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September 20, 2023, we achieved the commercial milestone in connection with the acquisition of Omniome. Consequently, former Omniome securityholders were entitled to receive as milestone consideration, among other things, an aggregate of approximately $100.9 million in cash and approximately 9.0 million shares of our common stock, representing $95.9 million divided by the volume-weighted average of the trading prices of our common stock for the twenty trading days ending with and including the trading day that was two days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immediately prior to the achievement of the milestone. The $95.9 million represents the $100.0 million that was to be paid in shares of our common stock offset by $4.1 million attributable to stock options issued by PacBio in replacement of Omniome’s unvested options as part of the transaction, pursuant to the terms of the Omniome merger agreement.</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Following the achievement of the commercial milestone, $101.3 million of the contingent consideration, which includes certain payroll taxes, was paid during the year ended December 31, 2023. Additionally, 8,988,391 shares were issued at a value of $84.8 million to the former Omniome securityholders.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a result of the achievement of the milestone, the contingent consideration liability incurred in connection with the acquisition of Omniome was no longer considered a Level 3 liability at December 31, 2023. There were no transfers between Level 1, Level 2, or Level 3 assets or liabilities reported at fair value on a recurring basis for the year ended December 31, 2023, and our valuation techniques did not change compared to the prior year.</w:t>
      </w:r>
    </w:p>
    <w:p>
      <w:pPr>
        <w:sectPr>
          <w:pgSz w:w="11900" w:h="16838" w:orient="portrait"/>
          <w:cols w:equalWidth="0" w:num="1">
            <w:col w:w="11280"/>
          </w:cols>
          <w:pgMar w:left="300" w:top="125" w:right="31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Changes in the estimated fair value of the contingent consideration liability for the year ended December 31, 2023 were as follows: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14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Beginning balance as of December 31, 2022</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079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Change in estimated fair value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Achievement of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282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Ending balance as of December 31, 2023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508"/>
        <w:spacing w:after="0"/>
        <w:rPr>
          <w:sz w:val="20"/>
          <w:szCs w:val="20"/>
          <w:color w:val="auto"/>
        </w:rPr>
      </w:pPr>
      <w:r>
        <w:rPr>
          <w:rFonts w:ascii="Arial" w:cs="Arial" w:eastAsia="Arial" w:hAnsi="Arial"/>
          <w:sz w:val="13"/>
          <w:szCs w:val="13"/>
          <w:b w:val="1"/>
          <w:bCs w:val="1"/>
          <w:color w:val="auto"/>
        </w:rPr>
        <w:t>Level 3</w:t>
      </w:r>
    </w:p>
    <w:p>
      <w:pPr>
        <w:spacing w:after="0" w:line="31" w:lineRule="exact"/>
        <w:rPr>
          <w:sz w:val="20"/>
          <w:szCs w:val="20"/>
          <w:color w:val="auto"/>
        </w:rPr>
      </w:pPr>
    </w:p>
    <w:p>
      <w:pPr>
        <w:ind w:left="948" w:hanging="948"/>
        <w:spacing w:after="0"/>
        <w:tabs>
          <w:tab w:leader="none" w:pos="948" w:val="left"/>
        </w:tabs>
        <w:numPr>
          <w:ilvl w:val="0"/>
          <w:numId w:val="36"/>
        </w:numPr>
        <w:rPr>
          <w:rFonts w:ascii="Arial" w:cs="Arial" w:eastAsia="Arial" w:hAnsi="Arial"/>
          <w:sz w:val="13"/>
          <w:szCs w:val="13"/>
          <w:color w:val="auto"/>
        </w:rPr>
      </w:pPr>
      <w:r>
        <w:rPr>
          <w:rFonts w:ascii="Arial" w:cs="Arial" w:eastAsia="Arial" w:hAnsi="Arial"/>
          <w:sz w:val="13"/>
          <w:szCs w:val="13"/>
          <w:color w:val="auto"/>
        </w:rPr>
        <w:t>172,094</w:t>
      </w:r>
    </w:p>
    <w:p>
      <w:pPr>
        <w:spacing w:after="0" w:line="20" w:lineRule="exact"/>
        <w:rPr>
          <w:rFonts w:ascii="Arial" w:cs="Arial" w:eastAsia="Arial" w:hAnsi="Arial"/>
          <w:sz w:val="13"/>
          <w:szCs w:val="13"/>
          <w:color w:val="auto"/>
        </w:rPr>
      </w:pPr>
    </w:p>
    <w:p>
      <w:pPr>
        <w:ind w:left="1028"/>
        <w:spacing w:after="0"/>
        <w:rPr>
          <w:rFonts w:ascii="Arial" w:cs="Arial" w:eastAsia="Arial" w:hAnsi="Arial"/>
          <w:sz w:val="13"/>
          <w:szCs w:val="13"/>
          <w:color w:val="auto"/>
        </w:rPr>
      </w:pPr>
      <w:r>
        <w:rPr>
          <w:rFonts w:ascii="Arial" w:cs="Arial" w:eastAsia="Arial" w:hAnsi="Arial"/>
          <w:sz w:val="13"/>
          <w:szCs w:val="13"/>
          <w:color w:val="auto"/>
        </w:rPr>
        <w:t>18,450</w:t>
      </w:r>
    </w:p>
    <w:p>
      <w:pPr>
        <w:spacing w:after="0" w:line="20" w:lineRule="exact"/>
        <w:rPr>
          <w:rFonts w:ascii="Arial" w:cs="Arial" w:eastAsia="Arial" w:hAnsi="Arial"/>
          <w:sz w:val="13"/>
          <w:szCs w:val="13"/>
          <w:color w:val="auto"/>
        </w:rPr>
      </w:pPr>
    </w:p>
    <w:p>
      <w:pPr>
        <w:ind w:left="1028"/>
        <w:spacing w:after="0"/>
        <w:rPr>
          <w:rFonts w:ascii="Arial" w:cs="Arial" w:eastAsia="Arial" w:hAnsi="Arial"/>
          <w:sz w:val="13"/>
          <w:szCs w:val="13"/>
          <w:color w:val="auto"/>
        </w:rPr>
      </w:pPr>
      <w:r>
        <w:rPr>
          <w:rFonts w:ascii="Arial" w:cs="Arial" w:eastAsia="Arial" w:hAnsi="Arial"/>
          <w:sz w:val="13"/>
          <w:szCs w:val="13"/>
          <w:color w:val="auto"/>
        </w:rPr>
        <w:t>15,060</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(186,054)</w:t>
      </w:r>
    </w:p>
    <w:p>
      <w:pPr>
        <w:spacing w:after="0" w:line="31" w:lineRule="exact"/>
        <w:rPr>
          <w:sz w:val="20"/>
          <w:szCs w:val="20"/>
          <w:color w:val="auto"/>
        </w:rPr>
      </w:pPr>
    </w:p>
    <w:p>
      <w:pPr>
        <w:ind w:left="1028" w:hanging="1028"/>
        <w:spacing w:after="0"/>
        <w:tabs>
          <w:tab w:leader="none" w:pos="1028" w:val="left"/>
        </w:tabs>
        <w:numPr>
          <w:ilvl w:val="0"/>
          <w:numId w:val="37"/>
        </w:numPr>
        <w:rPr>
          <w:rFonts w:ascii="Arial" w:cs="Arial" w:eastAsia="Arial" w:hAnsi="Arial"/>
          <w:sz w:val="13"/>
          <w:szCs w:val="13"/>
          <w:color w:val="auto"/>
        </w:rPr>
      </w:pPr>
      <w:r>
        <w:rPr>
          <w:rFonts w:ascii="Arial" w:cs="Arial" w:eastAsia="Arial" w:hAnsi="Arial"/>
          <w:sz w:val="13"/>
          <w:szCs w:val="13"/>
          <w:color w:val="auto"/>
        </w:rPr>
        <w:t>19,550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94297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9092" w:space="720"/>
            <w:col w:w="1468"/>
          </w:cols>
          <w:pgMar w:left="300" w:top="125" w:right="319" w:bottom="1440" w:gutter="0" w:footer="0" w:header="0"/>
          <w:type w:val="continuous"/>
        </w:sectPr>
      </w:pPr>
    </w:p>
    <w:p>
      <w:pPr>
        <w:spacing w:after="0"/>
        <w:rPr>
          <w:sz w:val="20"/>
          <w:szCs w:val="20"/>
          <w:color w:val="auto"/>
        </w:rPr>
      </w:pPr>
      <w:r>
        <w:rPr>
          <w:rFonts w:ascii="Arial" w:cs="Arial" w:eastAsia="Arial" w:hAnsi="Arial"/>
          <w:sz w:val="14"/>
          <w:szCs w:val="14"/>
          <w:color w:val="auto"/>
        </w:rPr>
        <w:t>Changes to the fair value are recorded as the Change in fair value of contingent consideration in the consolidated statement of operations and comprehensive loss.</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For the year ended December 31, 2023, there were no transfers between Level 1, Level 2, or Level 3 assets or liabilities reported at fair value on a recurring basis and our valuation techniques did not change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Cash Equivalents, Restricted Cash, and Investments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cash equivalents, restricted cash, and investments: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3"/>
                <w:szCs w:val="13"/>
                <w:b w:val="1"/>
                <w:bCs w:val="1"/>
                <w:color w:val="auto"/>
              </w:rPr>
              <w:t>December 31, 2023</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7"/>
              </w:rPr>
              <w:t>Amortized</w:t>
            </w:r>
          </w:p>
        </w:tc>
        <w:tc>
          <w:tcPr>
            <w:tcW w:w="1140" w:type="dxa"/>
            <w:vAlign w:val="bottom"/>
          </w:tcPr>
          <w:p>
            <w:pPr>
              <w:jc w:val="center"/>
              <w:ind w:left="276"/>
              <w:spacing w:after="0" w:line="118"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center"/>
              <w:ind w:left="376"/>
              <w:spacing w:after="0" w:line="118" w:lineRule="exact"/>
              <w:rPr>
                <w:sz w:val="20"/>
                <w:szCs w:val="20"/>
                <w:color w:val="auto"/>
              </w:rPr>
            </w:pPr>
            <w:r>
              <w:rPr>
                <w:rFonts w:ascii="Arial" w:cs="Arial" w:eastAsia="Arial" w:hAnsi="Arial"/>
                <w:sz w:val="13"/>
                <w:szCs w:val="13"/>
                <w:b w:val="1"/>
                <w:bCs w:val="1"/>
                <w:color w:val="auto"/>
              </w:rPr>
              <w:t>Gross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restart"/>
          </w:tcPr>
          <w:p>
            <w:pPr>
              <w:jc w:val="center"/>
              <w:ind w:right="256"/>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27"/>
        </w:trPr>
        <w:tc>
          <w:tcPr>
            <w:tcW w:w="5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40" w:type="dxa"/>
            <w:vAlign w:val="bottom"/>
          </w:tcPr>
          <w:p>
            <w:pPr>
              <w:jc w:val="center"/>
              <w:ind w:left="276"/>
              <w:spacing w:after="0" w:line="128" w:lineRule="exact"/>
              <w:rPr>
                <w:sz w:val="20"/>
                <w:szCs w:val="20"/>
                <w:color w:val="auto"/>
              </w:rPr>
            </w:pPr>
            <w:r>
              <w:rPr>
                <w:rFonts w:ascii="Arial" w:cs="Arial" w:eastAsia="Arial" w:hAnsi="Arial"/>
                <w:sz w:val="13"/>
                <w:szCs w:val="13"/>
                <w:b w:val="1"/>
                <w:bCs w:val="1"/>
                <w:color w:val="auto"/>
                <w:w w:val="99"/>
              </w:rPr>
              <w:t>unrealized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left="376"/>
              <w:spacing w:after="0" w:line="128" w:lineRule="exact"/>
              <w:rPr>
                <w:sz w:val="20"/>
                <w:szCs w:val="20"/>
                <w:color w:val="auto"/>
              </w:rPr>
            </w:pPr>
            <w:r>
              <w:rPr>
                <w:rFonts w:ascii="Arial" w:cs="Arial" w:eastAsia="Arial" w:hAnsi="Arial"/>
                <w:sz w:val="13"/>
                <w:szCs w:val="13"/>
                <w:b w:val="1"/>
                <w:bCs w:val="1"/>
                <w:color w:val="auto"/>
                <w:w w:val="96"/>
              </w:rPr>
              <w:t>unrealized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0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Cost</w:t>
            </w:r>
          </w:p>
        </w:tc>
        <w:tc>
          <w:tcPr>
            <w:tcW w:w="1140" w:type="dxa"/>
            <w:vAlign w:val="bottom"/>
          </w:tcPr>
          <w:p>
            <w:pPr>
              <w:jc w:val="center"/>
              <w:ind w:left="276"/>
              <w:spacing w:after="0"/>
              <w:rPr>
                <w:sz w:val="20"/>
                <w:szCs w:val="20"/>
                <w:color w:val="auto"/>
              </w:rPr>
            </w:pPr>
            <w:r>
              <w:rPr>
                <w:rFonts w:ascii="Arial" w:cs="Arial" w:eastAsia="Arial" w:hAnsi="Arial"/>
                <w:sz w:val="13"/>
                <w:szCs w:val="13"/>
                <w:b w:val="1"/>
                <w:bCs w:val="1"/>
                <w:color w:val="auto"/>
                <w:w w:val="94"/>
              </w:rPr>
              <w:t>gains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left="376"/>
              <w:spacing w:after="0"/>
              <w:rPr>
                <w:sz w:val="20"/>
                <w:szCs w:val="20"/>
                <w:color w:val="auto"/>
              </w:rPr>
            </w:pPr>
            <w:r>
              <w:rPr>
                <w:rFonts w:ascii="Arial" w:cs="Arial" w:eastAsia="Arial" w:hAnsi="Arial"/>
                <w:sz w:val="13"/>
                <w:szCs w:val="13"/>
                <w:b w:val="1"/>
                <w:bCs w:val="1"/>
                <w:color w:val="auto"/>
                <w:w w:val="93"/>
              </w:rPr>
              <w:t>losses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center"/>
              <w:ind w:right="256"/>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5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2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Cash and money market funds</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70,172</w:t>
            </w:r>
          </w:p>
        </w:tc>
        <w:tc>
          <w:tcPr>
            <w:tcW w:w="80" w:type="dxa"/>
            <w:vAlign w:val="bottom"/>
          </w:tcPr>
          <w:p>
            <w:pPr>
              <w:spacing w:after="0"/>
              <w:rPr>
                <w:sz w:val="14"/>
                <w:szCs w:val="14"/>
                <w:color w:val="auto"/>
              </w:rPr>
            </w:pPr>
          </w:p>
        </w:tc>
        <w:tc>
          <w:tcPr>
            <w:tcW w:w="1140" w:type="dxa"/>
            <w:vAlign w:val="bottom"/>
          </w:tcPr>
          <w:p>
            <w:pPr>
              <w:jc w:val="right"/>
              <w:ind w:right="996"/>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896"/>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70,172</w:t>
            </w: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&amp; agency securities</w:t>
            </w: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109,786</w:t>
            </w:r>
          </w:p>
        </w:tc>
        <w:tc>
          <w:tcPr>
            <w:tcW w:w="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109,739</w:t>
            </w:r>
          </w:p>
        </w:tc>
        <w:tc>
          <w:tcPr>
            <w:tcW w:w="0" w:type="dxa"/>
            <w:vAlign w:val="bottom"/>
          </w:tcPr>
          <w:p>
            <w:pPr>
              <w:spacing w:after="0"/>
              <w:rPr>
                <w:sz w:val="1"/>
                <w:szCs w:val="1"/>
                <w:color w:val="auto"/>
              </w:rPr>
            </w:pPr>
          </w:p>
        </w:tc>
      </w:tr>
      <w:tr>
        <w:trPr>
          <w:trHeight w:val="159"/>
        </w:trPr>
        <w:tc>
          <w:tcPr>
            <w:tcW w:w="5080" w:type="dxa"/>
            <w:vAlign w:val="bottom"/>
          </w:tcPr>
          <w:p>
            <w:pPr>
              <w:ind w:left="140"/>
              <w:spacing w:after="0"/>
              <w:rPr>
                <w:sz w:val="20"/>
                <w:szCs w:val="20"/>
                <w:color w:val="auto"/>
              </w:rPr>
            </w:pPr>
            <w:r>
              <w:rPr>
                <w:rFonts w:ascii="Arial" w:cs="Arial" w:eastAsia="Arial" w:hAnsi="Arial"/>
                <w:sz w:val="13"/>
                <w:szCs w:val="13"/>
                <w:color w:val="auto"/>
              </w:rPr>
              <w:t>Total cash and cash equivalents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179,958</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179,911</w:t>
            </w: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Investments:</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Commercial paper</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9,947</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9,947</w:t>
            </w: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88,263</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88,579</w:t>
            </w:r>
          </w:p>
        </w:tc>
        <w:tc>
          <w:tcPr>
            <w:tcW w:w="0" w:type="dxa"/>
            <w:vAlign w:val="bottom"/>
          </w:tcPr>
          <w:p>
            <w:pPr>
              <w:spacing w:after="0"/>
              <w:rPr>
                <w:sz w:val="1"/>
                <w:szCs w:val="1"/>
                <w:color w:val="auto"/>
              </w:rPr>
            </w:pPr>
          </w:p>
        </w:tc>
      </w:tr>
      <w:tr>
        <w:trPr>
          <w:trHeight w:val="16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U.S. government &amp; agency securities</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353,029</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352,979</w:t>
            </w:r>
          </w:p>
        </w:tc>
        <w:tc>
          <w:tcPr>
            <w:tcW w:w="0" w:type="dxa"/>
            <w:vAlign w:val="bottom"/>
          </w:tcPr>
          <w:p>
            <w:pPr>
              <w:spacing w:after="0"/>
              <w:rPr>
                <w:sz w:val="1"/>
                <w:szCs w:val="1"/>
                <w:color w:val="auto"/>
              </w:rPr>
            </w:pPr>
          </w:p>
        </w:tc>
      </w:tr>
      <w:tr>
        <w:trPr>
          <w:trHeight w:val="160"/>
        </w:trPr>
        <w:tc>
          <w:tcPr>
            <w:tcW w:w="5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investments</w:t>
            </w:r>
          </w:p>
        </w:tc>
        <w:tc>
          <w:tcPr>
            <w:tcW w:w="2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451,239</w:t>
            </w:r>
          </w:p>
        </w:tc>
        <w:tc>
          <w:tcPr>
            <w:tcW w:w="8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8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451,505</w:t>
            </w:r>
          </w:p>
        </w:tc>
        <w:tc>
          <w:tcPr>
            <w:tcW w:w="0" w:type="dxa"/>
            <w:vAlign w:val="bottom"/>
          </w:tcPr>
          <w:p>
            <w:pPr>
              <w:spacing w:after="0"/>
              <w:rPr>
                <w:sz w:val="1"/>
                <w:szCs w:val="1"/>
                <w:color w:val="auto"/>
              </w:rPr>
            </w:pPr>
          </w:p>
        </w:tc>
      </w:tr>
      <w:tr>
        <w:trPr>
          <w:trHeight w:val="162"/>
        </w:trPr>
        <w:tc>
          <w:tcPr>
            <w:tcW w:w="5080" w:type="dxa"/>
            <w:vAlign w:val="bottom"/>
          </w:tcPr>
          <w:p>
            <w:pPr>
              <w:ind w:left="280"/>
              <w:spacing w:after="0"/>
              <w:rPr>
                <w:sz w:val="20"/>
                <w:szCs w:val="20"/>
                <w:color w:val="auto"/>
              </w:rPr>
            </w:pPr>
            <w:r>
              <w:rPr>
                <w:rFonts w:ascii="Arial" w:cs="Arial" w:eastAsia="Arial" w:hAnsi="Arial"/>
                <w:sz w:val="13"/>
                <w:szCs w:val="13"/>
                <w:color w:val="auto"/>
              </w:rPr>
              <w:t>Total cash, cash equivalents, and investments</w:t>
            </w: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631,197</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right"/>
              <w:ind w:right="996"/>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864</w:t>
            </w:r>
          </w:p>
        </w:tc>
        <w:tc>
          <w:tcPr>
            <w:tcW w:w="80" w:type="dxa"/>
            <w:vAlign w:val="bottom"/>
          </w:tcPr>
          <w:p>
            <w:pPr>
              <w:spacing w:after="0"/>
              <w:rPr>
                <w:sz w:val="14"/>
                <w:szCs w:val="14"/>
                <w:color w:val="auto"/>
              </w:rPr>
            </w:pPr>
          </w:p>
        </w:tc>
        <w:tc>
          <w:tcPr>
            <w:tcW w:w="1060" w:type="dxa"/>
            <w:vAlign w:val="bottom"/>
            <w:tcBorders>
              <w:bottom w:val="single" w:sz="8" w:color="auto"/>
            </w:tcBorders>
          </w:tcPr>
          <w:p>
            <w:pPr>
              <w:jc w:val="right"/>
              <w:ind w:right="896"/>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(645)</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631,416</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080" w:type="dxa"/>
            <w:vAlign w:val="bottom"/>
          </w:tcPr>
          <w:p>
            <w:pPr>
              <w:ind w:left="20"/>
              <w:spacing w:after="0"/>
              <w:rPr>
                <w:sz w:val="20"/>
                <w:szCs w:val="20"/>
                <w:color w:val="auto"/>
              </w:rPr>
            </w:pPr>
            <w:r>
              <w:rPr>
                <w:rFonts w:ascii="Arial" w:cs="Arial" w:eastAsia="Arial" w:hAnsi="Arial"/>
                <w:sz w:val="13"/>
                <w:szCs w:val="13"/>
                <w:color w:val="auto"/>
              </w:rPr>
              <w:t>Short-term restricted cash</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300</w:t>
            </w:r>
          </w:p>
        </w:tc>
        <w:tc>
          <w:tcPr>
            <w:tcW w:w="80" w:type="dxa"/>
            <w:vAlign w:val="bottom"/>
          </w:tcPr>
          <w:p>
            <w:pPr>
              <w:spacing w:after="0"/>
              <w:rPr>
                <w:sz w:val="14"/>
                <w:szCs w:val="14"/>
                <w:color w:val="auto"/>
              </w:rPr>
            </w:pPr>
          </w:p>
        </w:tc>
        <w:tc>
          <w:tcPr>
            <w:tcW w:w="1140" w:type="dxa"/>
            <w:vAlign w:val="bottom"/>
          </w:tcPr>
          <w:p>
            <w:pPr>
              <w:jc w:val="right"/>
              <w:ind w:right="996"/>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896"/>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Long-term restricted cash</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2,422</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3"/>
                <w:szCs w:val="13"/>
                <w:b w:val="1"/>
                <w:bCs w:val="1"/>
                <w:color w:val="auto"/>
              </w:rPr>
              <w:t>December 31, 2022</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7"/>
              </w:rPr>
              <w:t>Amortized</w:t>
            </w:r>
          </w:p>
        </w:tc>
        <w:tc>
          <w:tcPr>
            <w:tcW w:w="1140" w:type="dxa"/>
            <w:vAlign w:val="bottom"/>
          </w:tcPr>
          <w:p>
            <w:pPr>
              <w:jc w:val="center"/>
              <w:ind w:left="276"/>
              <w:spacing w:after="0" w:line="118"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center"/>
              <w:ind w:left="376"/>
              <w:spacing w:after="0" w:line="118" w:lineRule="exact"/>
              <w:rPr>
                <w:sz w:val="20"/>
                <w:szCs w:val="20"/>
                <w:color w:val="auto"/>
              </w:rPr>
            </w:pPr>
            <w:r>
              <w:rPr>
                <w:rFonts w:ascii="Arial" w:cs="Arial" w:eastAsia="Arial" w:hAnsi="Arial"/>
                <w:sz w:val="13"/>
                <w:szCs w:val="13"/>
                <w:b w:val="1"/>
                <w:bCs w:val="1"/>
                <w:color w:val="auto"/>
              </w:rPr>
              <w:t>Gross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restart"/>
          </w:tcPr>
          <w:p>
            <w:pPr>
              <w:jc w:val="center"/>
              <w:ind w:right="256"/>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27"/>
        </w:trPr>
        <w:tc>
          <w:tcPr>
            <w:tcW w:w="5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40" w:type="dxa"/>
            <w:vAlign w:val="bottom"/>
          </w:tcPr>
          <w:p>
            <w:pPr>
              <w:jc w:val="center"/>
              <w:ind w:left="276"/>
              <w:spacing w:after="0" w:line="128" w:lineRule="exact"/>
              <w:rPr>
                <w:sz w:val="20"/>
                <w:szCs w:val="20"/>
                <w:color w:val="auto"/>
              </w:rPr>
            </w:pPr>
            <w:r>
              <w:rPr>
                <w:rFonts w:ascii="Arial" w:cs="Arial" w:eastAsia="Arial" w:hAnsi="Arial"/>
                <w:sz w:val="13"/>
                <w:szCs w:val="13"/>
                <w:b w:val="1"/>
                <w:bCs w:val="1"/>
                <w:color w:val="auto"/>
                <w:w w:val="99"/>
              </w:rPr>
              <w:t>unrealized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left="376"/>
              <w:spacing w:after="0" w:line="128" w:lineRule="exact"/>
              <w:rPr>
                <w:sz w:val="20"/>
                <w:szCs w:val="20"/>
                <w:color w:val="auto"/>
              </w:rPr>
            </w:pPr>
            <w:r>
              <w:rPr>
                <w:rFonts w:ascii="Arial" w:cs="Arial" w:eastAsia="Arial" w:hAnsi="Arial"/>
                <w:sz w:val="13"/>
                <w:szCs w:val="13"/>
                <w:b w:val="1"/>
                <w:bCs w:val="1"/>
                <w:color w:val="auto"/>
                <w:w w:val="96"/>
              </w:rPr>
              <w:t>unrealized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0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Cost</w:t>
            </w:r>
          </w:p>
        </w:tc>
        <w:tc>
          <w:tcPr>
            <w:tcW w:w="1140" w:type="dxa"/>
            <w:vAlign w:val="bottom"/>
          </w:tcPr>
          <w:p>
            <w:pPr>
              <w:jc w:val="center"/>
              <w:ind w:left="276"/>
              <w:spacing w:after="0"/>
              <w:rPr>
                <w:sz w:val="20"/>
                <w:szCs w:val="20"/>
                <w:color w:val="auto"/>
              </w:rPr>
            </w:pPr>
            <w:r>
              <w:rPr>
                <w:rFonts w:ascii="Arial" w:cs="Arial" w:eastAsia="Arial" w:hAnsi="Arial"/>
                <w:sz w:val="13"/>
                <w:szCs w:val="13"/>
                <w:b w:val="1"/>
                <w:bCs w:val="1"/>
                <w:color w:val="auto"/>
                <w:w w:val="94"/>
              </w:rPr>
              <w:t>gains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left="376"/>
              <w:spacing w:after="0"/>
              <w:rPr>
                <w:sz w:val="20"/>
                <w:szCs w:val="20"/>
                <w:color w:val="auto"/>
              </w:rPr>
            </w:pPr>
            <w:r>
              <w:rPr>
                <w:rFonts w:ascii="Arial" w:cs="Arial" w:eastAsia="Arial" w:hAnsi="Arial"/>
                <w:sz w:val="13"/>
                <w:szCs w:val="13"/>
                <w:b w:val="1"/>
                <w:bCs w:val="1"/>
                <w:color w:val="auto"/>
                <w:w w:val="93"/>
              </w:rPr>
              <w:t>losses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center"/>
              <w:ind w:right="256"/>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5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2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Cash and money market funds</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137,636</w:t>
            </w:r>
          </w:p>
        </w:tc>
        <w:tc>
          <w:tcPr>
            <w:tcW w:w="80" w:type="dxa"/>
            <w:vAlign w:val="bottom"/>
          </w:tcPr>
          <w:p>
            <w:pPr>
              <w:spacing w:after="0"/>
              <w:rPr>
                <w:sz w:val="14"/>
                <w:szCs w:val="14"/>
                <w:color w:val="auto"/>
              </w:rPr>
            </w:pPr>
          </w:p>
        </w:tc>
        <w:tc>
          <w:tcPr>
            <w:tcW w:w="1140" w:type="dxa"/>
            <w:vAlign w:val="bottom"/>
          </w:tcPr>
          <w:p>
            <w:pPr>
              <w:jc w:val="right"/>
              <w:ind w:right="996"/>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896"/>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137,636</w:t>
            </w: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paper</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166,514</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166,453</w:t>
            </w:r>
          </w:p>
        </w:tc>
        <w:tc>
          <w:tcPr>
            <w:tcW w:w="0" w:type="dxa"/>
            <w:vAlign w:val="bottom"/>
          </w:tcPr>
          <w:p>
            <w:pPr>
              <w:spacing w:after="0"/>
              <w:rPr>
                <w:sz w:val="1"/>
                <w:szCs w:val="1"/>
                <w:color w:val="auto"/>
              </w:rPr>
            </w:pP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U.S. government &amp; agency securities</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20,994</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21,000</w:t>
            </w:r>
          </w:p>
        </w:tc>
        <w:tc>
          <w:tcPr>
            <w:tcW w:w="0" w:type="dxa"/>
            <w:vAlign w:val="bottom"/>
          </w:tcPr>
          <w:p>
            <w:pPr>
              <w:spacing w:after="0"/>
              <w:rPr>
                <w:sz w:val="1"/>
                <w:szCs w:val="1"/>
                <w:color w:val="auto"/>
              </w:rPr>
            </w:pPr>
          </w:p>
        </w:tc>
      </w:tr>
      <w:tr>
        <w:trPr>
          <w:trHeight w:val="162"/>
        </w:trPr>
        <w:tc>
          <w:tcPr>
            <w:tcW w:w="50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cash and cash equivalents</w:t>
            </w:r>
          </w:p>
        </w:tc>
        <w:tc>
          <w:tcPr>
            <w:tcW w:w="2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325,144</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325,089</w:t>
            </w:r>
          </w:p>
        </w:tc>
        <w:tc>
          <w:tcPr>
            <w:tcW w:w="0" w:type="dxa"/>
            <w:vAlign w:val="bottom"/>
          </w:tcPr>
          <w:p>
            <w:pPr>
              <w:spacing w:after="0"/>
              <w:rPr>
                <w:sz w:val="1"/>
                <w:szCs w:val="1"/>
                <w:color w:val="auto"/>
              </w:rPr>
            </w:pPr>
          </w:p>
        </w:tc>
      </w:tr>
      <w:tr>
        <w:trPr>
          <w:trHeight w:val="170"/>
        </w:trPr>
        <w:tc>
          <w:tcPr>
            <w:tcW w:w="5080" w:type="dxa"/>
            <w:vAlign w:val="bottom"/>
          </w:tcPr>
          <w:p>
            <w:pPr>
              <w:ind w:left="20"/>
              <w:spacing w:after="0"/>
              <w:rPr>
                <w:sz w:val="20"/>
                <w:szCs w:val="20"/>
                <w:color w:val="auto"/>
              </w:rPr>
            </w:pPr>
            <w:r>
              <w:rPr>
                <w:rFonts w:ascii="Arial" w:cs="Arial" w:eastAsia="Arial" w:hAnsi="Arial"/>
                <w:sz w:val="13"/>
                <w:szCs w:val="13"/>
                <w:b w:val="1"/>
                <w:bCs w:val="1"/>
                <w:color w:val="auto"/>
              </w:rPr>
              <w:t>Investments: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paper</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127,626</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127,302</w:t>
            </w:r>
          </w:p>
        </w:tc>
        <w:tc>
          <w:tcPr>
            <w:tcW w:w="0" w:type="dxa"/>
            <w:vAlign w:val="bottom"/>
          </w:tcPr>
          <w:p>
            <w:pPr>
              <w:spacing w:after="0"/>
              <w:rPr>
                <w:sz w:val="1"/>
                <w:szCs w:val="1"/>
                <w:color w:val="auto"/>
              </w:rPr>
            </w:pP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Corporate debt securities</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49,998</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(507)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49,491</w:t>
            </w: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&amp; agency securities</w:t>
            </w: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274,315</w:t>
            </w:r>
          </w:p>
        </w:tc>
        <w:tc>
          <w:tcPr>
            <w:tcW w:w="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(3,880)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270,436</w:t>
            </w:r>
          </w:p>
        </w:tc>
        <w:tc>
          <w:tcPr>
            <w:tcW w:w="0" w:type="dxa"/>
            <w:vAlign w:val="bottom"/>
          </w:tcPr>
          <w:p>
            <w:pPr>
              <w:spacing w:after="0"/>
              <w:rPr>
                <w:sz w:val="1"/>
                <w:szCs w:val="1"/>
                <w:color w:val="auto"/>
              </w:rPr>
            </w:pPr>
          </w:p>
        </w:tc>
      </w:tr>
      <w:tr>
        <w:trPr>
          <w:trHeight w:val="159"/>
        </w:trPr>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investments</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451,939</w:t>
            </w: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(4,720)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447,229</w:t>
            </w:r>
          </w:p>
        </w:tc>
        <w:tc>
          <w:tcPr>
            <w:tcW w:w="0" w:type="dxa"/>
            <w:vAlign w:val="bottom"/>
          </w:tcPr>
          <w:p>
            <w:pPr>
              <w:spacing w:after="0"/>
              <w:rPr>
                <w:sz w:val="1"/>
                <w:szCs w:val="1"/>
                <w:color w:val="auto"/>
              </w:rPr>
            </w:pPr>
          </w:p>
        </w:tc>
      </w:tr>
      <w:tr>
        <w:trPr>
          <w:trHeight w:val="187"/>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cash, cash equivalents, and investments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777,083</w:t>
            </w: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(4,781)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772,318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Short-term restricted cash</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080" w:type="dxa"/>
            <w:vAlign w:val="bottom"/>
          </w:tcPr>
          <w:p>
            <w:pPr>
              <w:ind w:left="20"/>
              <w:spacing w:after="0" w:line="133" w:lineRule="exact"/>
              <w:rPr>
                <w:sz w:val="20"/>
                <w:szCs w:val="20"/>
                <w:color w:val="auto"/>
              </w:rPr>
            </w:pPr>
            <w:r>
              <w:rPr>
                <w:rFonts w:ascii="Arial" w:cs="Arial" w:eastAsia="Arial" w:hAnsi="Arial"/>
                <w:sz w:val="13"/>
                <w:szCs w:val="13"/>
                <w:color w:val="auto"/>
              </w:rPr>
              <w:t>Long-term restricted cash</w:t>
            </w:r>
          </w:p>
        </w:tc>
        <w:tc>
          <w:tcPr>
            <w:tcW w:w="260" w:type="dxa"/>
            <w:vAlign w:val="bottom"/>
          </w:tcPr>
          <w:p>
            <w:pPr>
              <w:jc w:val="right"/>
              <w:ind w:right="96"/>
              <w:spacing w:after="0" w:line="133" w:lineRule="exact"/>
              <w:rPr>
                <w:sz w:val="20"/>
                <w:szCs w:val="20"/>
                <w:color w:val="auto"/>
              </w:rPr>
            </w:pPr>
            <w:r>
              <w:rPr>
                <w:rFonts w:ascii="Arial" w:cs="Arial" w:eastAsia="Arial" w:hAnsi="Arial"/>
                <w:sz w:val="13"/>
                <w:szCs w:val="13"/>
                <w:color w:val="auto"/>
              </w:rPr>
              <w:t>$</w:t>
            </w:r>
          </w:p>
        </w:tc>
        <w:tc>
          <w:tcPr>
            <w:tcW w:w="1240" w:type="dxa"/>
            <w:vAlign w:val="bottom"/>
          </w:tcPr>
          <w:p>
            <w:pPr>
              <w:jc w:val="right"/>
              <w:spacing w:after="0" w:line="133" w:lineRule="exact"/>
              <w:rPr>
                <w:sz w:val="20"/>
                <w:szCs w:val="20"/>
                <w:color w:val="auto"/>
              </w:rPr>
            </w:pPr>
            <w:r>
              <w:rPr>
                <w:rFonts w:ascii="Arial" w:cs="Arial" w:eastAsia="Arial" w:hAnsi="Arial"/>
                <w:sz w:val="13"/>
                <w:szCs w:val="13"/>
                <w:color w:val="auto"/>
              </w:rPr>
              <w:t>2,922</w:t>
            </w:r>
          </w:p>
        </w:tc>
        <w:tc>
          <w:tcPr>
            <w:tcW w:w="80" w:type="dxa"/>
            <w:vAlign w:val="bottom"/>
          </w:tcPr>
          <w:p>
            <w:pPr>
              <w:spacing w:after="0"/>
              <w:rPr>
                <w:sz w:val="11"/>
                <w:szCs w:val="11"/>
                <w:color w:val="auto"/>
              </w:rPr>
            </w:pPr>
          </w:p>
        </w:tc>
        <w:tc>
          <w:tcPr>
            <w:tcW w:w="1140" w:type="dxa"/>
            <w:vAlign w:val="bottom"/>
          </w:tcPr>
          <w:p>
            <w:pPr>
              <w:jc w:val="right"/>
              <w:ind w:right="996"/>
              <w:spacing w:after="0" w:line="133" w:lineRule="exact"/>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896"/>
              <w:spacing w:after="0" w:line="133"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240"/>
              <w:spacing w:after="0" w:line="133" w:lineRule="exact"/>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line="133" w:lineRule="exact"/>
              <w:rPr>
                <w:sz w:val="20"/>
                <w:szCs w:val="20"/>
                <w:color w:val="auto"/>
              </w:rPr>
            </w:pPr>
            <w:r>
              <w:rPr>
                <w:rFonts w:ascii="Arial" w:cs="Arial" w:eastAsia="Arial" w:hAnsi="Arial"/>
                <w:sz w:val="13"/>
                <w:szCs w:val="13"/>
                <w:color w:val="auto"/>
              </w:rPr>
              <w:t>2,922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contractual maturities of our cash equivalents and available-for-sale investments, excluding money market funds, as of December 31,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Fair Value</w:t>
            </w:r>
          </w:p>
        </w:tc>
      </w:tr>
      <w:tr>
        <w:trPr>
          <w:trHeight w:val="160"/>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in one year or less</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465,181</w:t>
            </w:r>
          </w:p>
        </w:tc>
      </w:tr>
      <w:tr>
        <w:trPr>
          <w:trHeight w:val="16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Due after one year through 5 years</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96,063</w:t>
            </w:r>
          </w:p>
        </w:tc>
      </w:tr>
      <w:tr>
        <w:trPr>
          <w:trHeight w:val="187"/>
        </w:trPr>
        <w:tc>
          <w:tcPr>
            <w:tcW w:w="9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investments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561,244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Actual maturities may differ from contractual maturities because issuers may have the right to call or prepay obligations without call or prepayment penalties.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Investment income included in other income, net on the consolidated statement of operations and comprehensive loss was $32.8 million and $9.2 million for the years ended December 31, 2023 and 2022,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BALANCE SHEET COMPONENTS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Inventory, Net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Inventory, net, consisted of the following components:</w:t>
      </w:r>
    </w:p>
    <w:p>
      <w:pPr>
        <w:spacing w:after="0" w:line="130" w:lineRule="exact"/>
        <w:rPr>
          <w:sz w:val="20"/>
          <w:szCs w:val="20"/>
          <w:color w:val="auto"/>
        </w:rPr>
      </w:pPr>
    </w:p>
    <w:p>
      <w:pPr>
        <w:ind w:left="934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Purchased materials</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24,139</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Work in process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23,436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14,062</w:t>
            </w: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Finished goods</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13,072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12,180</w:t>
            </w:r>
          </w:p>
        </w:tc>
      </w:tr>
      <w:tr>
        <w:trPr>
          <w:trHeight w:val="162"/>
        </w:trPr>
        <w:tc>
          <w:tcPr>
            <w:tcW w:w="8220" w:type="dxa"/>
            <w:vAlign w:val="bottom"/>
          </w:tcPr>
          <w:p>
            <w:pPr>
              <w:ind w:left="460"/>
              <w:spacing w:after="0"/>
              <w:rPr>
                <w:sz w:val="20"/>
                <w:szCs w:val="20"/>
                <w:color w:val="auto"/>
              </w:rPr>
            </w:pPr>
            <w:r>
              <w:rPr>
                <w:rFonts w:ascii="Arial" w:cs="Arial" w:eastAsia="Arial" w:hAnsi="Arial"/>
                <w:sz w:val="13"/>
                <w:szCs w:val="13"/>
                <w:color w:val="auto"/>
              </w:rPr>
              <w:t>Inventory, net</w:t>
            </w: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56,676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50,381</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 Net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Property and equipment, net, consisted of the following components:</w:t>
      </w:r>
    </w:p>
    <w:p>
      <w:pPr>
        <w:spacing w:after="0" w:line="130" w:lineRule="exact"/>
        <w:rPr>
          <w:sz w:val="20"/>
          <w:szCs w:val="20"/>
          <w:color w:val="auto"/>
        </w:rPr>
      </w:pPr>
    </w:p>
    <w:p>
      <w:pPr>
        <w:ind w:left="934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Laboratory equipment and machinery</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44,907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38,998</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Leasehold improvements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35,226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34,129</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Computer equipment</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19,528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18,438</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Software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6,628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6,879</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Furniture and fixtures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3,426</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Construction in progress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4,698</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111,226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106,568</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Accumulated depreciation</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(74,794)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(64,988)</w:t>
            </w:r>
          </w:p>
        </w:tc>
      </w:tr>
      <w:tr>
        <w:trPr>
          <w:trHeight w:val="18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36,432</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41,580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Construction in progress consists of capitalizable costs that have been incurred for the construction of long-lived assets and is primarily comprised of amounts that will be classified as lab equipment.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 during the years ended December 31, 2023, 2022, and 2021 was $11.5 million, $9.5 million, and $7.2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December 31, 2023 and 2022, the goodwill balance was $462.3 million and $410.0 million, respectively. Goodwill preliminarily increased by $52.3 million, due to the Apton acquisition, of which $11.3 million relates to a deferred income tax liability. Goodwill is reviewed for impairment at least annually during the second quarter, or more frequently if an event occurs indicating the potential for impairment. We performed our annual assessment for goodwill impairment in the second quarter of 2023, noting no impairment.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Acquired Intangible Assets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Intangible assets include acquired IPR&amp;D of $55.0 million as a result of the Apton acquisition in August 2023. As of December 31, 2023, the research and development project had not been completed or abandoned and, therefore, the IPR&amp;D intangible asset is not currently subject to amortization. During the year ended December 31, 2023, acquired IPR&amp;D of $400.0 million as a result of the Omniome acquisition in September 2021 was completed and became subject to amortization. IPR&amp;D is reviewed for impairment at least annually, or more frequently if an event occurs indicating the potential for impairment. We performed our annual assessment for IPR&amp;D impairment in the third quarter of 2023, noting no impairment.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IPR&amp;D, we had the following acquired definite-lived intangible assets as of December 31, 2023 (in thousands, except years):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Estimated</w:t>
            </w:r>
          </w:p>
        </w:tc>
        <w:tc>
          <w:tcPr>
            <w:tcW w:w="28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3"/>
                <w:szCs w:val="13"/>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3"/>
                <w:szCs w:val="13"/>
                <w:color w:val="auto"/>
              </w:rPr>
            </w:pPr>
          </w:p>
        </w:tc>
        <w:tc>
          <w:tcPr>
            <w:tcW w:w="1200" w:type="dxa"/>
            <w:vAlign w:val="bottom"/>
          </w:tcPr>
          <w:p>
            <w:pPr>
              <w:jc w:val="center"/>
              <w:ind w:right="216"/>
              <w:spacing w:after="0"/>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27"/>
        </w:trPr>
        <w:tc>
          <w:tcPr>
            <w:tcW w:w="5080" w:type="dxa"/>
            <w:vAlign w:val="bottom"/>
          </w:tcPr>
          <w:p>
            <w:pPr>
              <w:spacing w:after="0"/>
              <w:rPr>
                <w:sz w:val="11"/>
                <w:szCs w:val="11"/>
                <w:color w:val="auto"/>
              </w:rPr>
            </w:pPr>
          </w:p>
        </w:tc>
        <w:tc>
          <w:tcPr>
            <w:tcW w:w="1580" w:type="dxa"/>
            <w:vAlign w:val="bottom"/>
            <w:gridSpan w:val="2"/>
          </w:tcPr>
          <w:p>
            <w:pPr>
              <w:jc w:val="center"/>
              <w:ind w:right="80"/>
              <w:spacing w:after="0" w:line="128" w:lineRule="exact"/>
              <w:rPr>
                <w:sz w:val="20"/>
                <w:szCs w:val="20"/>
                <w:color w:val="auto"/>
              </w:rPr>
            </w:pPr>
            <w:r>
              <w:rPr>
                <w:rFonts w:ascii="Arial" w:cs="Arial" w:eastAsia="Arial" w:hAnsi="Arial"/>
                <w:sz w:val="13"/>
                <w:szCs w:val="13"/>
                <w:b w:val="1"/>
                <w:bCs w:val="1"/>
                <w:color w:val="auto"/>
                <w:w w:val="99"/>
              </w:rPr>
              <w:t>Useful Life</w:t>
            </w:r>
          </w:p>
        </w:tc>
        <w:tc>
          <w:tcPr>
            <w:tcW w:w="280" w:type="dxa"/>
            <w:vAlign w:val="bottom"/>
          </w:tcPr>
          <w:p>
            <w:pPr>
              <w:spacing w:after="0"/>
              <w:rPr>
                <w:sz w:val="11"/>
                <w:szCs w:val="11"/>
                <w:color w:val="auto"/>
              </w:rPr>
            </w:pPr>
          </w:p>
        </w:tc>
        <w:tc>
          <w:tcPr>
            <w:tcW w:w="128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6"/>
              <w:spacing w:after="0" w:line="128"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70"/>
        </w:trPr>
        <w:tc>
          <w:tcPr>
            <w:tcW w:w="508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(in years)</w:t>
            </w:r>
          </w:p>
        </w:tc>
        <w:tc>
          <w:tcPr>
            <w:tcW w:w="2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Amortization</w:t>
            </w:r>
          </w:p>
        </w:tc>
        <w:tc>
          <w:tcPr>
            <w:tcW w:w="280" w:type="dxa"/>
            <w:vAlign w:val="bottom"/>
          </w:tcPr>
          <w:p>
            <w:pPr>
              <w:spacing w:after="0"/>
              <w:rPr>
                <w:sz w:val="14"/>
                <w:szCs w:val="14"/>
                <w:color w:val="auto"/>
              </w:rPr>
            </w:pPr>
          </w:p>
        </w:tc>
        <w:tc>
          <w:tcPr>
            <w:tcW w:w="1200" w:type="dxa"/>
            <w:vAlign w:val="bottom"/>
          </w:tcPr>
          <w:p>
            <w:pPr>
              <w:jc w:val="center"/>
              <w:ind w:right="216"/>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6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Developed technology</w:t>
            </w:r>
          </w:p>
        </w:tc>
        <w:tc>
          <w:tcPr>
            <w:tcW w:w="150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15</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411,179</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(9,195)</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401,984</w:t>
            </w:r>
          </w:p>
        </w:tc>
        <w:tc>
          <w:tcPr>
            <w:tcW w:w="0" w:type="dxa"/>
            <w:vAlign w:val="bottom"/>
          </w:tcPr>
          <w:p>
            <w:pPr>
              <w:spacing w:after="0"/>
              <w:rPr>
                <w:sz w:val="1"/>
                <w:szCs w:val="1"/>
                <w:color w:val="auto"/>
              </w:rPr>
            </w:pPr>
          </w:p>
        </w:tc>
      </w:tr>
      <w:tr>
        <w:trPr>
          <w:trHeight w:val="16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Customer relationships</w:t>
            </w:r>
          </w:p>
        </w:tc>
        <w:tc>
          <w:tcPr>
            <w:tcW w:w="1500" w:type="dxa"/>
            <w:vAlign w:val="bottom"/>
            <w:tcBorders>
              <w:bottom w:val="single" w:sz="8" w:color="CCEEFF"/>
            </w:tcBorders>
          </w:tcPr>
          <w:p>
            <w:pPr>
              <w:jc w:val="right"/>
              <w:ind w:right="656"/>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5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Total</w:t>
            </w:r>
          </w:p>
        </w:tc>
        <w:tc>
          <w:tcPr>
            <w:tcW w:w="1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411,539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(9,555)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401,984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Amortization expense of intangibles was $8.3 million, $0.9 million and $0.4 million for the years ended December 31, 2023, 2022, and 2021, respectively.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2023, 2022, and 2021 amortization expense of intangibles in cost of revenue was $2.0 million, $0.7 million, and $0.3 million, respectively.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2023, 2022, and 2021, amortization expense of intangibles in operating expenses was $6.3 million, $0.2 million, and $0.1 million, respectively.</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Amortization of intangible assets is included within our cost of revenue if the costs and expenses related to the intangible assets are attributable to revenue generating activities. Amortization expense for intangible assets that are not directly related to sales generating activities are amortized to operating expenses. For developed technology intangible assets that are utilized in both revenue generating activities and in research and development activities, we allocate the amortization expense between cost of revenue and operating expenses. The definite-lived intangible assets are amortized using the straight-line method over their estimated useful lives.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The estimated future amortization expense of acquisition-related intangible assets with definite lives is estimated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27,412</w:t>
            </w:r>
          </w:p>
        </w:tc>
      </w:tr>
      <w:tr>
        <w:trPr>
          <w:trHeight w:val="169"/>
        </w:trPr>
        <w:tc>
          <w:tcPr>
            <w:tcW w:w="9800" w:type="dxa"/>
            <w:vAlign w:val="bottom"/>
          </w:tcPr>
          <w:p>
            <w:pPr>
              <w:ind w:left="20"/>
              <w:spacing w:after="0"/>
              <w:rPr>
                <w:sz w:val="20"/>
                <w:szCs w:val="20"/>
                <w:color w:val="auto"/>
              </w:rPr>
            </w:pPr>
            <w:r>
              <w:rPr>
                <w:rFonts w:ascii="Arial" w:cs="Arial" w:eastAsia="Arial" w:hAnsi="Arial"/>
                <w:sz w:val="13"/>
                <w:szCs w:val="13"/>
                <w:color w:val="auto"/>
              </w:rPr>
              <w:t>2025</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27,412</w:t>
            </w:r>
          </w:p>
        </w:tc>
      </w:tr>
      <w:tr>
        <w:trPr>
          <w:trHeight w:val="171"/>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27,412</w:t>
            </w:r>
          </w:p>
        </w:tc>
      </w:tr>
      <w:tr>
        <w:trPr>
          <w:trHeight w:val="169"/>
        </w:trPr>
        <w:tc>
          <w:tcPr>
            <w:tcW w:w="9800" w:type="dxa"/>
            <w:vAlign w:val="bottom"/>
          </w:tcPr>
          <w:p>
            <w:pPr>
              <w:ind w:left="20"/>
              <w:spacing w:after="0"/>
              <w:rPr>
                <w:sz w:val="20"/>
                <w:szCs w:val="20"/>
                <w:color w:val="auto"/>
              </w:rPr>
            </w:pPr>
            <w:r>
              <w:rPr>
                <w:rFonts w:ascii="Arial" w:cs="Arial" w:eastAsia="Arial" w:hAnsi="Arial"/>
                <w:sz w:val="13"/>
                <w:szCs w:val="13"/>
                <w:color w:val="auto"/>
              </w:rPr>
              <w:t>2027</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27,412</w:t>
            </w:r>
          </w:p>
        </w:tc>
      </w:tr>
      <w:tr>
        <w:trPr>
          <w:trHeight w:val="171"/>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27,412</w:t>
            </w:r>
          </w:p>
        </w:tc>
      </w:tr>
      <w:tr>
        <w:trPr>
          <w:trHeight w:val="16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2029 and thereafter</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264,924</w:t>
            </w:r>
          </w:p>
        </w:tc>
      </w:tr>
      <w:tr>
        <w:trPr>
          <w:trHeight w:val="18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401,984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Accrued expenses consisted of the following components:</w:t>
      </w:r>
    </w:p>
    <w:p>
      <w:pPr>
        <w:spacing w:after="0" w:line="130" w:lineRule="exact"/>
        <w:rPr>
          <w:sz w:val="20"/>
          <w:szCs w:val="20"/>
          <w:color w:val="auto"/>
        </w:rPr>
      </w:pPr>
    </w:p>
    <w:p>
      <w:pPr>
        <w:ind w:left="934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Salaries and benefits</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29,337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17,432</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Accrued interest payable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2,834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5,100</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purchase commitments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3,705</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Accrued product development costs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1,033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2,326</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professional services and legal fees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Inventory accrual</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353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332</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Warranty accrual</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1,045</w:t>
            </w:r>
          </w:p>
        </w:tc>
      </w:tr>
      <w:tr>
        <w:trPr>
          <w:trHeight w:val="18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45,708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32,596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Warranties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costs to be incurred. Warranty expense is recorded as a component of cost of product revenue. There were no material changes in estimates for the periods presented below.</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Changes in the reserve for product warranties were as follows:</w:t>
      </w:r>
    </w:p>
    <w:p>
      <w:pPr>
        <w:spacing w:after="0" w:line="130"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period</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Additions charged to cost of product revenue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8,227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3,199</w:t>
            </w: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Repairs and replacements</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(5,197)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(2,142)</w:t>
            </w:r>
          </w:p>
        </w:tc>
      </w:tr>
      <w:tr>
        <w:trPr>
          <w:trHeight w:val="162"/>
        </w:trPr>
        <w:tc>
          <w:tcPr>
            <w:tcW w:w="8220" w:type="dxa"/>
            <w:vAlign w:val="bottom"/>
          </w:tcPr>
          <w:p>
            <w:pPr>
              <w:ind w:left="20"/>
              <w:spacing w:after="0"/>
              <w:rPr>
                <w:sz w:val="20"/>
                <w:szCs w:val="20"/>
                <w:color w:val="auto"/>
              </w:rPr>
            </w:pPr>
            <w:r>
              <w:rPr>
                <w:rFonts w:ascii="Arial" w:cs="Arial" w:eastAsia="Arial" w:hAnsi="Arial"/>
                <w:sz w:val="13"/>
                <w:szCs w:val="13"/>
                <w:color w:val="auto"/>
              </w:rPr>
              <w:t>Balance at end of period</w:t>
            </w: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4,681</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1,651</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Revenue</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As of December 31, 2023, we had a total of $21.9 million of deferred revenue, $ 16.3 million of which was recorded as deferred revenue, current and primarily relates to future performance obligations under the Amended and Restated Agreement with Invitae, as described in </w:t>
      </w:r>
      <w:r>
        <w:rPr>
          <w:rFonts w:ascii="Arial" w:cs="Arial" w:eastAsia="Arial" w:hAnsi="Arial"/>
          <w:sz w:val="14"/>
          <w:szCs w:val="14"/>
          <w:i w:val="1"/>
          <w:iCs w:val="1"/>
          <w:u w:val="single" w:color="auto"/>
          <w:color w:val="0000FF"/>
        </w:rPr>
        <w:t>Note 3. Invitae Collaboration</w:t>
      </w:r>
      <w:r>
        <w:rPr>
          <w:rFonts w:ascii="Arial" w:cs="Arial" w:eastAsia="Arial" w:hAnsi="Arial"/>
          <w:sz w:val="14"/>
          <w:szCs w:val="14"/>
          <w:color w:val="auto"/>
        </w:rPr>
        <w:t>, as well as deferred service contract revenues. The deferred revenue, non-current balance of $5.6 million primarily relates to future performance obligations under the Amended and Restated Agreement with Invitae and deferred service contract revenues and is scheduled to be recognized in the next 5 years. The deferred revenue, non-current balance includes $2.9 million that was reclassified from deferred revenue, current to deferred revenue, non-current following receipt of a non-cancellable order from Invitae during the year ended December 31, 2023 for partial utilization of the available credits, which is expected to be recognized in revenue after 12 months from December 31, 2023. Revenue recorded in the year ended December 31, 2023 includes $18.9 million of previously deferred revenue that was included in deferred revenue, current as of December 31, 2022.</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 Loans</w:t>
      </w:r>
    </w:p>
    <w:p>
      <w:pPr>
        <w:spacing w:after="0" w:line="94"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In connection with the acquisition of Omniome, we acquired $1.3 million in short-term debt and $3.0 million in long-term debt relating to a term loan facility that Omniome obtained in April 2020. Borrowings on the term loan facility were used to fund Omniome’s purchases of equipment, which serves as collateral. Each term loan has a term of 43 months and bears a fixed interest rate of approximately 17% annually. The fee for the elective option to prepay all, but not less than all, of the borrowed amounts at any time after the 24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month and before the 43</w:t>
      </w:r>
      <w:r>
        <w:rPr>
          <w:rFonts w:ascii="Arial" w:cs="Arial" w:eastAsia="Arial" w:hAnsi="Arial"/>
          <w:sz w:val="18"/>
          <w:szCs w:val="18"/>
          <w:color w:val="auto"/>
          <w:vertAlign w:val="superscript"/>
        </w:rPr>
        <w:t>rd</w:t>
      </w:r>
      <w:r>
        <w:rPr>
          <w:rFonts w:ascii="Arial" w:cs="Arial" w:eastAsia="Arial" w:hAnsi="Arial"/>
          <w:sz w:val="14"/>
          <w:szCs w:val="14"/>
          <w:color w:val="auto"/>
        </w:rPr>
        <w:t xml:space="preserve"> month after the commencement date, is 4% of the outstanding loan balance. Payments are made in equal monthly installments including principal and interest.</w:t>
      </w:r>
    </w:p>
    <w:p>
      <w:pPr>
        <w:spacing w:after="0" w:line="1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December 31, 2023, the carrying value of term loans outstanding was $ 0.5 million, recorded as part of other liabilities, current on the consolidated balance sheet. The interest expense was $0.3 million for the year ended December 31, 2023, which was included as part of interest expense in the consolidated statements of operations and comprehensive loss.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2023, the future principal payments remaining on term loans was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8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2"/>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490</w:t>
            </w:r>
          </w:p>
        </w:tc>
      </w:tr>
      <w:tr>
        <w:trPr>
          <w:trHeight w:val="162"/>
        </w:trPr>
        <w:tc>
          <w:tcPr>
            <w:tcW w:w="9800" w:type="dxa"/>
            <w:vAlign w:val="bottom"/>
          </w:tcPr>
          <w:p>
            <w:pPr>
              <w:ind w:left="280"/>
              <w:spacing w:after="0"/>
              <w:rPr>
                <w:sz w:val="20"/>
                <w:szCs w:val="20"/>
                <w:color w:val="auto"/>
              </w:rPr>
            </w:pPr>
            <w:r>
              <w:rPr>
                <w:rFonts w:ascii="Arial" w:cs="Arial" w:eastAsia="Arial" w:hAnsi="Arial"/>
                <w:sz w:val="13"/>
                <w:szCs w:val="13"/>
                <w:color w:val="auto"/>
              </w:rPr>
              <w:t>Total</w:t>
            </w:r>
          </w:p>
        </w:tc>
        <w:tc>
          <w:tcPr>
            <w:tcW w:w="6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w:t>
            </w:r>
          </w:p>
        </w:tc>
      </w:tr>
      <w:tr>
        <w:trPr>
          <w:trHeight w:val="20"/>
        </w:trPr>
        <w:tc>
          <w:tcPr>
            <w:tcW w:w="9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Liabilities, Current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Other liabilities, current, consisted of the following components:</w:t>
      </w:r>
    </w:p>
    <w:p>
      <w:pPr>
        <w:spacing w:after="0" w:line="130" w:lineRule="exact"/>
        <w:rPr>
          <w:sz w:val="20"/>
          <w:szCs w:val="20"/>
          <w:color w:val="auto"/>
        </w:rPr>
      </w:pPr>
    </w:p>
    <w:p>
      <w:pPr>
        <w:ind w:left="934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Employee Stock Purchase Plan</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3,638</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Short-term loan</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490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1,842</w:t>
            </w: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1,753</w:t>
            </w:r>
          </w:p>
        </w:tc>
      </w:tr>
      <w:tr>
        <w:trPr>
          <w:trHeight w:val="162"/>
        </w:trPr>
        <w:tc>
          <w:tcPr>
            <w:tcW w:w="8220" w:type="dxa"/>
            <w:vAlign w:val="bottom"/>
          </w:tcPr>
          <w:p>
            <w:pPr>
              <w:ind w:left="20"/>
              <w:spacing w:after="0"/>
              <w:rPr>
                <w:sz w:val="20"/>
                <w:szCs w:val="20"/>
                <w:color w:val="auto"/>
              </w:rPr>
            </w:pPr>
            <w:r>
              <w:rPr>
                <w:rFonts w:ascii="Arial" w:cs="Arial" w:eastAsia="Arial" w:hAnsi="Arial"/>
                <w:sz w:val="13"/>
                <w:szCs w:val="13"/>
                <w:color w:val="auto"/>
              </w:rPr>
              <w:t>Other liabilities, current</w:t>
            </w: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7,233</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CONVERTIBLE SENIOR NOTES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2030 Convertible Senior Notes</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June 2023, we entered into a privately negotiated exchange agreement with a holder of our outstanding 1.50% Convertible Senior Notes due 2028 (the “2028 Notes”), pursuant to which we issued $441.0 million in aggregate principal amount of our 1.375% Convertible Senior Notes due 2030 (the “2030 Notes”) in exchange for $ 441.0 million principal amount of the 2028 Notes (the “Exchange Transaction”), pursuant to exemptions from registration under the Securities Act of 1933, as amended, and the rules and regulations thereunder. The 2030 Notes were issued on June 30, 2023.</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2030 Notes are governed by an indenture (the “2030 Indenture”) between the Company and U.S. Bank Trust Company, National Association, as trustee. The 2030 Notes bear interest at a rate of 1.375% per annum. Interest on the 2030 Notes is payable semi-annually in arrears on June 15 and December 15, commencing on December 15, 2023. The 2030 Notes will mature on December 15, 2030, subject to earlier conversion, redemption or repurchase.</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$21.50 per share of common stock), in each case subject to customary anti-dilution and other adjustments as a result of certain extraordinary transactions. Upon conversion of the 2030 Notes, we may elect to settle such conversion obligation in shares of our common stock, cash or a combination of shares of our common stock and cash.</w:t>
      </w:r>
    </w:p>
    <w:p>
      <w:pPr>
        <w:spacing w:after="0" w:line="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or after June 20, 2028, the 2030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2030 Notes, plus accrued and unpaid interest up to, but excluding, the redemption date.</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Upon the occurrence of a Fundamental Change (as defined in the 2030 Indenture), the holders of the 2030 Notes may require that we repurchase all or part of the principal amount of the 2030 Notes at a purchase price equal to 100% of the principal amount of the notes to be repurchased, plus any accrued and unpaid interest up to, but excluding, the fundamental change repurchase date, and all unpaid interest from the fundamental change repurchase date thereon, but excluding, the maturity date.</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2030 Indenture includes customary “events of default,” which may result in the acceleration of the maturity of the 2030 Notes under the 2030 Indenture. The 2030 Indenture also includes customary covenants for convertible notes of this type.</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2030 Notes at a rate equal to (i) 0.25% per annum of the principal amount of the 2030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2030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2030 Indenture). On the 361st day after such event of default (if the event of default relating to our failure to comply with its obligations is not cured or waived prior to such 361st day), the 2030 Notes shall be subject to acceleration as provided for in the 2030 Indenture.</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2030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2030 Notes is not accounted for as an embedded derivative because it is considered to be indexed to our common stock, and the 2030 Notes were not issued at a substantial premium; therefore, the 2030 Notes are accounted for in their entirety as a</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liability. Because we may elect to settle any conversions entirely in shares, and because settlement in shares is the default settlement method, the liability is classified as non-current.</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The requirement to repurchase the 2030 Notes, including unpaid interest to the maturity date in the event of a Fundamental Change, is considered a put option for certain periods requiring bifurcation under ASC 815 –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However, given the low probability of such a Fundamental Change occurring during the applicable periods, the value of the embedded derivative is immaterial.</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The additional interest feature in the event of our failure to comply with certain reporting obligations is also considered an embedded derivative requiring bifurcation under ASC 815.</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However, due to the nature and terms of the reporting obligations, the value of the embedded derivative is immaterial.</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Exchange Transaction was accounted for as an extinguishment driven by the change in fair value of the embedded conversion option. We recorded a loss on extinguishment of debt of approximately $2.0 million in connection with the Exchange Transaction during the year ended December 31, 2023, which represents the difference between the fair value and the principal amount of the 2030 Notes of the debt at the modification date, plus unamortized debt issuance costs of $1.5 million related to the respective portion of the 2028 Notes.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incurred issuance costs related to the 2030 Notes of approximately $7.3 million, which were recorded as debt issuance costs and are presented as a reduction to the 2030 Notes on our consolidated balance sheets and are amortized to interest expense using the effective interest method over the term of the 2030 Notes, resulting in an effective interest rate of 1.6%. We also paid accrued but unpaid interest of $2.5 million on the 2028 Notes in connection with the Exchange Transaction on June 30, 2023.</w:t>
      </w:r>
    </w:p>
    <w:p>
      <w:pPr>
        <w:spacing w:after="0" w:line="49"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We did not receive any cash proceeds from the Exchange Transaction. In exchange for issuing the 2030 Notes pursuant to the Exchange Transaction, we received and cancelled the exchanged 2028 Notes. Following the closing of the Exchange Transaction, $459.0 million in aggregate principal amount of 2028 Notes remained outstanding with terms unchanged.</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The net carrying amount of the liability for the 2030 Notes is included as convertible senior notes, net, non-current in the consolidated balance sheets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Borders>
              <w:bottom w:val="single" w:sz="8" w:color="auto"/>
            </w:tcBorders>
          </w:tcPr>
          <w:p>
            <w:pPr>
              <w:spacing w:after="0"/>
              <w:rPr>
                <w:sz w:val="14"/>
                <w:szCs w:val="14"/>
                <w:color w:val="auto"/>
              </w:rPr>
            </w:pPr>
          </w:p>
        </w:tc>
      </w:tr>
      <w:tr>
        <w:trPr>
          <w:trHeight w:val="160"/>
        </w:trPr>
        <w:tc>
          <w:tcPr>
            <w:tcW w:w="80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2022</w:t>
            </w:r>
          </w:p>
        </w:tc>
      </w:tr>
      <w:tr>
        <w:trPr>
          <w:trHeight w:val="160"/>
        </w:trPr>
        <w:tc>
          <w:tcPr>
            <w:tcW w:w="8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amount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441,000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3"/>
                <w:szCs w:val="13"/>
                <w:color w:val="auto"/>
              </w:rPr>
              <w:t>—</w:t>
            </w:r>
          </w:p>
        </w:tc>
      </w:tr>
      <w:tr>
        <w:trPr>
          <w:trHeight w:val="169"/>
        </w:trPr>
        <w:tc>
          <w:tcPr>
            <w:tcW w:w="8000" w:type="dxa"/>
            <w:vAlign w:val="bottom"/>
          </w:tcPr>
          <w:p>
            <w:pPr>
              <w:ind w:left="20"/>
              <w:spacing w:after="0"/>
              <w:rPr>
                <w:sz w:val="20"/>
                <w:szCs w:val="20"/>
                <w:color w:val="auto"/>
              </w:rPr>
            </w:pPr>
            <w:r>
              <w:rPr>
                <w:rFonts w:ascii="Arial" w:cs="Arial" w:eastAsia="Arial" w:hAnsi="Arial"/>
                <w:sz w:val="13"/>
                <w:szCs w:val="13"/>
                <w:color w:val="auto"/>
              </w:rPr>
              <w:t>Unamortized debt premium</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524</w:t>
            </w:r>
          </w:p>
        </w:tc>
        <w:tc>
          <w:tcPr>
            <w:tcW w:w="80" w:type="dxa"/>
            <w:vAlign w:val="bottom"/>
          </w:tcPr>
          <w:p>
            <w:pPr>
              <w:spacing w:after="0"/>
              <w:rPr>
                <w:sz w:val="14"/>
                <w:szCs w:val="14"/>
                <w:color w:val="auto"/>
              </w:rPr>
            </w:pPr>
          </w:p>
        </w:tc>
        <w:tc>
          <w:tcPr>
            <w:tcW w:w="600" w:type="dxa"/>
            <w:vAlign w:val="bottom"/>
          </w:tcPr>
          <w:p>
            <w:pPr>
              <w:jc w:val="right"/>
              <w:ind w:right="456"/>
              <w:spacing w:after="0"/>
              <w:rPr>
                <w:sz w:val="20"/>
                <w:szCs w:val="20"/>
                <w:color w:val="auto"/>
              </w:rPr>
            </w:pPr>
            <w:r>
              <w:rPr>
                <w:rFonts w:ascii="Arial" w:cs="Arial" w:eastAsia="Arial" w:hAnsi="Arial"/>
                <w:sz w:val="13"/>
                <w:szCs w:val="13"/>
                <w:color w:val="auto"/>
                <w:w w:val="82"/>
              </w:rPr>
              <w:t>$</w:t>
            </w:r>
          </w:p>
        </w:tc>
        <w:tc>
          <w:tcPr>
            <w:tcW w:w="1100" w:type="dxa"/>
            <w:vAlign w:val="bottom"/>
          </w:tcPr>
          <w:p>
            <w:pPr>
              <w:ind w:left="920"/>
              <w:spacing w:after="0"/>
              <w:rPr>
                <w:sz w:val="20"/>
                <w:szCs w:val="20"/>
                <w:color w:val="auto"/>
              </w:rPr>
            </w:pPr>
            <w:r>
              <w:rPr>
                <w:rFonts w:ascii="Arial" w:cs="Arial" w:eastAsia="Arial" w:hAnsi="Arial"/>
                <w:sz w:val="13"/>
                <w:szCs w:val="13"/>
                <w:color w:val="auto"/>
              </w:rPr>
              <w:t>—</w:t>
            </w:r>
          </w:p>
        </w:tc>
      </w:tr>
      <w:tr>
        <w:trPr>
          <w:trHeight w:val="170"/>
        </w:trPr>
        <w:tc>
          <w:tcPr>
            <w:tcW w:w="8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Unamortized debt issuance costs</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(6,907)</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3"/>
                <w:szCs w:val="13"/>
                <w:color w:val="auto"/>
              </w:rPr>
              <w:t>—</w:t>
            </w:r>
          </w:p>
        </w:tc>
      </w:tr>
      <w:tr>
        <w:trPr>
          <w:trHeight w:val="162"/>
        </w:trPr>
        <w:tc>
          <w:tcPr>
            <w:tcW w:w="8000" w:type="dxa"/>
            <w:vAlign w:val="bottom"/>
          </w:tcPr>
          <w:p>
            <w:pPr>
              <w:ind w:left="20"/>
              <w:spacing w:after="0"/>
              <w:rPr>
                <w:sz w:val="20"/>
                <w:szCs w:val="20"/>
                <w:color w:val="auto"/>
              </w:rPr>
            </w:pPr>
            <w:r>
              <w:rPr>
                <w:rFonts w:ascii="Arial" w:cs="Arial" w:eastAsia="Arial" w:hAnsi="Arial"/>
                <w:sz w:val="13"/>
                <w:szCs w:val="13"/>
                <w:color w:val="auto"/>
              </w:rPr>
              <w:t>Net carrying amount</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434,617</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13"/>
                <w:szCs w:val="13"/>
                <w:color w:val="auto"/>
              </w:rPr>
              <w:t>—</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for the 2030 Notes for the years ended December 31, 2023, 2022, and 2021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Years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Contractual interest expense</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3"/>
                <w:szCs w:val="13"/>
                <w:color w:val="auto"/>
              </w:rPr>
              <w:t>—</w:t>
            </w:r>
          </w:p>
        </w:tc>
      </w:tr>
      <w:tr>
        <w:trPr>
          <w:trHeight w:val="16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 of debt issuance costs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9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960"/>
              <w:spacing w:after="0"/>
              <w:rPr>
                <w:sz w:val="20"/>
                <w:szCs w:val="20"/>
                <w:color w:val="auto"/>
              </w:rPr>
            </w:pPr>
            <w:r>
              <w:rPr>
                <w:rFonts w:ascii="Arial" w:cs="Arial" w:eastAsia="Arial" w:hAnsi="Arial"/>
                <w:sz w:val="13"/>
                <w:szCs w:val="13"/>
                <w:color w:val="auto"/>
              </w:rPr>
              <w:t>—</w:t>
            </w:r>
          </w:p>
        </w:tc>
      </w:tr>
      <w:tr>
        <w:trPr>
          <w:trHeight w:val="18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interest expense</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3"/>
                <w:szCs w:val="13"/>
                <w:color w:val="auto"/>
              </w:rPr>
              <w:t>—</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December 31, 2023, the estimated fair value (Level 2) of the 2030 Notes was $410.5 million. The fair value of the 2030 Notes is estimated using a binomial lattice model that is primarily affected by the trading price of our common stock, market interest rates and volatility.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2028 Convertible Senior Notes</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February 9, 2021, we entered into an investment agreement (the “Investment Agreement”) with SB Northstar LP (the “Purchaser”), a subsidiary of SoftBank Group Corp., relating to the issuance and sale to the Purchaser of $900.0 million in aggregate principal amount of the 2028 Notes. The 2028 Notes were issued on February 16, 2021. As discussed above, in June 2023 we completed an exchange of $441.0 million in aggregate principal amount of our 2028 Notes for $441.0 million aggregate principal amount of the 2030 Notes, leaving approximately $459.0 million in aggregate principal amount of 2028 Notes outstanding.</w:t>
      </w:r>
    </w:p>
    <w:p>
      <w:pPr>
        <w:spacing w:after="0" w:line="53"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The 2028 Notes are governed by an indenture (the “2028 Indenture”) between the Company and U.S. Bank National Association, as trustee. The 2028 Notes bear interest at a rate of 1.50% per annum. Interest on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2028 Notes is payable semi-annually in arrears on February 15 and August 15 and commenced on August 15, 2021. The 2028 Notes will mature on February 15, 2028, subject to earlier conversion, redemption, or repurchase.</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2028 Notes are convertible at the option of the holder at any time until the second scheduled trading day prior to the maturity date, including in connection with a redemption by the Company. The 2028 Notes are convertible into shares of our common stock based on an initial conversion rate of 22.9885 shares of common stock per $1,000 principal amount of the 2028 Notes (which is equal to an initial conversion price of $43.50 per share of common stock), in each case subject to customary anti-dilution and other adjustments as a result of certain extraordinary transactions. Upon conversion of the 2028 Notes, we may elect to settle such conversion obligation in shares of our common stock, cash or a combination of shares of our common stock and cash.</w:t>
      </w:r>
    </w:p>
    <w:p>
      <w:pPr>
        <w:spacing w:after="0" w:line="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or after February 20, 2026, the 2028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2028 Notes, plus accrued and unpaid interest up to, but excluding, the redemption date.</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Upon the occurrence of a Fundamental Change (as defined in the 2028 Indenture), the holders of the 2028 Notes may require that we repurchase all or part of the principal amount of the 2028 Notes at a purchase price of par plus unpaid interest up to, but excluding, the maturity date.</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2028 Indenture includes customary “events of default,” which may result in the acceleration of the maturity of the 2028 Notes under the 2028 Indenture. The 2028 Indenture also includes customary covenants for convertible notes of this type.</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2028 Notes at a rate equal to (i) 0.25% per annum of the principal amount of the 2028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2028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2028 Indenture). On the 361st day after such event of default (if the event of default relating to our failure to comply with its obligations is not cured or waived prior to such 361st day), the 2028 Notes shall be subject to acceleration as provided for in the 2028 Indenture.</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2028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2028 Notes is not accounted for as an embedded derivative because it is considered to be indexed to our common stock, and the 2028 Notes were not issued at a premium; therefore, the 2028 Notes are accounted for in their entirety as a liability. Because we may elect to settle any conversions entirely in shares, and because settlement in shares is the default settlement method, the liability is classified as non-current.</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The requirement to repurchase the 2028 Notes including unpaid interest to the maturity date in the event of a Fundamental Change is considered a put option for certain periods requiring bifurcation under ASC 815 –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However, given the low probability of a Fundamental Change occurring during the applicable periods, the value of the embedded derivative is immaterial.</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The additional interest feature in the event of our failure to comply with certain reporting obligations is also considered an embedded derivative requiring bifurcation under ASC 815.</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However, due to the nature and terms of the reporting obligations, the value of the embedded derivative is immaterial.</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incurred issuance costs related to the 2028 Notes of approximately $4.5 million, which were recorded as debt issuance cost and are presented as a reduction to the 2028 Notes on our consolidated balance sheets and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are amortized to interest expense using the effective interest method over the term of the 2028 Notes, resulting in an effective interest rate of 1.6%.</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net carrying amount of the liability for the 2028 Notes is included as convertible senior notes, net, non-current in the consolidated balance sheets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Borders>
              <w:bottom w:val="single" w:sz="8" w:color="auto"/>
            </w:tcBorders>
          </w:tcPr>
          <w:p>
            <w:pPr>
              <w:spacing w:after="0"/>
              <w:rPr>
                <w:sz w:val="14"/>
                <w:szCs w:val="14"/>
                <w:color w:val="auto"/>
              </w:rPr>
            </w:pPr>
          </w:p>
        </w:tc>
      </w:tr>
      <w:tr>
        <w:trPr>
          <w:trHeight w:val="160"/>
        </w:trPr>
        <w:tc>
          <w:tcPr>
            <w:tcW w:w="80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2022</w:t>
            </w:r>
          </w:p>
        </w:tc>
      </w:tr>
      <w:tr>
        <w:trPr>
          <w:trHeight w:val="160"/>
        </w:trPr>
        <w:tc>
          <w:tcPr>
            <w:tcW w:w="8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amount</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459,000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900,000</w:t>
            </w:r>
          </w:p>
        </w:tc>
      </w:tr>
      <w:tr>
        <w:trPr>
          <w:trHeight w:val="16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Unamortized debt issuance costs</w:t>
            </w: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(1,374)</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(3,317)</w:t>
            </w:r>
          </w:p>
        </w:tc>
      </w:tr>
      <w:tr>
        <w:trPr>
          <w:trHeight w:val="18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carrying amount</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457,626</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896,683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for the 2028 Notes was as follows for the years ended December 31, 2023, 2022, and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7"/>
              </w:rPr>
              <w:t>Years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Contractual interest expense</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11,812</w:t>
            </w:r>
          </w:p>
        </w:tc>
      </w:tr>
      <w:tr>
        <w:trPr>
          <w:trHeight w:val="16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 of debt issuance costs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532</w:t>
            </w:r>
          </w:p>
        </w:tc>
      </w:tr>
      <w:tr>
        <w:trPr>
          <w:trHeight w:val="18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interest expense</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12,344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December 31, 2023, the estimated fair value (Level 2) of the 2028 Notes was $395.4 million. The fair value of the Notes is estimated using a pricing model that is primarily affected by the trading price of our common stock and market interest rates.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record operating lease right-of-use assets and liabilities on our consolidated balance sheets for all leases with a term of more than 12 months. In connection with the acquisition of Omniome, we acquired $18.1 million in right-of-use assets and liabilities on our consolidated balance sheets. The operating lease right-of-use assets and liabilities are calculated as the present value of remaining minimum lease payments over the remaining lease term using our estimated secured incremental borrowing rates at the commencement date. Lease payments included in the measurement of the lease liability comprise the fixed rent per the term of the Lease. All of our leases are operating leases. Lease payments comprise the base rent per the term of the Lease. Lease expense for these leases is recognized on a straight-line basis over the lease term, with variable lease payments, such as common area maintenance fees, recognized in the period those payments are incurred.</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often have options to renew lease terms for buildings. In addition, certain lease arrangements may be terminated prior to their original expiration date at our discretion. We evaluate renewal and termination options at the lease commencement date to determine if we are reasonably certain to exercise the option on the basis of economic factors.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2023, the maturities of our operating lease liabilities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8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3"/>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12,082</w:t>
            </w:r>
          </w:p>
        </w:tc>
      </w:tr>
      <w:tr>
        <w:trPr>
          <w:trHeight w:val="169"/>
        </w:trPr>
        <w:tc>
          <w:tcPr>
            <w:tcW w:w="9800" w:type="dxa"/>
            <w:vAlign w:val="bottom"/>
          </w:tcPr>
          <w:p>
            <w:pPr>
              <w:ind w:left="20"/>
              <w:spacing w:after="0"/>
              <w:rPr>
                <w:sz w:val="20"/>
                <w:szCs w:val="20"/>
                <w:color w:val="auto"/>
              </w:rPr>
            </w:pPr>
            <w:r>
              <w:rPr>
                <w:rFonts w:ascii="Arial" w:cs="Arial" w:eastAsia="Arial" w:hAnsi="Arial"/>
                <w:sz w:val="13"/>
                <w:szCs w:val="13"/>
                <w:color w:val="auto"/>
              </w:rPr>
              <w:t>2025</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12,307</w:t>
            </w:r>
          </w:p>
        </w:tc>
      </w:tr>
      <w:tr>
        <w:trPr>
          <w:trHeight w:val="171"/>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12,412</w:t>
            </w:r>
          </w:p>
        </w:tc>
      </w:tr>
      <w:tr>
        <w:trPr>
          <w:trHeight w:val="169"/>
        </w:trPr>
        <w:tc>
          <w:tcPr>
            <w:tcW w:w="9800" w:type="dxa"/>
            <w:vAlign w:val="bottom"/>
          </w:tcPr>
          <w:p>
            <w:pPr>
              <w:ind w:left="20"/>
              <w:spacing w:after="0"/>
              <w:rPr>
                <w:sz w:val="20"/>
                <w:szCs w:val="20"/>
                <w:color w:val="auto"/>
              </w:rPr>
            </w:pPr>
            <w:r>
              <w:rPr>
                <w:rFonts w:ascii="Arial" w:cs="Arial" w:eastAsia="Arial" w:hAnsi="Arial"/>
                <w:sz w:val="13"/>
                <w:szCs w:val="13"/>
                <w:color w:val="auto"/>
              </w:rPr>
              <w:t>2027</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9,930</w:t>
            </w:r>
          </w:p>
        </w:tc>
      </w:tr>
      <w:tr>
        <w:trPr>
          <w:trHeight w:val="171"/>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undiscounted operating lease payments</w:t>
            </w: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46,731</w:t>
            </w:r>
          </w:p>
        </w:tc>
      </w:tr>
      <w:tr>
        <w:trPr>
          <w:trHeight w:val="16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imputed interest</w:t>
            </w: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(5,534)</w:t>
            </w:r>
          </w:p>
        </w:tc>
      </w:tr>
      <w:tr>
        <w:trPr>
          <w:trHeight w:val="18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Present value of operating lease liabilities</w:t>
            </w: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41,197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61530" cy="1079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191"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Balance Sheet Classification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079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Operating lease liabilities, non-current</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operating lease liabilities</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1088" w:hanging="1088"/>
        <w:spacing w:after="0"/>
        <w:tabs>
          <w:tab w:leader="none" w:pos="1088" w:val="left"/>
        </w:tabs>
        <w:numPr>
          <w:ilvl w:val="0"/>
          <w:numId w:val="38"/>
        </w:numPr>
        <w:rPr>
          <w:rFonts w:ascii="Arial" w:cs="Arial" w:eastAsia="Arial" w:hAnsi="Arial"/>
          <w:sz w:val="12"/>
          <w:szCs w:val="12"/>
          <w:color w:val="auto"/>
        </w:rPr>
      </w:pPr>
      <w:r>
        <w:rPr>
          <w:rFonts w:ascii="Arial" w:cs="Arial" w:eastAsia="Arial" w:hAnsi="Arial"/>
          <w:sz w:val="12"/>
          <w:szCs w:val="12"/>
          <w:color w:val="auto"/>
        </w:rPr>
        <w:t>9,591</w:t>
      </w:r>
    </w:p>
    <w:p>
      <w:pPr>
        <w:spacing w:after="0" w:line="31" w:lineRule="exact"/>
        <w:rPr>
          <w:rFonts w:ascii="Arial" w:cs="Arial" w:eastAsia="Arial" w:hAnsi="Arial"/>
          <w:sz w:val="12"/>
          <w:szCs w:val="12"/>
          <w:color w:val="auto"/>
        </w:rPr>
      </w:pPr>
    </w:p>
    <w:p>
      <w:pPr>
        <w:ind w:left="1028"/>
        <w:spacing w:after="0"/>
        <w:rPr>
          <w:rFonts w:ascii="Arial" w:cs="Arial" w:eastAsia="Arial" w:hAnsi="Arial"/>
          <w:sz w:val="12"/>
          <w:szCs w:val="12"/>
          <w:color w:val="auto"/>
        </w:rPr>
      </w:pPr>
      <w:r>
        <w:rPr>
          <w:rFonts w:ascii="Arial" w:cs="Arial" w:eastAsia="Arial" w:hAnsi="Arial"/>
          <w:sz w:val="12"/>
          <w:szCs w:val="12"/>
          <w:color w:val="auto"/>
        </w:rPr>
        <w:t>31,606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wp:posOffset>
            </wp:positionV>
            <wp:extent cx="94297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22" w:lineRule="exact"/>
        <w:rPr>
          <w:sz w:val="20"/>
          <w:szCs w:val="20"/>
          <w:color w:val="auto"/>
        </w:rPr>
      </w:pPr>
    </w:p>
    <w:p>
      <w:pPr>
        <w:ind w:left="1028" w:hanging="1028"/>
        <w:spacing w:after="0"/>
        <w:tabs>
          <w:tab w:leader="none" w:pos="1028" w:val="left"/>
        </w:tabs>
        <w:numPr>
          <w:ilvl w:val="0"/>
          <w:numId w:val="39"/>
        </w:numPr>
        <w:rPr>
          <w:rFonts w:ascii="Arial" w:cs="Arial" w:eastAsia="Arial" w:hAnsi="Arial"/>
          <w:sz w:val="12"/>
          <w:szCs w:val="12"/>
          <w:color w:val="auto"/>
        </w:rPr>
      </w:pPr>
      <w:r>
        <w:rPr>
          <w:rFonts w:ascii="Arial" w:cs="Arial" w:eastAsia="Arial" w:hAnsi="Arial"/>
          <w:sz w:val="12"/>
          <w:szCs w:val="12"/>
          <w:color w:val="auto"/>
        </w:rPr>
        <w:t>41,197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wp:posOffset>
            </wp:positionV>
            <wp:extent cx="94297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94297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40640</wp:posOffset>
            </wp:positionV>
            <wp:extent cx="94297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9092" w:space="720"/>
            <w:col w:w="1468"/>
          </w:cols>
          <w:pgMar w:left="300" w:top="125" w:right="319" w:bottom="1440" w:gutter="0" w:footer="0" w:header="0"/>
          <w:type w:val="continuous"/>
        </w:sectPr>
      </w:pPr>
    </w:p>
    <w:p>
      <w:pPr>
        <w:jc w:val="both"/>
        <w:spacing w:after="0" w:line="282" w:lineRule="auto"/>
        <w:rPr>
          <w:sz w:val="20"/>
          <w:szCs w:val="20"/>
          <w:color w:val="auto"/>
        </w:rPr>
      </w:pPr>
      <w:r>
        <w:rPr>
          <w:rFonts w:ascii="Arial" w:cs="Arial" w:eastAsia="Arial" w:hAnsi="Arial"/>
          <w:sz w:val="14"/>
          <w:szCs w:val="14"/>
          <w:color w:val="auto"/>
        </w:rPr>
        <w:t>We use our incremental borrowing rate to determine the present value of lease payments, as the implicit rates in our leases are not readily determinable. The weighted-average discount rate used to measure our operating lease liabilities was 6.8%. The weighted-average remaining lease term for our operating leases as of December 31, 2023 was 3.8 years.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Cash paid for amounts included in the present value of operating lease liabilities was $12.1 million and $11.2 million for the years ended December 31, 2023 and 2022, respectively, and were included in operating cash flows.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Lease Costs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Operating lease costs were $10.4 million and $10.5 million for the years ended December 31, 2023 and 2022,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Contingencies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Please see subsection titled </w:t>
      </w:r>
      <w:r>
        <w:rPr>
          <w:rFonts w:ascii="Arial" w:cs="Arial" w:eastAsia="Arial" w:hAnsi="Arial"/>
          <w:sz w:val="14"/>
          <w:szCs w:val="14"/>
          <w:i w:val="1"/>
          <w:iCs w:val="1"/>
          <w:u w:val="single" w:color="auto"/>
          <w:color w:val="0000FF"/>
        </w:rPr>
        <w:t>Legal Proceedings</w:t>
      </w:r>
      <w:r>
        <w:rPr>
          <w:rFonts w:ascii="Arial" w:cs="Arial" w:eastAsia="Arial" w:hAnsi="Arial"/>
          <w:sz w:val="14"/>
          <w:szCs w:val="14"/>
          <w:color w:val="auto"/>
        </w:rPr>
        <w:t>, in Part I, Item 3 of this Annual Report on Form 10-K.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December 31, 2023.</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 Commitments</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the normal course of business, we enter into agreements to purchase goods or services or license intellectual property, certain of which are not cancellable without penalty. For those agreements with variable terms, we do not estimate the total obligation beyond any minimum quantities or pricing as of the reporting date. Licensing agreements under which we commit to ongoing minimum royalty payments, some of which are subject to adjustment, may be terminated under certain circumstances.</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purchase orders and contractual obligations are approximately $109.9 million as of December 31, 2023, which consist of open purchase orders and contractual obligations in the ordinary course of business, including commitments with contract manufacturers and suppliers for which we have not received the goods or services.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recognized a loss on purchase commitment of $3.4 million for the year ended December 31, 2023, which was recorded as part of accrued expenses on the consolidated balance sheet and is included in the aforementioned purchase orders and contractual obligations amount. The purchase commitment loss is based on an estimate of future excess inventory related to a supply agreement with a third-party vendor, for which we do not expect to have related sales.</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a long-term supply agreement, which was amended in October 2022 (the “Supply Agreement”), for the purchase of certain products with a semiconductor manufacturer (“Supplier”). The Supply Agreement provides for minimum purchase commitments through 2026 on our part in exchange for guaranteed capacity at Supplier. We are responsible for providing certain materials to allow our Supplier to perform its obligations under the contract.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paid our Supplier a deposit of $9.0 million in November 2022 and an additional deposit of $6.0 million in 2023, for a total of $15.0 million (the “Deposit”). The Deposit is fully refundable to us, in accordance with the Supply Agreement, if we meet the minimum volume purchase commitment for the applicable year. As of December 31, 2023, $3.0 million related to the Deposit was included in prepaid expenses and other current assets in the consolidated balance sheets and $12.0 million related to the Deposit was included in other long-term assets in the consolidated balance sheets, as we believe it is probable the minimum volume purchase commitment level will be achieved.</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INCOME TAXES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subject to income taxes both in the United States and certain foreign jurisdictions in which we operate, and we use estimates in determining our provisions for income taxes. Significant management judgement is required in determining our provision for income taxes, deferred tax assets and liabilities, and valuation allowances recorded against net deferred tax assets in accordance with U.S. GAAP. These estimates and judgements occur in the calculation of tax credits, benefits, and deductions, and in the calculation of certain tax assets and liabilities, which arise from differences in the timing of recognition of revenue and expense for tax and financial statement purposes, as well as the interest and penalties related to uncertain tax positions. Significant changes to these estimates may result in an increase or decrease to our tax provision in the current or subsequent period.</w:t>
      </w:r>
    </w:p>
    <w:p>
      <w:pPr>
        <w:spacing w:after="0" w:line="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50% likely of being realized upon ultimate settlement. As of each balance sheet date, unresolved uncertain tax positions must be reassessed, and we will determine whether the factors underlying the sustainability assertion have changed and the amount of the recognized tax benefit is still appropriate.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We account for Global Intangible Low-taxed Income as a period cost.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During the years ended December 31, 2023, 2022, and 2021 income/(loss) before taxes from U.S. operations were ($318.9) million, ($315.7) million, and ($275.4) million, respectively, and income/(loss) before taxes from foreign operations was $0.7 million, $1.8 million, and $0.8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 (Benefit) for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provision (benefit) for income taxes consists of the following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7"/>
              </w:rPr>
              <w:t>Years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0"/>
        </w:trPr>
        <w:tc>
          <w:tcPr>
            <w:tcW w:w="66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2"/>
        </w:trPr>
        <w:tc>
          <w:tcPr>
            <w:tcW w:w="6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Federal</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(9,956)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(83,742)</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(9,907)</w:t>
            </w:r>
          </w:p>
        </w:tc>
      </w:tr>
      <w:tr>
        <w:trPr>
          <w:trHeight w:val="16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9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Deferred</w:t>
            </w:r>
          </w:p>
        </w:tc>
        <w:tc>
          <w:tcPr>
            <w:tcW w:w="9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(11,424)</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(93,649)</w:t>
            </w:r>
          </w:p>
        </w:tc>
      </w:tr>
      <w:tr>
        <w:trPr>
          <w:trHeight w:val="162"/>
        </w:trPr>
        <w:tc>
          <w:tcPr>
            <w:tcW w:w="6660" w:type="dxa"/>
            <w:vAlign w:val="bottom"/>
          </w:tcPr>
          <w:p>
            <w:pPr>
              <w:ind w:left="20"/>
              <w:spacing w:after="0"/>
              <w:rPr>
                <w:sz w:val="20"/>
                <w:szCs w:val="20"/>
                <w:color w:val="auto"/>
              </w:rPr>
            </w:pPr>
            <w:r>
              <w:rPr>
                <w:rFonts w:ascii="Arial" w:cs="Arial" w:eastAsia="Arial" w:hAnsi="Arial"/>
                <w:sz w:val="13"/>
                <w:szCs w:val="13"/>
                <w:color w:val="auto"/>
              </w:rPr>
              <w:t>(Benefit) Provision for Income Taxes</w:t>
            </w:r>
          </w:p>
        </w:tc>
        <w:tc>
          <w:tcPr>
            <w:tcW w:w="940" w:type="dxa"/>
            <w:vAlign w:val="bottom"/>
          </w:tcPr>
          <w:p>
            <w:pPr>
              <w:jc w:val="right"/>
              <w:ind w:right="79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(11,424)</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(93,649)</w:t>
            </w:r>
          </w:p>
        </w:tc>
      </w:tr>
      <w:tr>
        <w:trPr>
          <w:trHeight w:val="20"/>
        </w:trPr>
        <w:tc>
          <w:tcPr>
            <w:tcW w:w="6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Income tax provision (benefit) related to continuing operations differ from the amounts computed by applying the statutory income tax rate of 21% to pretax loss as follows:</w:t>
      </w:r>
    </w:p>
    <w:p>
      <w:pPr>
        <w:spacing w:after="0" w:line="130" w:lineRule="exact"/>
        <w:rPr>
          <w:sz w:val="20"/>
          <w:szCs w:val="20"/>
          <w:color w:val="auto"/>
        </w:rPr>
      </w:pPr>
    </w:p>
    <w:p>
      <w:pPr>
        <w:ind w:left="806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4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r>
      <w:tr>
        <w:trPr>
          <w:trHeight w:val="16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Statutory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9"/>
        </w:trPr>
        <w:tc>
          <w:tcPr>
            <w:tcW w:w="7440" w:type="dxa"/>
            <w:vAlign w:val="bottom"/>
            <w:gridSpan w:val="2"/>
          </w:tcPr>
          <w:p>
            <w:pPr>
              <w:ind w:left="20"/>
              <w:spacing w:after="0"/>
              <w:rPr>
                <w:sz w:val="20"/>
                <w:szCs w:val="20"/>
                <w:color w:val="auto"/>
              </w:rPr>
            </w:pPr>
            <w:r>
              <w:rPr>
                <w:rFonts w:ascii="Arial" w:cs="Arial" w:eastAsia="Arial" w:hAnsi="Arial"/>
                <w:sz w:val="13"/>
                <w:szCs w:val="13"/>
                <w:color w:val="auto"/>
              </w:rPr>
              <w:t>State tax rate, net of federal benefit</w:t>
            </w: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4"/>
                <w:szCs w:val="14"/>
                <w:color w:val="auto"/>
              </w:rPr>
            </w:pPr>
          </w:p>
        </w:tc>
        <w:tc>
          <w:tcPr>
            <w:tcW w:w="1560" w:type="dxa"/>
            <w:vAlign w:val="bottom"/>
          </w:tcPr>
          <w:p>
            <w:pPr>
              <w:jc w:val="right"/>
              <w:ind w:right="96"/>
              <w:spacing w:after="0"/>
              <w:rPr>
                <w:sz w:val="20"/>
                <w:szCs w:val="20"/>
                <w:color w:val="auto"/>
              </w:rPr>
            </w:pPr>
            <w:r>
              <w:rPr>
                <w:rFonts w:ascii="Arial" w:cs="Arial" w:eastAsia="Arial" w:hAnsi="Arial"/>
                <w:sz w:val="13"/>
                <w:szCs w:val="13"/>
                <w:color w:val="auto"/>
              </w:rPr>
              <w:t>5.5</w:t>
            </w:r>
          </w:p>
        </w:tc>
      </w:tr>
      <w:tr>
        <w:trPr>
          <w:trHeight w:val="171"/>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Change in valuation allowance</w:t>
            </w: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(25.1)</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(4.9)</w:t>
            </w:r>
          </w:p>
        </w:tc>
      </w:tr>
      <w:tr>
        <w:trPr>
          <w:trHeight w:val="169"/>
        </w:trPr>
        <w:tc>
          <w:tcPr>
            <w:tcW w:w="7440" w:type="dxa"/>
            <w:vAlign w:val="bottom"/>
            <w:gridSpan w:val="2"/>
          </w:tcPr>
          <w:p>
            <w:pPr>
              <w:ind w:left="20"/>
              <w:spacing w:after="0"/>
              <w:rPr>
                <w:sz w:val="20"/>
                <w:szCs w:val="20"/>
                <w:color w:val="auto"/>
              </w:rPr>
            </w:pPr>
            <w:r>
              <w:rPr>
                <w:rFonts w:ascii="Arial" w:cs="Arial" w:eastAsia="Arial" w:hAnsi="Arial"/>
                <w:sz w:val="13"/>
                <w:szCs w:val="13"/>
                <w:color w:val="auto"/>
              </w:rPr>
              <w:t>Tax credits</w:t>
            </w: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1560" w:type="dxa"/>
            <w:vAlign w:val="bottom"/>
          </w:tcPr>
          <w:p>
            <w:pPr>
              <w:jc w:val="right"/>
              <w:ind w:right="96"/>
              <w:spacing w:after="0"/>
              <w:rPr>
                <w:sz w:val="20"/>
                <w:szCs w:val="20"/>
                <w:color w:val="auto"/>
              </w:rPr>
            </w:pPr>
            <w:r>
              <w:rPr>
                <w:rFonts w:ascii="Arial" w:cs="Arial" w:eastAsia="Arial" w:hAnsi="Arial"/>
                <w:sz w:val="13"/>
                <w:szCs w:val="13"/>
                <w:color w:val="auto"/>
              </w:rPr>
              <w:t>2.5</w:t>
            </w:r>
          </w:p>
        </w:tc>
      </w:tr>
      <w:tr>
        <w:trPr>
          <w:trHeight w:val="171"/>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10.9</w:t>
            </w:r>
          </w:p>
        </w:tc>
      </w:tr>
      <w:tr>
        <w:trPr>
          <w:trHeight w:val="169"/>
        </w:trPr>
        <w:tc>
          <w:tcPr>
            <w:tcW w:w="7440" w:type="dxa"/>
            <w:vAlign w:val="bottom"/>
            <w:gridSpan w:val="2"/>
          </w:tcPr>
          <w:p>
            <w:pPr>
              <w:ind w:left="20"/>
              <w:spacing w:after="0"/>
              <w:rPr>
                <w:sz w:val="20"/>
                <w:szCs w:val="20"/>
                <w:color w:val="auto"/>
              </w:rPr>
            </w:pPr>
            <w:r>
              <w:rPr>
                <w:rFonts w:ascii="Arial" w:cs="Arial" w:eastAsia="Arial" w:hAnsi="Arial"/>
                <w:sz w:val="13"/>
                <w:szCs w:val="13"/>
                <w:color w:val="auto"/>
              </w:rPr>
              <w:t>Merger Expenses</w:t>
            </w: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56"/>
              <w:spacing w:after="0"/>
              <w:rPr>
                <w:sz w:val="20"/>
                <w:szCs w:val="20"/>
                <w:color w:val="auto"/>
              </w:rPr>
            </w:pPr>
            <w:r>
              <w:rPr>
                <w:rFonts w:ascii="Arial" w:cs="Arial" w:eastAsia="Arial" w:hAnsi="Arial"/>
                <w:sz w:val="13"/>
                <w:szCs w:val="13"/>
                <w:color w:val="auto"/>
              </w:rPr>
              <w:t>(0.9)</w:t>
            </w:r>
          </w:p>
        </w:tc>
      </w:tr>
      <w:tr>
        <w:trPr>
          <w:trHeight w:val="170"/>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(0.1)</w:t>
            </w:r>
          </w:p>
        </w:tc>
      </w:tr>
      <w:tr>
        <w:trPr>
          <w:trHeight w:val="162"/>
        </w:trPr>
        <w:tc>
          <w:tcPr>
            <w:tcW w:w="7440" w:type="dxa"/>
            <w:vAlign w:val="bottom"/>
            <w:gridSpan w:val="2"/>
          </w:tcPr>
          <w:p>
            <w:pPr>
              <w:ind w:left="140"/>
              <w:spacing w:after="0"/>
              <w:rPr>
                <w:sz w:val="20"/>
                <w:szCs w:val="20"/>
                <w:color w:val="auto"/>
              </w:rPr>
            </w:pPr>
            <w:r>
              <w:rPr>
                <w:rFonts w:ascii="Arial" w:cs="Arial" w:eastAsia="Arial" w:hAnsi="Arial"/>
                <w:sz w:val="13"/>
                <w:szCs w:val="13"/>
                <w:color w:val="auto"/>
              </w:rPr>
              <w:t>Total</w:t>
            </w:r>
          </w:p>
        </w:tc>
        <w:tc>
          <w:tcPr>
            <w:tcW w:w="560" w:type="dxa"/>
            <w:vAlign w:val="bottom"/>
          </w:tcPr>
          <w:p>
            <w:pPr>
              <w:jc w:val="right"/>
              <w:spacing w:after="0"/>
              <w:rPr>
                <w:sz w:val="20"/>
                <w:szCs w:val="20"/>
                <w:color w:val="auto"/>
              </w:rPr>
            </w:pPr>
            <w:r>
              <w:rPr>
                <w:rFonts w:ascii="Arial" w:cs="Arial" w:eastAsia="Arial" w:hAnsi="Arial"/>
                <w:sz w:val="13"/>
                <w:szCs w:val="13"/>
                <w:color w:val="auto"/>
              </w:rPr>
              <w:t>3.6 %</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34.0 %</w:t>
            </w:r>
          </w:p>
        </w:tc>
      </w:tr>
      <w:tr>
        <w:trPr>
          <w:trHeight w:val="20"/>
        </w:trPr>
        <w:tc>
          <w:tcPr>
            <w:tcW w:w="6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our deferred tax assets for federal and state income taxes are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December 31,</w:t>
            </w:r>
          </w:p>
        </w:tc>
        <w:tc>
          <w:tcPr>
            <w:tcW w:w="1000" w:type="dxa"/>
            <w:vAlign w:val="bottom"/>
            <w:tcBorders>
              <w:bottom w:val="single" w:sz="8" w:color="auto"/>
            </w:tcBorders>
          </w:tcPr>
          <w:p>
            <w:pPr>
              <w:spacing w:after="0"/>
              <w:rPr>
                <w:sz w:val="14"/>
                <w:szCs w:val="14"/>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50"/>
        </w:trPr>
        <w:tc>
          <w:tcPr>
            <w:tcW w:w="82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Deferred tax assets:</w:t>
            </w: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Net operating loss carryforwards</w:t>
            </w:r>
          </w:p>
        </w:tc>
        <w:tc>
          <w:tcPr>
            <w:tcW w:w="900" w:type="dxa"/>
            <w:vAlign w:val="bottom"/>
          </w:tcPr>
          <w:p>
            <w:pPr>
              <w:jc w:val="right"/>
              <w:ind w:right="73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435,488</w:t>
            </w:r>
          </w:p>
        </w:tc>
        <w:tc>
          <w:tcPr>
            <w:tcW w:w="8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400,629</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 credits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83,922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71,526</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Capitalized research and experimental expenses</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63,196</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34,863</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Accruals and reserves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16,872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13,830</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Cancellation of indebtedness income and interest expense</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14,907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4,587</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18,584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17,117</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Operating lease liability</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9,510</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11,537</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deferred tax assets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642,479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554,089</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Valuation allowance</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(525,703)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(445,574)</w:t>
            </w:r>
          </w:p>
        </w:tc>
      </w:tr>
      <w:tr>
        <w:trPr>
          <w:trHeight w:val="162"/>
        </w:trPr>
        <w:tc>
          <w:tcPr>
            <w:tcW w:w="8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Total deferred tax assets: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116,776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108,515</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Intangibles</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(109,488)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(98,931)</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 assets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Operating lease right-of-use assets</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(7,491)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(9,157)</w:t>
            </w:r>
          </w:p>
        </w:tc>
      </w:tr>
      <w:tr>
        <w:trPr>
          <w:trHeight w:val="160"/>
        </w:trPr>
        <w:tc>
          <w:tcPr>
            <w:tcW w:w="8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Total deferred tax liabilities</w:t>
            </w:r>
          </w:p>
        </w:tc>
        <w:tc>
          <w:tcPr>
            <w:tcW w:w="9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(117,527)</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(109,350)</w:t>
            </w:r>
          </w:p>
        </w:tc>
      </w:tr>
      <w:tr>
        <w:trPr>
          <w:trHeight w:val="162"/>
        </w:trPr>
        <w:tc>
          <w:tcPr>
            <w:tcW w:w="8220" w:type="dxa"/>
            <w:vAlign w:val="bottom"/>
          </w:tcPr>
          <w:p>
            <w:pPr>
              <w:ind w:left="140"/>
              <w:spacing w:after="0"/>
              <w:rPr>
                <w:sz w:val="20"/>
                <w:szCs w:val="20"/>
                <w:color w:val="auto"/>
              </w:rPr>
            </w:pPr>
            <w:r>
              <w:rPr>
                <w:rFonts w:ascii="Arial" w:cs="Arial" w:eastAsia="Arial" w:hAnsi="Arial"/>
                <w:sz w:val="13"/>
                <w:szCs w:val="13"/>
                <w:color w:val="auto"/>
              </w:rPr>
              <w:t>Deferred tax liabilities, net</w:t>
            </w:r>
          </w:p>
        </w:tc>
        <w:tc>
          <w:tcPr>
            <w:tcW w:w="90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(835)</w:t>
            </w:r>
          </w:p>
        </w:tc>
      </w:tr>
      <w:tr>
        <w:trPr>
          <w:trHeight w:val="20"/>
        </w:trPr>
        <w:tc>
          <w:tcPr>
            <w:tcW w:w="8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At December 31, 2023, we maintained a valuation allowance against our net deferred tax assets which totaled $525.7 million, including net operating loss carryforwards and research and development credits of $435.5 million and $83.9 million, respectively.</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 valuation allowance is recorded when it is more likely than not that all or some portion of the deferred income tax assets will not be realized. We regularly assess the need for a valuation allowance against our deferred income tax assets by considering both positive and negative evidence related to whether it is more likely than not that our deferred income tax assets will be realized. In evaluating our ability to recover our deferred income tax assets within the jurisdiction from which they arise, we consider all available positive and negative evidence, including scheduled reversals of deferred income tax liabilities, projected future taxable income, tax-planning strategies, and results of recent operations. A deferred income tax benefit of $11.4 million for the year ended December 31, 2023, is related to the release of the valuation allowance for deferred tax assets due to the recognition of deferred tax liabilities in connection with the Apton acquisition. We maintain a valuation allowance on the net deferred tax assets of our U.S. entities as we have concluded that it is more likely than not that we will not realize our deferred tax assets. Accordingly, this benefit from income taxes is reflected on our consolidated statements of operations and comprehensive loss for the year ended December 31, 2023.</w:t>
      </w:r>
    </w:p>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the year ended December 31, 2023, the Company's valuation allowance increased to $525.7 million, primarily because of an increase in our net operating losses, credits, and capitalized research and experimental expenses that were fully offset by a valuation allowance. For the year ended December 31, 2022, the Company's valuation allowance increased to $445.6 million, primarily because of an increase in our net operating losses, credits, and capitalized research and experimental expenses that were fully offset by a valuation allowance.</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December 31, 2023, we had a net operating loss carryforward for federal income tax purposes of approximately $1,709.3 million, of which $788.1 million is subject to expiration beginning in 2024. We had a total state net operating loss carryforward of approximately $1,171.8 million, which are subject to annual expirations. Utilization of some of the federal and state net operating loss and credit carryforwards are subject to annual limitations due to the “change in ownership” provisions of the Internal Revenue Code of 1986 and similar state provisions. The annual limitations may result in the expiration of net operating losses and credits before utilization.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federal credits of approximately $57.7 million, which will begin to expire in 2024 if not utilized and state research credits of approximately $49.8 million, which have no expiration date. These tax credits are subject to the same limitations discussed above.</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December 31, 2023, our total unrecognized tax benefit was $14.6 million. A reconciliation of the beginning and ending unrecognized tax benefit balance is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31, 2020</w:t>
            </w: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5,954</w:t>
            </w:r>
          </w:p>
        </w:tc>
      </w:tr>
      <w:tr>
        <w:trPr>
          <w:trHeight w:val="169"/>
        </w:trPr>
        <w:tc>
          <w:tcPr>
            <w:tcW w:w="9800" w:type="dxa"/>
            <w:vAlign w:val="bottom"/>
          </w:tcPr>
          <w:p>
            <w:pPr>
              <w:ind w:left="280"/>
              <w:spacing w:after="0"/>
              <w:rPr>
                <w:sz w:val="20"/>
                <w:szCs w:val="20"/>
                <w:color w:val="auto"/>
              </w:rPr>
            </w:pPr>
            <w:r>
              <w:rPr>
                <w:rFonts w:ascii="Arial" w:cs="Arial" w:eastAsia="Arial" w:hAnsi="Arial"/>
                <w:sz w:val="13"/>
                <w:szCs w:val="13"/>
                <w:color w:val="auto"/>
              </w:rPr>
              <w:t>Increase in balance related to tax positions taken in prior year</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189</w:t>
            </w:r>
          </w:p>
        </w:tc>
      </w:tr>
      <w:tr>
        <w:trPr>
          <w:trHeight w:val="171"/>
        </w:trPr>
        <w:tc>
          <w:tcPr>
            <w:tcW w:w="9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Increase in balance related to tax positions taken during current year</w:t>
            </w: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2,192</w:t>
            </w:r>
          </w:p>
        </w:tc>
      </w:tr>
      <w:tr>
        <w:trPr>
          <w:trHeight w:val="159"/>
        </w:trPr>
        <w:tc>
          <w:tcPr>
            <w:tcW w:w="9800" w:type="dxa"/>
            <w:vAlign w:val="bottom"/>
          </w:tcPr>
          <w:p>
            <w:pPr>
              <w:ind w:left="20"/>
              <w:spacing w:after="0"/>
              <w:rPr>
                <w:sz w:val="20"/>
                <w:szCs w:val="20"/>
                <w:color w:val="auto"/>
              </w:rPr>
            </w:pPr>
            <w:r>
              <w:rPr>
                <w:rFonts w:ascii="Arial" w:cs="Arial" w:eastAsia="Arial" w:hAnsi="Arial"/>
                <w:sz w:val="13"/>
                <w:szCs w:val="13"/>
                <w:color w:val="auto"/>
              </w:rPr>
              <w:t>Balance as of December 31, 2021</w:t>
            </w: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8,335</w:t>
            </w:r>
          </w:p>
        </w:tc>
      </w:tr>
      <w:tr>
        <w:trPr>
          <w:trHeight w:val="171"/>
        </w:trPr>
        <w:tc>
          <w:tcPr>
            <w:tcW w:w="9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Decrease in balance related to tax positions taken in prior year</w:t>
            </w: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9"/>
        </w:trPr>
        <w:tc>
          <w:tcPr>
            <w:tcW w:w="98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Increase in balance related to tax positions taken during current year</w:t>
            </w: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2,085</w:t>
            </w:r>
          </w:p>
        </w:tc>
      </w:tr>
      <w:tr>
        <w:trPr>
          <w:trHeight w:val="162"/>
        </w:trPr>
        <w:tc>
          <w:tcPr>
            <w:tcW w:w="9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31, 2022</w:t>
            </w: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10,410</w:t>
            </w:r>
          </w:p>
        </w:tc>
      </w:tr>
      <w:tr>
        <w:trPr>
          <w:trHeight w:val="169"/>
        </w:trPr>
        <w:tc>
          <w:tcPr>
            <w:tcW w:w="9800" w:type="dxa"/>
            <w:vAlign w:val="bottom"/>
          </w:tcPr>
          <w:p>
            <w:pPr>
              <w:ind w:left="280"/>
              <w:spacing w:after="0"/>
              <w:rPr>
                <w:sz w:val="20"/>
                <w:szCs w:val="20"/>
                <w:color w:val="auto"/>
              </w:rPr>
            </w:pPr>
            <w:r>
              <w:rPr>
                <w:rFonts w:ascii="Arial" w:cs="Arial" w:eastAsia="Arial" w:hAnsi="Arial"/>
                <w:sz w:val="13"/>
                <w:szCs w:val="13"/>
                <w:color w:val="auto"/>
              </w:rPr>
              <w:t>Increase in balance related to tax positions taken in prior year</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2,044</w:t>
            </w:r>
          </w:p>
        </w:tc>
      </w:tr>
      <w:tr>
        <w:trPr>
          <w:trHeight w:val="170"/>
        </w:trPr>
        <w:tc>
          <w:tcPr>
            <w:tcW w:w="9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Increase in balance related to tax positions taken during current year</w:t>
            </w: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w:t>
            </w:r>
          </w:p>
        </w:tc>
      </w:tr>
      <w:tr>
        <w:trPr>
          <w:trHeight w:val="162"/>
        </w:trPr>
        <w:tc>
          <w:tcPr>
            <w:tcW w:w="9800" w:type="dxa"/>
            <w:vAlign w:val="bottom"/>
          </w:tcPr>
          <w:p>
            <w:pPr>
              <w:ind w:left="20"/>
              <w:spacing w:after="0"/>
              <w:rPr>
                <w:sz w:val="20"/>
                <w:szCs w:val="20"/>
                <w:color w:val="auto"/>
              </w:rPr>
            </w:pPr>
            <w:r>
              <w:rPr>
                <w:rFonts w:ascii="Arial" w:cs="Arial" w:eastAsia="Arial" w:hAnsi="Arial"/>
                <w:sz w:val="13"/>
                <w:szCs w:val="13"/>
                <w:color w:val="auto"/>
              </w:rPr>
              <w:t>Balance as of December 31, 2023</w:t>
            </w:r>
          </w:p>
        </w:tc>
        <w:tc>
          <w:tcPr>
            <w:tcW w:w="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14,554</w:t>
            </w:r>
          </w:p>
        </w:tc>
      </w:tr>
      <w:tr>
        <w:trPr>
          <w:trHeight w:val="20"/>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practice is to recognize interest and/or penalties related to income tax matters in income tax expense. As of December 31, 2023 and 2022, we had no accrued interest or penalties due to our net operating losses available to offset any tax adjustment. If total unrecognized tax benefits were realized in the future, it would not result in any tax benefit as we currently have a full valuation allowance. We file U.S. federal and various state income tax returns. For U.S. federal and state income tax purposes, the statute of limitations currently remains open for the years ending December 31, 2020 to present and December 31, 2019 to present, respectively. In addition, all the net operating losses and research and development credit carryforwards that may be utilized in future years may be subject to examination. We are not currently under examination by income tax authorities in any jurisdiction.</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STOCKHOLDERS’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Certificate of Incorporation, as amended and restated in October 2010 in connection with the closing of our initial public offering, authorizes us to issue 1,000,000,000 shares of $0.001 par value common stock and 50,000,000 shares of $0.001 par value preferred stock. As of December 31, 2023 and 2022, there were no shares of preferred stock issued or outstanding.</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Common stockholders are entitled to dividends when and if declared by our board of directors. There have been no dividends declared to date. The holder of each share of common stock is entitled to one vote.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Underwritten Public Equity Offerings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August 2020, we entered into an underwriting agreement, relating to the public offering of 19,430,000 shares of our common stock, $ 0.001 par value per share, at a price to the public of $4.47 per share. Under the terms of the underwriting agreement, we also granted the underwriters a 30-day option to purchase up to an additional 2,914,500 shares of our common stock, which was subsequently exercised in full, and the offering including the sale of shares of common stock subject to the underwriters’ option, closed in August 2020. In total, we sold 22.3 million shares of our common stock. We paid a commission equal to 6% of the gross proceeds from the sale of shares of our common stock. The total net proceeds to us from the offering after deducting the underwriting discount were approximately $93.9 million, excluding approximately $0.3 million of offering expenses.</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November 2020, we entered into an underwriting agreement, relating to the public offering of 6,096,112 shares of our common stock, $0.001 par value per share, at a price to the public of $14.25 per share. Under the terms of the underwriting agreement, we also granted the underwriters a 30-day option to purchase up to an additional 914,416 shares of our common stock, which was subsequently exercised in full, and the offering including the sale of shares of common stock subject to the underwriters’ option, closed in November 2020. In total, we sold 7.0 million shares of our common stock. We paid a commission equal to 6% of the gross proceeds from the sale of shares of our common stock. The total net proceeds to us from the offering after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deducting the underwriting discount were approximately $93.9 million, excluding approximately $0.3 million of offering expenses.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total, for the year ended December 31, 2021, we issued 29.4 million shares of our common stock through our two underwritten public offerings with an average offering price of $6.40. The total net proceeds to us from the two offerings, after deducting the underwriting commission and offering expenses, were approximately $187.2 million.</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January 2023, we entered into an underwriting agreement, relating to the public offering of 17.5 million shares of our common stock, $0.001 par value per share, at a price to the public of $10.00 per share. Under the terms of the underwriting agreement, we also granted the underwriters a 30-day option to purchase up to an additional 2.6 million shares of our common stock, which was subsequently exercised in full, and the offering, including the sale of shares of common stock subject to the underwriters' option, closed in January 2023. In total, we sold 20.1 million shares of our common stock. We paid a commission equal to 5.75% of the gross proceeds from the sale of shares of our common stock. The total net proceeds to us from the offering after deducting the underwriting discount were approximately $189.7 million, excluding approximately $0.5 million of offering expenses.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Placement of Common Stock</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July 19, 2021, in connection with the Omniome acquisition, we entered into a purchase agreement with certain qualified institutional buyers and institutional accredited investors, pursuant to which we agreed to sell an aggregate of 11,214,953 shares of common stock, at a price of $26.75 per share, for aggregate gross proceeds of approximately $300 million. The transaction closed on September 20, 2021. We registered the private placement shares for resale following the closing of the merger.</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Plans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2020 Equity Incentive Plan (the “2020 Plan”), the 2020 Inducement Equity Incentive Plan (the “Inducement Plan”), and the 2021 adopted Omniome Equity Incentive Plan of Pacific Biosciences of California, Inc. (the “Omniome Plan”) allow for the issuance of stock options, restricted units and awards, and performance-based awards.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December 2, 2020, the Board of Directors (the “Board”) adopted the Inducement Plan and reserved 2,500,000 shares of our common stock for issuance pursuant to equity awards granted under the Inducement Plan. On April 18, 2021 and November 22, 2021, the Board amended the Inducement Plan to reserve an additional 750,000 and 360,000 shares, respectively.</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September 20, 2021, in connection with the acquisition of Omniome, we adopted the Omniome Equity Incentive Plan of Pacific Biosciences of California, Inc. (the “Omniome Plan”). Under the Omniome Merger Agreement, each unvested option to purchase Omniome common stock, granted under the Omniome Plan held by employees continuing with us, was assumed by PacBio and converted into an option to purchase shares of our common stock. The terms and conditions of the converted options are substantially the same (including vesting and exercisability), except that (A) the assumed options cover shares of PacBio’s common stock; (B) the number of shares of our common stock subject to the assumed option is equal to the product of (i) the number of shares of Omniome common stock subject to the corresponding unvested option, multiplied by (ii) the exchange ratio (as defined below), with any resulting fractional share rounded down to the nearest whole share; and (C) the exercise price per share of the assumed options is equal to the quotient of</w:t>
      </w:r>
    </w:p>
    <w:p>
      <w:pPr>
        <w:spacing w:after="0" w:line="2" w:lineRule="exact"/>
        <w:rPr>
          <w:sz w:val="20"/>
          <w:szCs w:val="20"/>
          <w:color w:val="auto"/>
        </w:rPr>
      </w:pPr>
    </w:p>
    <w:p>
      <w:pPr>
        <w:jc w:val="both"/>
        <w:ind w:firstLine="5"/>
        <w:spacing w:after="0" w:line="261" w:lineRule="auto"/>
        <w:tabs>
          <w:tab w:leader="none" w:pos="168"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exercise price per share of the corresponding unvested option to purchase shares of Omniome common stock, divided by (ii) the exchange ratio (as defined below), with any resulting fractional cent rounded up to the nearest whole cent. The exchange ratio was equal to 0.259204639. We reserved 2,494,128 shares of our common stock for issuance pursuant to equity awards under the Omniome Plan.</w:t>
      </w:r>
    </w:p>
    <w:p>
      <w:pPr>
        <w:spacing w:after="0" w:line="5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On May 25, 2022, stockholders approved an amendment to the 2020 Plan, and we reserved an additional 18,000,000 shares of our common stock for issuance pursuant to equity awards granted under the 2020 Plan.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2023, we had 12.8 million shares remaining and available for future issuance under the 2020 Plan, Inducement Plan, and the Omniome Plan.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Options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Time-based stock options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summarizes time-based stock option activity for all of our equity compensation plans for the year ended December 31, 2023 (in thousands, except per share amounts):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3"/>
                <w:szCs w:val="13"/>
                <w:color w:val="auto"/>
              </w:rPr>
            </w:pPr>
          </w:p>
        </w:tc>
        <w:tc>
          <w:tcPr>
            <w:tcW w:w="1060" w:type="dxa"/>
            <w:vAlign w:val="bottom"/>
          </w:tcPr>
          <w:p>
            <w:pPr>
              <w:jc w:val="center"/>
              <w:ind w:left="376"/>
              <w:spacing w:after="0"/>
              <w:rPr>
                <w:sz w:val="20"/>
                <w:szCs w:val="20"/>
                <w:color w:val="auto"/>
              </w:rPr>
            </w:pPr>
            <w:r>
              <w:rPr>
                <w:rFonts w:ascii="Arial" w:cs="Arial" w:eastAsia="Arial" w:hAnsi="Arial"/>
                <w:sz w:val="13"/>
                <w:szCs w:val="13"/>
                <w:b w:val="1"/>
                <w:bCs w:val="1"/>
                <w:color w:val="auto"/>
              </w:rPr>
              <w:t>Number</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136"/>
              <w:spacing w:after="0"/>
              <w:rPr>
                <w:sz w:val="20"/>
                <w:szCs w:val="20"/>
                <w:color w:val="auto"/>
              </w:rPr>
            </w:pPr>
            <w:r>
              <w:rPr>
                <w:rFonts w:ascii="Arial" w:cs="Arial" w:eastAsia="Arial" w:hAnsi="Arial"/>
                <w:sz w:val="13"/>
                <w:szCs w:val="13"/>
                <w:b w:val="1"/>
                <w:bCs w:val="1"/>
                <w:color w:val="auto"/>
                <w:w w:val="99"/>
              </w:rPr>
              <w:t>Weighted-average</w:t>
            </w:r>
          </w:p>
        </w:tc>
      </w:tr>
      <w:tr>
        <w:trPr>
          <w:trHeight w:val="170"/>
        </w:trPr>
        <w:tc>
          <w:tcPr>
            <w:tcW w:w="82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ind w:left="376"/>
              <w:spacing w:after="0"/>
              <w:rPr>
                <w:sz w:val="20"/>
                <w:szCs w:val="20"/>
                <w:color w:val="auto"/>
              </w:rPr>
            </w:pPr>
            <w:r>
              <w:rPr>
                <w:rFonts w:ascii="Arial" w:cs="Arial" w:eastAsia="Arial" w:hAnsi="Arial"/>
                <w:sz w:val="13"/>
                <w:szCs w:val="13"/>
                <w:b w:val="1"/>
                <w:bCs w:val="1"/>
                <w:color w:val="auto"/>
              </w:rPr>
              <w:t>of shares</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exercise price</w:t>
            </w:r>
          </w:p>
        </w:tc>
      </w:tr>
      <w:tr>
        <w:trPr>
          <w:trHeight w:val="160"/>
        </w:trPr>
        <w:tc>
          <w:tcPr>
            <w:tcW w:w="9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December 31, 2022</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14,618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w:t>
            </w:r>
          </w:p>
        </w:tc>
      </w:tr>
      <w:tr>
        <w:trPr>
          <w:trHeight w:val="169"/>
        </w:trPr>
        <w:tc>
          <w:tcPr>
            <w:tcW w:w="9280" w:type="dxa"/>
            <w:vAlign w:val="bottom"/>
            <w:gridSpan w:val="2"/>
          </w:tcPr>
          <w:p>
            <w:pPr>
              <w:ind w:left="20"/>
              <w:spacing w:after="0"/>
              <w:rPr>
                <w:sz w:val="20"/>
                <w:szCs w:val="20"/>
                <w:color w:val="auto"/>
              </w:rPr>
            </w:pPr>
            <w:r>
              <w:rPr>
                <w:rFonts w:ascii="Arial" w:cs="Arial" w:eastAsia="Arial" w:hAnsi="Arial"/>
                <w:sz w:val="13"/>
                <w:szCs w:val="13"/>
                <w:color w:val="auto"/>
              </w:rPr>
              <w:t>Granted</w:t>
            </w:r>
          </w:p>
        </w:tc>
        <w:tc>
          <w:tcPr>
            <w:tcW w:w="440" w:type="dxa"/>
            <w:vAlign w:val="bottom"/>
          </w:tcPr>
          <w:p>
            <w:pPr>
              <w:jc w:val="right"/>
              <w:spacing w:after="0"/>
              <w:rPr>
                <w:sz w:val="20"/>
                <w:szCs w:val="20"/>
                <w:color w:val="auto"/>
              </w:rPr>
            </w:pPr>
            <w:r>
              <w:rPr>
                <w:rFonts w:ascii="Arial" w:cs="Arial" w:eastAsia="Arial" w:hAnsi="Arial"/>
                <w:sz w:val="13"/>
                <w:szCs w:val="13"/>
                <w:color w:val="auto"/>
              </w:rPr>
              <w:t>419</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11.26</w:t>
            </w:r>
          </w:p>
        </w:tc>
      </w:tr>
      <w:tr>
        <w:trPr>
          <w:trHeight w:val="171"/>
        </w:trPr>
        <w:tc>
          <w:tcPr>
            <w:tcW w:w="9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(1,119)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Canceled</w:t>
            </w:r>
          </w:p>
        </w:tc>
        <w:tc>
          <w:tcPr>
            <w:tcW w:w="10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(910)</w:t>
            </w:r>
          </w:p>
        </w:tc>
        <w:tc>
          <w:tcPr>
            <w:tcW w:w="2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17.71</w:t>
            </w:r>
          </w:p>
        </w:tc>
      </w:tr>
      <w:tr>
        <w:trPr>
          <w:trHeight w:val="182"/>
        </w:trPr>
        <w:tc>
          <w:tcPr>
            <w:tcW w:w="9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December 31, 2023</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13,008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Performance-based stock options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summarizes performance-based stock option activity for all of our equity compensation plans for the year ended December 31, 2023 (in thousands, except per share amounts):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3"/>
                <w:szCs w:val="13"/>
                <w:color w:val="auto"/>
              </w:rPr>
            </w:pPr>
          </w:p>
        </w:tc>
        <w:tc>
          <w:tcPr>
            <w:tcW w:w="1100" w:type="dxa"/>
            <w:vAlign w:val="bottom"/>
          </w:tcPr>
          <w:p>
            <w:pPr>
              <w:jc w:val="center"/>
              <w:ind w:left="336"/>
              <w:spacing w:after="0"/>
              <w:rPr>
                <w:sz w:val="20"/>
                <w:szCs w:val="20"/>
                <w:color w:val="auto"/>
              </w:rPr>
            </w:pPr>
            <w:r>
              <w:rPr>
                <w:rFonts w:ascii="Arial" w:cs="Arial" w:eastAsia="Arial" w:hAnsi="Arial"/>
                <w:sz w:val="13"/>
                <w:szCs w:val="13"/>
                <w:b w:val="1"/>
                <w:bCs w:val="1"/>
                <w:color w:val="auto"/>
              </w:rPr>
              <w:t>Number</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136"/>
              <w:spacing w:after="0"/>
              <w:rPr>
                <w:sz w:val="20"/>
                <w:szCs w:val="20"/>
                <w:color w:val="auto"/>
              </w:rPr>
            </w:pPr>
            <w:r>
              <w:rPr>
                <w:rFonts w:ascii="Arial" w:cs="Arial" w:eastAsia="Arial" w:hAnsi="Arial"/>
                <w:sz w:val="13"/>
                <w:szCs w:val="13"/>
                <w:b w:val="1"/>
                <w:bCs w:val="1"/>
                <w:color w:val="auto"/>
                <w:w w:val="99"/>
              </w:rPr>
              <w:t>Weighted-average</w:t>
            </w:r>
          </w:p>
        </w:tc>
      </w:tr>
      <w:tr>
        <w:trPr>
          <w:trHeight w:val="170"/>
        </w:trPr>
        <w:tc>
          <w:tcPr>
            <w:tcW w:w="82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ind w:left="336"/>
              <w:spacing w:after="0"/>
              <w:rPr>
                <w:sz w:val="20"/>
                <w:szCs w:val="20"/>
                <w:color w:val="auto"/>
              </w:rPr>
            </w:pPr>
            <w:r>
              <w:rPr>
                <w:rFonts w:ascii="Arial" w:cs="Arial" w:eastAsia="Arial" w:hAnsi="Arial"/>
                <w:sz w:val="13"/>
                <w:szCs w:val="13"/>
                <w:b w:val="1"/>
                <w:bCs w:val="1"/>
                <w:color w:val="auto"/>
              </w:rPr>
              <w:t>of shares</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exercise price</w:t>
            </w:r>
          </w:p>
        </w:tc>
      </w:tr>
      <w:tr>
        <w:trPr>
          <w:trHeight w:val="160"/>
        </w:trPr>
        <w:tc>
          <w:tcPr>
            <w:tcW w:w="9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December 31, 2022</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r>
      <w:tr>
        <w:trPr>
          <w:trHeight w:val="169"/>
        </w:trPr>
        <w:tc>
          <w:tcPr>
            <w:tcW w:w="9320" w:type="dxa"/>
            <w:vAlign w:val="bottom"/>
            <w:gridSpan w:val="2"/>
          </w:tcPr>
          <w:p>
            <w:pPr>
              <w:ind w:left="20"/>
              <w:spacing w:after="0"/>
              <w:rPr>
                <w:sz w:val="20"/>
                <w:szCs w:val="20"/>
                <w:color w:val="auto"/>
              </w:rPr>
            </w:pPr>
            <w:r>
              <w:rPr>
                <w:rFonts w:ascii="Arial" w:cs="Arial" w:eastAsia="Arial" w:hAnsi="Arial"/>
                <w:sz w:val="13"/>
                <w:szCs w:val="13"/>
                <w:color w:val="auto"/>
              </w:rPr>
              <w:t>Granted</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9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Canceled</w:t>
            </w: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4.71</w:t>
            </w:r>
          </w:p>
        </w:tc>
      </w:tr>
      <w:tr>
        <w:trPr>
          <w:trHeight w:val="182"/>
        </w:trPr>
        <w:tc>
          <w:tcPr>
            <w:tcW w:w="9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December 31, 2023</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performance condition was achieved during the year ended December 31, 2023.</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aggregate intrinsic value of the outstanding options presented in the tables above as of December 31, 2023, totaled $31.8 million, and had a weighted-average remaining contractual life of 5.9 years.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aggregate intrinsic value of outstanding options represents the total pre-tax intrinsic value (i.e. the difference between $9.81, our closing stock price on the last trading day of our fourth quarter of 2023 and the option exercise price multiplied by the number of in-the-money options) that would have been received by the option holders had all option holders exercised their options on December 31, 2023. The aggregate intrinsic value changes at each reporting date based on the fair market value of our common stock.</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vested and exercisable options as of December 31, 2023, totaled 10,039,742 shares, had an aggregate intrinsic value of $30.0 million, a weighted-average exercise price per share of $9.70, and a weighted-average remaining contractual life of 5.2 years.</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vested and expected to vest options as of December 31, 2023, totaled 13,026,464 shares, had an aggregate intrinsic value of $31.6 million, a weighted-average exercise price per share of $10.81, and a weighted-average remaining contractual life of 5.8 years.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total intrinsic value of stock options exercised during the years ended December 31, 2023, 2022, and 2021 was $ 8.8 million, $5.0 million, and $ 146.1 million, respectively. The total intrinsic value of options exercised represents the difference between our closing stock price on the exercise date and the option exercise price, multiplied by the number of in-the-money options exercised.</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weighted-average grant-date fair value of all options granted was $7.32 in 2023, $5.93 in 2022, and $18.36 in 2021, each determined by the Black-Scholes option valuation method.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Stock Units ("RSU") and Performance Stock Units ("PSU")</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Each Restricted Stock Unit (RSU) represents one equivalent share of our common stock to be issued after satisfying the applicable continued service-based vesting criteria over a specified period. These RSUs are time-based and vest over four years at a rate of 25% annually. The RSUs do not entitle participants to the rights of holders of common stock, such as voting rights, until the shares are issued. The fair value of these RSUs 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based on the closing price of our common stock on the date of grant. We measure compensation expense for these RSUs at fair value on the date of grant and recognize the expense over the expected vesting period on a straight-line basis. RSUs that are expected to vest are net of estimated future forfeitures.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issue PSUs for which the number of shares issuable in the third year of the performance period is based on performance relative to specified revenue targets and continued employment through the vesting period. Maximum achievement of the revenue goal under the PSUs will result in up to 200% of the target number of shares subject to the PSUs to become eligible to vest, while not meeting the minimum achievement of the revenue goal under PSUs will result in no shares subject to the PSUs becoming eligible to vest.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time-based RSUs and PSUs activity for the year ended December 31, 2023 (shares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Restricted Stock Units</w:t>
            </w:r>
          </w:p>
        </w:tc>
        <w:tc>
          <w:tcPr>
            <w:tcW w:w="15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Performance Stock</w:t>
            </w:r>
          </w:p>
        </w:tc>
        <w:tc>
          <w:tcPr>
            <w:tcW w:w="3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3"/>
                <w:szCs w:val="13"/>
                <w:b w:val="1"/>
                <w:bCs w:val="1"/>
                <w:color w:val="auto"/>
              </w:rPr>
              <w:t>Weighted-average grant date fair value</w:t>
            </w:r>
          </w:p>
        </w:tc>
        <w:tc>
          <w:tcPr>
            <w:tcW w:w="0" w:type="dxa"/>
            <w:vAlign w:val="bottom"/>
          </w:tcPr>
          <w:p>
            <w:pPr>
              <w:spacing w:after="0"/>
              <w:rPr>
                <w:sz w:val="1"/>
                <w:szCs w:val="1"/>
                <w:color w:val="auto"/>
              </w:rPr>
            </w:pPr>
          </w:p>
        </w:tc>
      </w:tr>
      <w:tr>
        <w:trPr>
          <w:trHeight w:val="107"/>
        </w:trPr>
        <w:tc>
          <w:tcPr>
            <w:tcW w:w="46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vMerge w:val="restart"/>
          </w:tcPr>
          <w:p>
            <w:pPr>
              <w:jc w:val="right"/>
              <w:ind w:right="656"/>
              <w:spacing w:after="0"/>
              <w:rPr>
                <w:sz w:val="20"/>
                <w:szCs w:val="20"/>
                <w:color w:val="auto"/>
              </w:rPr>
            </w:pPr>
            <w:r>
              <w:rPr>
                <w:rFonts w:ascii="Arial" w:cs="Arial" w:eastAsia="Arial" w:hAnsi="Arial"/>
                <w:sz w:val="13"/>
                <w:szCs w:val="13"/>
                <w:b w:val="1"/>
                <w:bCs w:val="1"/>
                <w:color w:val="auto"/>
              </w:rPr>
              <w:t>RSU</w:t>
            </w:r>
          </w:p>
        </w:tc>
        <w:tc>
          <w:tcPr>
            <w:tcW w:w="8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vMerge w:val="restart"/>
          </w:tcPr>
          <w:p>
            <w:pPr>
              <w:jc w:val="right"/>
              <w:ind w:right="656"/>
              <w:spacing w:after="0"/>
              <w:rPr>
                <w:sz w:val="20"/>
                <w:szCs w:val="20"/>
                <w:color w:val="auto"/>
              </w:rPr>
            </w:pPr>
            <w:r>
              <w:rPr>
                <w:rFonts w:ascii="Arial" w:cs="Arial" w:eastAsia="Arial" w:hAnsi="Arial"/>
                <w:sz w:val="13"/>
                <w:szCs w:val="13"/>
                <w:b w:val="1"/>
                <w:bCs w:val="1"/>
                <w:color w:val="auto"/>
              </w:rPr>
              <w:t>PSU</w:t>
            </w:r>
          </w:p>
        </w:tc>
        <w:tc>
          <w:tcPr>
            <w:tcW w:w="0" w:type="dxa"/>
            <w:vAlign w:val="bottom"/>
          </w:tcPr>
          <w:p>
            <w:pPr>
              <w:spacing w:after="0"/>
              <w:rPr>
                <w:sz w:val="1"/>
                <w:szCs w:val="1"/>
                <w:color w:val="auto"/>
              </w:rPr>
            </w:pPr>
          </w:p>
        </w:tc>
      </w:tr>
      <w:tr>
        <w:trPr>
          <w:trHeight w:val="170"/>
        </w:trPr>
        <w:tc>
          <w:tcPr>
            <w:tcW w:w="46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(RSUs)</w:t>
            </w: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Units (PSUs)</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8,535</w:t>
            </w:r>
          </w:p>
        </w:tc>
        <w:tc>
          <w:tcPr>
            <w:tcW w:w="1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640" w:type="dxa"/>
            <w:vAlign w:val="bottom"/>
          </w:tcPr>
          <w:p>
            <w:pPr>
              <w:ind w:left="20"/>
              <w:spacing w:after="0"/>
              <w:rPr>
                <w:sz w:val="20"/>
                <w:szCs w:val="20"/>
                <w:color w:val="auto"/>
              </w:rPr>
            </w:pPr>
            <w:r>
              <w:rPr>
                <w:rFonts w:ascii="Arial" w:cs="Arial" w:eastAsia="Arial" w:hAnsi="Arial"/>
                <w:sz w:val="13"/>
                <w:szCs w:val="13"/>
                <w:color w:val="auto"/>
              </w:rPr>
              <w:t>Granted</w:t>
            </w:r>
          </w:p>
        </w:tc>
        <w:tc>
          <w:tcPr>
            <w:tcW w:w="1480" w:type="dxa"/>
            <w:vAlign w:val="bottom"/>
          </w:tcPr>
          <w:p>
            <w:pPr>
              <w:jc w:val="right"/>
              <w:spacing w:after="0"/>
              <w:rPr>
                <w:sz w:val="20"/>
                <w:szCs w:val="20"/>
                <w:color w:val="auto"/>
              </w:rPr>
            </w:pPr>
            <w:r>
              <w:rPr>
                <w:rFonts w:ascii="Arial" w:cs="Arial" w:eastAsia="Arial" w:hAnsi="Arial"/>
                <w:sz w:val="13"/>
                <w:szCs w:val="13"/>
                <w:color w:val="auto"/>
              </w:rPr>
              <w:t>7,141</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564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9.67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9.43</w:t>
            </w:r>
          </w:p>
        </w:tc>
        <w:tc>
          <w:tcPr>
            <w:tcW w:w="0" w:type="dxa"/>
            <w:vAlign w:val="bottom"/>
          </w:tcPr>
          <w:p>
            <w:pPr>
              <w:spacing w:after="0"/>
              <w:rPr>
                <w:sz w:val="1"/>
                <w:szCs w:val="1"/>
                <w:color w:val="auto"/>
              </w:rPr>
            </w:pPr>
          </w:p>
        </w:tc>
      </w:tr>
      <w:tr>
        <w:trPr>
          <w:trHeight w:val="171"/>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(2,730)</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(1,638)</w:t>
            </w: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9.43</w:t>
            </w:r>
          </w:p>
        </w:tc>
        <w:tc>
          <w:tcPr>
            <w:tcW w:w="0" w:type="dxa"/>
            <w:vAlign w:val="bottom"/>
          </w:tcPr>
          <w:p>
            <w:pPr>
              <w:spacing w:after="0"/>
              <w:rPr>
                <w:sz w:val="1"/>
                <w:szCs w:val="1"/>
                <w:color w:val="auto"/>
              </w:rPr>
            </w:pPr>
          </w:p>
        </w:tc>
      </w:tr>
      <w:tr>
        <w:trPr>
          <w:trHeight w:val="187"/>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Outstanding at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11,308</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total fair value of shares vested related to RSUs and PSUs during the years ended December 31, 2023, 2022, and 2021 was $39.3 million, $39.2 million, and $9.2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The weighted-average grant-date fair value of all RSUs and PSUs granted was $9.65 in 2023, $10.15 in 2022, and $35.33 in 2021.</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Stock Purchase Plan</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of December 31, 2023, a total of 29.5 million shares of our common stock have been reserved for issuance under our 2010 Employee Stock Purchase Plan (the “ESPP”). The ESPP permits eligible employees to purchase common stock at a discount through payroll deductions during defined offering periods. Each offering period will generally consist of four purchase periods, each purchase period being approximately six months. The price at which the stock is purchased is equal to the lower of 85% of the fair market value of the common stock at the beginning of an offering period or at the end of a purchase period. If the stock price at the end of the purchase period is lower than the stock price at the beginning of the offering period, that offering period will be terminated and a new offering period will come into place. The ESPP provides for an annual increase to the shares available for issuance at the beginning of each fiscal year equal to the lesser of 2% of the common shares then outstanding, 4,000,000 shares, or an amount determined by the ESPP’s administrator.</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For the years ended December 31, 2023, 2022, and 2021, 1,735,058 shares, 1,878,168 shares, and 1,913,968 shares of common stock were purchased under the ESPP, respectively. As of December 31, 2023, 12,197,447 shares of our common stock remain available for issuance under our ESPP.</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Total share-based compensation expense consists of the following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7"/>
              </w:rPr>
              <w:t>Years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0"/>
        </w:trPr>
        <w:tc>
          <w:tcPr>
            <w:tcW w:w="66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6,126</w:t>
            </w: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22,435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30,676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20,275</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general and administrative</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44,284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43,135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35,403</w:t>
            </w: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Merger-related expenses - stock-settled</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6,349</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Merger-related expenses - milestone</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5,202</w:t>
            </w:r>
          </w:p>
        </w:tc>
      </w:tr>
      <w:tr>
        <w:trPr>
          <w:trHeight w:val="159"/>
        </w:trPr>
        <w:tc>
          <w:tcPr>
            <w:tcW w:w="6660" w:type="dxa"/>
            <w:vAlign w:val="bottom"/>
          </w:tcPr>
          <w:p>
            <w:pPr>
              <w:ind w:left="140"/>
              <w:spacing w:after="0"/>
              <w:rPr>
                <w:sz w:val="20"/>
                <w:szCs w:val="20"/>
                <w:color w:val="auto"/>
              </w:rPr>
            </w:pPr>
            <w:r>
              <w:rPr>
                <w:rFonts w:ascii="Arial" w:cs="Arial" w:eastAsia="Arial" w:hAnsi="Arial"/>
                <w:sz w:val="13"/>
                <w:szCs w:val="13"/>
                <w:color w:val="auto"/>
              </w:rPr>
              <w:t>Share-based compensation</w:t>
            </w:r>
          </w:p>
        </w:tc>
        <w:tc>
          <w:tcPr>
            <w:tcW w:w="9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72,118</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78,613</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73,355</w:t>
            </w: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Merger-related expenses - cash-settled</w:t>
            </w: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7,373</w:t>
            </w:r>
          </w:p>
        </w:tc>
      </w:tr>
      <w:tr>
        <w:trPr>
          <w:trHeight w:val="162"/>
        </w:trPr>
        <w:tc>
          <w:tcPr>
            <w:tcW w:w="6660" w:type="dxa"/>
            <w:vAlign w:val="bottom"/>
          </w:tcPr>
          <w:p>
            <w:pPr>
              <w:ind w:left="140"/>
              <w:spacing w:after="0"/>
              <w:rPr>
                <w:sz w:val="20"/>
                <w:szCs w:val="20"/>
                <w:color w:val="auto"/>
              </w:rPr>
            </w:pPr>
            <w:r>
              <w:rPr>
                <w:rFonts w:ascii="Arial" w:cs="Arial" w:eastAsia="Arial" w:hAnsi="Arial"/>
                <w:sz w:val="13"/>
                <w:szCs w:val="13"/>
                <w:color w:val="auto"/>
              </w:rPr>
              <w:t>Total share-based compensation expense</w:t>
            </w:r>
          </w:p>
        </w:tc>
        <w:tc>
          <w:tcPr>
            <w:tcW w:w="960" w:type="dxa"/>
            <w:vAlign w:val="bottom"/>
          </w:tcPr>
          <w:p>
            <w:pPr>
              <w:jc w:val="right"/>
              <w:ind w:right="81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72,118</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78,613</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80,728</w:t>
            </w:r>
          </w:p>
        </w:tc>
      </w:tr>
      <w:tr>
        <w:trPr>
          <w:trHeight w:val="20"/>
        </w:trPr>
        <w:tc>
          <w:tcPr>
            <w:tcW w:w="6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December 31, 2023 and 2022, $0.6 million and $0.7 million of share-based compensation cost was capitalized in inventory, net, on our consolidated balance sheets,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The tax benefit of share-based compensation expense was immaterial for the years ended December 31, 2023, 2022, and 2021.</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Determining Fair Value</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estimate the fair value of share options granted using the Black-Scholes valuation method and a single option award approach. This fair value is then amortized on a straight-line basis over the requisite service periods of the awards, which is generally the vesting period. The fair market value of RSU awards granted is the closing price of our shares on the date of grant and is generally recognized as compensation expense on a straight-line basis over the respective vesting period. For shares purchased under our Employee Stock Purchase Plan, or ESPP, we estimate the grant-date fair value, and the resulting share-based compensation expense, using the Black-Scholes option-pricing model.</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Expected Term – The expected term used in the Black-Scholes valuation method represents the period that the stock options are expected to be outstanding and is determined based on historical experience of similar awards, giving consideration to the contractual terms of the stock options and vesting schedules.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Expected Volatility – The expected volatility used in the Black-Scholes valuation method is derived from the implied volatility related to our share price over the expected term.</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Expected Dividend – We have never paid dividends on our shares and, accordingly, the dividend yield percentage is zero for all periods.</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Risk-Free Interest Rate – The risk-free interest rate used in the Black-Scholes valuation method is the implied yield currently available on U.S. Treasury constant maturities issued with a term equivalent to the expected terms.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Options</w:t>
      </w:r>
    </w:p>
    <w:p>
      <w:pPr>
        <w:spacing w:after="0" w:line="92"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estimated the fair value of employee stock options using the Black-Scholes option pricing model. The fair value of employee stock options is amortized on a straight-line basis over the requisite service period of the awards.</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When determining the current share prices underlying the stock options for calculating the grant-date fair value, we reference observable market prices of similar or identical instruments in active markets.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employee stock options was estimated using the following weighted-average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7"/>
              </w:rPr>
              <w:t>Years Ended December 31,</w:t>
            </w: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60"/>
        </w:trPr>
        <w:tc>
          <w:tcPr>
            <w:tcW w:w="66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ind w:left="236"/>
              <w:spacing w:after="0"/>
              <w:rPr>
                <w:sz w:val="20"/>
                <w:szCs w:val="20"/>
                <w:color w:val="auto"/>
              </w:rPr>
            </w:pPr>
            <w:r>
              <w:rPr>
                <w:rFonts w:ascii="Arial" w:cs="Arial" w:eastAsia="Arial" w:hAnsi="Arial"/>
                <w:sz w:val="13"/>
                <w:szCs w:val="13"/>
                <w:b w:val="1"/>
                <w:bCs w:val="1"/>
                <w:color w:val="auto"/>
                <w:w w:val="96"/>
              </w:rPr>
              <w:t>2023</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rPr>
              <w:t>2021</w:t>
            </w:r>
          </w:p>
        </w:tc>
      </w:tr>
      <w:tr>
        <w:trPr>
          <w:trHeight w:val="16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term in years</w:t>
            </w:r>
          </w:p>
        </w:tc>
        <w:tc>
          <w:tcPr>
            <w:tcW w:w="1180" w:type="dxa"/>
            <w:vAlign w:val="bottom"/>
            <w:shd w:val="clear" w:color="auto" w:fill="CCEEFF"/>
          </w:tcPr>
          <w:p>
            <w:pPr>
              <w:jc w:val="center"/>
              <w:ind w:left="236"/>
              <w:spacing w:after="0"/>
              <w:rPr>
                <w:sz w:val="20"/>
                <w:szCs w:val="20"/>
                <w:color w:val="auto"/>
              </w:rPr>
            </w:pPr>
            <w:r>
              <w:rPr>
                <w:rFonts w:ascii="Arial" w:cs="Arial" w:eastAsia="Arial" w:hAnsi="Arial"/>
                <w:sz w:val="13"/>
                <w:szCs w:val="13"/>
                <w:color w:val="auto"/>
                <w:w w:val="88"/>
              </w:rPr>
              <w:t>4.9</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ind w:right="136"/>
              <w:spacing w:after="0"/>
              <w:rPr>
                <w:sz w:val="20"/>
                <w:szCs w:val="20"/>
                <w:color w:val="auto"/>
              </w:rPr>
            </w:pPr>
            <w:r>
              <w:rPr>
                <w:rFonts w:ascii="Arial" w:cs="Arial" w:eastAsia="Arial" w:hAnsi="Arial"/>
                <w:sz w:val="13"/>
                <w:szCs w:val="13"/>
                <w:color w:val="auto"/>
                <w:w w:val="99"/>
              </w:rPr>
              <w:t>4.6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- 4.6</w:t>
            </w: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Expected volatility</w:t>
            </w:r>
          </w:p>
        </w:tc>
        <w:tc>
          <w:tcPr>
            <w:tcW w:w="1180" w:type="dxa"/>
            <w:vAlign w:val="bottom"/>
          </w:tcPr>
          <w:p>
            <w:pPr>
              <w:jc w:val="center"/>
              <w:ind w:left="236"/>
              <w:spacing w:after="0"/>
              <w:rPr>
                <w:sz w:val="20"/>
                <w:szCs w:val="20"/>
                <w:color w:val="auto"/>
              </w:rPr>
            </w:pPr>
            <w:r>
              <w:rPr>
                <w:rFonts w:ascii="Arial" w:cs="Arial" w:eastAsia="Arial" w:hAnsi="Arial"/>
                <w:sz w:val="13"/>
                <w:szCs w:val="13"/>
                <w:color w:val="auto"/>
              </w:rPr>
              <w:t>77% - 78%</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36"/>
              <w:spacing w:after="0"/>
              <w:rPr>
                <w:sz w:val="20"/>
                <w:szCs w:val="20"/>
                <w:color w:val="auto"/>
              </w:rPr>
            </w:pPr>
            <w:r>
              <w:rPr>
                <w:rFonts w:ascii="Arial" w:cs="Arial" w:eastAsia="Arial" w:hAnsi="Arial"/>
                <w:sz w:val="13"/>
                <w:szCs w:val="13"/>
                <w:color w:val="auto"/>
                <w:w w:val="97"/>
              </w:rPr>
              <w:t>70% - 76%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67%</w:t>
            </w:r>
          </w:p>
        </w:tc>
        <w:tc>
          <w:tcPr>
            <w:tcW w:w="780" w:type="dxa"/>
            <w:vAlign w:val="bottom"/>
          </w:tcPr>
          <w:p>
            <w:pPr>
              <w:ind w:left="20"/>
              <w:spacing w:after="0"/>
              <w:rPr>
                <w:sz w:val="20"/>
                <w:szCs w:val="20"/>
                <w:color w:val="auto"/>
              </w:rPr>
            </w:pPr>
            <w:r>
              <w:rPr>
                <w:rFonts w:ascii="Arial" w:cs="Arial" w:eastAsia="Arial" w:hAnsi="Arial"/>
                <w:sz w:val="13"/>
                <w:szCs w:val="13"/>
                <w:color w:val="auto"/>
              </w:rPr>
              <w:t>- 80%</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Risk-free interest rate</w:t>
            </w:r>
          </w:p>
        </w:tc>
        <w:tc>
          <w:tcPr>
            <w:tcW w:w="1180" w:type="dxa"/>
            <w:vAlign w:val="bottom"/>
            <w:shd w:val="clear" w:color="auto" w:fill="CCEEFF"/>
          </w:tcPr>
          <w:p>
            <w:pPr>
              <w:jc w:val="center"/>
              <w:ind w:left="236"/>
              <w:spacing w:after="0"/>
              <w:rPr>
                <w:sz w:val="20"/>
                <w:szCs w:val="20"/>
                <w:color w:val="auto"/>
              </w:rPr>
            </w:pPr>
            <w:r>
              <w:rPr>
                <w:rFonts w:ascii="Arial" w:cs="Arial" w:eastAsia="Arial" w:hAnsi="Arial"/>
                <w:sz w:val="13"/>
                <w:szCs w:val="13"/>
                <w:color w:val="auto"/>
                <w:w w:val="99"/>
              </w:rPr>
              <w:t>3.73% – 4.60%</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97"/>
              </w:rPr>
              <w:t>0.41% – 3.66%</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w w:val="97"/>
              </w:rPr>
              <w:t>0.05% – 1.10%</w:t>
            </w: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Dividend yield</w:t>
            </w:r>
          </w:p>
        </w:tc>
        <w:tc>
          <w:tcPr>
            <w:tcW w:w="1180" w:type="dxa"/>
            <w:vAlign w:val="bottom"/>
          </w:tcPr>
          <w:p>
            <w:pPr>
              <w:jc w:val="center"/>
              <w:ind w:left="236"/>
              <w:spacing w:after="0"/>
              <w:rPr>
                <w:sz w:val="20"/>
                <w:szCs w:val="20"/>
                <w:color w:val="auto"/>
              </w:rPr>
            </w:pPr>
            <w:r>
              <w:rPr>
                <w:rFonts w:ascii="Arial" w:cs="Arial" w:eastAsia="Arial" w:hAnsi="Arial"/>
                <w:sz w:val="13"/>
                <w:szCs w:val="13"/>
                <w:color w:val="auto"/>
                <w:w w:val="91"/>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20" w:type="dxa"/>
            <w:vAlign w:val="bottom"/>
            <w:gridSpan w:val="2"/>
          </w:tcPr>
          <w:p>
            <w:pPr>
              <w:ind w:left="420"/>
              <w:spacing w:after="0"/>
              <w:rPr>
                <w:sz w:val="20"/>
                <w:szCs w:val="20"/>
                <w:color w:val="auto"/>
              </w:rPr>
            </w:pPr>
            <w:r>
              <w:rPr>
                <w:rFonts w:ascii="Arial" w:cs="Arial" w:eastAsia="Arial" w:hAnsi="Arial"/>
                <w:sz w:val="13"/>
                <w:szCs w:val="13"/>
                <w:color w:val="auto"/>
              </w:rPr>
              <w:t>—</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grant date fair value per share</w:t>
            </w:r>
          </w:p>
        </w:tc>
        <w:tc>
          <w:tcPr>
            <w:tcW w:w="118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7.32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15.53</w:t>
            </w:r>
          </w:p>
        </w:tc>
      </w:tr>
    </w:tbl>
    <w:p>
      <w:pPr>
        <w:spacing w:after="0" w:line="144" w:lineRule="exact"/>
        <w:rPr>
          <w:sz w:val="20"/>
          <w:szCs w:val="20"/>
          <w:color w:val="auto"/>
        </w:rPr>
      </w:pPr>
    </w:p>
    <w:p>
      <w:pPr>
        <w:ind w:right="1580"/>
        <w:spacing w:after="0" w:line="379" w:lineRule="auto"/>
        <w:rPr>
          <w:sz w:val="20"/>
          <w:szCs w:val="20"/>
          <w:color w:val="auto"/>
        </w:rPr>
      </w:pPr>
      <w:r>
        <w:rPr>
          <w:rFonts w:ascii="Arial" w:cs="Arial" w:eastAsia="Arial" w:hAnsi="Arial"/>
          <w:sz w:val="14"/>
          <w:szCs w:val="14"/>
          <w:color w:val="auto"/>
        </w:rPr>
        <w:t xml:space="preserve">Cash received from option exercises for the years ended December 31, 2023, 2022, and 2021 was $6.5 million, $3.4 million and $25.4 million, respectively. </w:t>
      </w:r>
      <w:r>
        <w:rPr>
          <w:rFonts w:ascii="Arial" w:cs="Arial" w:eastAsia="Arial" w:hAnsi="Arial"/>
          <w:sz w:val="14"/>
          <w:szCs w:val="14"/>
          <w:i w:val="1"/>
          <w:iCs w:val="1"/>
          <w:color w:val="auto"/>
        </w:rPr>
        <w:t>ESPP</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estimate the fair value of shares to be issued under the ESPP using the Black-Scholes option pricing model. The fair value of shares to be issued under the ESPP was estimated using the following assumptions: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7"/>
              </w:rPr>
              <w:t>Years Ended December 31,</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60"/>
        </w:trPr>
        <w:tc>
          <w:tcPr>
            <w:tcW w:w="66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gridSpan w:val="2"/>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term in years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- 2.0</w:t>
            </w:r>
          </w:p>
        </w:tc>
        <w:tc>
          <w:tcPr>
            <w:tcW w:w="3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- 2.0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- 2.0</w:t>
            </w: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Expected volatility</w:t>
            </w:r>
          </w:p>
        </w:tc>
        <w:tc>
          <w:tcPr>
            <w:tcW w:w="700" w:type="dxa"/>
            <w:vAlign w:val="bottom"/>
          </w:tcPr>
          <w:p>
            <w:pPr>
              <w:jc w:val="right"/>
              <w:spacing w:after="0"/>
              <w:rPr>
                <w:sz w:val="20"/>
                <w:szCs w:val="20"/>
                <w:color w:val="auto"/>
              </w:rPr>
            </w:pPr>
            <w:r>
              <w:rPr>
                <w:rFonts w:ascii="Arial" w:cs="Arial" w:eastAsia="Arial" w:hAnsi="Arial"/>
                <w:sz w:val="13"/>
                <w:szCs w:val="13"/>
                <w:color w:val="auto"/>
              </w:rPr>
              <w:t>79%</w:t>
            </w:r>
          </w:p>
        </w:tc>
        <w:tc>
          <w:tcPr>
            <w:tcW w:w="440" w:type="dxa"/>
            <w:vAlign w:val="bottom"/>
          </w:tcPr>
          <w:p>
            <w:pPr>
              <w:ind w:left="20"/>
              <w:spacing w:after="0"/>
              <w:rPr>
                <w:sz w:val="20"/>
                <w:szCs w:val="20"/>
                <w:color w:val="auto"/>
              </w:rPr>
            </w:pPr>
            <w:r>
              <w:rPr>
                <w:rFonts w:ascii="Arial" w:cs="Arial" w:eastAsia="Arial" w:hAnsi="Arial"/>
                <w:sz w:val="13"/>
                <w:szCs w:val="13"/>
                <w:color w:val="auto"/>
              </w:rPr>
              <w:t>- 97%</w:t>
            </w:r>
          </w:p>
        </w:tc>
        <w:tc>
          <w:tcPr>
            <w:tcW w:w="3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70%</w:t>
            </w:r>
          </w:p>
        </w:tc>
        <w:tc>
          <w:tcPr>
            <w:tcW w:w="780" w:type="dxa"/>
            <w:vAlign w:val="bottom"/>
          </w:tcPr>
          <w:p>
            <w:pPr>
              <w:spacing w:after="0"/>
              <w:rPr>
                <w:sz w:val="20"/>
                <w:szCs w:val="20"/>
                <w:color w:val="auto"/>
              </w:rPr>
            </w:pPr>
            <w:r>
              <w:rPr>
                <w:rFonts w:ascii="Arial" w:cs="Arial" w:eastAsia="Arial" w:hAnsi="Arial"/>
                <w:sz w:val="13"/>
                <w:szCs w:val="13"/>
                <w:color w:val="auto"/>
              </w:rPr>
              <w:t>- 97%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67%</w:t>
            </w:r>
          </w:p>
        </w:tc>
        <w:tc>
          <w:tcPr>
            <w:tcW w:w="780" w:type="dxa"/>
            <w:vAlign w:val="bottom"/>
          </w:tcPr>
          <w:p>
            <w:pPr>
              <w:ind w:left="20"/>
              <w:spacing w:after="0"/>
              <w:rPr>
                <w:sz w:val="20"/>
                <w:szCs w:val="20"/>
                <w:color w:val="auto"/>
              </w:rPr>
            </w:pPr>
            <w:r>
              <w:rPr>
                <w:rFonts w:ascii="Arial" w:cs="Arial" w:eastAsia="Arial" w:hAnsi="Arial"/>
                <w:sz w:val="13"/>
                <w:szCs w:val="13"/>
                <w:color w:val="auto"/>
              </w:rPr>
              <w:t>- 68%</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Risk-free interest rate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- 5.5%</w:t>
            </w:r>
          </w:p>
        </w:tc>
        <w:tc>
          <w:tcPr>
            <w:tcW w:w="3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- 3.5%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- 0.2%</w:t>
            </w: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Dividend yield</w:t>
            </w:r>
          </w:p>
        </w:tc>
        <w:tc>
          <w:tcPr>
            <w:tcW w:w="1140" w:type="dxa"/>
            <w:vAlign w:val="bottom"/>
            <w:gridSpan w:val="2"/>
          </w:tcPr>
          <w:p>
            <w:pPr>
              <w:jc w:val="center"/>
              <w:ind w:left="276"/>
              <w:spacing w:after="0"/>
              <w:rPr>
                <w:sz w:val="20"/>
                <w:szCs w:val="20"/>
                <w:color w:val="auto"/>
              </w:rPr>
            </w:pPr>
            <w:r>
              <w:rPr>
                <w:rFonts w:ascii="Arial" w:cs="Arial" w:eastAsia="Arial" w:hAnsi="Arial"/>
                <w:sz w:val="13"/>
                <w:szCs w:val="13"/>
                <w:color w:val="auto"/>
                <w:w w:val="91"/>
              </w:rPr>
              <w: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40" w:type="dxa"/>
            <w:vAlign w:val="bottom"/>
            <w:gridSpan w:val="2"/>
          </w:tcPr>
          <w:p>
            <w:pPr>
              <w:jc w:val="center"/>
              <w:ind w:right="176"/>
              <w:spacing w:after="0"/>
              <w:rPr>
                <w:sz w:val="20"/>
                <w:szCs w:val="20"/>
                <w:color w:val="auto"/>
              </w:rPr>
            </w:pPr>
            <w:r>
              <w:rPr>
                <w:rFonts w:ascii="Arial" w:cs="Arial" w:eastAsia="Arial" w:hAnsi="Arial"/>
                <w:sz w:val="13"/>
                <w:szCs w:val="13"/>
                <w:color w:val="auto"/>
                <w:w w:val="91"/>
              </w:rPr>
              <w:t>—</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grant date fair value per share</w:t>
            </w:r>
          </w:p>
        </w:tc>
        <w:tc>
          <w:tcPr>
            <w:tcW w:w="7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800" w:type="dxa"/>
            <w:vAlign w:val="bottom"/>
            <w:gridSpan w:val="2"/>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25.07</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Cash received through the ESPP for the years ended December 31, 2023, 2022, and 2021 was $8.8 million, $7.8 million, and $6.4 million, respectively.</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December 31, 2023, $101.9 million of total unrecognized compensation expense related to stock options, restricted stock, and ESPP shares was expected to be recognized over a weighted-average period of 2.2 years.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NET LOSS PER SHARE</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Basic net loss per share is computed by dividing net loss by the weighted average number of shares of common stock outstanding during the period. Diluted net loss per share is computed using the weighted-average number of shares of common stock outstanding and potential shares assuming the dilutive effect of the convertible senior notes, using the if-converted method, and outstanding equity awards using the treasury stock method.</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presents the calculation of the basic and diluted net loss per share amounts presented in the consolidated statements of operations and comprehensive loss (in thousands, except per share amounts):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7"/>
              </w:rPr>
              <w:t>Years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6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0"/>
        </w:trPr>
        <w:tc>
          <w:tcPr>
            <w:tcW w:w="66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Numerator:</w:t>
            </w: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660" w:type="dxa"/>
            <w:vAlign w:val="bottom"/>
          </w:tcPr>
          <w:p>
            <w:pPr>
              <w:ind w:left="140"/>
              <w:spacing w:after="0"/>
              <w:rPr>
                <w:sz w:val="20"/>
                <w:szCs w:val="20"/>
                <w:color w:val="auto"/>
              </w:rPr>
            </w:pPr>
            <w:r>
              <w:rPr>
                <w:rFonts w:ascii="Arial" w:cs="Arial" w:eastAsia="Arial" w:hAnsi="Arial"/>
                <w:sz w:val="13"/>
                <w:szCs w:val="13"/>
                <w:color w:val="auto"/>
              </w:rPr>
              <w:t>Net loss</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(306,735)</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(314,248)</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(181,223)</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Denominator:</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Weighted-average shares used in computing basic net loss per share</w:t>
            </w: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253,629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224,550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204,136</w:t>
            </w:r>
          </w:p>
        </w:tc>
        <w:tc>
          <w:tcPr>
            <w:tcW w:w="0" w:type="dxa"/>
            <w:vAlign w:val="bottom"/>
          </w:tcPr>
          <w:p>
            <w:pPr>
              <w:spacing w:after="0"/>
              <w:rPr>
                <w:sz w:val="1"/>
                <w:szCs w:val="1"/>
                <w:color w:val="auto"/>
              </w:rPr>
            </w:pPr>
          </w:p>
        </w:tc>
      </w:tr>
      <w:tr>
        <w:trPr>
          <w:trHeight w:val="18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net loss per share</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Diluted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66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Weighted-average shares used in computing diluted net loss per share</w:t>
            </w: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253,629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224,550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204,136</w:t>
            </w:r>
          </w:p>
        </w:tc>
        <w:tc>
          <w:tcPr>
            <w:tcW w:w="0" w:type="dxa"/>
            <w:vAlign w:val="bottom"/>
          </w:tcPr>
          <w:p>
            <w:pPr>
              <w:spacing w:after="0"/>
              <w:rPr>
                <w:sz w:val="1"/>
                <w:szCs w:val="1"/>
                <w:color w:val="auto"/>
              </w:rPr>
            </w:pPr>
          </w:p>
        </w:tc>
      </w:tr>
      <w:tr>
        <w:trPr>
          <w:trHeight w:val="162"/>
        </w:trPr>
        <w:tc>
          <w:tcPr>
            <w:tcW w:w="6660" w:type="dxa"/>
            <w:vAlign w:val="bottom"/>
          </w:tcPr>
          <w:p>
            <w:pPr>
              <w:ind w:left="20"/>
              <w:spacing w:after="0"/>
              <w:rPr>
                <w:sz w:val="20"/>
                <w:szCs w:val="20"/>
                <w:color w:val="auto"/>
              </w:rPr>
            </w:pPr>
            <w:r>
              <w:rPr>
                <w:rFonts w:ascii="Arial" w:cs="Arial" w:eastAsia="Arial" w:hAnsi="Arial"/>
                <w:sz w:val="13"/>
                <w:szCs w:val="13"/>
                <w:color w:val="auto"/>
              </w:rPr>
              <w:t>Diluted net loss per share</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(1.21)</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(1.40)</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(0.89)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shares issuable upon conversion of the convertible senior notes and outstanding equity awards were excluded from the computation of diluted net loss per share for the periods presented because the effect of including such shares would have been antidilutive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7"/>
              </w:rPr>
              <w:t>Years Ended December 31,</w:t>
            </w:r>
          </w:p>
        </w:tc>
        <w:tc>
          <w:tcPr>
            <w:tcW w:w="1480" w:type="dxa"/>
            <w:vAlign w:val="bottom"/>
            <w:tcBorders>
              <w:bottom w:val="single" w:sz="8" w:color="auto"/>
            </w:tcBorders>
          </w:tcPr>
          <w:p>
            <w:pPr>
              <w:spacing w:after="0"/>
              <w:rPr>
                <w:sz w:val="14"/>
                <w:szCs w:val="14"/>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4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issuable upon conversion of convertible senior notes</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31,063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20,690</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20,690</w:t>
            </w:r>
          </w:p>
        </w:tc>
      </w:tr>
      <w:tr>
        <w:trPr>
          <w:trHeight w:val="167"/>
        </w:trPr>
        <w:tc>
          <w:tcPr>
            <w:tcW w:w="6660" w:type="dxa"/>
            <w:vAlign w:val="bottom"/>
          </w:tcPr>
          <w:p>
            <w:pPr>
              <w:ind w:left="20"/>
              <w:spacing w:after="0"/>
              <w:rPr>
                <w:sz w:val="20"/>
                <w:szCs w:val="20"/>
                <w:color w:val="auto"/>
              </w:rPr>
            </w:pPr>
            <w:r>
              <w:rPr>
                <w:rFonts w:ascii="Arial" w:cs="Arial" w:eastAsia="Arial" w:hAnsi="Arial"/>
                <w:sz w:val="13"/>
                <w:szCs w:val="13"/>
                <w:color w:val="auto"/>
              </w:rPr>
              <w:t>Equity awards</w:t>
            </w:r>
          </w:p>
        </w:tc>
        <w:tc>
          <w:tcPr>
            <w:tcW w:w="1480" w:type="dxa"/>
            <w:vAlign w:val="bottom"/>
          </w:tcPr>
          <w:p>
            <w:pPr>
              <w:jc w:val="right"/>
              <w:spacing w:after="0"/>
              <w:rPr>
                <w:sz w:val="20"/>
                <w:szCs w:val="20"/>
                <w:color w:val="auto"/>
              </w:rPr>
            </w:pPr>
            <w:r>
              <w:rPr>
                <w:rFonts w:ascii="Arial" w:cs="Arial" w:eastAsia="Arial" w:hAnsi="Arial"/>
                <w:sz w:val="13"/>
                <w:szCs w:val="13"/>
                <w:color w:val="auto"/>
              </w:rPr>
              <w:t>27,246</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27,291</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21,419</w:t>
            </w:r>
          </w:p>
        </w:tc>
      </w:tr>
    </w:tbl>
    <w:p>
      <w:pPr>
        <w:spacing w:after="0" w:line="147"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 xml:space="preserve">As described in </w:t>
      </w:r>
      <w:r>
        <w:rPr>
          <w:rFonts w:ascii="Arial" w:cs="Arial" w:eastAsia="Arial" w:hAnsi="Arial"/>
          <w:sz w:val="14"/>
          <w:szCs w:val="14"/>
          <w:i w:val="1"/>
          <w:iCs w:val="1"/>
          <w:u w:val="single" w:color="auto"/>
          <w:color w:val="0000FF"/>
        </w:rPr>
        <w:t>Note 2. Business Acquisitions</w:t>
      </w:r>
      <w:r>
        <w:rPr>
          <w:rFonts w:ascii="Arial" w:cs="Arial" w:eastAsia="Arial" w:hAnsi="Arial"/>
          <w:sz w:val="14"/>
          <w:szCs w:val="14"/>
          <w:color w:val="auto"/>
        </w:rPr>
        <w:t xml:space="preserve">, the contingently issuable shares would be due upon the achievement of a milestone. See </w:t>
      </w:r>
      <w:r>
        <w:rPr>
          <w:rFonts w:ascii="Arial" w:cs="Arial" w:eastAsia="Arial" w:hAnsi="Arial"/>
          <w:sz w:val="14"/>
          <w:szCs w:val="14"/>
          <w:i w:val="1"/>
          <w:iCs w:val="1"/>
          <w:u w:val="single" w:color="auto"/>
          <w:color w:val="0000FF"/>
        </w:rPr>
        <w:t>Note 10. Stockholders’ Equity</w:t>
      </w:r>
      <w:r>
        <w:rPr>
          <w:rFonts w:ascii="Arial" w:cs="Arial" w:eastAsia="Arial" w:hAnsi="Arial"/>
          <w:sz w:val="14"/>
          <w:szCs w:val="14"/>
          <w:color w:val="auto"/>
        </w:rPr>
        <w:t xml:space="preserve"> for detailed information on RSUs with time-based vesting and RSUs with performance-based vesting.</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SEGMENT AND GEOGRAPHIC INFORMATION</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organized as, and operate in, one reportable segment: the development, manufacturing, and marketing of an integrated platform for genetic analysis. Our chief operating decision-maker is our Chief Executive Officer. The Chief Executive Officer reviews financial information presented on a consolidated basis for the purposes of evaluating financial performance and allocating resources, accompanied by information about revenue by geographic regions. Our assets are primarily located in the United States of America and not allocated to any specific region, and we do not measure the performance of geographic regions based upon asset-based metrics. Therefore, geographic information is presented only for revenue.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A summary of our revenue by geographic location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7"/>
              </w:rPr>
              <w:t>Years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Americas</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105,410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69,561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64,521</w:t>
            </w: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Europe, Middle East, and Africa</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40,658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22,598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30,271</w:t>
            </w: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Asia-Pacific</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54,453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36,145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35,721</w:t>
            </w:r>
          </w:p>
        </w:tc>
      </w:tr>
      <w:tr>
        <w:trPr>
          <w:trHeight w:val="162"/>
        </w:trPr>
        <w:tc>
          <w:tcPr>
            <w:tcW w:w="6660" w:type="dxa"/>
            <w:vAlign w:val="bottom"/>
          </w:tcPr>
          <w:p>
            <w:pPr>
              <w:ind w:left="140"/>
              <w:spacing w:after="0"/>
              <w:rPr>
                <w:sz w:val="20"/>
                <w:szCs w:val="20"/>
                <w:color w:val="auto"/>
              </w:rPr>
            </w:pPr>
            <w:r>
              <w:rPr>
                <w:rFonts w:ascii="Arial" w:cs="Arial" w:eastAsia="Arial" w:hAnsi="Arial"/>
                <w:sz w:val="13"/>
                <w:szCs w:val="13"/>
                <w:color w:val="auto"/>
              </w:rPr>
              <w:t>Total</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200,521</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128,304</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130,513</w:t>
            </w:r>
          </w:p>
        </w:tc>
      </w:tr>
      <w:tr>
        <w:trPr>
          <w:trHeight w:val="20"/>
        </w:trPr>
        <w:tc>
          <w:tcPr>
            <w:tcW w:w="6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A summary of our revenue by category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7"/>
              </w:rPr>
              <w:t>Years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Instrument revenue</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120,451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48,719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61,324</w:t>
            </w:r>
          </w:p>
        </w:tc>
      </w:tr>
      <w:tr>
        <w:trPr>
          <w:trHeight w:val="16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Consumable revenue</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63,421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59,980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52,181</w:t>
            </w:r>
          </w:p>
        </w:tc>
      </w:tr>
      <w:tr>
        <w:trPr>
          <w:trHeight w:val="162"/>
        </w:trPr>
        <w:tc>
          <w:tcPr>
            <w:tcW w:w="6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Product revenue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183,872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108,699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113,505</w:t>
            </w:r>
          </w:p>
        </w:tc>
      </w:tr>
      <w:tr>
        <w:trPr>
          <w:trHeight w:val="16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Service and other revenue</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16,649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19,605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17,008</w:t>
            </w:r>
          </w:p>
        </w:tc>
      </w:tr>
      <w:tr>
        <w:trPr>
          <w:trHeight w:val="182"/>
        </w:trPr>
        <w:tc>
          <w:tcPr>
            <w:tcW w:w="6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revenue</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128,304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130,513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I</w:t>
      </w:r>
      <w:r>
        <w:rPr>
          <w:rFonts w:ascii="Arial" w:cs="Arial" w:eastAsia="Arial" w:hAnsi="Arial"/>
          <w:sz w:val="14"/>
          <w:szCs w:val="14"/>
          <w:b w:val="1"/>
          <w:bCs w:val="1"/>
          <w:color w:val="auto"/>
        </w:rPr>
        <w:t>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94"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9A.</w:t>
        <w:tab/>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management, with the participation of our chief executive officer, our chief financial officer, and our principal accounting officer, evaluated the effectiveness of our disclosure controls and procedures (as defined in Rules 13a–15(e) and 15d–15(e) of the Exchange Act) as of the end of the period covered by this Annual Report on Form 10–K.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judgement in evaluating the cost-benefit relationship of possible controls and procedures. Based on this evaluation, our chief executive officer, chief financial officer and our principal accounting officer concluded that our disclosure controls and procedures were effective as of the end of the period covered by this report.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such term is defined in Exchange Act Rules 13a-15(f). Pacific Biosciences of California, Inc’s internal control over financial reporting is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Management assessed the effectiveness of the Company’s internal control over financial reporting as of December 31, 2023. In making this assessment, management used the criteria set forth by the Committee of Sponsoring Organizations of the Treadway Commission (2013 framework) (the COSO criteria). Based on our assessment, we concluded that, as of December 31, 2023, the Company’s internal control over financial reporting was effective based on those criteria.</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The Company’s internal control over financial reporting as of December 31, 2023 has been audited by Ernst &amp; Young LLP, the independent registered public accounting firm who also audited the Company’s financial statements. Ernst &amp; Young’s attestation report on the Company’s internal control over financial reporting appears on page </w:t>
      </w:r>
      <w:r>
        <w:rPr>
          <w:rFonts w:ascii="Arial" w:cs="Arial" w:eastAsia="Arial" w:hAnsi="Arial"/>
          <w:sz w:val="14"/>
          <w:szCs w:val="14"/>
          <w:u w:val="single" w:color="auto"/>
          <w:color w:val="0070C0"/>
        </w:rPr>
        <w:t>112</w:t>
      </w:r>
      <w:r>
        <w:rPr>
          <w:rFonts w:ascii="Arial" w:cs="Arial" w:eastAsia="Arial" w:hAnsi="Arial"/>
          <w:sz w:val="14"/>
          <w:szCs w:val="14"/>
          <w:color w:val="auto"/>
        </w:rPr>
        <w:t xml:space="preserve"> hereof.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There were no material changes in our internal control over financial reporting identified in connection with the evaluation required by Rule 13a-15(d) and 15d-15(d) of the Exchange Act that occurred during the year ended December 31, 2023, that have materially affected, or were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3680" w:firstLine="3687"/>
        <w:spacing w:after="0" w:line="379" w:lineRule="auto"/>
        <w:rPr>
          <w:sz w:val="20"/>
          <w:szCs w:val="20"/>
          <w:color w:val="auto"/>
        </w:rPr>
      </w:pPr>
      <w:r>
        <w:rPr>
          <w:rFonts w:ascii="Arial" w:cs="Arial" w:eastAsia="Arial" w:hAnsi="Arial"/>
          <w:sz w:val="14"/>
          <w:szCs w:val="14"/>
          <w:b w:val="1"/>
          <w:bCs w:val="1"/>
          <w:color w:val="auto"/>
        </w:rPr>
        <w:t xml:space="preserve">Report of Independent Registered Public Accounting Firm </w:t>
      </w:r>
      <w:r>
        <w:rPr>
          <w:rFonts w:ascii="Arial" w:cs="Arial" w:eastAsia="Arial" w:hAnsi="Arial"/>
          <w:sz w:val="14"/>
          <w:szCs w:val="14"/>
          <w:color w:val="auto"/>
        </w:rPr>
        <w:t xml:space="preserve">To the Stockholders and the Board of Directors of Pacific Biosciences of California, Inc. </w:t>
      </w:r>
      <w:r>
        <w:rPr>
          <w:rFonts w:ascii="Arial" w:cs="Arial" w:eastAsia="Arial" w:hAnsi="Arial"/>
          <w:sz w:val="14"/>
          <w:szCs w:val="14"/>
          <w:b w:val="1"/>
          <w:bCs w:val="1"/>
          <w:color w:val="auto"/>
        </w:rPr>
        <w:t>Opinion on Internal Control over Financial Reporting</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have audited Pacific Biosciences of California, Inc.’s internal control over financial reporting as of December 31, 2023, based on criteria established in Internal Control— Integrated Framework issued by the Committee of Sponsoring Organizations of the Treadway Commission (2013 framework) (the COSO criteria). In our opinion, Pacific Biosciences of California, Inc. (the Company) maintained, in all material respects, effective internal control over financial reporting as of December 31, 2023, based on the COSO criteria.</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2023 consolidated financial statements of the Company and our report dated February 28, 2024, expressed an unqualified opinion thereon.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jc w:val="both"/>
        <w:ind w:firstLine="5"/>
        <w:spacing w:after="0" w:line="258" w:lineRule="auto"/>
        <w:tabs>
          <w:tab w:leader="none" w:pos="2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28, 2024</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9B.</w:t>
        <w:tab/>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Securities Trading Plans of Directors and Executive Officers.</w:t>
      </w:r>
    </w:p>
    <w:p>
      <w:pPr>
        <w:spacing w:after="0" w:line="92"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During our last fiscal quarter, no director or officer, as defined in Rule 16a-1(f), adopted or terminated a “Rule 10b5-1 trading arrangement” or a “non-Rule 10b5-1 trading arrangement,” each as defined in Item 408 of Regulation S-K.</w:t>
      </w:r>
    </w:p>
    <w:p>
      <w:pPr>
        <w:spacing w:after="0" w:line="35" w:lineRule="exact"/>
        <w:rPr>
          <w:sz w:val="20"/>
          <w:szCs w:val="20"/>
          <w:color w:val="auto"/>
        </w:rPr>
      </w:pPr>
    </w:p>
    <w:p>
      <w:pPr>
        <w:ind w:right="4760"/>
        <w:spacing w:after="0" w:line="379" w:lineRule="auto"/>
        <w:rPr>
          <w:sz w:val="20"/>
          <w:szCs w:val="20"/>
          <w:color w:val="auto"/>
        </w:rPr>
      </w:pPr>
      <w:r>
        <w:rPr>
          <w:rFonts w:ascii="Arial" w:cs="Arial" w:eastAsia="Arial" w:hAnsi="Arial"/>
          <w:sz w:val="14"/>
          <w:szCs w:val="14"/>
          <w:b w:val="1"/>
          <w:bCs w:val="1"/>
          <w:color w:val="auto"/>
        </w:rPr>
        <w:t xml:space="preserve">ITEM 9C. DISCLOSURE REGARDING FOREIGN JURISDICTIONS THAT PREVENT INSPECTIONS </w:t>
      </w:r>
      <w:r>
        <w:rPr>
          <w:rFonts w:ascii="Arial" w:cs="Arial" w:eastAsia="Arial" w:hAnsi="Arial"/>
          <w:sz w:val="14"/>
          <w:szCs w:val="14"/>
          <w:color w:val="auto"/>
        </w:rPr>
        <w:t>Not applicable.</w:t>
      </w:r>
    </w:p>
    <w:p>
      <w:pPr>
        <w:spacing w:after="0" w:line="1"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PART III</w:t>
      </w:r>
    </w:p>
    <w:p>
      <w:pPr>
        <w:spacing w:after="0" w:line="94"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10.</w:t>
        <w:tab/>
        <w:t>DIRECTORS, EXECUTIVE OFFICERS AND CORPORATE GOVERNANCE</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Information responsive to this item is incorporated herein by reference to our definitive proxy statement with respect to our 2024 Annual Meeting of Stockholders to be filed with the SEC within 120 days after the end of the fiscal year covered by this Annual Report on Form 10-K.</w:t>
      </w:r>
    </w:p>
    <w:p>
      <w:pPr>
        <w:spacing w:after="0" w:line="35"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11.</w:t>
        <w:tab/>
        <w:t>EXECUTIVE COMPENSATION</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Information responsive to this item is incorporated herein by reference to our definitive proxy statement with respect to our 2024 Annual Meeting of Stockholder to be filed with the SEC within 120 days after the end of the fiscal year covered by this Annual Report on Form 10-K.</w:t>
      </w:r>
    </w:p>
    <w:p>
      <w:pPr>
        <w:spacing w:after="0" w:line="35"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12.</w:t>
        <w:tab/>
        <w:t>SECURITY OWNERSHIP OF CERTAIN BENEFICIAL OWNERS AND MANAGEMENT AND RELATED STOCKHOLDER MATTERS</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Information responsive to this item is incorporated herein by reference to our definitive proxy statement with respect to our 2024 Annual Meeting of Stockholders to be filed with the SEC within 120 days after the end of the fiscal year covered by this Annual Report on Form 10-K.</w:t>
      </w:r>
    </w:p>
    <w:p>
      <w:pPr>
        <w:spacing w:after="0" w:line="35"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13.</w:t>
        <w:tab/>
        <w:t>CERTAIN RELATIONSHIPS AND RELATED TRANSACTIONS, AND DIRECTOR INDEPENDENCE</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Information responsive to this item is incorporated herein by reference to our definitive proxy statement with respect to our 2024 Annual Meeting of Stockholders to be filed with the SEC within 120 days after the end of the fiscal year covered by this Annual Report on Form 10-K.</w:t>
      </w:r>
    </w:p>
    <w:p>
      <w:pPr>
        <w:spacing w:after="0" w:line="35"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14.</w:t>
        <w:tab/>
        <w:t>PRINCIPAL ACCOUNTANT FEES AND SERVICES</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Information responsive to this item is incorporated herein by reference to our definitive proxy statement with respect to our 2024 Annual Meeting of Stockholders to be filed with the SEC within 120 days after the end of the fiscal year covered by this Annual Report on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94"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15.</w:t>
        <w:tab/>
        <w:t>EXHIBITS, FINANCIAL STATEMENT SCHEDULES.</w:t>
      </w:r>
    </w:p>
    <w:p>
      <w:pPr>
        <w:spacing w:after="0" w:line="94" w:lineRule="exact"/>
        <w:rPr>
          <w:sz w:val="20"/>
          <w:szCs w:val="20"/>
          <w:color w:val="auto"/>
        </w:rPr>
      </w:pPr>
    </w:p>
    <w:p>
      <w:pPr>
        <w:ind w:left="1020" w:hanging="379"/>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following documents are filed as part of, or incorporated by reference into, this Annual Report on Form 10-K:</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1"/>
          <w:numId w:val="42"/>
        </w:numPr>
        <w:rPr>
          <w:rFonts w:ascii="Arial" w:cs="Arial" w:eastAsia="Arial" w:hAnsi="Arial"/>
          <w:sz w:val="14"/>
          <w:szCs w:val="14"/>
          <w:color w:val="auto"/>
        </w:rPr>
      </w:pPr>
      <w:r>
        <w:rPr>
          <w:rFonts w:ascii="Arial" w:cs="Arial" w:eastAsia="Arial" w:hAnsi="Arial"/>
          <w:sz w:val="14"/>
          <w:szCs w:val="14"/>
          <w:i w:val="1"/>
          <w:iCs w:val="1"/>
          <w:color w:val="auto"/>
        </w:rPr>
        <w:t>Financial Statements</w:t>
      </w:r>
      <w:r>
        <w:rPr>
          <w:rFonts w:ascii="Arial" w:cs="Arial" w:eastAsia="Arial" w:hAnsi="Arial"/>
          <w:sz w:val="14"/>
          <w:szCs w:val="14"/>
          <w:color w:val="auto"/>
        </w:rPr>
        <w:t>: See Index to Consolidated Financial Statements under Item 8 of this Annual Report on Form 10-K.</w:t>
      </w:r>
    </w:p>
    <w:p>
      <w:pPr>
        <w:spacing w:after="0" w:line="93" w:lineRule="exact"/>
        <w:rPr>
          <w:rFonts w:ascii="Arial" w:cs="Arial" w:eastAsia="Arial" w:hAnsi="Arial"/>
          <w:sz w:val="14"/>
          <w:szCs w:val="14"/>
          <w:color w:val="auto"/>
        </w:rPr>
      </w:pPr>
    </w:p>
    <w:p>
      <w:pPr>
        <w:ind w:left="1280" w:hanging="257"/>
        <w:spacing w:after="0" w:line="290" w:lineRule="auto"/>
        <w:tabs>
          <w:tab w:leader="none" w:pos="1281" w:val="left"/>
        </w:tabs>
        <w:numPr>
          <w:ilvl w:val="1"/>
          <w:numId w:val="42"/>
        </w:numPr>
        <w:rPr>
          <w:rFonts w:ascii="Arial" w:cs="Arial" w:eastAsia="Arial" w:hAnsi="Arial"/>
          <w:sz w:val="14"/>
          <w:szCs w:val="14"/>
          <w:color w:val="auto"/>
        </w:rPr>
      </w:pPr>
      <w:r>
        <w:rPr>
          <w:rFonts w:ascii="Arial" w:cs="Arial" w:eastAsia="Arial" w:hAnsi="Arial"/>
          <w:sz w:val="14"/>
          <w:szCs w:val="14"/>
          <w:i w:val="1"/>
          <w:iCs w:val="1"/>
          <w:color w:val="auto"/>
        </w:rPr>
        <w:t>Financial Statement Schedules</w:t>
      </w:r>
      <w:r>
        <w:rPr>
          <w:rFonts w:ascii="Arial" w:cs="Arial" w:eastAsia="Arial" w:hAnsi="Arial"/>
          <w:sz w:val="14"/>
          <w:szCs w:val="14"/>
          <w:color w:val="auto"/>
        </w:rPr>
        <w:t>: All schedules are omitted because they are not required, are not applicable or the information is included in the consolidated</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statements or notes thereto.</w:t>
      </w:r>
    </w:p>
    <w:p>
      <w:pPr>
        <w:spacing w:after="0" w:line="35" w:lineRule="exact"/>
        <w:rPr>
          <w:rFonts w:ascii="Arial" w:cs="Arial" w:eastAsia="Arial" w:hAnsi="Arial"/>
          <w:sz w:val="14"/>
          <w:szCs w:val="14"/>
          <w:color w:val="auto"/>
        </w:rPr>
      </w:pPr>
    </w:p>
    <w:p>
      <w:pPr>
        <w:ind w:left="1280" w:hanging="257"/>
        <w:spacing w:after="0" w:line="290" w:lineRule="auto"/>
        <w:tabs>
          <w:tab w:leader="none" w:pos="1281" w:val="left"/>
        </w:tabs>
        <w:numPr>
          <w:ilvl w:val="1"/>
          <w:numId w:val="42"/>
        </w:numPr>
        <w:rPr>
          <w:rFonts w:ascii="Arial" w:cs="Arial" w:eastAsia="Arial" w:hAnsi="Arial"/>
          <w:sz w:val="14"/>
          <w:szCs w:val="14"/>
          <w:color w:val="auto"/>
        </w:rPr>
      </w:pPr>
      <w:r>
        <w:rPr>
          <w:rFonts w:ascii="Arial" w:cs="Arial" w:eastAsia="Arial" w:hAnsi="Arial"/>
          <w:sz w:val="14"/>
          <w:szCs w:val="14"/>
          <w:i w:val="1"/>
          <w:iCs w:val="1"/>
          <w:color w:val="auto"/>
        </w:rPr>
        <w:t>Exhibits</w:t>
      </w:r>
      <w:r>
        <w:rPr>
          <w:rFonts w:ascii="Arial" w:cs="Arial" w:eastAsia="Arial" w:hAnsi="Arial"/>
          <w:sz w:val="14"/>
          <w:szCs w:val="14"/>
          <w:color w:val="auto"/>
        </w:rPr>
        <w:t>: We have filed or incorporated by reference into this Annual Report on Form 10-K, the exhibits listed on the accompanying Exhibit Index immediately</w:t>
      </w:r>
      <w:r>
        <w:rPr>
          <w:rFonts w:ascii="Arial" w:cs="Arial" w:eastAsia="Arial" w:hAnsi="Arial"/>
          <w:sz w:val="14"/>
          <w:szCs w:val="14"/>
          <w:i w:val="1"/>
          <w:iCs w:val="1"/>
          <w:color w:val="auto"/>
        </w:rPr>
        <w:t xml:space="preserve"> </w:t>
      </w:r>
      <w:r>
        <w:rPr>
          <w:rFonts w:ascii="Arial" w:cs="Arial" w:eastAsia="Arial" w:hAnsi="Arial"/>
          <w:sz w:val="14"/>
          <w:szCs w:val="14"/>
          <w:color w:val="auto"/>
        </w:rPr>
        <w:t>below.</w:t>
      </w:r>
    </w:p>
    <w:p>
      <w:pPr>
        <w:spacing w:after="0" w:line="35" w:lineRule="exact"/>
        <w:rPr>
          <w:rFonts w:ascii="Arial" w:cs="Arial" w:eastAsia="Arial" w:hAnsi="Arial"/>
          <w:sz w:val="14"/>
          <w:szCs w:val="14"/>
          <w:color w:val="auto"/>
        </w:rPr>
      </w:pPr>
    </w:p>
    <w:p>
      <w:pPr>
        <w:ind w:left="1020" w:hanging="379"/>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Financial Statement Schedules: See Item 15(a)(2), above.</w:t>
      </w:r>
    </w:p>
    <w:p>
      <w:pPr>
        <w:spacing w:after="0" w:line="93" w:lineRule="exact"/>
        <w:rPr>
          <w:rFonts w:ascii="Arial" w:cs="Arial" w:eastAsia="Arial" w:hAnsi="Arial"/>
          <w:sz w:val="14"/>
          <w:szCs w:val="14"/>
          <w:color w:val="auto"/>
        </w:rPr>
      </w:pPr>
    </w:p>
    <w:p>
      <w:pPr>
        <w:ind w:left="1000" w:hanging="359"/>
        <w:spacing w:after="0"/>
        <w:tabs>
          <w:tab w:leader="none" w:pos="1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Exhibits: Refer to the </w:t>
      </w:r>
      <w:r>
        <w:rPr>
          <w:rFonts w:ascii="Arial" w:cs="Arial" w:eastAsia="Arial" w:hAnsi="Arial"/>
          <w:sz w:val="14"/>
          <w:szCs w:val="14"/>
          <w:u w:val="single" w:color="auto"/>
          <w:color w:val="0000FF"/>
        </w:rPr>
        <w:t>Exhibit Index</w:t>
      </w:r>
      <w:r>
        <w:rPr>
          <w:rFonts w:ascii="Arial" w:cs="Arial" w:eastAsia="Arial" w:hAnsi="Arial"/>
          <w:sz w:val="14"/>
          <w:szCs w:val="14"/>
          <w:color w:val="auto"/>
        </w:rPr>
        <w:t xml:space="preserve"> that follows.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Exhibit Index</w:t>
      </w:r>
    </w:p>
    <w:p>
      <w:pPr>
        <w:spacing w:after="0" w:line="130"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080" w:type="dxa"/>
            <w:vAlign w:val="bottom"/>
            <w:vMerge w:val="restart"/>
          </w:tcPr>
          <w:p>
            <w:pPr>
              <w:jc w:val="center"/>
              <w:ind w:right="1556"/>
              <w:spacing w:after="0"/>
              <w:rPr>
                <w:sz w:val="20"/>
                <w:szCs w:val="20"/>
                <w:color w:val="auto"/>
              </w:rPr>
            </w:pPr>
            <w:r>
              <w:rPr>
                <w:rFonts w:ascii="Arial" w:cs="Arial" w:eastAsia="Arial" w:hAnsi="Arial"/>
                <w:sz w:val="13"/>
                <w:szCs w:val="13"/>
                <w:b w:val="1"/>
                <w:bCs w:val="1"/>
                <w:color w:val="auto"/>
                <w:w w:val="96"/>
              </w:rPr>
              <w:t>Exhibit</w:t>
            </w:r>
          </w:p>
        </w:tc>
        <w:tc>
          <w:tcPr>
            <w:tcW w:w="5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Incorporated by reference herein</w:t>
            </w:r>
          </w:p>
        </w:tc>
        <w:tc>
          <w:tcPr>
            <w:tcW w:w="0" w:type="dxa"/>
            <w:vAlign w:val="bottom"/>
          </w:tcPr>
          <w:p>
            <w:pPr>
              <w:spacing w:after="0"/>
              <w:rPr>
                <w:sz w:val="1"/>
                <w:szCs w:val="1"/>
                <w:color w:val="auto"/>
              </w:rPr>
            </w:pPr>
          </w:p>
        </w:tc>
      </w:tr>
      <w:tr>
        <w:trPr>
          <w:trHeight w:val="107"/>
        </w:trPr>
        <w:tc>
          <w:tcPr>
            <w:tcW w:w="2080" w:type="dxa"/>
            <w:vAlign w:val="bottom"/>
            <w:vMerge w:val="continue"/>
          </w:tcPr>
          <w:p>
            <w:pPr>
              <w:spacing w:after="0"/>
              <w:rPr>
                <w:sz w:val="9"/>
                <w:szCs w:val="9"/>
                <w:color w:val="auto"/>
              </w:rPr>
            </w:pPr>
          </w:p>
        </w:tc>
        <w:tc>
          <w:tcPr>
            <w:tcW w:w="5280" w:type="dxa"/>
            <w:vAlign w:val="bottom"/>
            <w:vMerge w:val="restart"/>
          </w:tcPr>
          <w:p>
            <w:pPr>
              <w:ind w:left="1620"/>
              <w:spacing w:after="0"/>
              <w:rPr>
                <w:sz w:val="20"/>
                <w:szCs w:val="20"/>
                <w:color w:val="auto"/>
              </w:rPr>
            </w:pPr>
            <w:r>
              <w:rPr>
                <w:rFonts w:ascii="Arial" w:cs="Arial" w:eastAsia="Arial" w:hAnsi="Arial"/>
                <w:sz w:val="13"/>
                <w:szCs w:val="13"/>
                <w:b w:val="1"/>
                <w:bCs w:val="1"/>
                <w:color w:val="auto"/>
              </w:rPr>
              <w:t>Description</w:t>
            </w:r>
          </w:p>
        </w:tc>
        <w:tc>
          <w:tcPr>
            <w:tcW w:w="72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Form</w:t>
            </w:r>
          </w:p>
        </w:tc>
        <w:tc>
          <w:tcPr>
            <w:tcW w:w="132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Exhibit No.</w:t>
            </w:r>
          </w:p>
        </w:tc>
        <w:tc>
          <w:tcPr>
            <w:tcW w:w="160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73"/>
        </w:trPr>
        <w:tc>
          <w:tcPr>
            <w:tcW w:w="2080" w:type="dxa"/>
            <w:vAlign w:val="bottom"/>
          </w:tcPr>
          <w:p>
            <w:pPr>
              <w:jc w:val="center"/>
              <w:ind w:right="1536"/>
              <w:spacing w:after="0"/>
              <w:rPr>
                <w:sz w:val="20"/>
                <w:szCs w:val="20"/>
                <w:color w:val="auto"/>
              </w:rPr>
            </w:pPr>
            <w:r>
              <w:rPr>
                <w:rFonts w:ascii="Arial" w:cs="Arial" w:eastAsia="Arial" w:hAnsi="Arial"/>
                <w:sz w:val="13"/>
                <w:szCs w:val="13"/>
                <w:b w:val="1"/>
                <w:bCs w:val="1"/>
                <w:color w:val="auto"/>
                <w:w w:val="97"/>
              </w:rPr>
              <w:t>Number</w:t>
            </w:r>
          </w:p>
        </w:tc>
        <w:tc>
          <w:tcPr>
            <w:tcW w:w="52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61530" cy="1212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7" w:lineRule="exact"/>
        <w:rPr>
          <w:sz w:val="20"/>
          <w:szCs w:val="20"/>
          <w:color w:val="auto"/>
        </w:rPr>
      </w:pPr>
    </w:p>
    <w:p>
      <w:pPr>
        <w:ind w:left="20"/>
        <w:spacing w:after="0"/>
        <w:rPr>
          <w:sz w:val="20"/>
          <w:szCs w:val="20"/>
          <w:color w:val="auto"/>
        </w:rPr>
      </w:pPr>
      <w:r>
        <w:rPr>
          <w:rFonts w:ascii="Arial" w:cs="Arial" w:eastAsia="Arial" w:hAnsi="Arial"/>
          <w:sz w:val="13"/>
          <w:szCs w:val="13"/>
          <w:color w:val="auto"/>
        </w:rPr>
        <w:t>3.1</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3.2</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4.1</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4.2</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4.3</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4.4</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4.5</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4.6</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10.2+</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10.3+</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10.4+</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10.5+</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10.6+</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10.7+</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10.8+</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10.9+</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10.10+</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10.11+</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10.12+</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10.13+</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10.14+</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10.15+</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10.16+</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10.17+</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10.18†</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10.19</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10.20††</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Borders>
              <w:bottom w:val="single" w:sz="8" w:color="0000FF"/>
            </w:tcBorders>
            <w:gridSpan w:val="16"/>
          </w:tcPr>
          <w:p>
            <w:pPr>
              <w:spacing w:after="0"/>
              <w:rPr>
                <w:rFonts w:ascii="Arial" w:cs="Arial" w:eastAsia="Arial" w:hAnsi="Arial"/>
                <w:sz w:val="13"/>
                <w:szCs w:val="13"/>
                <w:color w:val="0000FF"/>
                <w:w w:val="97"/>
              </w:rPr>
            </w:pPr>
            <w:hyperlink r:id="rId155">
              <w:r>
                <w:rPr>
                  <w:rFonts w:ascii="Arial" w:cs="Arial" w:eastAsia="Arial" w:hAnsi="Arial"/>
                  <w:sz w:val="13"/>
                  <w:szCs w:val="13"/>
                  <w:color w:val="0000FF"/>
                  <w:w w:val="97"/>
                </w:rPr>
                <w:t>Amended and Restated Certificate of Incorporation</w:t>
              </w:r>
            </w:hyperlink>
          </w:p>
        </w:tc>
        <w:tc>
          <w:tcPr>
            <w:tcW w:w="3680" w:type="dxa"/>
            <w:vAlign w:val="bottom"/>
            <w:gridSpan w:val="19"/>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4"/>
              </w:rPr>
              <w:t>10-K</w:t>
            </w:r>
          </w:p>
        </w:tc>
        <w:tc>
          <w:tcPr>
            <w:tcW w:w="760" w:type="dxa"/>
            <w:vAlign w:val="bottom"/>
          </w:tcPr>
          <w:p>
            <w:pPr>
              <w:jc w:val="center"/>
              <w:ind w:left="76"/>
              <w:spacing w:after="0"/>
              <w:rPr>
                <w:sz w:val="20"/>
                <w:szCs w:val="20"/>
                <w:color w:val="auto"/>
              </w:rPr>
            </w:pPr>
            <w:r>
              <w:rPr>
                <w:rFonts w:ascii="Arial" w:cs="Arial" w:eastAsia="Arial" w:hAnsi="Arial"/>
                <w:sz w:val="13"/>
                <w:szCs w:val="13"/>
                <w:color w:val="auto"/>
                <w:w w:val="99"/>
              </w:rPr>
              <w:t>3.1</w:t>
            </w:r>
          </w:p>
        </w:tc>
        <w:tc>
          <w:tcPr>
            <w:tcW w:w="1280" w:type="dxa"/>
            <w:vAlign w:val="bottom"/>
          </w:tcPr>
          <w:p>
            <w:pPr>
              <w:ind w:left="160"/>
              <w:spacing w:after="0"/>
              <w:rPr>
                <w:sz w:val="20"/>
                <w:szCs w:val="20"/>
                <w:color w:val="auto"/>
              </w:rPr>
            </w:pPr>
            <w:r>
              <w:rPr>
                <w:rFonts w:ascii="Arial" w:cs="Arial" w:eastAsia="Arial" w:hAnsi="Arial"/>
                <w:sz w:val="13"/>
                <w:szCs w:val="13"/>
                <w:color w:val="auto"/>
              </w:rPr>
              <w:t>March 23, 2011</w:t>
            </w:r>
          </w:p>
        </w:tc>
        <w:tc>
          <w:tcPr>
            <w:tcW w:w="0" w:type="dxa"/>
            <w:vAlign w:val="bottom"/>
          </w:tcPr>
          <w:p>
            <w:pPr>
              <w:spacing w:after="0"/>
              <w:rPr>
                <w:sz w:val="1"/>
                <w:szCs w:val="1"/>
                <w:color w:val="auto"/>
              </w:rPr>
            </w:pPr>
          </w:p>
        </w:tc>
      </w:tr>
      <w:tr>
        <w:trPr>
          <w:trHeight w:val="160"/>
        </w:trPr>
        <w:tc>
          <w:tcPr>
            <w:tcW w:w="4360" w:type="dxa"/>
            <w:vAlign w:val="bottom"/>
            <w:tcBorders>
              <w:bottom w:val="single" w:sz="8" w:color="0000FF"/>
            </w:tcBorders>
            <w:gridSpan w:val="21"/>
          </w:tcPr>
          <w:p>
            <w:pPr>
              <w:spacing w:after="0"/>
              <w:rPr>
                <w:rFonts w:ascii="Arial" w:cs="Arial" w:eastAsia="Arial" w:hAnsi="Arial"/>
                <w:sz w:val="13"/>
                <w:szCs w:val="13"/>
                <w:color w:val="0000FF"/>
                <w:w w:val="97"/>
              </w:rPr>
            </w:pPr>
            <w:hyperlink r:id="rId156">
              <w:r>
                <w:rPr>
                  <w:rFonts w:ascii="Arial" w:cs="Arial" w:eastAsia="Arial" w:hAnsi="Arial"/>
                  <w:sz w:val="13"/>
                  <w:szCs w:val="13"/>
                  <w:color w:val="0000FF"/>
                  <w:w w:val="97"/>
                </w:rPr>
                <w:t>Third Amended and Restated Bylaws of Pacific Biosciences of California, Inc.</w:t>
              </w:r>
            </w:hyperlink>
          </w:p>
        </w:tc>
        <w:tc>
          <w:tcPr>
            <w:tcW w:w="2200" w:type="dxa"/>
            <w:vAlign w:val="bottom"/>
            <w:gridSpan w:val="14"/>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760" w:type="dxa"/>
            <w:vAlign w:val="bottom"/>
          </w:tcPr>
          <w:p>
            <w:pPr>
              <w:jc w:val="center"/>
              <w:ind w:left="76"/>
              <w:spacing w:after="0"/>
              <w:rPr>
                <w:sz w:val="20"/>
                <w:szCs w:val="20"/>
                <w:color w:val="auto"/>
              </w:rPr>
            </w:pPr>
            <w:r>
              <w:rPr>
                <w:rFonts w:ascii="Arial" w:cs="Arial" w:eastAsia="Arial" w:hAnsi="Arial"/>
                <w:sz w:val="13"/>
                <w:szCs w:val="13"/>
                <w:color w:val="auto"/>
                <w:w w:val="99"/>
              </w:rPr>
              <w:t>3.1</w:t>
            </w:r>
          </w:p>
        </w:tc>
        <w:tc>
          <w:tcPr>
            <w:tcW w:w="1280" w:type="dxa"/>
            <w:vAlign w:val="bottom"/>
          </w:tcPr>
          <w:p>
            <w:pPr>
              <w:ind w:left="160"/>
              <w:spacing w:after="0"/>
              <w:rPr>
                <w:sz w:val="20"/>
                <w:szCs w:val="20"/>
                <w:color w:val="auto"/>
              </w:rPr>
            </w:pPr>
            <w:r>
              <w:rPr>
                <w:rFonts w:ascii="Arial" w:cs="Arial" w:eastAsia="Arial" w:hAnsi="Arial"/>
                <w:sz w:val="13"/>
                <w:szCs w:val="13"/>
                <w:color w:val="auto"/>
              </w:rPr>
              <w:t>November 7, 2022</w:t>
            </w:r>
          </w:p>
        </w:tc>
        <w:tc>
          <w:tcPr>
            <w:tcW w:w="0" w:type="dxa"/>
            <w:vAlign w:val="bottom"/>
          </w:tcPr>
          <w:p>
            <w:pPr>
              <w:spacing w:after="0"/>
              <w:rPr>
                <w:sz w:val="1"/>
                <w:szCs w:val="1"/>
                <w:color w:val="auto"/>
              </w:rPr>
            </w:pPr>
          </w:p>
        </w:tc>
      </w:tr>
      <w:tr>
        <w:trPr>
          <w:trHeight w:val="160"/>
        </w:trPr>
        <w:tc>
          <w:tcPr>
            <w:tcW w:w="2080" w:type="dxa"/>
            <w:vAlign w:val="bottom"/>
            <w:tcBorders>
              <w:bottom w:val="single" w:sz="8" w:color="0000FF"/>
            </w:tcBorders>
            <w:gridSpan w:val="10"/>
          </w:tcPr>
          <w:p>
            <w:pPr>
              <w:spacing w:after="0"/>
              <w:rPr>
                <w:rFonts w:ascii="Arial" w:cs="Arial" w:eastAsia="Arial" w:hAnsi="Arial"/>
                <w:sz w:val="13"/>
                <w:szCs w:val="13"/>
                <w:color w:val="0000FF"/>
                <w:w w:val="96"/>
              </w:rPr>
            </w:pPr>
            <w:hyperlink r:id="rId157">
              <w:r>
                <w:rPr>
                  <w:rFonts w:ascii="Arial" w:cs="Arial" w:eastAsia="Arial" w:hAnsi="Arial"/>
                  <w:sz w:val="13"/>
                  <w:szCs w:val="13"/>
                  <w:color w:val="0000FF"/>
                  <w:w w:val="96"/>
                </w:rPr>
                <w:t>Specimen Common Stock Certificate</w:t>
              </w:r>
            </w:hyperlink>
          </w:p>
        </w:tc>
        <w:tc>
          <w:tcPr>
            <w:tcW w:w="4480" w:type="dxa"/>
            <w:vAlign w:val="bottom"/>
            <w:gridSpan w:val="25"/>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S-1/A</w:t>
            </w:r>
          </w:p>
        </w:tc>
        <w:tc>
          <w:tcPr>
            <w:tcW w:w="760" w:type="dxa"/>
            <w:vAlign w:val="bottom"/>
          </w:tcPr>
          <w:p>
            <w:pPr>
              <w:jc w:val="center"/>
              <w:ind w:left="76"/>
              <w:spacing w:after="0"/>
              <w:rPr>
                <w:sz w:val="20"/>
                <w:szCs w:val="20"/>
                <w:color w:val="auto"/>
              </w:rPr>
            </w:pPr>
            <w:r>
              <w:rPr>
                <w:rFonts w:ascii="Arial" w:cs="Arial" w:eastAsia="Arial" w:hAnsi="Arial"/>
                <w:sz w:val="13"/>
                <w:szCs w:val="13"/>
                <w:color w:val="auto"/>
                <w:w w:val="99"/>
              </w:rPr>
              <w:t>4.1</w:t>
            </w:r>
          </w:p>
        </w:tc>
        <w:tc>
          <w:tcPr>
            <w:tcW w:w="1280" w:type="dxa"/>
            <w:vAlign w:val="bottom"/>
          </w:tcPr>
          <w:p>
            <w:pPr>
              <w:ind w:left="160"/>
              <w:spacing w:after="0"/>
              <w:rPr>
                <w:sz w:val="20"/>
                <w:szCs w:val="20"/>
                <w:color w:val="auto"/>
              </w:rPr>
            </w:pPr>
            <w:r>
              <w:rPr>
                <w:rFonts w:ascii="Arial" w:cs="Arial" w:eastAsia="Arial" w:hAnsi="Arial"/>
                <w:sz w:val="13"/>
                <w:szCs w:val="13"/>
                <w:color w:val="auto"/>
              </w:rPr>
              <w:t>October 1, 2010</w:t>
            </w:r>
          </w:p>
        </w:tc>
        <w:tc>
          <w:tcPr>
            <w:tcW w:w="0" w:type="dxa"/>
            <w:vAlign w:val="bottom"/>
          </w:tcPr>
          <w:p>
            <w:pPr>
              <w:spacing w:after="0"/>
              <w:rPr>
                <w:sz w:val="1"/>
                <w:szCs w:val="1"/>
                <w:color w:val="auto"/>
              </w:rPr>
            </w:pPr>
          </w:p>
        </w:tc>
      </w:tr>
      <w:tr>
        <w:trPr>
          <w:trHeight w:val="160"/>
        </w:trPr>
        <w:tc>
          <w:tcPr>
            <w:tcW w:w="6560" w:type="dxa"/>
            <w:vAlign w:val="bottom"/>
            <w:gridSpan w:val="35"/>
          </w:tcPr>
          <w:p>
            <w:pPr>
              <w:spacing w:after="0"/>
              <w:rPr>
                <w:rFonts w:ascii="Arial" w:cs="Arial" w:eastAsia="Arial" w:hAnsi="Arial"/>
                <w:sz w:val="13"/>
                <w:szCs w:val="13"/>
                <w:color w:val="0000FF"/>
              </w:rPr>
            </w:pPr>
            <w:hyperlink r:id="rId158">
              <w:r>
                <w:rPr>
                  <w:rFonts w:ascii="Arial" w:cs="Arial" w:eastAsia="Arial" w:hAnsi="Arial"/>
                  <w:sz w:val="13"/>
                  <w:szCs w:val="13"/>
                  <w:color w:val="0000FF"/>
                </w:rPr>
                <w:t>Description of Registrant’s securities registered under Section 12 of the Exchange Act</w:t>
              </w:r>
            </w:hyperlink>
          </w:p>
        </w:tc>
        <w:tc>
          <w:tcPr>
            <w:tcW w:w="940" w:type="dxa"/>
            <w:vAlign w:val="bottom"/>
          </w:tcPr>
          <w:p>
            <w:pPr>
              <w:jc w:val="center"/>
              <w:spacing w:after="0"/>
              <w:rPr>
                <w:sz w:val="20"/>
                <w:szCs w:val="20"/>
                <w:color w:val="auto"/>
              </w:rPr>
            </w:pPr>
            <w:r>
              <w:rPr>
                <w:rFonts w:ascii="Arial" w:cs="Arial" w:eastAsia="Arial" w:hAnsi="Arial"/>
                <w:sz w:val="13"/>
                <w:szCs w:val="13"/>
                <w:color w:val="auto"/>
                <w:w w:val="94"/>
              </w:rPr>
              <w:t>10-K</w:t>
            </w:r>
          </w:p>
        </w:tc>
        <w:tc>
          <w:tcPr>
            <w:tcW w:w="760" w:type="dxa"/>
            <w:vAlign w:val="bottom"/>
          </w:tcPr>
          <w:p>
            <w:pPr>
              <w:jc w:val="center"/>
              <w:ind w:left="76"/>
              <w:spacing w:after="0"/>
              <w:rPr>
                <w:sz w:val="20"/>
                <w:szCs w:val="20"/>
                <w:color w:val="auto"/>
              </w:rPr>
            </w:pPr>
            <w:r>
              <w:rPr>
                <w:rFonts w:ascii="Arial" w:cs="Arial" w:eastAsia="Arial" w:hAnsi="Arial"/>
                <w:sz w:val="13"/>
                <w:szCs w:val="13"/>
                <w:color w:val="auto"/>
                <w:w w:val="99"/>
              </w:rPr>
              <w:t>4.2</w:t>
            </w:r>
          </w:p>
        </w:tc>
        <w:tc>
          <w:tcPr>
            <w:tcW w:w="1280" w:type="dxa"/>
            <w:vAlign w:val="bottom"/>
          </w:tcPr>
          <w:p>
            <w:pPr>
              <w:ind w:left="160"/>
              <w:spacing w:after="0"/>
              <w:rPr>
                <w:sz w:val="20"/>
                <w:szCs w:val="20"/>
                <w:color w:val="auto"/>
              </w:rPr>
            </w:pPr>
            <w:r>
              <w:rPr>
                <w:rFonts w:ascii="Arial" w:cs="Arial" w:eastAsia="Arial" w:hAnsi="Arial"/>
                <w:sz w:val="13"/>
                <w:szCs w:val="13"/>
                <w:color w:val="auto"/>
              </w:rPr>
              <w:t>February 28, 2020</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60" w:type="dxa"/>
            <w:vAlign w:val="bottom"/>
            <w:gridSpan w:val="35"/>
          </w:tcPr>
          <w:p>
            <w:pPr>
              <w:spacing w:after="0"/>
              <w:rPr>
                <w:rFonts w:ascii="Arial" w:cs="Arial" w:eastAsia="Arial" w:hAnsi="Arial"/>
                <w:sz w:val="13"/>
                <w:szCs w:val="13"/>
                <w:color w:val="0000FF"/>
              </w:rPr>
            </w:pPr>
            <w:hyperlink r:id="rId159">
              <w:r>
                <w:rPr>
                  <w:rFonts w:ascii="Arial" w:cs="Arial" w:eastAsia="Arial" w:hAnsi="Arial"/>
                  <w:sz w:val="13"/>
                  <w:szCs w:val="13"/>
                  <w:color w:val="0000FF"/>
                </w:rPr>
                <w:t>Indenture, dated February 16, 2021, between Pacific Biosciences of California, Inc., and U.S. Bank National</w:t>
              </w:r>
            </w:hyperlink>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6"/>
              </w:rPr>
              <w:t>10-Q</w:t>
            </w:r>
          </w:p>
        </w:tc>
        <w:tc>
          <w:tcPr>
            <w:tcW w:w="760" w:type="dxa"/>
            <w:vAlign w:val="bottom"/>
            <w:vMerge w:val="restart"/>
          </w:tcPr>
          <w:p>
            <w:pPr>
              <w:jc w:val="center"/>
              <w:ind w:left="76"/>
              <w:spacing w:after="0"/>
              <w:rPr>
                <w:sz w:val="20"/>
                <w:szCs w:val="20"/>
                <w:color w:val="auto"/>
              </w:rPr>
            </w:pPr>
            <w:r>
              <w:rPr>
                <w:rFonts w:ascii="Arial" w:cs="Arial" w:eastAsia="Arial" w:hAnsi="Arial"/>
                <w:sz w:val="13"/>
                <w:szCs w:val="13"/>
                <w:color w:val="auto"/>
                <w:w w:val="99"/>
              </w:rPr>
              <w:t>4.1</w:t>
            </w:r>
          </w:p>
        </w:tc>
        <w:tc>
          <w:tcPr>
            <w:tcW w:w="1280" w:type="dxa"/>
            <w:vAlign w:val="bottom"/>
            <w:vMerge w:val="restart"/>
          </w:tcPr>
          <w:p>
            <w:pPr>
              <w:ind w:left="160"/>
              <w:spacing w:after="0"/>
              <w:rPr>
                <w:sz w:val="20"/>
                <w:szCs w:val="20"/>
                <w:color w:val="auto"/>
              </w:rPr>
            </w:pPr>
            <w:r>
              <w:rPr>
                <w:rFonts w:ascii="Arial" w:cs="Arial" w:eastAsia="Arial" w:hAnsi="Arial"/>
                <w:sz w:val="13"/>
                <w:szCs w:val="13"/>
                <w:color w:val="auto"/>
              </w:rPr>
              <w:t>August 4, 2023</w:t>
            </w:r>
          </w:p>
        </w:tc>
        <w:tc>
          <w:tcPr>
            <w:tcW w:w="0" w:type="dxa"/>
            <w:vAlign w:val="bottom"/>
          </w:tcPr>
          <w:p>
            <w:pPr>
              <w:spacing w:after="0"/>
              <w:rPr>
                <w:sz w:val="1"/>
                <w:szCs w:val="1"/>
                <w:color w:val="auto"/>
              </w:rPr>
            </w:pPr>
          </w:p>
        </w:tc>
      </w:tr>
      <w:tr>
        <w:trPr>
          <w:trHeight w:val="107"/>
        </w:trPr>
        <w:tc>
          <w:tcPr>
            <w:tcW w:w="1320" w:type="dxa"/>
            <w:vAlign w:val="bottom"/>
            <w:tcBorders>
              <w:top w:val="single" w:sz="8" w:color="0000FF"/>
              <w:bottom w:val="single" w:sz="8" w:color="0000FF"/>
            </w:tcBorders>
            <w:gridSpan w:val="7"/>
          </w:tcPr>
          <w:p>
            <w:pPr>
              <w:spacing w:after="0" w:line="107" w:lineRule="exact"/>
              <w:rPr>
                <w:rFonts w:ascii="Arial" w:cs="Arial" w:eastAsia="Arial" w:hAnsi="Arial"/>
                <w:sz w:val="12"/>
                <w:szCs w:val="12"/>
                <w:color w:val="0000FF"/>
              </w:rPr>
            </w:pPr>
            <w:hyperlink r:id="rId159">
              <w:r>
                <w:rPr>
                  <w:rFonts w:ascii="Arial" w:cs="Arial" w:eastAsia="Arial" w:hAnsi="Arial"/>
                  <w:sz w:val="12"/>
                  <w:szCs w:val="12"/>
                  <w:color w:val="0000FF"/>
                </w:rPr>
                <w:t>Association, as Trustee</w:t>
              </w:r>
            </w:hyperlink>
          </w:p>
        </w:tc>
        <w:tc>
          <w:tcPr>
            <w:tcW w:w="4740" w:type="dxa"/>
            <w:vAlign w:val="bottom"/>
            <w:tcBorders>
              <w:top w:val="single" w:sz="8" w:color="0000FF"/>
            </w:tcBorders>
            <w:gridSpan w:val="17"/>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560" w:type="dxa"/>
            <w:vAlign w:val="bottom"/>
            <w:gridSpan w:val="35"/>
          </w:tcPr>
          <w:p>
            <w:pPr>
              <w:spacing w:after="0"/>
              <w:rPr>
                <w:rFonts w:ascii="Arial" w:cs="Arial" w:eastAsia="Arial" w:hAnsi="Arial"/>
                <w:sz w:val="13"/>
                <w:szCs w:val="13"/>
                <w:color w:val="0000FF"/>
              </w:rPr>
            </w:pPr>
            <w:hyperlink r:id="rId159">
              <w:r>
                <w:rPr>
                  <w:rFonts w:ascii="Arial" w:cs="Arial" w:eastAsia="Arial" w:hAnsi="Arial"/>
                  <w:sz w:val="13"/>
                  <w:szCs w:val="13"/>
                  <w:color w:val="0000FF"/>
                </w:rPr>
                <w:t>Form of 1.50% Convertible Senior Notes due 2028 (included in Exhibit 4.3)</w:t>
              </w:r>
            </w:hyperlink>
          </w:p>
        </w:tc>
        <w:tc>
          <w:tcPr>
            <w:tcW w:w="940" w:type="dxa"/>
            <w:vAlign w:val="bottom"/>
          </w:tcPr>
          <w:p>
            <w:pPr>
              <w:jc w:val="center"/>
              <w:spacing w:after="0"/>
              <w:rPr>
                <w:sz w:val="20"/>
                <w:szCs w:val="20"/>
                <w:color w:val="auto"/>
              </w:rPr>
            </w:pPr>
            <w:r>
              <w:rPr>
                <w:rFonts w:ascii="Arial" w:cs="Arial" w:eastAsia="Arial" w:hAnsi="Arial"/>
                <w:sz w:val="13"/>
                <w:szCs w:val="13"/>
                <w:color w:val="auto"/>
                <w:w w:val="96"/>
              </w:rPr>
              <w:t>10-Q</w:t>
            </w:r>
          </w:p>
        </w:tc>
        <w:tc>
          <w:tcPr>
            <w:tcW w:w="760" w:type="dxa"/>
            <w:vAlign w:val="bottom"/>
          </w:tcPr>
          <w:p>
            <w:pPr>
              <w:jc w:val="center"/>
              <w:ind w:left="76"/>
              <w:spacing w:after="0"/>
              <w:rPr>
                <w:sz w:val="20"/>
                <w:szCs w:val="20"/>
                <w:color w:val="auto"/>
              </w:rPr>
            </w:pPr>
            <w:r>
              <w:rPr>
                <w:rFonts w:ascii="Arial" w:cs="Arial" w:eastAsia="Arial" w:hAnsi="Arial"/>
                <w:sz w:val="13"/>
                <w:szCs w:val="13"/>
                <w:color w:val="auto"/>
                <w:w w:val="99"/>
              </w:rPr>
              <w:t>4.1</w:t>
            </w:r>
          </w:p>
        </w:tc>
        <w:tc>
          <w:tcPr>
            <w:tcW w:w="1280" w:type="dxa"/>
            <w:vAlign w:val="bottom"/>
          </w:tcPr>
          <w:p>
            <w:pPr>
              <w:ind w:left="160"/>
              <w:spacing w:after="0"/>
              <w:rPr>
                <w:sz w:val="20"/>
                <w:szCs w:val="20"/>
                <w:color w:val="auto"/>
              </w:rPr>
            </w:pPr>
            <w:r>
              <w:rPr>
                <w:rFonts w:ascii="Arial" w:cs="Arial" w:eastAsia="Arial" w:hAnsi="Arial"/>
                <w:sz w:val="13"/>
                <w:szCs w:val="13"/>
                <w:color w:val="auto"/>
              </w:rPr>
              <w:t>August 4, 2023</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60" w:type="dxa"/>
            <w:vAlign w:val="bottom"/>
            <w:gridSpan w:val="35"/>
          </w:tcPr>
          <w:p>
            <w:pPr>
              <w:spacing w:after="0"/>
              <w:rPr>
                <w:rFonts w:ascii="Arial" w:cs="Arial" w:eastAsia="Arial" w:hAnsi="Arial"/>
                <w:sz w:val="13"/>
                <w:szCs w:val="13"/>
                <w:color w:val="0000FF"/>
              </w:rPr>
            </w:pPr>
            <w:hyperlink r:id="rId160">
              <w:r>
                <w:rPr>
                  <w:rFonts w:ascii="Arial" w:cs="Arial" w:eastAsia="Arial" w:hAnsi="Arial"/>
                  <w:sz w:val="13"/>
                  <w:szCs w:val="13"/>
                  <w:color w:val="0000FF"/>
                </w:rPr>
                <w:t>Indenture, dated as of June 30, 2023, by and between Pacific Biosciences of California, Inc. and U.S. Bank Trust</w:t>
              </w:r>
            </w:hyperlink>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8"/>
              </w:rPr>
              <w:t>8-K</w:t>
            </w:r>
          </w:p>
        </w:tc>
        <w:tc>
          <w:tcPr>
            <w:tcW w:w="760" w:type="dxa"/>
            <w:vAlign w:val="bottom"/>
            <w:vMerge w:val="restart"/>
          </w:tcPr>
          <w:p>
            <w:pPr>
              <w:jc w:val="center"/>
              <w:ind w:left="76"/>
              <w:spacing w:after="0"/>
              <w:rPr>
                <w:sz w:val="20"/>
                <w:szCs w:val="20"/>
                <w:color w:val="auto"/>
              </w:rPr>
            </w:pPr>
            <w:r>
              <w:rPr>
                <w:rFonts w:ascii="Arial" w:cs="Arial" w:eastAsia="Arial" w:hAnsi="Arial"/>
                <w:sz w:val="13"/>
                <w:szCs w:val="13"/>
                <w:color w:val="auto"/>
                <w:w w:val="99"/>
              </w:rPr>
              <w:t>4.1</w:t>
            </w:r>
          </w:p>
        </w:tc>
        <w:tc>
          <w:tcPr>
            <w:tcW w:w="1280" w:type="dxa"/>
            <w:vAlign w:val="bottom"/>
            <w:vMerge w:val="restart"/>
          </w:tcPr>
          <w:p>
            <w:pPr>
              <w:ind w:left="160"/>
              <w:spacing w:after="0"/>
              <w:rPr>
                <w:sz w:val="20"/>
                <w:szCs w:val="20"/>
                <w:color w:val="auto"/>
              </w:rPr>
            </w:pPr>
            <w:r>
              <w:rPr>
                <w:rFonts w:ascii="Arial" w:cs="Arial" w:eastAsia="Arial" w:hAnsi="Arial"/>
                <w:sz w:val="13"/>
                <w:szCs w:val="13"/>
                <w:color w:val="auto"/>
              </w:rPr>
              <w:t>June 30, 2023</w:t>
            </w:r>
          </w:p>
        </w:tc>
        <w:tc>
          <w:tcPr>
            <w:tcW w:w="0" w:type="dxa"/>
            <w:vAlign w:val="bottom"/>
          </w:tcPr>
          <w:p>
            <w:pPr>
              <w:spacing w:after="0"/>
              <w:rPr>
                <w:sz w:val="1"/>
                <w:szCs w:val="1"/>
                <w:color w:val="auto"/>
              </w:rPr>
            </w:pPr>
          </w:p>
        </w:tc>
      </w:tr>
      <w:tr>
        <w:trPr>
          <w:trHeight w:val="107"/>
        </w:trPr>
        <w:tc>
          <w:tcPr>
            <w:tcW w:w="6340" w:type="dxa"/>
            <w:vAlign w:val="bottom"/>
            <w:tcBorders>
              <w:top w:val="single" w:sz="8" w:color="0000FF"/>
            </w:tcBorders>
            <w:gridSpan w:val="30"/>
          </w:tcPr>
          <w:p>
            <w:pPr>
              <w:spacing w:after="0" w:line="107" w:lineRule="exact"/>
              <w:rPr>
                <w:rFonts w:ascii="Arial" w:cs="Arial" w:eastAsia="Arial" w:hAnsi="Arial"/>
                <w:sz w:val="12"/>
                <w:szCs w:val="12"/>
                <w:color w:val="0000FF"/>
              </w:rPr>
            </w:pPr>
            <w:hyperlink r:id="rId160">
              <w:r>
                <w:rPr>
                  <w:rFonts w:ascii="Arial" w:cs="Arial" w:eastAsia="Arial" w:hAnsi="Arial"/>
                  <w:sz w:val="12"/>
                  <w:szCs w:val="12"/>
                  <w:color w:val="0000FF"/>
                </w:rPr>
                <w:t>Company, National Association, as Trustee</w:t>
              </w:r>
            </w:hyperlink>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60" w:type="dxa"/>
            <w:vAlign w:val="bottom"/>
            <w:tcBorders>
              <w:bottom w:val="single" w:sz="8" w:color="0000FF"/>
            </w:tcBorders>
            <w:gridSpan w:val="15"/>
          </w:tcPr>
          <w:p>
            <w:pPr>
              <w:spacing w:after="0"/>
              <w:rPr>
                <w:rFonts w:ascii="Arial" w:cs="Arial" w:eastAsia="Arial" w:hAnsi="Arial"/>
                <w:sz w:val="13"/>
                <w:szCs w:val="13"/>
                <w:color w:val="0000FF"/>
                <w:w w:val="97"/>
              </w:rPr>
            </w:pPr>
            <w:hyperlink r:id="rId160">
              <w:r>
                <w:rPr>
                  <w:rFonts w:ascii="Arial" w:cs="Arial" w:eastAsia="Arial" w:hAnsi="Arial"/>
                  <w:sz w:val="13"/>
                  <w:szCs w:val="13"/>
                  <w:color w:val="0000FF"/>
                  <w:w w:val="97"/>
                </w:rPr>
                <w:t>Form of 1.375% Convertible Senior Note due 2030</w:t>
              </w:r>
            </w:hyperlink>
          </w:p>
        </w:tc>
        <w:tc>
          <w:tcPr>
            <w:tcW w:w="3700" w:type="dxa"/>
            <w:vAlign w:val="bottom"/>
            <w:gridSpan w:val="20"/>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760" w:type="dxa"/>
            <w:vAlign w:val="bottom"/>
          </w:tcPr>
          <w:p>
            <w:pPr>
              <w:jc w:val="center"/>
              <w:ind w:left="76"/>
              <w:spacing w:after="0"/>
              <w:rPr>
                <w:sz w:val="20"/>
                <w:szCs w:val="20"/>
                <w:color w:val="auto"/>
              </w:rPr>
            </w:pPr>
            <w:r>
              <w:rPr>
                <w:rFonts w:ascii="Arial" w:cs="Arial" w:eastAsia="Arial" w:hAnsi="Arial"/>
                <w:sz w:val="13"/>
                <w:szCs w:val="13"/>
                <w:color w:val="auto"/>
                <w:w w:val="99"/>
              </w:rPr>
              <w:t>4.2</w:t>
            </w:r>
          </w:p>
        </w:tc>
        <w:tc>
          <w:tcPr>
            <w:tcW w:w="1280" w:type="dxa"/>
            <w:vAlign w:val="bottom"/>
          </w:tcPr>
          <w:p>
            <w:pPr>
              <w:ind w:left="160"/>
              <w:spacing w:after="0"/>
              <w:rPr>
                <w:sz w:val="20"/>
                <w:szCs w:val="20"/>
                <w:color w:val="auto"/>
              </w:rPr>
            </w:pPr>
            <w:r>
              <w:rPr>
                <w:rFonts w:ascii="Arial" w:cs="Arial" w:eastAsia="Arial" w:hAnsi="Arial"/>
                <w:sz w:val="13"/>
                <w:szCs w:val="13"/>
                <w:color w:val="auto"/>
              </w:rPr>
              <w:t>June 30, 2023</w:t>
            </w:r>
          </w:p>
        </w:tc>
        <w:tc>
          <w:tcPr>
            <w:tcW w:w="0" w:type="dxa"/>
            <w:vAlign w:val="bottom"/>
          </w:tcPr>
          <w:p>
            <w:pPr>
              <w:spacing w:after="0"/>
              <w:rPr>
                <w:sz w:val="1"/>
                <w:szCs w:val="1"/>
                <w:color w:val="auto"/>
              </w:rPr>
            </w:pPr>
          </w:p>
        </w:tc>
      </w:tr>
      <w:tr>
        <w:trPr>
          <w:trHeight w:val="160"/>
        </w:trPr>
        <w:tc>
          <w:tcPr>
            <w:tcW w:w="3720" w:type="dxa"/>
            <w:vAlign w:val="bottom"/>
            <w:tcBorders>
              <w:bottom w:val="single" w:sz="8" w:color="0000FF"/>
            </w:tcBorders>
            <w:gridSpan w:val="18"/>
          </w:tcPr>
          <w:p>
            <w:pPr>
              <w:spacing w:after="0"/>
              <w:rPr>
                <w:rFonts w:ascii="Arial" w:cs="Arial" w:eastAsia="Arial" w:hAnsi="Arial"/>
                <w:sz w:val="13"/>
                <w:szCs w:val="13"/>
                <w:color w:val="0000FF"/>
                <w:w w:val="97"/>
              </w:rPr>
            </w:pPr>
            <w:hyperlink r:id="rId161">
              <w:r>
                <w:rPr>
                  <w:rFonts w:ascii="Arial" w:cs="Arial" w:eastAsia="Arial" w:hAnsi="Arial"/>
                  <w:sz w:val="13"/>
                  <w:szCs w:val="13"/>
                  <w:color w:val="0000FF"/>
                  <w:w w:val="97"/>
                </w:rPr>
                <w:t>Form of Director and Executive Officer Indemnification Agreement</w:t>
              </w:r>
            </w:hyperlink>
          </w:p>
        </w:tc>
        <w:tc>
          <w:tcPr>
            <w:tcW w:w="2840" w:type="dxa"/>
            <w:vAlign w:val="bottom"/>
            <w:gridSpan w:val="17"/>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S-1</w:t>
            </w:r>
          </w:p>
        </w:tc>
        <w:tc>
          <w:tcPr>
            <w:tcW w:w="760" w:type="dxa"/>
            <w:vAlign w:val="bottom"/>
          </w:tcPr>
          <w:p>
            <w:pPr>
              <w:jc w:val="center"/>
              <w:ind w:left="96"/>
              <w:spacing w:after="0"/>
              <w:rPr>
                <w:sz w:val="20"/>
                <w:szCs w:val="20"/>
                <w:color w:val="auto"/>
              </w:rPr>
            </w:pPr>
            <w:r>
              <w:rPr>
                <w:rFonts w:ascii="Arial" w:cs="Arial" w:eastAsia="Arial" w:hAnsi="Arial"/>
                <w:sz w:val="13"/>
                <w:szCs w:val="13"/>
                <w:color w:val="auto"/>
                <w:w w:val="94"/>
              </w:rPr>
              <w:t>10.1</w:t>
            </w:r>
          </w:p>
        </w:tc>
        <w:tc>
          <w:tcPr>
            <w:tcW w:w="1280" w:type="dxa"/>
            <w:vAlign w:val="bottom"/>
          </w:tcPr>
          <w:p>
            <w:pPr>
              <w:ind w:left="160"/>
              <w:spacing w:after="0"/>
              <w:rPr>
                <w:sz w:val="20"/>
                <w:szCs w:val="20"/>
                <w:color w:val="auto"/>
              </w:rPr>
            </w:pPr>
            <w:r>
              <w:rPr>
                <w:rFonts w:ascii="Arial" w:cs="Arial" w:eastAsia="Arial" w:hAnsi="Arial"/>
                <w:sz w:val="13"/>
                <w:szCs w:val="13"/>
                <w:color w:val="auto"/>
              </w:rPr>
              <w:t>August 16, 2010</w:t>
            </w:r>
          </w:p>
        </w:tc>
        <w:tc>
          <w:tcPr>
            <w:tcW w:w="0" w:type="dxa"/>
            <w:vAlign w:val="bottom"/>
          </w:tcPr>
          <w:p>
            <w:pPr>
              <w:spacing w:after="0"/>
              <w:rPr>
                <w:sz w:val="1"/>
                <w:szCs w:val="1"/>
                <w:color w:val="auto"/>
              </w:rPr>
            </w:pPr>
          </w:p>
        </w:tc>
      </w:tr>
      <w:tr>
        <w:trPr>
          <w:trHeight w:val="160"/>
        </w:trPr>
        <w:tc>
          <w:tcPr>
            <w:tcW w:w="6560" w:type="dxa"/>
            <w:vAlign w:val="bottom"/>
            <w:gridSpan w:val="35"/>
          </w:tcPr>
          <w:p>
            <w:pPr>
              <w:spacing w:after="0"/>
              <w:rPr>
                <w:rFonts w:ascii="Arial" w:cs="Arial" w:eastAsia="Arial" w:hAnsi="Arial"/>
                <w:sz w:val="13"/>
                <w:szCs w:val="13"/>
                <w:color w:val="0000FF"/>
              </w:rPr>
            </w:pPr>
            <w:hyperlink r:id="rId162">
              <w:r>
                <w:rPr>
                  <w:rFonts w:ascii="Arial" w:cs="Arial" w:eastAsia="Arial" w:hAnsi="Arial"/>
                  <w:sz w:val="13"/>
                  <w:szCs w:val="13"/>
                  <w:color w:val="0000FF"/>
                </w:rPr>
                <w:t>2010 Equity Incentive Plan</w:t>
              </w:r>
            </w:hyperlink>
          </w:p>
        </w:tc>
        <w:tc>
          <w:tcPr>
            <w:tcW w:w="940" w:type="dxa"/>
            <w:vAlign w:val="bottom"/>
          </w:tcPr>
          <w:p>
            <w:pPr>
              <w:jc w:val="center"/>
              <w:spacing w:after="0"/>
              <w:rPr>
                <w:sz w:val="20"/>
                <w:szCs w:val="20"/>
                <w:color w:val="auto"/>
              </w:rPr>
            </w:pPr>
            <w:r>
              <w:rPr>
                <w:rFonts w:ascii="Arial" w:cs="Arial" w:eastAsia="Arial" w:hAnsi="Arial"/>
                <w:sz w:val="13"/>
                <w:szCs w:val="13"/>
                <w:color w:val="auto"/>
                <w:w w:val="98"/>
              </w:rPr>
              <w:t>S-1</w:t>
            </w:r>
          </w:p>
        </w:tc>
        <w:tc>
          <w:tcPr>
            <w:tcW w:w="760" w:type="dxa"/>
            <w:vAlign w:val="bottom"/>
          </w:tcPr>
          <w:p>
            <w:pPr>
              <w:jc w:val="center"/>
              <w:ind w:left="96"/>
              <w:spacing w:after="0"/>
              <w:rPr>
                <w:sz w:val="20"/>
                <w:szCs w:val="20"/>
                <w:color w:val="auto"/>
              </w:rPr>
            </w:pPr>
            <w:r>
              <w:rPr>
                <w:rFonts w:ascii="Arial" w:cs="Arial" w:eastAsia="Arial" w:hAnsi="Arial"/>
                <w:sz w:val="13"/>
                <w:szCs w:val="13"/>
                <w:color w:val="auto"/>
                <w:w w:val="94"/>
              </w:rPr>
              <w:t>10.4</w:t>
            </w:r>
          </w:p>
        </w:tc>
        <w:tc>
          <w:tcPr>
            <w:tcW w:w="1280" w:type="dxa"/>
            <w:vAlign w:val="bottom"/>
          </w:tcPr>
          <w:p>
            <w:pPr>
              <w:ind w:left="160"/>
              <w:spacing w:after="0"/>
              <w:rPr>
                <w:sz w:val="20"/>
                <w:szCs w:val="20"/>
                <w:color w:val="auto"/>
              </w:rPr>
            </w:pPr>
            <w:r>
              <w:rPr>
                <w:rFonts w:ascii="Arial" w:cs="Arial" w:eastAsia="Arial" w:hAnsi="Arial"/>
                <w:sz w:val="13"/>
                <w:szCs w:val="13"/>
                <w:color w:val="auto"/>
              </w:rPr>
              <w:t>August 16, 2010</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560" w:type="dxa"/>
            <w:vAlign w:val="bottom"/>
            <w:gridSpan w:val="35"/>
          </w:tcPr>
          <w:p>
            <w:pPr>
              <w:spacing w:after="0"/>
              <w:rPr>
                <w:rFonts w:ascii="Arial" w:cs="Arial" w:eastAsia="Arial" w:hAnsi="Arial"/>
                <w:sz w:val="13"/>
                <w:szCs w:val="13"/>
                <w:color w:val="0000FF"/>
              </w:rPr>
            </w:pPr>
            <w:hyperlink r:id="rId163">
              <w:r>
                <w:rPr>
                  <w:rFonts w:ascii="Arial" w:cs="Arial" w:eastAsia="Arial" w:hAnsi="Arial"/>
                  <w:sz w:val="13"/>
                  <w:szCs w:val="13"/>
                  <w:color w:val="0000FF"/>
                </w:rPr>
                <w:t>2010 Equity Incentive Plan forms of agreement</w:t>
              </w:r>
            </w:hyperlink>
          </w:p>
        </w:tc>
        <w:tc>
          <w:tcPr>
            <w:tcW w:w="940" w:type="dxa"/>
            <w:vAlign w:val="bottom"/>
          </w:tcPr>
          <w:p>
            <w:pPr>
              <w:jc w:val="center"/>
              <w:spacing w:after="0"/>
              <w:rPr>
                <w:sz w:val="20"/>
                <w:szCs w:val="20"/>
                <w:color w:val="auto"/>
              </w:rPr>
            </w:pPr>
            <w:r>
              <w:rPr>
                <w:rFonts w:ascii="Arial" w:cs="Arial" w:eastAsia="Arial" w:hAnsi="Arial"/>
                <w:sz w:val="13"/>
                <w:szCs w:val="13"/>
                <w:color w:val="auto"/>
                <w:w w:val="96"/>
              </w:rPr>
              <w:t>10-Q</w:t>
            </w:r>
          </w:p>
        </w:tc>
        <w:tc>
          <w:tcPr>
            <w:tcW w:w="760" w:type="dxa"/>
            <w:vAlign w:val="bottom"/>
          </w:tcPr>
          <w:p>
            <w:pPr>
              <w:jc w:val="center"/>
              <w:ind w:left="96"/>
              <w:spacing w:after="0"/>
              <w:rPr>
                <w:sz w:val="20"/>
                <w:szCs w:val="20"/>
                <w:color w:val="auto"/>
              </w:rPr>
            </w:pPr>
            <w:r>
              <w:rPr>
                <w:rFonts w:ascii="Arial" w:cs="Arial" w:eastAsia="Arial" w:hAnsi="Arial"/>
                <w:sz w:val="13"/>
                <w:szCs w:val="13"/>
                <w:color w:val="auto"/>
                <w:w w:val="94"/>
              </w:rPr>
              <w:t>10.1</w:t>
            </w:r>
          </w:p>
        </w:tc>
        <w:tc>
          <w:tcPr>
            <w:tcW w:w="1280" w:type="dxa"/>
            <w:vAlign w:val="bottom"/>
          </w:tcPr>
          <w:p>
            <w:pPr>
              <w:ind w:left="160"/>
              <w:spacing w:after="0"/>
              <w:rPr>
                <w:sz w:val="20"/>
                <w:szCs w:val="20"/>
                <w:color w:val="auto"/>
              </w:rPr>
            </w:pPr>
            <w:r>
              <w:rPr>
                <w:rFonts w:ascii="Arial" w:cs="Arial" w:eastAsia="Arial" w:hAnsi="Arial"/>
                <w:sz w:val="13"/>
                <w:szCs w:val="13"/>
                <w:color w:val="auto"/>
              </w:rPr>
              <w:t>May 2, 2018</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00" w:type="dxa"/>
            <w:vAlign w:val="bottom"/>
            <w:tcBorders>
              <w:bottom w:val="single" w:sz="8" w:color="0000FF"/>
            </w:tcBorders>
            <w:gridSpan w:val="19"/>
          </w:tcPr>
          <w:p>
            <w:pPr>
              <w:spacing w:after="0"/>
              <w:rPr>
                <w:rFonts w:ascii="Arial" w:cs="Arial" w:eastAsia="Arial" w:hAnsi="Arial"/>
                <w:sz w:val="13"/>
                <w:szCs w:val="13"/>
                <w:color w:val="0000FF"/>
                <w:w w:val="98"/>
              </w:rPr>
            </w:pPr>
            <w:hyperlink r:id="rId164">
              <w:r>
                <w:rPr>
                  <w:rFonts w:ascii="Arial" w:cs="Arial" w:eastAsia="Arial" w:hAnsi="Arial"/>
                  <w:sz w:val="13"/>
                  <w:szCs w:val="13"/>
                  <w:color w:val="0000FF"/>
                  <w:w w:val="98"/>
                </w:rPr>
                <w:t>2010 Employee Stock Purchase Plan and forms of agreement thereunder</w:t>
              </w:r>
            </w:hyperlink>
          </w:p>
        </w:tc>
        <w:tc>
          <w:tcPr>
            <w:tcW w:w="2360" w:type="dxa"/>
            <w:vAlign w:val="bottom"/>
            <w:gridSpan w:val="16"/>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S-1</w:t>
            </w:r>
          </w:p>
        </w:tc>
        <w:tc>
          <w:tcPr>
            <w:tcW w:w="760" w:type="dxa"/>
            <w:vAlign w:val="bottom"/>
          </w:tcPr>
          <w:p>
            <w:pPr>
              <w:jc w:val="center"/>
              <w:ind w:left="96"/>
              <w:spacing w:after="0"/>
              <w:rPr>
                <w:sz w:val="20"/>
                <w:szCs w:val="20"/>
                <w:color w:val="auto"/>
              </w:rPr>
            </w:pPr>
            <w:r>
              <w:rPr>
                <w:rFonts w:ascii="Arial" w:cs="Arial" w:eastAsia="Arial" w:hAnsi="Arial"/>
                <w:sz w:val="13"/>
                <w:szCs w:val="13"/>
                <w:color w:val="auto"/>
                <w:w w:val="94"/>
              </w:rPr>
              <w:t>10.5</w:t>
            </w:r>
          </w:p>
        </w:tc>
        <w:tc>
          <w:tcPr>
            <w:tcW w:w="1280" w:type="dxa"/>
            <w:vAlign w:val="bottom"/>
          </w:tcPr>
          <w:p>
            <w:pPr>
              <w:ind w:left="160"/>
              <w:spacing w:after="0"/>
              <w:rPr>
                <w:sz w:val="20"/>
                <w:szCs w:val="20"/>
                <w:color w:val="auto"/>
              </w:rPr>
            </w:pPr>
            <w:r>
              <w:rPr>
                <w:rFonts w:ascii="Arial" w:cs="Arial" w:eastAsia="Arial" w:hAnsi="Arial"/>
                <w:sz w:val="13"/>
                <w:szCs w:val="13"/>
                <w:color w:val="auto"/>
              </w:rPr>
              <w:t>August 16, 2010</w:t>
            </w:r>
          </w:p>
        </w:tc>
        <w:tc>
          <w:tcPr>
            <w:tcW w:w="0" w:type="dxa"/>
            <w:vAlign w:val="bottom"/>
          </w:tcPr>
          <w:p>
            <w:pPr>
              <w:spacing w:after="0"/>
              <w:rPr>
                <w:sz w:val="1"/>
                <w:szCs w:val="1"/>
                <w:color w:val="auto"/>
              </w:rPr>
            </w:pPr>
          </w:p>
        </w:tc>
      </w:tr>
      <w:tr>
        <w:trPr>
          <w:trHeight w:val="160"/>
        </w:trPr>
        <w:tc>
          <w:tcPr>
            <w:tcW w:w="2460" w:type="dxa"/>
            <w:vAlign w:val="bottom"/>
            <w:tcBorders>
              <w:bottom w:val="single" w:sz="8" w:color="0000FF"/>
            </w:tcBorders>
            <w:gridSpan w:val="13"/>
          </w:tcPr>
          <w:p>
            <w:pPr>
              <w:spacing w:after="0"/>
              <w:rPr>
                <w:rFonts w:ascii="Arial" w:cs="Arial" w:eastAsia="Arial" w:hAnsi="Arial"/>
                <w:sz w:val="13"/>
                <w:szCs w:val="13"/>
                <w:color w:val="0000FF"/>
                <w:w w:val="97"/>
              </w:rPr>
            </w:pPr>
            <w:hyperlink r:id="rId165">
              <w:r>
                <w:rPr>
                  <w:rFonts w:ascii="Arial" w:cs="Arial" w:eastAsia="Arial" w:hAnsi="Arial"/>
                  <w:sz w:val="13"/>
                  <w:szCs w:val="13"/>
                  <w:color w:val="0000FF"/>
                  <w:w w:val="97"/>
                </w:rPr>
                <w:t>2010 Outside Director Equity Incentive Plan</w:t>
              </w:r>
            </w:hyperlink>
          </w:p>
        </w:tc>
        <w:tc>
          <w:tcPr>
            <w:tcW w:w="4100" w:type="dxa"/>
            <w:vAlign w:val="bottom"/>
            <w:gridSpan w:val="22"/>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S-1</w:t>
            </w:r>
          </w:p>
        </w:tc>
        <w:tc>
          <w:tcPr>
            <w:tcW w:w="760" w:type="dxa"/>
            <w:vAlign w:val="bottom"/>
          </w:tcPr>
          <w:p>
            <w:pPr>
              <w:jc w:val="center"/>
              <w:ind w:left="96"/>
              <w:spacing w:after="0"/>
              <w:rPr>
                <w:sz w:val="20"/>
                <w:szCs w:val="20"/>
                <w:color w:val="auto"/>
              </w:rPr>
            </w:pPr>
            <w:r>
              <w:rPr>
                <w:rFonts w:ascii="Arial" w:cs="Arial" w:eastAsia="Arial" w:hAnsi="Arial"/>
                <w:sz w:val="13"/>
                <w:szCs w:val="13"/>
                <w:color w:val="auto"/>
                <w:w w:val="94"/>
              </w:rPr>
              <w:t>10.6</w:t>
            </w:r>
          </w:p>
        </w:tc>
        <w:tc>
          <w:tcPr>
            <w:tcW w:w="1280" w:type="dxa"/>
            <w:vAlign w:val="bottom"/>
          </w:tcPr>
          <w:p>
            <w:pPr>
              <w:ind w:left="160"/>
              <w:spacing w:after="0"/>
              <w:rPr>
                <w:sz w:val="20"/>
                <w:szCs w:val="20"/>
                <w:color w:val="auto"/>
              </w:rPr>
            </w:pPr>
            <w:r>
              <w:rPr>
                <w:rFonts w:ascii="Arial" w:cs="Arial" w:eastAsia="Arial" w:hAnsi="Arial"/>
                <w:sz w:val="13"/>
                <w:szCs w:val="13"/>
                <w:color w:val="auto"/>
              </w:rPr>
              <w:t>August 16, 2010</w:t>
            </w:r>
          </w:p>
        </w:tc>
        <w:tc>
          <w:tcPr>
            <w:tcW w:w="0" w:type="dxa"/>
            <w:vAlign w:val="bottom"/>
          </w:tcPr>
          <w:p>
            <w:pPr>
              <w:spacing w:after="0"/>
              <w:rPr>
                <w:sz w:val="1"/>
                <w:szCs w:val="1"/>
                <w:color w:val="auto"/>
              </w:rPr>
            </w:pPr>
          </w:p>
        </w:tc>
      </w:tr>
      <w:tr>
        <w:trPr>
          <w:trHeight w:val="160"/>
        </w:trPr>
        <w:tc>
          <w:tcPr>
            <w:tcW w:w="3600" w:type="dxa"/>
            <w:vAlign w:val="bottom"/>
            <w:tcBorders>
              <w:bottom w:val="single" w:sz="8" w:color="0000FF"/>
            </w:tcBorders>
            <w:gridSpan w:val="17"/>
          </w:tcPr>
          <w:p>
            <w:pPr>
              <w:spacing w:after="0"/>
              <w:rPr>
                <w:rFonts w:ascii="Arial" w:cs="Arial" w:eastAsia="Arial" w:hAnsi="Arial"/>
                <w:sz w:val="13"/>
                <w:szCs w:val="13"/>
                <w:color w:val="0000FF"/>
                <w:w w:val="97"/>
              </w:rPr>
            </w:pPr>
            <w:hyperlink r:id="rId166">
              <w:r>
                <w:rPr>
                  <w:rFonts w:ascii="Arial" w:cs="Arial" w:eastAsia="Arial" w:hAnsi="Arial"/>
                  <w:sz w:val="13"/>
                  <w:szCs w:val="13"/>
                  <w:color w:val="0000FF"/>
                  <w:w w:val="97"/>
                </w:rPr>
                <w:t>2010 Outside Director Equity Incentive Plan forms of agreement</w:t>
              </w:r>
            </w:hyperlink>
          </w:p>
        </w:tc>
        <w:tc>
          <w:tcPr>
            <w:tcW w:w="2960" w:type="dxa"/>
            <w:vAlign w:val="bottom"/>
            <w:gridSpan w:val="18"/>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10-Q</w:t>
            </w:r>
          </w:p>
        </w:tc>
        <w:tc>
          <w:tcPr>
            <w:tcW w:w="760" w:type="dxa"/>
            <w:vAlign w:val="bottom"/>
          </w:tcPr>
          <w:p>
            <w:pPr>
              <w:jc w:val="center"/>
              <w:ind w:left="96"/>
              <w:spacing w:after="0"/>
              <w:rPr>
                <w:sz w:val="20"/>
                <w:szCs w:val="20"/>
                <w:color w:val="auto"/>
              </w:rPr>
            </w:pPr>
            <w:r>
              <w:rPr>
                <w:rFonts w:ascii="Arial" w:cs="Arial" w:eastAsia="Arial" w:hAnsi="Arial"/>
                <w:sz w:val="13"/>
                <w:szCs w:val="13"/>
                <w:color w:val="auto"/>
                <w:w w:val="94"/>
              </w:rPr>
              <w:t>10.2</w:t>
            </w:r>
          </w:p>
        </w:tc>
        <w:tc>
          <w:tcPr>
            <w:tcW w:w="1280" w:type="dxa"/>
            <w:vAlign w:val="bottom"/>
          </w:tcPr>
          <w:p>
            <w:pPr>
              <w:ind w:left="160"/>
              <w:spacing w:after="0"/>
              <w:rPr>
                <w:sz w:val="20"/>
                <w:szCs w:val="20"/>
                <w:color w:val="auto"/>
              </w:rPr>
            </w:pPr>
            <w:r>
              <w:rPr>
                <w:rFonts w:ascii="Arial" w:cs="Arial" w:eastAsia="Arial" w:hAnsi="Arial"/>
                <w:sz w:val="13"/>
                <w:szCs w:val="13"/>
                <w:color w:val="auto"/>
              </w:rPr>
              <w:t>May 2, 2018</w:t>
            </w:r>
          </w:p>
        </w:tc>
        <w:tc>
          <w:tcPr>
            <w:tcW w:w="0" w:type="dxa"/>
            <w:vAlign w:val="bottom"/>
          </w:tcPr>
          <w:p>
            <w:pPr>
              <w:spacing w:after="0"/>
              <w:rPr>
                <w:sz w:val="1"/>
                <w:szCs w:val="1"/>
                <w:color w:val="auto"/>
              </w:rPr>
            </w:pPr>
          </w:p>
        </w:tc>
      </w:tr>
      <w:tr>
        <w:trPr>
          <w:trHeight w:val="160"/>
        </w:trPr>
        <w:tc>
          <w:tcPr>
            <w:tcW w:w="2280" w:type="dxa"/>
            <w:vAlign w:val="bottom"/>
            <w:tcBorders>
              <w:bottom w:val="single" w:sz="8" w:color="0000FF"/>
            </w:tcBorders>
            <w:gridSpan w:val="11"/>
          </w:tcPr>
          <w:p>
            <w:pPr>
              <w:spacing w:after="0"/>
              <w:rPr>
                <w:rFonts w:ascii="Arial" w:cs="Arial" w:eastAsia="Arial" w:hAnsi="Arial"/>
                <w:sz w:val="13"/>
                <w:szCs w:val="13"/>
                <w:color w:val="0000FF"/>
                <w:w w:val="97"/>
              </w:rPr>
            </w:pPr>
            <w:hyperlink r:id="rId167">
              <w:r>
                <w:rPr>
                  <w:rFonts w:ascii="Arial" w:cs="Arial" w:eastAsia="Arial" w:hAnsi="Arial"/>
                  <w:sz w:val="13"/>
                  <w:szCs w:val="13"/>
                  <w:color w:val="0000FF"/>
                  <w:w w:val="97"/>
                </w:rPr>
                <w:t>2020 Equity Incentive Plan, as amended</w:t>
              </w:r>
            </w:hyperlink>
          </w:p>
        </w:tc>
        <w:tc>
          <w:tcPr>
            <w:tcW w:w="4280" w:type="dxa"/>
            <w:vAlign w:val="bottom"/>
            <w:gridSpan w:val="24"/>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760" w:type="dxa"/>
            <w:vAlign w:val="bottom"/>
          </w:tcPr>
          <w:p>
            <w:pPr>
              <w:jc w:val="center"/>
              <w:ind w:left="96"/>
              <w:spacing w:after="0"/>
              <w:rPr>
                <w:sz w:val="20"/>
                <w:szCs w:val="20"/>
                <w:color w:val="auto"/>
              </w:rPr>
            </w:pPr>
            <w:r>
              <w:rPr>
                <w:rFonts w:ascii="Arial" w:cs="Arial" w:eastAsia="Arial" w:hAnsi="Arial"/>
                <w:sz w:val="13"/>
                <w:szCs w:val="13"/>
                <w:color w:val="auto"/>
                <w:w w:val="94"/>
              </w:rPr>
              <w:t>10.1</w:t>
            </w:r>
          </w:p>
        </w:tc>
        <w:tc>
          <w:tcPr>
            <w:tcW w:w="1280" w:type="dxa"/>
            <w:vAlign w:val="bottom"/>
          </w:tcPr>
          <w:p>
            <w:pPr>
              <w:ind w:left="160"/>
              <w:spacing w:after="0"/>
              <w:rPr>
                <w:sz w:val="20"/>
                <w:szCs w:val="20"/>
                <w:color w:val="auto"/>
              </w:rPr>
            </w:pPr>
            <w:r>
              <w:rPr>
                <w:rFonts w:ascii="Arial" w:cs="Arial" w:eastAsia="Arial" w:hAnsi="Arial"/>
                <w:sz w:val="13"/>
                <w:szCs w:val="13"/>
                <w:color w:val="auto"/>
              </w:rPr>
              <w:t>May 26, 2022</w:t>
            </w:r>
          </w:p>
        </w:tc>
        <w:tc>
          <w:tcPr>
            <w:tcW w:w="0" w:type="dxa"/>
            <w:vAlign w:val="bottom"/>
          </w:tcPr>
          <w:p>
            <w:pPr>
              <w:spacing w:after="0"/>
              <w:rPr>
                <w:sz w:val="1"/>
                <w:szCs w:val="1"/>
                <w:color w:val="auto"/>
              </w:rPr>
            </w:pPr>
          </w:p>
        </w:tc>
      </w:tr>
      <w:tr>
        <w:trPr>
          <w:trHeight w:val="150"/>
        </w:trPr>
        <w:tc>
          <w:tcPr>
            <w:tcW w:w="6560" w:type="dxa"/>
            <w:vAlign w:val="bottom"/>
            <w:tcBorders>
              <w:bottom w:val="single" w:sz="8" w:color="0000FF"/>
            </w:tcBorders>
            <w:gridSpan w:val="35"/>
          </w:tcPr>
          <w:p>
            <w:pPr>
              <w:spacing w:after="0"/>
              <w:rPr>
                <w:rFonts w:ascii="Arial" w:cs="Arial" w:eastAsia="Arial" w:hAnsi="Arial"/>
                <w:sz w:val="13"/>
                <w:szCs w:val="13"/>
                <w:color w:val="0000FF"/>
                <w:w w:val="97"/>
              </w:rPr>
            </w:pPr>
            <w:hyperlink r:id="rId168">
              <w:r>
                <w:rPr>
                  <w:rFonts w:ascii="Arial" w:cs="Arial" w:eastAsia="Arial" w:hAnsi="Arial"/>
                  <w:sz w:val="13"/>
                  <w:szCs w:val="13"/>
                  <w:color w:val="0000FF"/>
                  <w:w w:val="97"/>
                </w:rPr>
                <w:t>Form of Global Stock Option Agreement under the Pacific Biosciences of California, Inc., 2020 Equity Incentive Plan,</w:t>
              </w:r>
            </w:hyperlink>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8"/>
              </w:rPr>
              <w:t>8-K</w:t>
            </w:r>
          </w:p>
        </w:tc>
        <w:tc>
          <w:tcPr>
            <w:tcW w:w="760" w:type="dxa"/>
            <w:vAlign w:val="bottom"/>
            <w:vMerge w:val="restart"/>
          </w:tcPr>
          <w:p>
            <w:pPr>
              <w:jc w:val="center"/>
              <w:ind w:left="96"/>
              <w:spacing w:after="0"/>
              <w:rPr>
                <w:sz w:val="20"/>
                <w:szCs w:val="20"/>
                <w:color w:val="auto"/>
              </w:rPr>
            </w:pPr>
            <w:r>
              <w:rPr>
                <w:rFonts w:ascii="Arial" w:cs="Arial" w:eastAsia="Arial" w:hAnsi="Arial"/>
                <w:sz w:val="13"/>
                <w:szCs w:val="13"/>
                <w:color w:val="auto"/>
                <w:w w:val="94"/>
              </w:rPr>
              <w:t>10.2</w:t>
            </w:r>
          </w:p>
        </w:tc>
        <w:tc>
          <w:tcPr>
            <w:tcW w:w="1280" w:type="dxa"/>
            <w:vAlign w:val="bottom"/>
            <w:vMerge w:val="restart"/>
          </w:tcPr>
          <w:p>
            <w:pPr>
              <w:ind w:left="160"/>
              <w:spacing w:after="0"/>
              <w:rPr>
                <w:sz w:val="20"/>
                <w:szCs w:val="20"/>
                <w:color w:val="auto"/>
              </w:rPr>
            </w:pPr>
            <w:r>
              <w:rPr>
                <w:rFonts w:ascii="Arial" w:cs="Arial" w:eastAsia="Arial" w:hAnsi="Arial"/>
                <w:sz w:val="13"/>
                <w:szCs w:val="13"/>
                <w:color w:val="auto"/>
              </w:rPr>
              <w:t>May 26, 2022</w:t>
            </w:r>
          </w:p>
        </w:tc>
        <w:tc>
          <w:tcPr>
            <w:tcW w:w="0" w:type="dxa"/>
            <w:vAlign w:val="bottom"/>
          </w:tcPr>
          <w:p>
            <w:pPr>
              <w:spacing w:after="0"/>
              <w:rPr>
                <w:sz w:val="1"/>
                <w:szCs w:val="1"/>
                <w:color w:val="auto"/>
              </w:rPr>
            </w:pPr>
          </w:p>
        </w:tc>
      </w:tr>
      <w:tr>
        <w:trPr>
          <w:trHeight w:val="107"/>
        </w:trPr>
        <w:tc>
          <w:tcPr>
            <w:tcW w:w="700" w:type="dxa"/>
            <w:vAlign w:val="bottom"/>
            <w:tcBorders>
              <w:bottom w:val="single" w:sz="8" w:color="0000FF"/>
            </w:tcBorders>
            <w:gridSpan w:val="3"/>
          </w:tcPr>
          <w:p>
            <w:pPr>
              <w:spacing w:after="0" w:line="107" w:lineRule="exact"/>
              <w:rPr>
                <w:rFonts w:ascii="Arial" w:cs="Arial" w:eastAsia="Arial" w:hAnsi="Arial"/>
                <w:sz w:val="12"/>
                <w:szCs w:val="12"/>
                <w:color w:val="0000FF"/>
              </w:rPr>
            </w:pPr>
            <w:hyperlink r:id="rId168">
              <w:r>
                <w:rPr>
                  <w:rFonts w:ascii="Arial" w:cs="Arial" w:eastAsia="Arial" w:hAnsi="Arial"/>
                  <w:sz w:val="12"/>
                  <w:szCs w:val="12"/>
                  <w:color w:val="0000FF"/>
                </w:rPr>
                <w:t>as amended</w:t>
              </w:r>
            </w:hyperlink>
          </w:p>
        </w:tc>
        <w:tc>
          <w:tcPr>
            <w:tcW w:w="5860" w:type="dxa"/>
            <w:vAlign w:val="bottom"/>
            <w:gridSpan w:val="32"/>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6560" w:type="dxa"/>
            <w:vAlign w:val="bottom"/>
            <w:gridSpan w:val="35"/>
          </w:tcPr>
          <w:p>
            <w:pPr>
              <w:spacing w:after="0"/>
              <w:rPr>
                <w:rFonts w:ascii="Arial" w:cs="Arial" w:eastAsia="Arial" w:hAnsi="Arial"/>
                <w:sz w:val="13"/>
                <w:szCs w:val="13"/>
                <w:color w:val="0000FF"/>
              </w:rPr>
            </w:pPr>
            <w:hyperlink r:id="rId169">
              <w:r>
                <w:rPr>
                  <w:rFonts w:ascii="Arial" w:cs="Arial" w:eastAsia="Arial" w:hAnsi="Arial"/>
                  <w:sz w:val="13"/>
                  <w:szCs w:val="13"/>
                  <w:color w:val="0000FF"/>
                </w:rPr>
                <w:t>Form of Global Restricted Stock Unit Agreement under the Pacific Biosciences of California, Inc. 2020 Equity</w:t>
              </w:r>
            </w:hyperlink>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8"/>
              </w:rPr>
              <w:t>8-K</w:t>
            </w:r>
          </w:p>
        </w:tc>
        <w:tc>
          <w:tcPr>
            <w:tcW w:w="760" w:type="dxa"/>
            <w:vAlign w:val="bottom"/>
            <w:vMerge w:val="restart"/>
          </w:tcPr>
          <w:p>
            <w:pPr>
              <w:jc w:val="center"/>
              <w:ind w:left="96"/>
              <w:spacing w:after="0"/>
              <w:rPr>
                <w:sz w:val="20"/>
                <w:szCs w:val="20"/>
                <w:color w:val="auto"/>
              </w:rPr>
            </w:pPr>
            <w:r>
              <w:rPr>
                <w:rFonts w:ascii="Arial" w:cs="Arial" w:eastAsia="Arial" w:hAnsi="Arial"/>
                <w:sz w:val="13"/>
                <w:szCs w:val="13"/>
                <w:color w:val="auto"/>
                <w:w w:val="94"/>
              </w:rPr>
              <w:t>10.3</w:t>
            </w:r>
          </w:p>
        </w:tc>
        <w:tc>
          <w:tcPr>
            <w:tcW w:w="1280" w:type="dxa"/>
            <w:vAlign w:val="bottom"/>
            <w:vMerge w:val="restart"/>
          </w:tcPr>
          <w:p>
            <w:pPr>
              <w:ind w:left="160"/>
              <w:spacing w:after="0"/>
              <w:rPr>
                <w:sz w:val="20"/>
                <w:szCs w:val="20"/>
                <w:color w:val="auto"/>
              </w:rPr>
            </w:pPr>
            <w:r>
              <w:rPr>
                <w:rFonts w:ascii="Arial" w:cs="Arial" w:eastAsia="Arial" w:hAnsi="Arial"/>
                <w:sz w:val="13"/>
                <w:szCs w:val="13"/>
                <w:color w:val="auto"/>
              </w:rPr>
              <w:t>May 26, 2022</w:t>
            </w:r>
          </w:p>
        </w:tc>
        <w:tc>
          <w:tcPr>
            <w:tcW w:w="0" w:type="dxa"/>
            <w:vAlign w:val="bottom"/>
          </w:tcPr>
          <w:p>
            <w:pPr>
              <w:spacing w:after="0"/>
              <w:rPr>
                <w:sz w:val="1"/>
                <w:szCs w:val="1"/>
                <w:color w:val="auto"/>
              </w:rPr>
            </w:pPr>
          </w:p>
        </w:tc>
      </w:tr>
      <w:tr>
        <w:trPr>
          <w:trHeight w:val="107"/>
        </w:trPr>
        <w:tc>
          <w:tcPr>
            <w:tcW w:w="6120" w:type="dxa"/>
            <w:vAlign w:val="bottom"/>
            <w:tcBorders>
              <w:top w:val="single" w:sz="8" w:color="0000FF"/>
            </w:tcBorders>
            <w:gridSpan w:val="26"/>
          </w:tcPr>
          <w:p>
            <w:pPr>
              <w:spacing w:after="0" w:line="107" w:lineRule="exact"/>
              <w:rPr>
                <w:rFonts w:ascii="Arial" w:cs="Arial" w:eastAsia="Arial" w:hAnsi="Arial"/>
                <w:sz w:val="12"/>
                <w:szCs w:val="12"/>
                <w:color w:val="0000FF"/>
              </w:rPr>
            </w:pPr>
            <w:hyperlink r:id="rId169">
              <w:r>
                <w:rPr>
                  <w:rFonts w:ascii="Arial" w:cs="Arial" w:eastAsia="Arial" w:hAnsi="Arial"/>
                  <w:sz w:val="12"/>
                  <w:szCs w:val="12"/>
                  <w:color w:val="0000FF"/>
                </w:rPr>
                <w:t>Incentive Plan, as amended</w:t>
              </w:r>
            </w:hyperlink>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80" w:type="dxa"/>
            <w:vAlign w:val="bottom"/>
            <w:gridSpan w:val="11"/>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540" w:type="dxa"/>
            <w:vAlign w:val="bottom"/>
            <w:tcBorders>
              <w:bottom w:val="single" w:sz="8" w:color="0000FF"/>
            </w:tcBorders>
            <w:gridSpan w:val="34"/>
          </w:tcPr>
          <w:p>
            <w:pPr>
              <w:spacing w:after="0"/>
              <w:rPr>
                <w:rFonts w:ascii="Arial" w:cs="Arial" w:eastAsia="Arial" w:hAnsi="Arial"/>
                <w:sz w:val="13"/>
                <w:szCs w:val="13"/>
                <w:color w:val="0000FF"/>
                <w:w w:val="97"/>
              </w:rPr>
            </w:pPr>
            <w:hyperlink r:id="rId170">
              <w:r>
                <w:rPr>
                  <w:rFonts w:ascii="Arial" w:cs="Arial" w:eastAsia="Arial" w:hAnsi="Arial"/>
                  <w:sz w:val="13"/>
                  <w:szCs w:val="13"/>
                  <w:color w:val="0000FF"/>
                  <w:w w:val="97"/>
                </w:rPr>
                <w:t>Omniome Equity Incentive Plan of Pacific Biosciences of California, Inc., and related forms of agreement thereunder</w:t>
              </w:r>
            </w:hyperlink>
          </w:p>
        </w:tc>
        <w:tc>
          <w:tcPr>
            <w:tcW w:w="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10-Q</w:t>
            </w:r>
          </w:p>
        </w:tc>
        <w:tc>
          <w:tcPr>
            <w:tcW w:w="760" w:type="dxa"/>
            <w:vAlign w:val="bottom"/>
          </w:tcPr>
          <w:p>
            <w:pPr>
              <w:jc w:val="center"/>
              <w:ind w:left="96"/>
              <w:spacing w:after="0"/>
              <w:rPr>
                <w:sz w:val="20"/>
                <w:szCs w:val="20"/>
                <w:color w:val="auto"/>
              </w:rPr>
            </w:pPr>
            <w:r>
              <w:rPr>
                <w:rFonts w:ascii="Arial" w:cs="Arial" w:eastAsia="Arial" w:hAnsi="Arial"/>
                <w:sz w:val="13"/>
                <w:szCs w:val="13"/>
                <w:color w:val="auto"/>
                <w:w w:val="94"/>
              </w:rPr>
              <w:t>10.4</w:t>
            </w:r>
          </w:p>
        </w:tc>
        <w:tc>
          <w:tcPr>
            <w:tcW w:w="1280" w:type="dxa"/>
            <w:vAlign w:val="bottom"/>
          </w:tcPr>
          <w:p>
            <w:pPr>
              <w:ind w:left="160"/>
              <w:spacing w:after="0"/>
              <w:rPr>
                <w:sz w:val="20"/>
                <w:szCs w:val="20"/>
                <w:color w:val="auto"/>
              </w:rPr>
            </w:pPr>
            <w:r>
              <w:rPr>
                <w:rFonts w:ascii="Arial" w:cs="Arial" w:eastAsia="Arial" w:hAnsi="Arial"/>
                <w:sz w:val="13"/>
                <w:szCs w:val="13"/>
                <w:color w:val="auto"/>
              </w:rPr>
              <w:t>November 5, 2021</w:t>
            </w:r>
          </w:p>
        </w:tc>
        <w:tc>
          <w:tcPr>
            <w:tcW w:w="0" w:type="dxa"/>
            <w:vAlign w:val="bottom"/>
          </w:tcPr>
          <w:p>
            <w:pPr>
              <w:spacing w:after="0"/>
              <w:rPr>
                <w:sz w:val="1"/>
                <w:szCs w:val="1"/>
                <w:color w:val="auto"/>
              </w:rPr>
            </w:pPr>
          </w:p>
        </w:tc>
      </w:tr>
      <w:tr>
        <w:trPr>
          <w:trHeight w:val="150"/>
        </w:trPr>
        <w:tc>
          <w:tcPr>
            <w:tcW w:w="6560" w:type="dxa"/>
            <w:vAlign w:val="bottom"/>
            <w:gridSpan w:val="35"/>
          </w:tcPr>
          <w:p>
            <w:pPr>
              <w:spacing w:after="0"/>
              <w:rPr>
                <w:rFonts w:ascii="Arial" w:cs="Arial" w:eastAsia="Arial" w:hAnsi="Arial"/>
                <w:sz w:val="13"/>
                <w:szCs w:val="13"/>
                <w:color w:val="0000FF"/>
                <w:w w:val="98"/>
              </w:rPr>
            </w:pPr>
            <w:hyperlink r:id="rId171">
              <w:r>
                <w:rPr>
                  <w:rFonts w:ascii="Arial" w:cs="Arial" w:eastAsia="Arial" w:hAnsi="Arial"/>
                  <w:sz w:val="13"/>
                  <w:szCs w:val="13"/>
                  <w:color w:val="0000FF"/>
                  <w:w w:val="98"/>
                </w:rPr>
                <w:t>Pacific Biosciences of California, Inc. 2020 Inducement Equity Incentive Plan, as amended, and forms of agreement</w:t>
              </w:r>
            </w:hyperlink>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8"/>
              </w:rPr>
              <w:t>8-K</w:t>
            </w:r>
          </w:p>
        </w:tc>
        <w:tc>
          <w:tcPr>
            <w:tcW w:w="760" w:type="dxa"/>
            <w:vAlign w:val="bottom"/>
            <w:vMerge w:val="restart"/>
          </w:tcPr>
          <w:p>
            <w:pPr>
              <w:jc w:val="center"/>
              <w:ind w:left="96"/>
              <w:spacing w:after="0"/>
              <w:rPr>
                <w:sz w:val="20"/>
                <w:szCs w:val="20"/>
                <w:color w:val="auto"/>
              </w:rPr>
            </w:pPr>
            <w:r>
              <w:rPr>
                <w:rFonts w:ascii="Arial" w:cs="Arial" w:eastAsia="Arial" w:hAnsi="Arial"/>
                <w:sz w:val="13"/>
                <w:szCs w:val="13"/>
                <w:color w:val="auto"/>
                <w:w w:val="94"/>
              </w:rPr>
              <w:t>10.1</w:t>
            </w:r>
          </w:p>
        </w:tc>
        <w:tc>
          <w:tcPr>
            <w:tcW w:w="1280" w:type="dxa"/>
            <w:vAlign w:val="bottom"/>
            <w:vMerge w:val="restart"/>
          </w:tcPr>
          <w:p>
            <w:pPr>
              <w:ind w:left="160"/>
              <w:spacing w:after="0"/>
              <w:rPr>
                <w:sz w:val="20"/>
                <w:szCs w:val="20"/>
                <w:color w:val="auto"/>
              </w:rPr>
            </w:pPr>
            <w:r>
              <w:rPr>
                <w:rFonts w:ascii="Arial" w:cs="Arial" w:eastAsia="Arial" w:hAnsi="Arial"/>
                <w:sz w:val="13"/>
                <w:szCs w:val="13"/>
                <w:color w:val="auto"/>
                <w:w w:val="96"/>
              </w:rPr>
              <w:t>November 19, 2021</w:t>
            </w:r>
          </w:p>
        </w:tc>
        <w:tc>
          <w:tcPr>
            <w:tcW w:w="0" w:type="dxa"/>
            <w:vAlign w:val="bottom"/>
          </w:tcPr>
          <w:p>
            <w:pPr>
              <w:spacing w:after="0"/>
              <w:rPr>
                <w:sz w:val="1"/>
                <w:szCs w:val="1"/>
                <w:color w:val="auto"/>
              </w:rPr>
            </w:pPr>
          </w:p>
        </w:tc>
      </w:tr>
      <w:tr>
        <w:trPr>
          <w:trHeight w:val="107"/>
        </w:trPr>
        <w:tc>
          <w:tcPr>
            <w:tcW w:w="620" w:type="dxa"/>
            <w:vAlign w:val="bottom"/>
            <w:tcBorders>
              <w:top w:val="single" w:sz="8" w:color="0000FF"/>
              <w:bottom w:val="single" w:sz="8" w:color="0000FF"/>
            </w:tcBorders>
            <w:gridSpan w:val="2"/>
          </w:tcPr>
          <w:p>
            <w:pPr>
              <w:spacing w:after="0" w:line="107" w:lineRule="exact"/>
              <w:rPr>
                <w:rFonts w:ascii="Arial" w:cs="Arial" w:eastAsia="Arial" w:hAnsi="Arial"/>
                <w:sz w:val="12"/>
                <w:szCs w:val="12"/>
                <w:color w:val="0000FF"/>
              </w:rPr>
            </w:pPr>
            <w:hyperlink r:id="rId171">
              <w:r>
                <w:rPr>
                  <w:rFonts w:ascii="Arial" w:cs="Arial" w:eastAsia="Arial" w:hAnsi="Arial"/>
                  <w:sz w:val="12"/>
                  <w:szCs w:val="12"/>
                  <w:color w:val="0000FF"/>
                </w:rPr>
                <w:t>thereunder</w:t>
              </w:r>
            </w:hyperlink>
          </w:p>
        </w:tc>
        <w:tc>
          <w:tcPr>
            <w:tcW w:w="5900" w:type="dxa"/>
            <w:vAlign w:val="bottom"/>
            <w:tcBorders>
              <w:top w:val="single" w:sz="8" w:color="0000FF"/>
            </w:tcBorders>
            <w:gridSpan w:val="31"/>
          </w:tcPr>
          <w:p>
            <w:pPr>
              <w:spacing w:after="0"/>
              <w:rPr>
                <w:sz w:val="9"/>
                <w:szCs w:val="9"/>
                <w:color w:val="auto"/>
              </w:rPr>
            </w:pPr>
          </w:p>
        </w:tc>
        <w:tc>
          <w:tcPr>
            <w:tcW w:w="40" w:type="dxa"/>
            <w:vAlign w:val="bottom"/>
            <w:gridSpan w:val="2"/>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6560" w:type="dxa"/>
            <w:vAlign w:val="bottom"/>
            <w:gridSpan w:val="35"/>
          </w:tcPr>
          <w:p>
            <w:pPr>
              <w:spacing w:after="0"/>
              <w:rPr>
                <w:rFonts w:ascii="Arial" w:cs="Arial" w:eastAsia="Arial" w:hAnsi="Arial"/>
                <w:sz w:val="13"/>
                <w:szCs w:val="13"/>
                <w:color w:val="0000FF"/>
              </w:rPr>
            </w:pPr>
            <w:hyperlink r:id="rId172">
              <w:r>
                <w:rPr>
                  <w:rFonts w:ascii="Arial" w:cs="Arial" w:eastAsia="Arial" w:hAnsi="Arial"/>
                  <w:sz w:val="13"/>
                  <w:szCs w:val="13"/>
                  <w:color w:val="0000FF"/>
                </w:rPr>
                <w:t>Letter Relating to Employment Terms by and between the Registrant and Susan G. Kim effective September 28,</w:t>
              </w:r>
            </w:hyperlink>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6"/>
              </w:rPr>
              <w:t>10-Q</w:t>
            </w:r>
          </w:p>
        </w:tc>
        <w:tc>
          <w:tcPr>
            <w:tcW w:w="760" w:type="dxa"/>
            <w:vAlign w:val="bottom"/>
            <w:vMerge w:val="restart"/>
          </w:tcPr>
          <w:p>
            <w:pPr>
              <w:jc w:val="center"/>
              <w:ind w:left="96"/>
              <w:spacing w:after="0"/>
              <w:rPr>
                <w:sz w:val="20"/>
                <w:szCs w:val="20"/>
                <w:color w:val="auto"/>
              </w:rPr>
            </w:pPr>
            <w:r>
              <w:rPr>
                <w:rFonts w:ascii="Arial" w:cs="Arial" w:eastAsia="Arial" w:hAnsi="Arial"/>
                <w:sz w:val="13"/>
                <w:szCs w:val="13"/>
                <w:color w:val="auto"/>
                <w:w w:val="94"/>
              </w:rPr>
              <w:t>10.2</w:t>
            </w:r>
          </w:p>
        </w:tc>
        <w:tc>
          <w:tcPr>
            <w:tcW w:w="1280" w:type="dxa"/>
            <w:vAlign w:val="bottom"/>
            <w:vMerge w:val="restart"/>
          </w:tcPr>
          <w:p>
            <w:pPr>
              <w:ind w:left="160"/>
              <w:spacing w:after="0"/>
              <w:rPr>
                <w:sz w:val="20"/>
                <w:szCs w:val="20"/>
                <w:color w:val="auto"/>
              </w:rPr>
            </w:pPr>
            <w:r>
              <w:rPr>
                <w:rFonts w:ascii="Arial" w:cs="Arial" w:eastAsia="Arial" w:hAnsi="Arial"/>
                <w:sz w:val="13"/>
                <w:szCs w:val="13"/>
                <w:color w:val="auto"/>
              </w:rPr>
              <w:t>November 3, 2020</w:t>
            </w:r>
          </w:p>
        </w:tc>
        <w:tc>
          <w:tcPr>
            <w:tcW w:w="0" w:type="dxa"/>
            <w:vAlign w:val="bottom"/>
          </w:tcPr>
          <w:p>
            <w:pPr>
              <w:spacing w:after="0"/>
              <w:rPr>
                <w:sz w:val="1"/>
                <w:szCs w:val="1"/>
                <w:color w:val="auto"/>
              </w:rPr>
            </w:pPr>
          </w:p>
        </w:tc>
      </w:tr>
      <w:tr>
        <w:trPr>
          <w:trHeight w:val="107"/>
        </w:trPr>
        <w:tc>
          <w:tcPr>
            <w:tcW w:w="280" w:type="dxa"/>
            <w:vAlign w:val="bottom"/>
            <w:tcBorders>
              <w:top w:val="single" w:sz="8" w:color="0000FF"/>
              <w:bottom w:val="single" w:sz="8" w:color="0000FF"/>
            </w:tcBorders>
          </w:tcPr>
          <w:p>
            <w:pPr>
              <w:spacing w:after="0" w:line="107" w:lineRule="exact"/>
              <w:rPr>
                <w:rFonts w:ascii="Arial" w:cs="Arial" w:eastAsia="Arial" w:hAnsi="Arial"/>
                <w:sz w:val="12"/>
                <w:szCs w:val="12"/>
                <w:color w:val="0000FF"/>
                <w:w w:val="97"/>
              </w:rPr>
            </w:pPr>
            <w:hyperlink r:id="rId172">
              <w:r>
                <w:rPr>
                  <w:rFonts w:ascii="Arial" w:cs="Arial" w:eastAsia="Arial" w:hAnsi="Arial"/>
                  <w:sz w:val="12"/>
                  <w:szCs w:val="12"/>
                  <w:color w:val="0000FF"/>
                  <w:w w:val="97"/>
                </w:rPr>
                <w:t>2020</w:t>
              </w:r>
            </w:hyperlink>
          </w:p>
        </w:tc>
        <w:tc>
          <w:tcPr>
            <w:tcW w:w="3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52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7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60" w:type="dxa"/>
            <w:vAlign w:val="bottom"/>
            <w:tcBorders>
              <w:top w:val="single" w:sz="8" w:color="0000FF"/>
            </w:tcBorders>
          </w:tcPr>
          <w:p>
            <w:pPr>
              <w:spacing w:after="0"/>
              <w:rPr>
                <w:sz w:val="9"/>
                <w:szCs w:val="9"/>
                <w:color w:val="auto"/>
              </w:rPr>
            </w:pPr>
          </w:p>
        </w:tc>
        <w:tc>
          <w:tcPr>
            <w:tcW w:w="96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560" w:type="dxa"/>
            <w:vAlign w:val="bottom"/>
            <w:gridSpan w:val="35"/>
          </w:tcPr>
          <w:p>
            <w:pPr>
              <w:spacing w:after="0"/>
              <w:rPr>
                <w:rFonts w:ascii="Arial" w:cs="Arial" w:eastAsia="Arial" w:hAnsi="Arial"/>
                <w:sz w:val="13"/>
                <w:szCs w:val="13"/>
                <w:color w:val="0000FF"/>
              </w:rPr>
            </w:pPr>
            <w:hyperlink r:id="rId173">
              <w:r>
                <w:rPr>
                  <w:rFonts w:ascii="Arial" w:cs="Arial" w:eastAsia="Arial" w:hAnsi="Arial"/>
                  <w:sz w:val="13"/>
                  <w:szCs w:val="13"/>
                  <w:color w:val="0000FF"/>
                </w:rPr>
                <w:t>Form of Change in Control and Severance Agreement for executive officers</w:t>
              </w:r>
            </w:hyperlink>
          </w:p>
        </w:tc>
        <w:tc>
          <w:tcPr>
            <w:tcW w:w="940" w:type="dxa"/>
            <w:vAlign w:val="bottom"/>
          </w:tcPr>
          <w:p>
            <w:pPr>
              <w:jc w:val="center"/>
              <w:spacing w:after="0"/>
              <w:rPr>
                <w:sz w:val="20"/>
                <w:szCs w:val="20"/>
                <w:color w:val="auto"/>
              </w:rPr>
            </w:pPr>
            <w:r>
              <w:rPr>
                <w:rFonts w:ascii="Arial" w:cs="Arial" w:eastAsia="Arial" w:hAnsi="Arial"/>
                <w:sz w:val="13"/>
                <w:szCs w:val="13"/>
                <w:color w:val="auto"/>
                <w:w w:val="94"/>
              </w:rPr>
              <w:t>10-K</w:t>
            </w:r>
          </w:p>
        </w:tc>
        <w:tc>
          <w:tcPr>
            <w:tcW w:w="760" w:type="dxa"/>
            <w:vAlign w:val="bottom"/>
          </w:tcPr>
          <w:p>
            <w:pPr>
              <w:jc w:val="center"/>
              <w:ind w:left="96"/>
              <w:spacing w:after="0"/>
              <w:rPr>
                <w:sz w:val="20"/>
                <w:szCs w:val="20"/>
                <w:color w:val="auto"/>
              </w:rPr>
            </w:pPr>
            <w:r>
              <w:rPr>
                <w:rFonts w:ascii="Arial" w:cs="Arial" w:eastAsia="Arial" w:hAnsi="Arial"/>
                <w:sz w:val="13"/>
                <w:szCs w:val="13"/>
                <w:color w:val="auto"/>
                <w:w w:val="98"/>
              </w:rPr>
              <w:t>10.14</w:t>
            </w:r>
          </w:p>
        </w:tc>
        <w:tc>
          <w:tcPr>
            <w:tcW w:w="1280" w:type="dxa"/>
            <w:vAlign w:val="bottom"/>
          </w:tcPr>
          <w:p>
            <w:pPr>
              <w:ind w:left="160"/>
              <w:spacing w:after="0"/>
              <w:rPr>
                <w:sz w:val="20"/>
                <w:szCs w:val="20"/>
                <w:color w:val="auto"/>
              </w:rPr>
            </w:pPr>
            <w:r>
              <w:rPr>
                <w:rFonts w:ascii="Arial" w:cs="Arial" w:eastAsia="Arial" w:hAnsi="Arial"/>
                <w:sz w:val="13"/>
                <w:szCs w:val="13"/>
                <w:color w:val="auto"/>
              </w:rPr>
              <w:t>February 26, 2021</w:t>
            </w:r>
          </w:p>
        </w:tc>
        <w:tc>
          <w:tcPr>
            <w:tcW w:w="0" w:type="dxa"/>
            <w:vAlign w:val="bottom"/>
          </w:tcPr>
          <w:p>
            <w:pPr>
              <w:spacing w:after="0"/>
              <w:rPr>
                <w:sz w:val="1"/>
                <w:szCs w:val="1"/>
                <w:color w:val="auto"/>
              </w:rPr>
            </w:pPr>
          </w:p>
        </w:tc>
      </w:tr>
      <w:tr>
        <w:trPr>
          <w:trHeight w:val="20"/>
        </w:trPr>
        <w:tc>
          <w:tcPr>
            <w:tcW w:w="7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20" w:type="dxa"/>
            <w:vAlign w:val="bottom"/>
            <w:gridSpan w:val="13"/>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60" w:type="dxa"/>
            <w:vAlign w:val="bottom"/>
            <w:tcBorders>
              <w:bottom w:val="single" w:sz="8" w:color="0000FF"/>
            </w:tcBorders>
            <w:gridSpan w:val="35"/>
          </w:tcPr>
          <w:p>
            <w:pPr>
              <w:spacing w:after="0"/>
              <w:rPr>
                <w:rFonts w:ascii="Arial" w:cs="Arial" w:eastAsia="Arial" w:hAnsi="Arial"/>
                <w:sz w:val="13"/>
                <w:szCs w:val="13"/>
                <w:color w:val="0000FF"/>
                <w:w w:val="97"/>
              </w:rPr>
            </w:pPr>
            <w:hyperlink r:id="rId174">
              <w:r>
                <w:rPr>
                  <w:rFonts w:ascii="Arial" w:cs="Arial" w:eastAsia="Arial" w:hAnsi="Arial"/>
                  <w:sz w:val="13"/>
                  <w:szCs w:val="13"/>
                  <w:color w:val="0000FF"/>
                  <w:w w:val="97"/>
                </w:rPr>
                <w:t>Letter Relating to Employment Terms by and between the Registrant and Christian O. Henry effective September 14,</w:t>
              </w:r>
            </w:hyperlink>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4"/>
              </w:rPr>
              <w:t>10-K</w:t>
            </w:r>
          </w:p>
        </w:tc>
        <w:tc>
          <w:tcPr>
            <w:tcW w:w="7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10.15</w:t>
            </w:r>
          </w:p>
        </w:tc>
        <w:tc>
          <w:tcPr>
            <w:tcW w:w="1280" w:type="dxa"/>
            <w:vAlign w:val="bottom"/>
            <w:vMerge w:val="restart"/>
          </w:tcPr>
          <w:p>
            <w:pPr>
              <w:ind w:left="160"/>
              <w:spacing w:after="0"/>
              <w:rPr>
                <w:sz w:val="20"/>
                <w:szCs w:val="20"/>
                <w:color w:val="auto"/>
              </w:rPr>
            </w:pPr>
            <w:r>
              <w:rPr>
                <w:rFonts w:ascii="Arial" w:cs="Arial" w:eastAsia="Arial" w:hAnsi="Arial"/>
                <w:sz w:val="13"/>
                <w:szCs w:val="13"/>
                <w:color w:val="auto"/>
              </w:rPr>
              <w:t>February 26, 2021</w:t>
            </w:r>
          </w:p>
        </w:tc>
        <w:tc>
          <w:tcPr>
            <w:tcW w:w="0" w:type="dxa"/>
            <w:vAlign w:val="bottom"/>
          </w:tcPr>
          <w:p>
            <w:pPr>
              <w:spacing w:after="0"/>
              <w:rPr>
                <w:sz w:val="1"/>
                <w:szCs w:val="1"/>
                <w:color w:val="auto"/>
              </w:rPr>
            </w:pPr>
          </w:p>
        </w:tc>
      </w:tr>
      <w:tr>
        <w:trPr>
          <w:trHeight w:val="107"/>
        </w:trPr>
        <w:tc>
          <w:tcPr>
            <w:tcW w:w="280" w:type="dxa"/>
            <w:vAlign w:val="bottom"/>
            <w:tcBorders>
              <w:bottom w:val="single" w:sz="8" w:color="0000FF"/>
            </w:tcBorders>
          </w:tcPr>
          <w:p>
            <w:pPr>
              <w:spacing w:after="0" w:line="107" w:lineRule="exact"/>
              <w:rPr>
                <w:rFonts w:ascii="Arial" w:cs="Arial" w:eastAsia="Arial" w:hAnsi="Arial"/>
                <w:sz w:val="12"/>
                <w:szCs w:val="12"/>
                <w:color w:val="0000FF"/>
                <w:w w:val="97"/>
              </w:rPr>
            </w:pPr>
            <w:hyperlink r:id="rId174">
              <w:r>
                <w:rPr>
                  <w:rFonts w:ascii="Arial" w:cs="Arial" w:eastAsia="Arial" w:hAnsi="Arial"/>
                  <w:sz w:val="12"/>
                  <w:szCs w:val="12"/>
                  <w:color w:val="0000FF"/>
                  <w:w w:val="97"/>
                </w:rPr>
                <w:t>2020</w:t>
              </w:r>
            </w:hyperlink>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6560" w:type="dxa"/>
            <w:vAlign w:val="bottom"/>
            <w:gridSpan w:val="35"/>
          </w:tcPr>
          <w:p>
            <w:pPr>
              <w:spacing w:after="0"/>
              <w:rPr>
                <w:rFonts w:ascii="Arial" w:cs="Arial" w:eastAsia="Arial" w:hAnsi="Arial"/>
                <w:sz w:val="13"/>
                <w:szCs w:val="13"/>
                <w:color w:val="0000FF"/>
              </w:rPr>
            </w:pPr>
            <w:hyperlink r:id="rId175">
              <w:r>
                <w:rPr>
                  <w:rFonts w:ascii="Arial" w:cs="Arial" w:eastAsia="Arial" w:hAnsi="Arial"/>
                  <w:sz w:val="13"/>
                  <w:szCs w:val="13"/>
                  <w:color w:val="0000FF"/>
                </w:rPr>
                <w:t>Amended Change in Control and Severance Agreement by and between the Registrant and Christian O. Henry</w:t>
              </w:r>
            </w:hyperlink>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4"/>
              </w:rPr>
              <w:t>10-K</w:t>
            </w:r>
          </w:p>
        </w:tc>
        <w:tc>
          <w:tcPr>
            <w:tcW w:w="7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10.17</w:t>
            </w:r>
          </w:p>
        </w:tc>
        <w:tc>
          <w:tcPr>
            <w:tcW w:w="1280" w:type="dxa"/>
            <w:vAlign w:val="bottom"/>
            <w:vMerge w:val="restart"/>
          </w:tcPr>
          <w:p>
            <w:pPr>
              <w:ind w:left="160"/>
              <w:spacing w:after="0"/>
              <w:rPr>
                <w:sz w:val="20"/>
                <w:szCs w:val="20"/>
                <w:color w:val="auto"/>
              </w:rPr>
            </w:pPr>
            <w:r>
              <w:rPr>
                <w:rFonts w:ascii="Arial" w:cs="Arial" w:eastAsia="Arial" w:hAnsi="Arial"/>
                <w:sz w:val="13"/>
                <w:szCs w:val="13"/>
                <w:color w:val="auto"/>
              </w:rPr>
              <w:t>February 26, 2021</w:t>
            </w:r>
          </w:p>
        </w:tc>
        <w:tc>
          <w:tcPr>
            <w:tcW w:w="0" w:type="dxa"/>
            <w:vAlign w:val="bottom"/>
          </w:tcPr>
          <w:p>
            <w:pPr>
              <w:spacing w:after="0"/>
              <w:rPr>
                <w:sz w:val="1"/>
                <w:szCs w:val="1"/>
                <w:color w:val="auto"/>
              </w:rPr>
            </w:pPr>
          </w:p>
        </w:tc>
      </w:tr>
      <w:tr>
        <w:trPr>
          <w:trHeight w:val="107"/>
        </w:trPr>
        <w:tc>
          <w:tcPr>
            <w:tcW w:w="6240" w:type="dxa"/>
            <w:vAlign w:val="bottom"/>
            <w:tcBorders>
              <w:top w:val="single" w:sz="8" w:color="0000FF"/>
            </w:tcBorders>
            <w:gridSpan w:val="28"/>
          </w:tcPr>
          <w:p>
            <w:pPr>
              <w:spacing w:after="0" w:line="107" w:lineRule="exact"/>
              <w:rPr>
                <w:rFonts w:ascii="Arial" w:cs="Arial" w:eastAsia="Arial" w:hAnsi="Arial"/>
                <w:sz w:val="12"/>
                <w:szCs w:val="12"/>
                <w:color w:val="0000FF"/>
              </w:rPr>
            </w:pPr>
            <w:hyperlink r:id="rId175">
              <w:r>
                <w:rPr>
                  <w:rFonts w:ascii="Arial" w:cs="Arial" w:eastAsia="Arial" w:hAnsi="Arial"/>
                  <w:sz w:val="12"/>
                  <w:szCs w:val="12"/>
                  <w:color w:val="0000FF"/>
                </w:rPr>
                <w:t>dated February 3, 2021</w:t>
              </w:r>
            </w:hyperlink>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gridSpan w:val="3"/>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60" w:type="dxa"/>
            <w:vAlign w:val="bottom"/>
            <w:gridSpan w:val="1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80" w:type="dxa"/>
            <w:vAlign w:val="bottom"/>
            <w:tcBorders>
              <w:bottom w:val="single" w:sz="8" w:color="0000FF"/>
            </w:tcBorders>
            <w:gridSpan w:val="32"/>
          </w:tcPr>
          <w:p>
            <w:pPr>
              <w:spacing w:after="0"/>
              <w:rPr>
                <w:rFonts w:ascii="Arial" w:cs="Arial" w:eastAsia="Arial" w:hAnsi="Arial"/>
                <w:sz w:val="13"/>
                <w:szCs w:val="13"/>
                <w:color w:val="0000FF"/>
                <w:w w:val="97"/>
              </w:rPr>
            </w:pPr>
            <w:hyperlink r:id="rId176">
              <w:r>
                <w:rPr>
                  <w:rFonts w:ascii="Arial" w:cs="Arial" w:eastAsia="Arial" w:hAnsi="Arial"/>
                  <w:sz w:val="13"/>
                  <w:szCs w:val="13"/>
                  <w:color w:val="0000FF"/>
                  <w:w w:val="97"/>
                </w:rPr>
                <w:t>Letter Relating to Employment Terms by and between the Registrant and Mark Van Oene effective January 8, 2021</w:t>
              </w:r>
            </w:hyperlink>
          </w:p>
        </w:tc>
        <w:tc>
          <w:tcPr>
            <w:tcW w:w="80" w:type="dxa"/>
            <w:vAlign w:val="bottom"/>
            <w:gridSpan w:val="3"/>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4"/>
              </w:rPr>
              <w:t>10-K</w:t>
            </w:r>
          </w:p>
        </w:tc>
        <w:tc>
          <w:tcPr>
            <w:tcW w:w="760" w:type="dxa"/>
            <w:vAlign w:val="bottom"/>
          </w:tcPr>
          <w:p>
            <w:pPr>
              <w:jc w:val="center"/>
              <w:ind w:left="96"/>
              <w:spacing w:after="0"/>
              <w:rPr>
                <w:sz w:val="20"/>
                <w:szCs w:val="20"/>
                <w:color w:val="auto"/>
              </w:rPr>
            </w:pPr>
            <w:r>
              <w:rPr>
                <w:rFonts w:ascii="Arial" w:cs="Arial" w:eastAsia="Arial" w:hAnsi="Arial"/>
                <w:sz w:val="13"/>
                <w:szCs w:val="13"/>
                <w:color w:val="auto"/>
                <w:w w:val="98"/>
              </w:rPr>
              <w:t>10.18</w:t>
            </w:r>
          </w:p>
        </w:tc>
        <w:tc>
          <w:tcPr>
            <w:tcW w:w="1280" w:type="dxa"/>
            <w:vAlign w:val="bottom"/>
          </w:tcPr>
          <w:p>
            <w:pPr>
              <w:ind w:left="160"/>
              <w:spacing w:after="0"/>
              <w:rPr>
                <w:sz w:val="20"/>
                <w:szCs w:val="20"/>
                <w:color w:val="auto"/>
              </w:rPr>
            </w:pPr>
            <w:r>
              <w:rPr>
                <w:rFonts w:ascii="Arial" w:cs="Arial" w:eastAsia="Arial" w:hAnsi="Arial"/>
                <w:sz w:val="13"/>
                <w:szCs w:val="13"/>
                <w:color w:val="auto"/>
              </w:rPr>
              <w:t>February 26, 2021</w:t>
            </w:r>
          </w:p>
        </w:tc>
        <w:tc>
          <w:tcPr>
            <w:tcW w:w="0" w:type="dxa"/>
            <w:vAlign w:val="bottom"/>
          </w:tcPr>
          <w:p>
            <w:pPr>
              <w:spacing w:after="0"/>
              <w:rPr>
                <w:sz w:val="1"/>
                <w:szCs w:val="1"/>
                <w:color w:val="auto"/>
              </w:rPr>
            </w:pPr>
          </w:p>
        </w:tc>
      </w:tr>
      <w:tr>
        <w:trPr>
          <w:trHeight w:val="160"/>
        </w:trPr>
        <w:tc>
          <w:tcPr>
            <w:tcW w:w="6560" w:type="dxa"/>
            <w:vAlign w:val="bottom"/>
            <w:gridSpan w:val="35"/>
          </w:tcPr>
          <w:p>
            <w:pPr>
              <w:spacing w:after="0"/>
              <w:rPr>
                <w:rFonts w:ascii="Arial" w:cs="Arial" w:eastAsia="Arial" w:hAnsi="Arial"/>
                <w:sz w:val="13"/>
                <w:szCs w:val="13"/>
                <w:color w:val="0000FF"/>
              </w:rPr>
            </w:pPr>
            <w:hyperlink r:id="rId177">
              <w:r>
                <w:rPr>
                  <w:rFonts w:ascii="Arial" w:cs="Arial" w:eastAsia="Arial" w:hAnsi="Arial"/>
                  <w:sz w:val="13"/>
                  <w:szCs w:val="13"/>
                  <w:color w:val="0000FF"/>
                </w:rPr>
                <w:t>Lease Agreement by and between the Registrant and Menlo Park Portfolio II, LLC, dated July 22, 2015</w:t>
              </w:r>
            </w:hyperlink>
          </w:p>
        </w:tc>
        <w:tc>
          <w:tcPr>
            <w:tcW w:w="940" w:type="dxa"/>
            <w:vAlign w:val="bottom"/>
          </w:tcPr>
          <w:p>
            <w:pPr>
              <w:jc w:val="center"/>
              <w:spacing w:after="0"/>
              <w:rPr>
                <w:sz w:val="20"/>
                <w:szCs w:val="20"/>
                <w:color w:val="auto"/>
              </w:rPr>
            </w:pPr>
            <w:r>
              <w:rPr>
                <w:rFonts w:ascii="Arial" w:cs="Arial" w:eastAsia="Arial" w:hAnsi="Arial"/>
                <w:sz w:val="13"/>
                <w:szCs w:val="13"/>
                <w:color w:val="auto"/>
                <w:w w:val="96"/>
              </w:rPr>
              <w:t>10-Q</w:t>
            </w:r>
          </w:p>
        </w:tc>
        <w:tc>
          <w:tcPr>
            <w:tcW w:w="760" w:type="dxa"/>
            <w:vAlign w:val="bottom"/>
          </w:tcPr>
          <w:p>
            <w:pPr>
              <w:jc w:val="center"/>
              <w:ind w:left="96"/>
              <w:spacing w:after="0"/>
              <w:rPr>
                <w:sz w:val="20"/>
                <w:szCs w:val="20"/>
                <w:color w:val="auto"/>
              </w:rPr>
            </w:pPr>
            <w:r>
              <w:rPr>
                <w:rFonts w:ascii="Arial" w:cs="Arial" w:eastAsia="Arial" w:hAnsi="Arial"/>
                <w:sz w:val="13"/>
                <w:szCs w:val="13"/>
                <w:color w:val="auto"/>
                <w:w w:val="94"/>
              </w:rPr>
              <w:t>10.2</w:t>
            </w:r>
          </w:p>
        </w:tc>
        <w:tc>
          <w:tcPr>
            <w:tcW w:w="1280" w:type="dxa"/>
            <w:vAlign w:val="bottom"/>
          </w:tcPr>
          <w:p>
            <w:pPr>
              <w:ind w:left="160"/>
              <w:spacing w:after="0"/>
              <w:rPr>
                <w:sz w:val="20"/>
                <w:szCs w:val="20"/>
                <w:color w:val="auto"/>
              </w:rPr>
            </w:pPr>
            <w:r>
              <w:rPr>
                <w:rFonts w:ascii="Arial" w:cs="Arial" w:eastAsia="Arial" w:hAnsi="Arial"/>
                <w:sz w:val="13"/>
                <w:szCs w:val="13"/>
                <w:color w:val="auto"/>
              </w:rPr>
              <w:t>August 5, 2015</w:t>
            </w:r>
          </w:p>
        </w:tc>
        <w:tc>
          <w:tcPr>
            <w:tcW w:w="0" w:type="dxa"/>
            <w:vAlign w:val="bottom"/>
          </w:tcPr>
          <w:p>
            <w:pPr>
              <w:spacing w:after="0"/>
              <w:rPr>
                <w:sz w:val="1"/>
                <w:szCs w:val="1"/>
                <w:color w:val="auto"/>
              </w:rPr>
            </w:pPr>
          </w:p>
        </w:tc>
      </w:tr>
      <w:tr>
        <w:trPr>
          <w:trHeight w:val="20"/>
        </w:trPr>
        <w:tc>
          <w:tcPr>
            <w:tcW w:w="7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60" w:type="dxa"/>
            <w:vAlign w:val="bottom"/>
            <w:gridSpan w:val="17"/>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60" w:type="dxa"/>
            <w:vAlign w:val="bottom"/>
            <w:gridSpan w:val="35"/>
          </w:tcPr>
          <w:p>
            <w:pPr>
              <w:spacing w:after="0"/>
              <w:rPr>
                <w:rFonts w:ascii="Arial" w:cs="Arial" w:eastAsia="Arial" w:hAnsi="Arial"/>
                <w:sz w:val="13"/>
                <w:szCs w:val="13"/>
                <w:color w:val="0000FF"/>
              </w:rPr>
            </w:pPr>
            <w:hyperlink r:id="rId178">
              <w:r>
                <w:rPr>
                  <w:rFonts w:ascii="Arial" w:cs="Arial" w:eastAsia="Arial" w:hAnsi="Arial"/>
                  <w:sz w:val="13"/>
                  <w:szCs w:val="13"/>
                  <w:color w:val="0000FF"/>
                </w:rPr>
                <w:t>First Amendment to Lease Agreement by and between the Registrant and Menlo Park Portfolio II, LLC, dated</w:t>
              </w:r>
            </w:hyperlink>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4"/>
              </w:rPr>
              <w:t>10-K</w:t>
            </w:r>
          </w:p>
        </w:tc>
        <w:tc>
          <w:tcPr>
            <w:tcW w:w="7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10.50</w:t>
            </w:r>
          </w:p>
        </w:tc>
        <w:tc>
          <w:tcPr>
            <w:tcW w:w="1280" w:type="dxa"/>
            <w:vAlign w:val="bottom"/>
            <w:vMerge w:val="restart"/>
          </w:tcPr>
          <w:p>
            <w:pPr>
              <w:ind w:left="160"/>
              <w:spacing w:after="0"/>
              <w:rPr>
                <w:sz w:val="20"/>
                <w:szCs w:val="20"/>
                <w:color w:val="auto"/>
              </w:rPr>
            </w:pPr>
            <w:r>
              <w:rPr>
                <w:rFonts w:ascii="Arial" w:cs="Arial" w:eastAsia="Arial" w:hAnsi="Arial"/>
                <w:sz w:val="13"/>
                <w:szCs w:val="13"/>
                <w:color w:val="auto"/>
              </w:rPr>
              <w:t>March 6, 2017</w:t>
            </w:r>
          </w:p>
        </w:tc>
        <w:tc>
          <w:tcPr>
            <w:tcW w:w="0" w:type="dxa"/>
            <w:vAlign w:val="bottom"/>
          </w:tcPr>
          <w:p>
            <w:pPr>
              <w:spacing w:after="0"/>
              <w:rPr>
                <w:sz w:val="1"/>
                <w:szCs w:val="1"/>
                <w:color w:val="auto"/>
              </w:rPr>
            </w:pPr>
          </w:p>
        </w:tc>
      </w:tr>
      <w:tr>
        <w:trPr>
          <w:trHeight w:val="107"/>
        </w:trPr>
        <w:tc>
          <w:tcPr>
            <w:tcW w:w="1120" w:type="dxa"/>
            <w:vAlign w:val="bottom"/>
            <w:tcBorders>
              <w:top w:val="single" w:sz="8" w:color="0000FF"/>
              <w:bottom w:val="single" w:sz="8" w:color="0000FF"/>
            </w:tcBorders>
            <w:gridSpan w:val="6"/>
          </w:tcPr>
          <w:p>
            <w:pPr>
              <w:spacing w:after="0" w:line="107" w:lineRule="exact"/>
              <w:rPr>
                <w:rFonts w:ascii="Arial" w:cs="Arial" w:eastAsia="Arial" w:hAnsi="Arial"/>
                <w:sz w:val="12"/>
                <w:szCs w:val="12"/>
                <w:color w:val="0000FF"/>
              </w:rPr>
            </w:pPr>
            <w:hyperlink r:id="rId178">
              <w:r>
                <w:rPr>
                  <w:rFonts w:ascii="Arial" w:cs="Arial" w:eastAsia="Arial" w:hAnsi="Arial"/>
                  <w:sz w:val="12"/>
                  <w:szCs w:val="12"/>
                  <w:color w:val="0000FF"/>
                </w:rPr>
                <w:t>December 23, 2016</w:t>
              </w:r>
            </w:hyperlink>
          </w:p>
        </w:tc>
        <w:tc>
          <w:tcPr>
            <w:tcW w:w="5020" w:type="dxa"/>
            <w:vAlign w:val="bottom"/>
            <w:tcBorders>
              <w:top w:val="single" w:sz="8" w:color="0000FF"/>
            </w:tcBorders>
            <w:gridSpan w:val="21"/>
          </w:tcPr>
          <w:p>
            <w:pPr>
              <w:spacing w:after="0"/>
              <w:rPr>
                <w:sz w:val="9"/>
                <w:szCs w:val="9"/>
                <w:color w:val="auto"/>
              </w:rPr>
            </w:pPr>
          </w:p>
        </w:tc>
        <w:tc>
          <w:tcPr>
            <w:tcW w:w="20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4"/>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6560" w:type="dxa"/>
            <w:vAlign w:val="bottom"/>
            <w:gridSpan w:val="35"/>
          </w:tcPr>
          <w:p>
            <w:pPr>
              <w:spacing w:after="0"/>
              <w:rPr>
                <w:rFonts w:ascii="Arial" w:cs="Arial" w:eastAsia="Arial" w:hAnsi="Arial"/>
                <w:sz w:val="13"/>
                <w:szCs w:val="13"/>
                <w:color w:val="0000FF"/>
              </w:rPr>
            </w:pPr>
            <w:hyperlink r:id="rId179">
              <w:r>
                <w:rPr>
                  <w:rFonts w:ascii="Arial" w:cs="Arial" w:eastAsia="Arial" w:hAnsi="Arial"/>
                  <w:sz w:val="13"/>
                  <w:szCs w:val="13"/>
                  <w:color w:val="0000FF"/>
                </w:rPr>
                <w:t>Investment Agreement, dated as of February 9, 2021, between Pacific Biosciences of California, Inc. and SB</w:t>
              </w:r>
            </w:hyperlink>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8"/>
              </w:rPr>
              <w:t>8-K</w:t>
            </w:r>
          </w:p>
        </w:tc>
        <w:tc>
          <w:tcPr>
            <w:tcW w:w="760" w:type="dxa"/>
            <w:vAlign w:val="bottom"/>
            <w:vMerge w:val="restart"/>
          </w:tcPr>
          <w:p>
            <w:pPr>
              <w:jc w:val="center"/>
              <w:ind w:left="96"/>
              <w:spacing w:after="0"/>
              <w:rPr>
                <w:sz w:val="20"/>
                <w:szCs w:val="20"/>
                <w:color w:val="auto"/>
              </w:rPr>
            </w:pPr>
            <w:r>
              <w:rPr>
                <w:rFonts w:ascii="Arial" w:cs="Arial" w:eastAsia="Arial" w:hAnsi="Arial"/>
                <w:sz w:val="13"/>
                <w:szCs w:val="13"/>
                <w:color w:val="auto"/>
                <w:w w:val="94"/>
              </w:rPr>
              <w:t>10.1</w:t>
            </w:r>
          </w:p>
        </w:tc>
        <w:tc>
          <w:tcPr>
            <w:tcW w:w="1280" w:type="dxa"/>
            <w:vAlign w:val="bottom"/>
            <w:vMerge w:val="restart"/>
          </w:tcPr>
          <w:p>
            <w:pPr>
              <w:ind w:left="160"/>
              <w:spacing w:after="0"/>
              <w:rPr>
                <w:sz w:val="20"/>
                <w:szCs w:val="20"/>
                <w:color w:val="auto"/>
              </w:rPr>
            </w:pPr>
            <w:r>
              <w:rPr>
                <w:rFonts w:ascii="Arial" w:cs="Arial" w:eastAsia="Arial" w:hAnsi="Arial"/>
                <w:sz w:val="13"/>
                <w:szCs w:val="13"/>
                <w:color w:val="auto"/>
              </w:rPr>
              <w:t>February 10, 2021</w:t>
            </w:r>
          </w:p>
        </w:tc>
        <w:tc>
          <w:tcPr>
            <w:tcW w:w="0" w:type="dxa"/>
            <w:vAlign w:val="bottom"/>
          </w:tcPr>
          <w:p>
            <w:pPr>
              <w:spacing w:after="0"/>
              <w:rPr>
                <w:sz w:val="1"/>
                <w:szCs w:val="1"/>
                <w:color w:val="auto"/>
              </w:rPr>
            </w:pPr>
          </w:p>
        </w:tc>
      </w:tr>
      <w:tr>
        <w:trPr>
          <w:trHeight w:val="107"/>
        </w:trPr>
        <w:tc>
          <w:tcPr>
            <w:tcW w:w="740" w:type="dxa"/>
            <w:vAlign w:val="bottom"/>
            <w:tcBorders>
              <w:top w:val="single" w:sz="8" w:color="0000FF"/>
              <w:bottom w:val="single" w:sz="8" w:color="0000FF"/>
            </w:tcBorders>
            <w:gridSpan w:val="4"/>
          </w:tcPr>
          <w:p>
            <w:pPr>
              <w:spacing w:after="0" w:line="107" w:lineRule="exact"/>
              <w:rPr>
                <w:rFonts w:ascii="Arial" w:cs="Arial" w:eastAsia="Arial" w:hAnsi="Arial"/>
                <w:sz w:val="12"/>
                <w:szCs w:val="12"/>
                <w:color w:val="0000FF"/>
              </w:rPr>
            </w:pPr>
            <w:hyperlink r:id="rId179">
              <w:r>
                <w:rPr>
                  <w:rFonts w:ascii="Arial" w:cs="Arial" w:eastAsia="Arial" w:hAnsi="Arial"/>
                  <w:sz w:val="12"/>
                  <w:szCs w:val="12"/>
                  <w:color w:val="0000FF"/>
                </w:rPr>
                <w:t>Northstar LP.</w:t>
              </w:r>
            </w:hyperlink>
          </w:p>
        </w:tc>
        <w:tc>
          <w:tcPr>
            <w:tcW w:w="5360" w:type="dxa"/>
            <w:vAlign w:val="bottom"/>
            <w:tcBorders>
              <w:top w:val="single" w:sz="8" w:color="0000FF"/>
            </w:tcBorders>
            <w:gridSpan w:val="21"/>
          </w:tcPr>
          <w:p>
            <w:pPr>
              <w:spacing w:after="0"/>
              <w:rPr>
                <w:sz w:val="9"/>
                <w:szCs w:val="9"/>
                <w:color w:val="auto"/>
              </w:rPr>
            </w:pPr>
          </w:p>
        </w:tc>
        <w:tc>
          <w:tcPr>
            <w:tcW w:w="24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4"/>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6560" w:type="dxa"/>
            <w:vAlign w:val="bottom"/>
            <w:gridSpan w:val="35"/>
          </w:tcPr>
          <w:p>
            <w:pPr>
              <w:spacing w:after="0"/>
              <w:rPr>
                <w:rFonts w:ascii="Arial" w:cs="Arial" w:eastAsia="Arial" w:hAnsi="Arial"/>
                <w:sz w:val="13"/>
                <w:szCs w:val="13"/>
                <w:color w:val="0000FF"/>
              </w:rPr>
            </w:pPr>
            <w:hyperlink r:id="rId180">
              <w:r>
                <w:rPr>
                  <w:rFonts w:ascii="Arial" w:cs="Arial" w:eastAsia="Arial" w:hAnsi="Arial"/>
                  <w:sz w:val="13"/>
                  <w:szCs w:val="13"/>
                  <w:color w:val="0000FF"/>
                </w:rPr>
                <w:t>Exclusive License Agreement by and between the Registrant and Cornell Research Foundation, Inc., dated as of</w:t>
              </w:r>
            </w:hyperlink>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8"/>
              </w:rPr>
              <w:t>S-1/A</w:t>
            </w:r>
          </w:p>
        </w:tc>
        <w:tc>
          <w:tcPr>
            <w:tcW w:w="760" w:type="dxa"/>
            <w:vAlign w:val="bottom"/>
            <w:vMerge w:val="restart"/>
          </w:tcPr>
          <w:p>
            <w:pPr>
              <w:jc w:val="center"/>
              <w:ind w:left="96"/>
              <w:spacing w:after="0"/>
              <w:rPr>
                <w:sz w:val="20"/>
                <w:szCs w:val="20"/>
                <w:color w:val="auto"/>
              </w:rPr>
            </w:pPr>
            <w:r>
              <w:rPr>
                <w:rFonts w:ascii="Arial" w:cs="Arial" w:eastAsia="Arial" w:hAnsi="Arial"/>
                <w:sz w:val="13"/>
                <w:szCs w:val="13"/>
                <w:color w:val="auto"/>
                <w:w w:val="94"/>
              </w:rPr>
              <w:t>10.8</w:t>
            </w:r>
          </w:p>
        </w:tc>
        <w:tc>
          <w:tcPr>
            <w:tcW w:w="1280" w:type="dxa"/>
            <w:vAlign w:val="bottom"/>
            <w:vMerge w:val="restart"/>
          </w:tcPr>
          <w:p>
            <w:pPr>
              <w:ind w:left="160"/>
              <w:spacing w:after="0"/>
              <w:rPr>
                <w:sz w:val="20"/>
                <w:szCs w:val="20"/>
                <w:color w:val="auto"/>
              </w:rPr>
            </w:pPr>
            <w:r>
              <w:rPr>
                <w:rFonts w:ascii="Arial" w:cs="Arial" w:eastAsia="Arial" w:hAnsi="Arial"/>
                <w:sz w:val="13"/>
                <w:szCs w:val="13"/>
                <w:color w:val="auto"/>
              </w:rPr>
              <w:t>October 22, 2010</w:t>
            </w:r>
          </w:p>
        </w:tc>
        <w:tc>
          <w:tcPr>
            <w:tcW w:w="0" w:type="dxa"/>
            <w:vAlign w:val="bottom"/>
          </w:tcPr>
          <w:p>
            <w:pPr>
              <w:spacing w:after="0"/>
              <w:rPr>
                <w:sz w:val="1"/>
                <w:szCs w:val="1"/>
                <w:color w:val="auto"/>
              </w:rPr>
            </w:pPr>
          </w:p>
        </w:tc>
      </w:tr>
      <w:tr>
        <w:trPr>
          <w:trHeight w:val="107"/>
        </w:trPr>
        <w:tc>
          <w:tcPr>
            <w:tcW w:w="6360" w:type="dxa"/>
            <w:vAlign w:val="bottom"/>
            <w:tcBorders>
              <w:top w:val="single" w:sz="8" w:color="0000FF"/>
            </w:tcBorders>
            <w:gridSpan w:val="31"/>
          </w:tcPr>
          <w:p>
            <w:pPr>
              <w:spacing w:after="0" w:line="107" w:lineRule="exact"/>
              <w:rPr>
                <w:rFonts w:ascii="Arial" w:cs="Arial" w:eastAsia="Arial" w:hAnsi="Arial"/>
                <w:sz w:val="12"/>
                <w:szCs w:val="12"/>
                <w:color w:val="0000FF"/>
              </w:rPr>
            </w:pPr>
            <w:hyperlink r:id="rId180">
              <w:r>
                <w:rPr>
                  <w:rFonts w:ascii="Arial" w:cs="Arial" w:eastAsia="Arial" w:hAnsi="Arial"/>
                  <w:sz w:val="12"/>
                  <w:szCs w:val="12"/>
                  <w:color w:val="0000FF"/>
                </w:rPr>
                <w:t>February 1, 2004</w:t>
              </w:r>
            </w:hyperlink>
          </w:p>
        </w:tc>
        <w:tc>
          <w:tcPr>
            <w:tcW w:w="200" w:type="dxa"/>
            <w:vAlign w:val="bottom"/>
            <w:gridSpan w:val="4"/>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gridSpan w:val="5"/>
            <w:shd w:val="clear" w:color="auto" w:fill="0000FF"/>
          </w:tcPr>
          <w:p>
            <w:pPr>
              <w:spacing w:after="0" w:line="20" w:lineRule="exact"/>
              <w:rPr>
                <w:sz w:val="1"/>
                <w:szCs w:val="1"/>
                <w:color w:val="auto"/>
              </w:rPr>
            </w:pPr>
          </w:p>
        </w:tc>
        <w:tc>
          <w:tcPr>
            <w:tcW w:w="5380" w:type="dxa"/>
            <w:vAlign w:val="bottom"/>
            <w:gridSpan w:val="2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40" w:type="dxa"/>
            <w:vAlign w:val="bottom"/>
            <w:tcBorders>
              <w:bottom w:val="single" w:sz="8" w:color="0000FF"/>
            </w:tcBorders>
            <w:gridSpan w:val="30"/>
          </w:tcPr>
          <w:p>
            <w:pPr>
              <w:spacing w:after="0"/>
              <w:rPr>
                <w:rFonts w:ascii="Arial" w:cs="Arial" w:eastAsia="Arial" w:hAnsi="Arial"/>
                <w:sz w:val="13"/>
                <w:szCs w:val="13"/>
                <w:color w:val="0000FF"/>
                <w:w w:val="97"/>
              </w:rPr>
            </w:pPr>
            <w:hyperlink r:id="rId181">
              <w:r>
                <w:rPr>
                  <w:rFonts w:ascii="Arial" w:cs="Arial" w:eastAsia="Arial" w:hAnsi="Arial"/>
                  <w:sz w:val="13"/>
                  <w:szCs w:val="13"/>
                  <w:color w:val="0000FF"/>
                  <w:w w:val="97"/>
                </w:rPr>
                <w:t>Letter Relating to Employment Terms by and between the Registrant and Michele Farmer effective May 17, 2021</w:t>
              </w:r>
            </w:hyperlink>
          </w:p>
        </w:tc>
        <w:tc>
          <w:tcPr>
            <w:tcW w:w="220" w:type="dxa"/>
            <w:vAlign w:val="bottom"/>
            <w:gridSpan w:val="5"/>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10-Q</w:t>
            </w:r>
          </w:p>
        </w:tc>
        <w:tc>
          <w:tcPr>
            <w:tcW w:w="760" w:type="dxa"/>
            <w:vAlign w:val="bottom"/>
          </w:tcPr>
          <w:p>
            <w:pPr>
              <w:jc w:val="center"/>
              <w:ind w:left="96"/>
              <w:spacing w:after="0"/>
              <w:rPr>
                <w:sz w:val="20"/>
                <w:szCs w:val="20"/>
                <w:color w:val="auto"/>
              </w:rPr>
            </w:pPr>
            <w:r>
              <w:rPr>
                <w:rFonts w:ascii="Arial" w:cs="Arial" w:eastAsia="Arial" w:hAnsi="Arial"/>
                <w:sz w:val="13"/>
                <w:szCs w:val="13"/>
                <w:color w:val="auto"/>
                <w:w w:val="94"/>
              </w:rPr>
              <w:t>10.2</w:t>
            </w:r>
          </w:p>
        </w:tc>
        <w:tc>
          <w:tcPr>
            <w:tcW w:w="1280" w:type="dxa"/>
            <w:vAlign w:val="bottom"/>
          </w:tcPr>
          <w:p>
            <w:pPr>
              <w:ind w:left="160"/>
              <w:spacing w:after="0"/>
              <w:rPr>
                <w:sz w:val="20"/>
                <w:szCs w:val="20"/>
                <w:color w:val="auto"/>
              </w:rPr>
            </w:pPr>
            <w:r>
              <w:rPr>
                <w:rFonts w:ascii="Arial" w:cs="Arial" w:eastAsia="Arial" w:hAnsi="Arial"/>
                <w:sz w:val="13"/>
                <w:szCs w:val="13"/>
                <w:color w:val="auto"/>
              </w:rPr>
              <w:t>August 6,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-3893185</wp:posOffset>
            </wp:positionV>
            <wp:extent cx="7161530" cy="1143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-3664585</wp:posOffset>
            </wp:positionV>
            <wp:extent cx="716153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-3361055</wp:posOffset>
            </wp:positionV>
            <wp:extent cx="716153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-3058160</wp:posOffset>
            </wp:positionV>
            <wp:extent cx="7161530" cy="114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-2828925</wp:posOffset>
            </wp:positionV>
            <wp:extent cx="7161530" cy="1143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-2599690</wp:posOffset>
            </wp:positionV>
            <wp:extent cx="7161530" cy="1143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-2371090</wp:posOffset>
            </wp:positionV>
            <wp:extent cx="7161530" cy="1143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-2067560</wp:posOffset>
            </wp:positionV>
            <wp:extent cx="716153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-1764665</wp:posOffset>
            </wp:positionV>
            <wp:extent cx="716153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-1387475</wp:posOffset>
            </wp:positionV>
            <wp:extent cx="7161530" cy="1143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-1083945</wp:posOffset>
            </wp:positionV>
            <wp:extent cx="716153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-781050</wp:posOffset>
            </wp:positionV>
            <wp:extent cx="7161530" cy="1143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-477520</wp:posOffset>
            </wp:positionV>
            <wp:extent cx="716153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-100330</wp:posOffset>
            </wp:positionV>
            <wp:extent cx="7161530" cy="1143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 w:space="560"/>
            <w:col w:w="10240"/>
          </w:cols>
          <w:pgMar w:left="300" w:top="125" w:right="319" w:bottom="1440" w:gutter="0" w:footer="0" w:header="0"/>
          <w:type w:val="continuous"/>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ind w:left="20"/>
              <w:spacing w:after="0"/>
              <w:rPr>
                <w:sz w:val="20"/>
                <w:szCs w:val="20"/>
                <w:color w:val="auto"/>
              </w:rPr>
            </w:pPr>
            <w:r>
              <w:rPr>
                <w:rFonts w:ascii="Arial" w:cs="Arial" w:eastAsia="Arial" w:hAnsi="Arial"/>
                <w:sz w:val="13"/>
                <w:szCs w:val="13"/>
                <w:color w:val="auto"/>
              </w:rPr>
              <w:t>10.22</w:t>
            </w:r>
          </w:p>
        </w:tc>
        <w:tc>
          <w:tcPr>
            <w:tcW w:w="6600" w:type="dxa"/>
            <w:vAlign w:val="bottom"/>
            <w:gridSpan w:val="20"/>
          </w:tcPr>
          <w:p>
            <w:pPr>
              <w:spacing w:after="0"/>
              <w:rPr>
                <w:rFonts w:ascii="Arial" w:cs="Arial" w:eastAsia="Arial" w:hAnsi="Arial"/>
                <w:sz w:val="13"/>
                <w:szCs w:val="13"/>
                <w:color w:val="0000FF"/>
              </w:rPr>
            </w:pPr>
            <w:hyperlink r:id="rId197">
              <w:r>
                <w:rPr>
                  <w:rFonts w:ascii="Arial" w:cs="Arial" w:eastAsia="Arial" w:hAnsi="Arial"/>
                  <w:sz w:val="13"/>
                  <w:szCs w:val="13"/>
                  <w:color w:val="0000FF"/>
                </w:rPr>
                <w:t>Agreement and Plan of Merger of Reorganization among Pacific Biosciences of California, Inc., Apollo Acquisition</w:t>
              </w:r>
            </w:hyperlink>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6380" w:type="dxa"/>
            <w:vAlign w:val="bottom"/>
            <w:tcBorders>
              <w:top w:val="single" w:sz="8" w:color="0000FF"/>
              <w:bottom w:val="single" w:sz="8" w:color="0000FF"/>
            </w:tcBorders>
            <w:gridSpan w:val="14"/>
          </w:tcPr>
          <w:p>
            <w:pPr>
              <w:spacing w:after="0" w:line="107" w:lineRule="exact"/>
              <w:rPr>
                <w:rFonts w:ascii="Arial" w:cs="Arial" w:eastAsia="Arial" w:hAnsi="Arial"/>
                <w:sz w:val="12"/>
                <w:szCs w:val="12"/>
                <w:color w:val="0000FF"/>
              </w:rPr>
            </w:pPr>
            <w:hyperlink r:id="rId197">
              <w:r>
                <w:rPr>
                  <w:rFonts w:ascii="Arial" w:cs="Arial" w:eastAsia="Arial" w:hAnsi="Arial"/>
                  <w:sz w:val="12"/>
                  <w:szCs w:val="12"/>
                  <w:color w:val="0000FF"/>
                </w:rPr>
                <w:t>Corp., Apollo Acquisition Sub, LLC, Omniome, Inc. and Shareholder Representative Services, LLC, as securityholder</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tcPr>
          <w:p>
            <w:pPr>
              <w:spacing w:after="0"/>
              <w:rPr>
                <w:sz w:val="9"/>
                <w:szCs w:val="9"/>
                <w:color w:val="auto"/>
              </w:rPr>
            </w:pPr>
          </w:p>
        </w:tc>
        <w:tc>
          <w:tcPr>
            <w:tcW w:w="10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900" w:type="dxa"/>
            <w:vAlign w:val="bottom"/>
            <w:vMerge w:val="restart"/>
          </w:tcPr>
          <w:p>
            <w:pPr>
              <w:ind w:left="360"/>
              <w:spacing w:after="0"/>
              <w:rPr>
                <w:sz w:val="20"/>
                <w:szCs w:val="20"/>
                <w:color w:val="auto"/>
              </w:rPr>
            </w:pPr>
            <w:r>
              <w:rPr>
                <w:rFonts w:ascii="Arial" w:cs="Arial" w:eastAsia="Arial" w:hAnsi="Arial"/>
                <w:sz w:val="13"/>
                <w:szCs w:val="13"/>
                <w:color w:val="auto"/>
              </w:rPr>
              <w:t>8-K</w:t>
            </w:r>
          </w:p>
        </w:tc>
        <w:tc>
          <w:tcPr>
            <w:tcW w:w="760" w:type="dxa"/>
            <w:vAlign w:val="bottom"/>
            <w:vMerge w:val="restart"/>
          </w:tcPr>
          <w:p>
            <w:pPr>
              <w:jc w:val="right"/>
              <w:ind w:right="116"/>
              <w:spacing w:after="0"/>
              <w:rPr>
                <w:sz w:val="20"/>
                <w:szCs w:val="20"/>
                <w:color w:val="auto"/>
              </w:rPr>
            </w:pPr>
            <w:r>
              <w:rPr>
                <w:rFonts w:ascii="Arial" w:cs="Arial" w:eastAsia="Arial" w:hAnsi="Arial"/>
                <w:sz w:val="13"/>
                <w:szCs w:val="13"/>
                <w:color w:val="auto"/>
              </w:rPr>
              <w:t>10.1</w:t>
            </w:r>
          </w:p>
        </w:tc>
        <w:tc>
          <w:tcPr>
            <w:tcW w:w="1980" w:type="dxa"/>
            <w:vAlign w:val="bottom"/>
            <w:vMerge w:val="restart"/>
          </w:tcPr>
          <w:p>
            <w:pPr>
              <w:ind w:left="160"/>
              <w:spacing w:after="0"/>
              <w:rPr>
                <w:sz w:val="20"/>
                <w:szCs w:val="20"/>
                <w:color w:val="auto"/>
              </w:rPr>
            </w:pPr>
            <w:r>
              <w:rPr>
                <w:rFonts w:ascii="Arial" w:cs="Arial" w:eastAsia="Arial" w:hAnsi="Arial"/>
                <w:sz w:val="13"/>
                <w:szCs w:val="13"/>
                <w:color w:val="auto"/>
              </w:rPr>
              <w:t>July 20, 2021</w:t>
            </w: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2300" w:type="dxa"/>
            <w:vAlign w:val="bottom"/>
            <w:tcBorders>
              <w:bottom w:val="single" w:sz="8" w:color="0000FF"/>
            </w:tcBorders>
            <w:gridSpan w:val="7"/>
          </w:tcPr>
          <w:p>
            <w:pPr>
              <w:spacing w:after="0" w:line="107" w:lineRule="exact"/>
              <w:rPr>
                <w:rFonts w:ascii="Arial" w:cs="Arial" w:eastAsia="Arial" w:hAnsi="Arial"/>
                <w:sz w:val="12"/>
                <w:szCs w:val="12"/>
                <w:color w:val="0000FF"/>
              </w:rPr>
            </w:pPr>
            <w:hyperlink r:id="rId197">
              <w:r>
                <w:rPr>
                  <w:rFonts w:ascii="Arial" w:cs="Arial" w:eastAsia="Arial" w:hAnsi="Arial"/>
                  <w:sz w:val="12"/>
                  <w:szCs w:val="12"/>
                  <w:color w:val="0000FF"/>
                </w:rPr>
                <w:t>representative, dated as of July 19, 2021</w:t>
              </w:r>
            </w:hyperlink>
          </w:p>
        </w:tc>
        <w:tc>
          <w:tcPr>
            <w:tcW w:w="4300" w:type="dxa"/>
            <w:vAlign w:val="bottom"/>
            <w:gridSpan w:val="13"/>
          </w:tcPr>
          <w:p>
            <w:pPr>
              <w:spacing w:after="0"/>
              <w:rPr>
                <w:sz w:val="9"/>
                <w:szCs w:val="9"/>
                <w:color w:val="auto"/>
              </w:rPr>
            </w:pPr>
          </w:p>
        </w:tc>
        <w:tc>
          <w:tcPr>
            <w:tcW w:w="9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0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10.23</w:t>
            </w:r>
          </w:p>
        </w:tc>
        <w:tc>
          <w:tcPr>
            <w:tcW w:w="6600" w:type="dxa"/>
            <w:vAlign w:val="bottom"/>
            <w:gridSpan w:val="20"/>
            <w:shd w:val="clear" w:color="auto" w:fill="CCEEFF"/>
          </w:tcPr>
          <w:p>
            <w:pPr>
              <w:spacing w:after="0" w:line="144" w:lineRule="exact"/>
              <w:rPr>
                <w:rFonts w:ascii="Arial" w:cs="Arial" w:eastAsia="Arial" w:hAnsi="Arial"/>
                <w:sz w:val="13"/>
                <w:szCs w:val="13"/>
                <w:color w:val="0000FF"/>
              </w:rPr>
            </w:pPr>
            <w:hyperlink r:id="rId198">
              <w:r>
                <w:rPr>
                  <w:rFonts w:ascii="Arial" w:cs="Arial" w:eastAsia="Arial" w:hAnsi="Arial"/>
                  <w:sz w:val="13"/>
                  <w:szCs w:val="13"/>
                  <w:color w:val="0000FF"/>
                </w:rPr>
                <w:t>Securities Purchase Agreement, dated as of July 19, 2021, by and between Pacific Biosciences of California, Inc.,</w:t>
              </w:r>
            </w:hyperlink>
          </w:p>
        </w:tc>
        <w:tc>
          <w:tcPr>
            <w:tcW w:w="900" w:type="dxa"/>
            <w:vAlign w:val="bottom"/>
            <w:vMerge w:val="restart"/>
            <w:shd w:val="clear" w:color="auto" w:fill="CCEEFF"/>
          </w:tcPr>
          <w:p>
            <w:pPr>
              <w:ind w:left="360"/>
              <w:spacing w:after="0"/>
              <w:rPr>
                <w:sz w:val="20"/>
                <w:szCs w:val="20"/>
                <w:color w:val="auto"/>
              </w:rPr>
            </w:pPr>
            <w:r>
              <w:rPr>
                <w:rFonts w:ascii="Arial" w:cs="Arial" w:eastAsia="Arial" w:hAnsi="Arial"/>
                <w:sz w:val="13"/>
                <w:szCs w:val="13"/>
                <w:color w:val="auto"/>
              </w:rPr>
              <w:t>8-K</w:t>
            </w:r>
          </w:p>
        </w:tc>
        <w:tc>
          <w:tcPr>
            <w:tcW w:w="76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10.2</w:t>
            </w:r>
          </w:p>
        </w:tc>
        <w:tc>
          <w:tcPr>
            <w:tcW w:w="198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July 20, 2021</w:t>
            </w:r>
          </w:p>
        </w:tc>
        <w:tc>
          <w:tcPr>
            <w:tcW w:w="0" w:type="dxa"/>
            <w:vAlign w:val="bottom"/>
          </w:tcPr>
          <w:p>
            <w:pPr>
              <w:spacing w:after="0"/>
              <w:rPr>
                <w:sz w:val="1"/>
                <w:szCs w:val="1"/>
                <w:color w:val="auto"/>
              </w:rPr>
            </w:pPr>
          </w:p>
        </w:tc>
      </w:tr>
      <w:tr>
        <w:trPr>
          <w:trHeight w:val="107"/>
        </w:trPr>
        <w:tc>
          <w:tcPr>
            <w:tcW w:w="1040" w:type="dxa"/>
            <w:vAlign w:val="bottom"/>
            <w:tcBorders>
              <w:top w:val="single" w:sz="8" w:color="CCEEFF"/>
            </w:tcBorders>
            <w:shd w:val="clear" w:color="auto" w:fill="CCEEFF"/>
          </w:tcPr>
          <w:p>
            <w:pPr>
              <w:spacing w:after="0"/>
              <w:rPr>
                <w:sz w:val="9"/>
                <w:szCs w:val="9"/>
                <w:color w:val="auto"/>
              </w:rPr>
            </w:pPr>
          </w:p>
        </w:tc>
        <w:tc>
          <w:tcPr>
            <w:tcW w:w="6420" w:type="dxa"/>
            <w:vAlign w:val="bottom"/>
            <w:tcBorders>
              <w:top w:val="single" w:sz="8" w:color="0000FF"/>
            </w:tcBorders>
            <w:gridSpan w:val="16"/>
            <w:shd w:val="clear" w:color="auto" w:fill="CCEEFF"/>
          </w:tcPr>
          <w:p>
            <w:pPr>
              <w:spacing w:after="0" w:line="107" w:lineRule="exact"/>
              <w:rPr>
                <w:rFonts w:ascii="Arial" w:cs="Arial" w:eastAsia="Arial" w:hAnsi="Arial"/>
                <w:sz w:val="12"/>
                <w:szCs w:val="12"/>
                <w:color w:val="0000FF"/>
              </w:rPr>
            </w:pPr>
            <w:hyperlink r:id="rId198">
              <w:r>
                <w:rPr>
                  <w:rFonts w:ascii="Arial" w:cs="Arial" w:eastAsia="Arial" w:hAnsi="Arial"/>
                  <w:sz w:val="12"/>
                  <w:szCs w:val="12"/>
                  <w:color w:val="0000FF"/>
                </w:rPr>
                <w:t>and each of the Investors</w:t>
              </w:r>
            </w:hyperlink>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CCEEFF"/>
            </w:tcBorders>
            <w:vMerge w:val="continue"/>
            <w:shd w:val="clear" w:color="auto" w:fill="CCEEFF"/>
          </w:tcPr>
          <w:p>
            <w:pPr>
              <w:spacing w:after="0"/>
              <w:rPr>
                <w:sz w:val="9"/>
                <w:szCs w:val="9"/>
                <w:color w:val="auto"/>
              </w:rPr>
            </w:pPr>
          </w:p>
        </w:tc>
        <w:tc>
          <w:tcPr>
            <w:tcW w:w="760" w:type="dxa"/>
            <w:vAlign w:val="bottom"/>
            <w:tcBorders>
              <w:top w:val="single" w:sz="8" w:color="CCEEFF"/>
            </w:tcBorders>
            <w:vMerge w:val="continue"/>
            <w:shd w:val="clear" w:color="auto" w:fill="CCEEFF"/>
          </w:tcPr>
          <w:p>
            <w:pPr>
              <w:spacing w:after="0"/>
              <w:rPr>
                <w:sz w:val="9"/>
                <w:szCs w:val="9"/>
                <w:color w:val="auto"/>
              </w:rPr>
            </w:pPr>
          </w:p>
        </w:tc>
        <w:tc>
          <w:tcPr>
            <w:tcW w:w="198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104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920" w:type="dxa"/>
            <w:vAlign w:val="bottom"/>
            <w:tcBorders>
              <w:left w:val="single" w:sz="8" w:color="CCEEFF"/>
            </w:tcBorders>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1040" w:type="dxa"/>
            <w:vAlign w:val="bottom"/>
          </w:tcPr>
          <w:p>
            <w:pPr>
              <w:ind w:left="20"/>
              <w:spacing w:after="0" w:line="138" w:lineRule="exact"/>
              <w:rPr>
                <w:sz w:val="20"/>
                <w:szCs w:val="20"/>
                <w:color w:val="auto"/>
              </w:rPr>
            </w:pPr>
            <w:r>
              <w:rPr>
                <w:rFonts w:ascii="Arial" w:cs="Arial" w:eastAsia="Arial" w:hAnsi="Arial"/>
                <w:sz w:val="13"/>
                <w:szCs w:val="13"/>
                <w:color w:val="auto"/>
              </w:rPr>
              <w:t>10.24</w:t>
            </w:r>
          </w:p>
        </w:tc>
        <w:tc>
          <w:tcPr>
            <w:tcW w:w="6600" w:type="dxa"/>
            <w:vAlign w:val="bottom"/>
            <w:gridSpan w:val="20"/>
          </w:tcPr>
          <w:p>
            <w:pPr>
              <w:spacing w:after="0" w:line="138" w:lineRule="exact"/>
              <w:rPr>
                <w:rFonts w:ascii="Arial" w:cs="Arial" w:eastAsia="Arial" w:hAnsi="Arial"/>
                <w:sz w:val="13"/>
                <w:szCs w:val="13"/>
                <w:color w:val="0000FF"/>
              </w:rPr>
            </w:pPr>
            <w:hyperlink r:id="rId199">
              <w:r>
                <w:rPr>
                  <w:rFonts w:ascii="Arial" w:cs="Arial" w:eastAsia="Arial" w:hAnsi="Arial"/>
                  <w:sz w:val="13"/>
                  <w:szCs w:val="13"/>
                  <w:color w:val="0000FF"/>
                </w:rPr>
                <w:t>Registration Rights Agreement, dated as of July 19, 2021, by and between Pacific Biosciences of California, Inc.,</w:t>
              </w:r>
            </w:hyperlink>
          </w:p>
        </w:tc>
        <w:tc>
          <w:tcPr>
            <w:tcW w:w="900" w:type="dxa"/>
            <w:vAlign w:val="bottom"/>
            <w:vMerge w:val="restart"/>
          </w:tcPr>
          <w:p>
            <w:pPr>
              <w:ind w:left="360"/>
              <w:spacing w:after="0"/>
              <w:rPr>
                <w:sz w:val="20"/>
                <w:szCs w:val="20"/>
                <w:color w:val="auto"/>
              </w:rPr>
            </w:pPr>
            <w:r>
              <w:rPr>
                <w:rFonts w:ascii="Arial" w:cs="Arial" w:eastAsia="Arial" w:hAnsi="Arial"/>
                <w:sz w:val="13"/>
                <w:szCs w:val="13"/>
                <w:color w:val="auto"/>
              </w:rPr>
              <w:t>8-K</w:t>
            </w:r>
          </w:p>
        </w:tc>
        <w:tc>
          <w:tcPr>
            <w:tcW w:w="760" w:type="dxa"/>
            <w:vAlign w:val="bottom"/>
            <w:vMerge w:val="restart"/>
          </w:tcPr>
          <w:p>
            <w:pPr>
              <w:jc w:val="right"/>
              <w:ind w:right="116"/>
              <w:spacing w:after="0"/>
              <w:rPr>
                <w:sz w:val="20"/>
                <w:szCs w:val="20"/>
                <w:color w:val="auto"/>
              </w:rPr>
            </w:pPr>
            <w:r>
              <w:rPr>
                <w:rFonts w:ascii="Arial" w:cs="Arial" w:eastAsia="Arial" w:hAnsi="Arial"/>
                <w:sz w:val="13"/>
                <w:szCs w:val="13"/>
                <w:color w:val="auto"/>
              </w:rPr>
              <w:t>10.3</w:t>
            </w:r>
          </w:p>
        </w:tc>
        <w:tc>
          <w:tcPr>
            <w:tcW w:w="1980" w:type="dxa"/>
            <w:vAlign w:val="bottom"/>
            <w:vMerge w:val="restart"/>
          </w:tcPr>
          <w:p>
            <w:pPr>
              <w:ind w:left="160"/>
              <w:spacing w:after="0"/>
              <w:rPr>
                <w:sz w:val="20"/>
                <w:szCs w:val="20"/>
                <w:color w:val="auto"/>
              </w:rPr>
            </w:pPr>
            <w:r>
              <w:rPr>
                <w:rFonts w:ascii="Arial" w:cs="Arial" w:eastAsia="Arial" w:hAnsi="Arial"/>
                <w:sz w:val="13"/>
                <w:szCs w:val="13"/>
                <w:color w:val="auto"/>
              </w:rPr>
              <w:t>July 20, 2021</w:t>
            </w: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6340" w:type="dxa"/>
            <w:vAlign w:val="bottom"/>
            <w:tcBorders>
              <w:top w:val="single" w:sz="8" w:color="0000FF"/>
            </w:tcBorders>
            <w:gridSpan w:val="13"/>
          </w:tcPr>
          <w:p>
            <w:pPr>
              <w:spacing w:after="0" w:line="107" w:lineRule="exact"/>
              <w:rPr>
                <w:rFonts w:ascii="Arial" w:cs="Arial" w:eastAsia="Arial" w:hAnsi="Arial"/>
                <w:sz w:val="12"/>
                <w:szCs w:val="12"/>
                <w:color w:val="0000FF"/>
              </w:rPr>
            </w:pPr>
            <w:hyperlink r:id="rId199">
              <w:r>
                <w:rPr>
                  <w:rFonts w:ascii="Arial" w:cs="Arial" w:eastAsia="Arial" w:hAnsi="Arial"/>
                  <w:sz w:val="12"/>
                  <w:szCs w:val="12"/>
                  <w:color w:val="0000FF"/>
                </w:rPr>
                <w:t>and each of the Investors</w:t>
              </w:r>
            </w:hyperlink>
          </w:p>
        </w:tc>
        <w:tc>
          <w:tcPr>
            <w:tcW w:w="6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10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10.25+</w:t>
            </w:r>
          </w:p>
        </w:tc>
        <w:tc>
          <w:tcPr>
            <w:tcW w:w="6140" w:type="dxa"/>
            <w:vAlign w:val="bottom"/>
            <w:tcBorders>
              <w:bottom w:val="single" w:sz="8" w:color="0000FF"/>
            </w:tcBorders>
            <w:gridSpan w:val="12"/>
            <w:shd w:val="clear" w:color="auto" w:fill="CCEEFF"/>
          </w:tcPr>
          <w:p>
            <w:pPr>
              <w:spacing w:after="0"/>
              <w:rPr>
                <w:rFonts w:ascii="Arial" w:cs="Arial" w:eastAsia="Arial" w:hAnsi="Arial"/>
                <w:sz w:val="13"/>
                <w:szCs w:val="13"/>
                <w:color w:val="0000FF"/>
                <w:w w:val="97"/>
              </w:rPr>
            </w:pPr>
            <w:hyperlink r:id="rId200">
              <w:r>
                <w:rPr>
                  <w:rFonts w:ascii="Arial" w:cs="Arial" w:eastAsia="Arial" w:hAnsi="Arial"/>
                  <w:sz w:val="13"/>
                  <w:szCs w:val="13"/>
                  <w:color w:val="0000FF"/>
                  <w:w w:val="97"/>
                </w:rPr>
                <w:t>Letter Relating to Employment Terms by and between the Registrant and Jeff Eidel effective August 16, 2022</w:t>
              </w:r>
            </w:hyperlink>
          </w:p>
        </w:tc>
        <w:tc>
          <w:tcPr>
            <w:tcW w:w="460" w:type="dxa"/>
            <w:vAlign w:val="bottom"/>
            <w:tcBorders>
              <w:bottom w:val="single" w:sz="8" w:color="CCEEFF"/>
            </w:tcBorders>
            <w:gridSpan w:val="8"/>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8-K</w:t>
            </w:r>
          </w:p>
        </w:tc>
        <w:tc>
          <w:tcPr>
            <w:tcW w:w="7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99.3</w:t>
            </w:r>
          </w:p>
        </w:tc>
        <w:tc>
          <w:tcPr>
            <w:tcW w:w="1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January 24, 2023</w:t>
            </w:r>
          </w:p>
        </w:tc>
        <w:tc>
          <w:tcPr>
            <w:tcW w:w="0" w:type="dxa"/>
            <w:vAlign w:val="bottom"/>
          </w:tcPr>
          <w:p>
            <w:pPr>
              <w:spacing w:after="0"/>
              <w:rPr>
                <w:sz w:val="1"/>
                <w:szCs w:val="1"/>
                <w:color w:val="auto"/>
              </w:rPr>
            </w:pPr>
          </w:p>
        </w:tc>
      </w:tr>
      <w:tr>
        <w:trPr>
          <w:trHeight w:val="138"/>
        </w:trPr>
        <w:tc>
          <w:tcPr>
            <w:tcW w:w="1040" w:type="dxa"/>
            <w:vAlign w:val="bottom"/>
          </w:tcPr>
          <w:p>
            <w:pPr>
              <w:ind w:left="20"/>
              <w:spacing w:after="0" w:line="138" w:lineRule="exact"/>
              <w:rPr>
                <w:sz w:val="20"/>
                <w:szCs w:val="20"/>
                <w:color w:val="auto"/>
              </w:rPr>
            </w:pPr>
            <w:r>
              <w:rPr>
                <w:rFonts w:ascii="Arial" w:cs="Arial" w:eastAsia="Arial" w:hAnsi="Arial"/>
                <w:sz w:val="13"/>
                <w:szCs w:val="13"/>
                <w:color w:val="auto"/>
              </w:rPr>
              <w:t>10.26+</w:t>
            </w:r>
          </w:p>
        </w:tc>
        <w:tc>
          <w:tcPr>
            <w:tcW w:w="6600" w:type="dxa"/>
            <w:vAlign w:val="bottom"/>
            <w:gridSpan w:val="20"/>
          </w:tcPr>
          <w:p>
            <w:pPr>
              <w:spacing w:after="0" w:line="138" w:lineRule="exact"/>
              <w:rPr>
                <w:rFonts w:ascii="Arial" w:cs="Arial" w:eastAsia="Arial" w:hAnsi="Arial"/>
                <w:sz w:val="13"/>
                <w:szCs w:val="13"/>
                <w:color w:val="0000FF"/>
                <w:w w:val="99"/>
              </w:rPr>
            </w:pPr>
            <w:hyperlink r:id="rId201">
              <w:r>
                <w:rPr>
                  <w:rFonts w:ascii="Arial" w:cs="Arial" w:eastAsia="Arial" w:hAnsi="Arial"/>
                  <w:sz w:val="13"/>
                  <w:szCs w:val="13"/>
                  <w:color w:val="0000FF"/>
                  <w:w w:val="99"/>
                </w:rPr>
                <w:t>Change in Control and Severance Agreement by and between the Registrant and Susan G. Kim effective February</w:t>
              </w:r>
            </w:hyperlink>
          </w:p>
        </w:tc>
        <w:tc>
          <w:tcPr>
            <w:tcW w:w="900" w:type="dxa"/>
            <w:vAlign w:val="bottom"/>
            <w:vMerge w:val="restart"/>
          </w:tcPr>
          <w:p>
            <w:pPr>
              <w:ind w:left="360"/>
              <w:spacing w:after="0"/>
              <w:rPr>
                <w:sz w:val="20"/>
                <w:szCs w:val="20"/>
                <w:color w:val="auto"/>
              </w:rPr>
            </w:pPr>
            <w:r>
              <w:rPr>
                <w:rFonts w:ascii="Arial" w:cs="Arial" w:eastAsia="Arial" w:hAnsi="Arial"/>
                <w:sz w:val="13"/>
                <w:szCs w:val="13"/>
                <w:color w:val="auto"/>
              </w:rPr>
              <w:t>8-K</w:t>
            </w:r>
          </w:p>
        </w:tc>
        <w:tc>
          <w:tcPr>
            <w:tcW w:w="760" w:type="dxa"/>
            <w:vAlign w:val="bottom"/>
            <w:vMerge w:val="restart"/>
          </w:tcPr>
          <w:p>
            <w:pPr>
              <w:jc w:val="right"/>
              <w:ind w:right="116"/>
              <w:spacing w:after="0"/>
              <w:rPr>
                <w:sz w:val="20"/>
                <w:szCs w:val="20"/>
                <w:color w:val="auto"/>
              </w:rPr>
            </w:pPr>
            <w:r>
              <w:rPr>
                <w:rFonts w:ascii="Arial" w:cs="Arial" w:eastAsia="Arial" w:hAnsi="Arial"/>
                <w:sz w:val="13"/>
                <w:szCs w:val="13"/>
                <w:color w:val="auto"/>
              </w:rPr>
              <w:t>99.4</w:t>
            </w:r>
          </w:p>
        </w:tc>
        <w:tc>
          <w:tcPr>
            <w:tcW w:w="1980" w:type="dxa"/>
            <w:vAlign w:val="bottom"/>
            <w:vMerge w:val="restart"/>
          </w:tcPr>
          <w:p>
            <w:pPr>
              <w:ind w:left="160"/>
              <w:spacing w:after="0"/>
              <w:rPr>
                <w:sz w:val="20"/>
                <w:szCs w:val="20"/>
                <w:color w:val="auto"/>
              </w:rPr>
            </w:pPr>
            <w:r>
              <w:rPr>
                <w:rFonts w:ascii="Arial" w:cs="Arial" w:eastAsia="Arial" w:hAnsi="Arial"/>
                <w:sz w:val="13"/>
                <w:szCs w:val="13"/>
                <w:color w:val="auto"/>
              </w:rPr>
              <w:t>January 24, 2023</w:t>
            </w: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420" w:type="dxa"/>
            <w:vAlign w:val="bottom"/>
            <w:tcBorders>
              <w:top w:val="single" w:sz="8" w:color="0000FF"/>
              <w:bottom w:val="single" w:sz="8" w:color="0000FF"/>
            </w:tcBorders>
          </w:tcPr>
          <w:p>
            <w:pPr>
              <w:spacing w:after="0" w:line="107" w:lineRule="exact"/>
              <w:rPr>
                <w:rFonts w:ascii="Arial" w:cs="Arial" w:eastAsia="Arial" w:hAnsi="Arial"/>
                <w:sz w:val="12"/>
                <w:szCs w:val="12"/>
                <w:color w:val="0000FF"/>
                <w:w w:val="99"/>
              </w:rPr>
            </w:pPr>
            <w:hyperlink r:id="rId201">
              <w:r>
                <w:rPr>
                  <w:rFonts w:ascii="Arial" w:cs="Arial" w:eastAsia="Arial" w:hAnsi="Arial"/>
                  <w:sz w:val="12"/>
                  <w:szCs w:val="12"/>
                  <w:color w:val="0000FF"/>
                  <w:w w:val="99"/>
                </w:rPr>
                <w:t>3, 2021</w:t>
              </w:r>
            </w:hyperlink>
          </w:p>
        </w:tc>
        <w:tc>
          <w:tcPr>
            <w:tcW w:w="100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20" w:type="dxa"/>
            <w:vAlign w:val="bottom"/>
            <w:tcBorders>
              <w:top w:val="single" w:sz="8" w:color="0000FF"/>
            </w:tcBorders>
          </w:tcPr>
          <w:p>
            <w:pPr>
              <w:spacing w:after="0"/>
              <w:rPr>
                <w:sz w:val="9"/>
                <w:szCs w:val="9"/>
                <w:color w:val="auto"/>
              </w:rPr>
            </w:pPr>
          </w:p>
        </w:tc>
        <w:tc>
          <w:tcPr>
            <w:tcW w:w="1920" w:type="dxa"/>
            <w:vAlign w:val="bottom"/>
            <w:tcBorders>
              <w:top w:val="single" w:sz="8" w:color="0000FF"/>
            </w:tcBorders>
          </w:tcPr>
          <w:p>
            <w:pPr>
              <w:spacing w:after="0"/>
              <w:rPr>
                <w:sz w:val="9"/>
                <w:szCs w:val="9"/>
                <w:color w:val="auto"/>
              </w:rPr>
            </w:pPr>
          </w:p>
        </w:tc>
        <w:tc>
          <w:tcPr>
            <w:tcW w:w="8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10.27</w:t>
            </w:r>
          </w:p>
        </w:tc>
        <w:tc>
          <w:tcPr>
            <w:tcW w:w="6600" w:type="dxa"/>
            <w:vAlign w:val="bottom"/>
            <w:gridSpan w:val="20"/>
            <w:shd w:val="clear" w:color="auto" w:fill="CCEEFF"/>
          </w:tcPr>
          <w:p>
            <w:pPr>
              <w:spacing w:after="0"/>
              <w:rPr>
                <w:rFonts w:ascii="Arial" w:cs="Arial" w:eastAsia="Arial" w:hAnsi="Arial"/>
                <w:sz w:val="13"/>
                <w:szCs w:val="13"/>
                <w:color w:val="0000FF"/>
              </w:rPr>
            </w:pPr>
            <w:hyperlink r:id="rId202">
              <w:r>
                <w:rPr>
                  <w:rFonts w:ascii="Arial" w:cs="Arial" w:eastAsia="Arial" w:hAnsi="Arial"/>
                  <w:sz w:val="13"/>
                  <w:szCs w:val="13"/>
                  <w:color w:val="0000FF"/>
                </w:rPr>
                <w:t>Letter Agreement, dated June 23, 2023, between the Company and Chimera Investment LLC</w:t>
              </w:r>
            </w:hyperlink>
          </w:p>
        </w:tc>
        <w:tc>
          <w:tcPr>
            <w:tcW w:w="9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8-K</w:t>
            </w: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10.1</w:t>
            </w:r>
          </w:p>
        </w:tc>
        <w:tc>
          <w:tcPr>
            <w:tcW w:w="1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June 23, 2023</w:t>
            </w:r>
          </w:p>
        </w:tc>
        <w:tc>
          <w:tcPr>
            <w:tcW w:w="0" w:type="dxa"/>
            <w:vAlign w:val="bottom"/>
          </w:tcPr>
          <w:p>
            <w:pPr>
              <w:spacing w:after="0"/>
              <w:rPr>
                <w:sz w:val="1"/>
                <w:szCs w:val="1"/>
                <w:color w:val="auto"/>
              </w:rPr>
            </w:pPr>
          </w:p>
        </w:tc>
      </w:tr>
      <w:tr>
        <w:trPr>
          <w:trHeight w:val="32"/>
        </w:trPr>
        <w:tc>
          <w:tcPr>
            <w:tcW w:w="104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192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1040" w:type="dxa"/>
            <w:vAlign w:val="bottom"/>
          </w:tcPr>
          <w:p>
            <w:pPr>
              <w:ind w:left="20"/>
              <w:spacing w:after="0" w:line="138" w:lineRule="exact"/>
              <w:rPr>
                <w:sz w:val="20"/>
                <w:szCs w:val="20"/>
                <w:color w:val="auto"/>
              </w:rPr>
            </w:pPr>
            <w:r>
              <w:rPr>
                <w:rFonts w:ascii="Arial" w:cs="Arial" w:eastAsia="Arial" w:hAnsi="Arial"/>
                <w:sz w:val="13"/>
                <w:szCs w:val="13"/>
                <w:color w:val="auto"/>
              </w:rPr>
              <w:t>10.28+</w:t>
            </w:r>
          </w:p>
        </w:tc>
        <w:tc>
          <w:tcPr>
            <w:tcW w:w="6600" w:type="dxa"/>
            <w:vAlign w:val="bottom"/>
            <w:gridSpan w:val="20"/>
          </w:tcPr>
          <w:p>
            <w:pPr>
              <w:spacing w:after="0" w:line="138" w:lineRule="exact"/>
              <w:rPr>
                <w:sz w:val="20"/>
                <w:szCs w:val="20"/>
                <w:color w:val="auto"/>
              </w:rPr>
            </w:pPr>
            <w:r>
              <w:rPr>
                <w:rFonts w:ascii="Arial" w:cs="Arial" w:eastAsia="Arial" w:hAnsi="Arial"/>
                <w:sz w:val="13"/>
                <w:szCs w:val="13"/>
                <w:color w:val="0000FF"/>
                <w:w w:val="98"/>
              </w:rPr>
              <w:t>Form of Performance-Based Restricted Stock Unit Award Agreement under the Pacific Biosciences of California, Inc.</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vMerge w:val="restart"/>
          </w:tcPr>
          <w:p>
            <w:pPr>
              <w:ind w:left="160"/>
              <w:spacing w:after="0"/>
              <w:rPr>
                <w:sz w:val="20"/>
                <w:szCs w:val="20"/>
                <w:color w:val="auto"/>
              </w:rPr>
            </w:pPr>
            <w:r>
              <w:rPr>
                <w:rFonts w:ascii="Arial" w:cs="Arial" w:eastAsia="Arial" w:hAnsi="Arial"/>
                <w:sz w:val="13"/>
                <w:szCs w:val="13"/>
                <w:color w:val="auto"/>
              </w:rPr>
              <w:t>Filed herewith</w:t>
            </w: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2280" w:type="dxa"/>
            <w:vAlign w:val="bottom"/>
            <w:tcBorders>
              <w:top w:val="single" w:sz="8" w:color="0000FF"/>
              <w:bottom w:val="single" w:sz="8" w:color="0000FF"/>
            </w:tcBorders>
            <w:gridSpan w:val="6"/>
          </w:tcPr>
          <w:p>
            <w:pPr>
              <w:spacing w:after="0" w:line="107" w:lineRule="exact"/>
              <w:rPr>
                <w:sz w:val="20"/>
                <w:szCs w:val="20"/>
                <w:color w:val="auto"/>
              </w:rPr>
            </w:pPr>
            <w:r>
              <w:rPr>
                <w:rFonts w:ascii="Arial" w:cs="Arial" w:eastAsia="Arial" w:hAnsi="Arial"/>
                <w:sz w:val="12"/>
                <w:szCs w:val="12"/>
                <w:color w:val="0000FF"/>
              </w:rPr>
              <w:t>2020 Equity Incentive Plan, as amended</w:t>
            </w:r>
          </w:p>
        </w:tc>
        <w:tc>
          <w:tcPr>
            <w:tcW w:w="428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21.1</w:t>
            </w:r>
          </w:p>
        </w:tc>
        <w:tc>
          <w:tcPr>
            <w:tcW w:w="2040" w:type="dxa"/>
            <w:vAlign w:val="bottom"/>
            <w:tcBorders>
              <w:bottom w:val="single" w:sz="8" w:color="0000FF"/>
            </w:tcBorders>
            <w:gridSpan w:val="5"/>
            <w:shd w:val="clear" w:color="auto" w:fill="CCEEFF"/>
          </w:tcPr>
          <w:p>
            <w:pPr>
              <w:spacing w:after="0"/>
              <w:rPr>
                <w:sz w:val="20"/>
                <w:szCs w:val="20"/>
                <w:color w:val="auto"/>
              </w:rPr>
            </w:pPr>
            <w:r>
              <w:rPr>
                <w:rFonts w:ascii="Arial" w:cs="Arial" w:eastAsia="Arial" w:hAnsi="Arial"/>
                <w:sz w:val="13"/>
                <w:szCs w:val="13"/>
                <w:color w:val="0000FF"/>
                <w:w w:val="97"/>
              </w:rPr>
              <w:t>List of Subsidiaries of the Registrant</w:t>
            </w:r>
          </w:p>
        </w:tc>
        <w:tc>
          <w:tcPr>
            <w:tcW w:w="4560" w:type="dxa"/>
            <w:vAlign w:val="bottom"/>
            <w:tcBorders>
              <w:bottom w:val="single" w:sz="8" w:color="CCEEFF"/>
            </w:tcBorders>
            <w:gridSpan w:val="15"/>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Filed herewith</w:t>
            </w:r>
          </w:p>
        </w:tc>
        <w:tc>
          <w:tcPr>
            <w:tcW w:w="0" w:type="dxa"/>
            <w:vAlign w:val="bottom"/>
          </w:tcPr>
          <w:p>
            <w:pPr>
              <w:spacing w:after="0"/>
              <w:rPr>
                <w:sz w:val="1"/>
                <w:szCs w:val="1"/>
                <w:color w:val="auto"/>
              </w:rPr>
            </w:pPr>
          </w:p>
        </w:tc>
      </w:tr>
      <w:tr>
        <w:trPr>
          <w:trHeight w:val="149"/>
        </w:trPr>
        <w:tc>
          <w:tcPr>
            <w:tcW w:w="1040" w:type="dxa"/>
            <w:vAlign w:val="bottom"/>
          </w:tcPr>
          <w:p>
            <w:pPr>
              <w:ind w:left="20"/>
              <w:spacing w:after="0"/>
              <w:rPr>
                <w:sz w:val="20"/>
                <w:szCs w:val="20"/>
                <w:color w:val="auto"/>
              </w:rPr>
            </w:pPr>
            <w:r>
              <w:rPr>
                <w:rFonts w:ascii="Arial" w:cs="Arial" w:eastAsia="Arial" w:hAnsi="Arial"/>
                <w:sz w:val="13"/>
                <w:szCs w:val="13"/>
                <w:color w:val="auto"/>
              </w:rPr>
              <w:t>23.1</w:t>
            </w:r>
          </w:p>
        </w:tc>
        <w:tc>
          <w:tcPr>
            <w:tcW w:w="6600" w:type="dxa"/>
            <w:vAlign w:val="bottom"/>
            <w:gridSpan w:val="20"/>
          </w:tcPr>
          <w:p>
            <w:pPr>
              <w:spacing w:after="0"/>
              <w:rPr>
                <w:sz w:val="20"/>
                <w:szCs w:val="20"/>
                <w:color w:val="auto"/>
              </w:rPr>
            </w:pPr>
            <w:r>
              <w:rPr>
                <w:rFonts w:ascii="Arial" w:cs="Arial" w:eastAsia="Arial" w:hAnsi="Arial"/>
                <w:sz w:val="13"/>
                <w:szCs w:val="13"/>
                <w:color w:val="0000FF"/>
              </w:rPr>
              <w:t>Consent of Independent Registered Public Accounting Firm</w:t>
            </w: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80" w:type="dxa"/>
            <w:vAlign w:val="bottom"/>
          </w:tcPr>
          <w:p>
            <w:pPr>
              <w:ind w:left="160"/>
              <w:spacing w:after="0"/>
              <w:rPr>
                <w:sz w:val="20"/>
                <w:szCs w:val="20"/>
                <w:color w:val="auto"/>
              </w:rPr>
            </w:pPr>
            <w:r>
              <w:rPr>
                <w:rFonts w:ascii="Arial" w:cs="Arial" w:eastAsia="Arial" w:hAnsi="Arial"/>
                <w:sz w:val="13"/>
                <w:szCs w:val="13"/>
                <w:color w:val="auto"/>
              </w:rPr>
              <w:t>Filed herewith</w:t>
            </w:r>
          </w:p>
        </w:tc>
        <w:tc>
          <w:tcPr>
            <w:tcW w:w="0" w:type="dxa"/>
            <w:vAlign w:val="bottom"/>
          </w:tcPr>
          <w:p>
            <w:pPr>
              <w:spacing w:after="0"/>
              <w:rPr>
                <w:sz w:val="1"/>
                <w:szCs w:val="1"/>
                <w:color w:val="auto"/>
              </w:rPr>
            </w:pPr>
          </w:p>
        </w:tc>
      </w:tr>
      <w:tr>
        <w:trPr>
          <w:trHeight w:val="26"/>
        </w:trPr>
        <w:tc>
          <w:tcPr>
            <w:tcW w:w="10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1920" w:type="dxa"/>
            <w:vAlign w:val="bottom"/>
            <w:tcBorders>
              <w:left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0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31.1</w:t>
            </w:r>
          </w:p>
        </w:tc>
        <w:tc>
          <w:tcPr>
            <w:tcW w:w="6600" w:type="dxa"/>
            <w:vAlign w:val="bottom"/>
            <w:gridSpan w:val="20"/>
            <w:shd w:val="clear" w:color="auto" w:fill="CCEEFF"/>
          </w:tcPr>
          <w:p>
            <w:pPr>
              <w:spacing w:after="0" w:line="144" w:lineRule="exact"/>
              <w:rPr>
                <w:sz w:val="20"/>
                <w:szCs w:val="20"/>
                <w:color w:val="auto"/>
              </w:rPr>
            </w:pPr>
            <w:r>
              <w:rPr>
                <w:rFonts w:ascii="Arial" w:cs="Arial" w:eastAsia="Arial" w:hAnsi="Arial"/>
                <w:sz w:val="13"/>
                <w:szCs w:val="13"/>
                <w:color w:val="0000FF"/>
              </w:rPr>
              <w:t>Certification of Chief Executive Officer pursuant to Exchange Act Rules 13a-14(a) and 15d-14(a), as adopted</w:t>
            </w: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8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Filed herewith</w:t>
            </w:r>
          </w:p>
        </w:tc>
        <w:tc>
          <w:tcPr>
            <w:tcW w:w="0" w:type="dxa"/>
            <w:vAlign w:val="bottom"/>
          </w:tcPr>
          <w:p>
            <w:pPr>
              <w:spacing w:after="0"/>
              <w:rPr>
                <w:sz w:val="1"/>
                <w:szCs w:val="1"/>
                <w:color w:val="auto"/>
              </w:rPr>
            </w:pPr>
          </w:p>
        </w:tc>
      </w:tr>
      <w:tr>
        <w:trPr>
          <w:trHeight w:val="107"/>
        </w:trPr>
        <w:tc>
          <w:tcPr>
            <w:tcW w:w="1040" w:type="dxa"/>
            <w:vAlign w:val="bottom"/>
            <w:tcBorders>
              <w:top w:val="single" w:sz="8" w:color="CCEEFF"/>
            </w:tcBorders>
            <w:shd w:val="clear" w:color="auto" w:fill="CCEEFF"/>
          </w:tcPr>
          <w:p>
            <w:pPr>
              <w:spacing w:after="0"/>
              <w:rPr>
                <w:sz w:val="9"/>
                <w:szCs w:val="9"/>
                <w:color w:val="auto"/>
              </w:rPr>
            </w:pPr>
          </w:p>
        </w:tc>
        <w:tc>
          <w:tcPr>
            <w:tcW w:w="6120" w:type="dxa"/>
            <w:vAlign w:val="bottom"/>
            <w:tcBorders>
              <w:top w:val="single" w:sz="8" w:color="0000FF"/>
            </w:tcBorders>
            <w:gridSpan w:val="11"/>
            <w:shd w:val="clear" w:color="auto" w:fill="CCEEFF"/>
          </w:tcPr>
          <w:p>
            <w:pPr>
              <w:spacing w:after="0" w:line="107" w:lineRule="exact"/>
              <w:rPr>
                <w:sz w:val="20"/>
                <w:szCs w:val="20"/>
                <w:color w:val="auto"/>
              </w:rPr>
            </w:pPr>
            <w:r>
              <w:rPr>
                <w:rFonts w:ascii="Arial" w:cs="Arial" w:eastAsia="Arial" w:hAnsi="Arial"/>
                <w:sz w:val="12"/>
                <w:szCs w:val="12"/>
                <w:color w:val="0000FF"/>
              </w:rPr>
              <w:t>pursuant to Section 302 of the Sarbanes-Oxley Act of 2002</w:t>
            </w:r>
          </w:p>
        </w:tc>
        <w:tc>
          <w:tcPr>
            <w:tcW w:w="280" w:type="dxa"/>
            <w:vAlign w:val="bottom"/>
            <w:tcBorders>
              <w:top w:val="single" w:sz="8" w:color="CCEEFF"/>
            </w:tcBorders>
            <w:gridSpan w:val="4"/>
            <w:shd w:val="clear" w:color="auto" w:fill="CCEEFF"/>
          </w:tcPr>
          <w:p>
            <w:pPr>
              <w:spacing w:after="0"/>
              <w:rPr>
                <w:sz w:val="9"/>
                <w:szCs w:val="9"/>
                <w:color w:val="auto"/>
              </w:rPr>
            </w:pPr>
          </w:p>
        </w:tc>
        <w:tc>
          <w:tcPr>
            <w:tcW w:w="180" w:type="dxa"/>
            <w:vAlign w:val="bottom"/>
            <w:tcBorders>
              <w:top w:val="single" w:sz="8" w:color="CCEEFF"/>
            </w:tcBorders>
            <w:gridSpan w:val="4"/>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CCEEFF"/>
            </w:tcBorders>
            <w:shd w:val="clear" w:color="auto" w:fill="CCEEFF"/>
          </w:tcPr>
          <w:p>
            <w:pPr>
              <w:spacing w:after="0"/>
              <w:rPr>
                <w:sz w:val="9"/>
                <w:szCs w:val="9"/>
                <w:color w:val="auto"/>
              </w:rPr>
            </w:pPr>
          </w:p>
        </w:tc>
        <w:tc>
          <w:tcPr>
            <w:tcW w:w="198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104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1920" w:type="dxa"/>
            <w:vAlign w:val="bottom"/>
            <w:tcBorders>
              <w:left w:val="single" w:sz="8" w:color="CCEEFF"/>
            </w:tcBorders>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1040" w:type="dxa"/>
            <w:vAlign w:val="bottom"/>
          </w:tcPr>
          <w:p>
            <w:pPr>
              <w:ind w:left="20"/>
              <w:spacing w:after="0" w:line="138" w:lineRule="exact"/>
              <w:rPr>
                <w:sz w:val="20"/>
                <w:szCs w:val="20"/>
                <w:color w:val="auto"/>
              </w:rPr>
            </w:pPr>
            <w:r>
              <w:rPr>
                <w:rFonts w:ascii="Arial" w:cs="Arial" w:eastAsia="Arial" w:hAnsi="Arial"/>
                <w:sz w:val="13"/>
                <w:szCs w:val="13"/>
                <w:color w:val="auto"/>
              </w:rPr>
              <w:t>31.2</w:t>
            </w:r>
          </w:p>
        </w:tc>
        <w:tc>
          <w:tcPr>
            <w:tcW w:w="6600" w:type="dxa"/>
            <w:vAlign w:val="bottom"/>
            <w:gridSpan w:val="20"/>
          </w:tcPr>
          <w:p>
            <w:pPr>
              <w:spacing w:after="0" w:line="138" w:lineRule="exact"/>
              <w:rPr>
                <w:sz w:val="20"/>
                <w:szCs w:val="20"/>
                <w:color w:val="auto"/>
              </w:rPr>
            </w:pPr>
            <w:r>
              <w:rPr>
                <w:rFonts w:ascii="Arial" w:cs="Arial" w:eastAsia="Arial" w:hAnsi="Arial"/>
                <w:sz w:val="13"/>
                <w:szCs w:val="13"/>
                <w:color w:val="0000FF"/>
              </w:rPr>
              <w:t>Certification of Chief Financial Officer pursuant to Exchange Act Rules 13a-14(a) and 15d-14(a), as adopted</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vMerge w:val="restart"/>
          </w:tcPr>
          <w:p>
            <w:pPr>
              <w:ind w:left="160"/>
              <w:spacing w:after="0"/>
              <w:rPr>
                <w:sz w:val="20"/>
                <w:szCs w:val="20"/>
                <w:color w:val="auto"/>
              </w:rPr>
            </w:pPr>
            <w:r>
              <w:rPr>
                <w:rFonts w:ascii="Arial" w:cs="Arial" w:eastAsia="Arial" w:hAnsi="Arial"/>
                <w:sz w:val="13"/>
                <w:szCs w:val="13"/>
                <w:color w:val="auto"/>
              </w:rPr>
              <w:t>Filed herewith</w:t>
            </w: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6080" w:type="dxa"/>
            <w:vAlign w:val="bottom"/>
            <w:tcBorders>
              <w:top w:val="single" w:sz="8" w:color="0000FF"/>
            </w:tcBorders>
            <w:gridSpan w:val="10"/>
          </w:tcPr>
          <w:p>
            <w:pPr>
              <w:spacing w:after="0" w:line="107" w:lineRule="exact"/>
              <w:rPr>
                <w:sz w:val="20"/>
                <w:szCs w:val="20"/>
                <w:color w:val="auto"/>
              </w:rPr>
            </w:pPr>
            <w:r>
              <w:rPr>
                <w:rFonts w:ascii="Arial" w:cs="Arial" w:eastAsia="Arial" w:hAnsi="Arial"/>
                <w:sz w:val="12"/>
                <w:szCs w:val="12"/>
                <w:color w:val="0000FF"/>
              </w:rPr>
              <w:t>pursuant to Section 302 of the Sarbanes-Oxley Act of 2002</w:t>
            </w:r>
          </w:p>
        </w:tc>
        <w:tc>
          <w:tcPr>
            <w:tcW w:w="320" w:type="dxa"/>
            <w:vAlign w:val="bottom"/>
            <w:gridSpan w:val="5"/>
          </w:tcPr>
          <w:p>
            <w:pPr>
              <w:spacing w:after="0"/>
              <w:rPr>
                <w:sz w:val="9"/>
                <w:szCs w:val="9"/>
                <w:color w:val="auto"/>
              </w:rPr>
            </w:pPr>
          </w:p>
        </w:tc>
        <w:tc>
          <w:tcPr>
            <w:tcW w:w="1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10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1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0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32.1*</w:t>
            </w:r>
          </w:p>
        </w:tc>
        <w:tc>
          <w:tcPr>
            <w:tcW w:w="6600" w:type="dxa"/>
            <w:vAlign w:val="bottom"/>
            <w:gridSpan w:val="20"/>
            <w:shd w:val="clear" w:color="auto" w:fill="CCEEFF"/>
          </w:tcPr>
          <w:p>
            <w:pPr>
              <w:spacing w:after="0" w:line="144" w:lineRule="exact"/>
              <w:rPr>
                <w:sz w:val="20"/>
                <w:szCs w:val="20"/>
                <w:color w:val="auto"/>
              </w:rPr>
            </w:pPr>
            <w:r>
              <w:rPr>
                <w:rFonts w:ascii="Arial" w:cs="Arial" w:eastAsia="Arial" w:hAnsi="Arial"/>
                <w:sz w:val="13"/>
                <w:szCs w:val="13"/>
                <w:color w:val="0000FF"/>
              </w:rPr>
              <w:t>Certification of Chief Executive Officer pursuant to 18 U.S.C. Section 1350, as adopted pursuant to Section 906 of</w:t>
            </w: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8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Furnished herewith</w:t>
            </w:r>
          </w:p>
        </w:tc>
        <w:tc>
          <w:tcPr>
            <w:tcW w:w="0" w:type="dxa"/>
            <w:vAlign w:val="bottom"/>
          </w:tcPr>
          <w:p>
            <w:pPr>
              <w:spacing w:after="0"/>
              <w:rPr>
                <w:sz w:val="1"/>
                <w:szCs w:val="1"/>
                <w:color w:val="auto"/>
              </w:rPr>
            </w:pPr>
          </w:p>
        </w:tc>
      </w:tr>
      <w:tr>
        <w:trPr>
          <w:trHeight w:val="107"/>
        </w:trPr>
        <w:tc>
          <w:tcPr>
            <w:tcW w:w="1040" w:type="dxa"/>
            <w:vAlign w:val="bottom"/>
            <w:tcBorders>
              <w:top w:val="single" w:sz="8" w:color="CCEEFF"/>
            </w:tcBorders>
            <w:shd w:val="clear" w:color="auto" w:fill="CCEEFF"/>
          </w:tcPr>
          <w:p>
            <w:pPr>
              <w:spacing w:after="0"/>
              <w:rPr>
                <w:sz w:val="9"/>
                <w:szCs w:val="9"/>
                <w:color w:val="auto"/>
              </w:rPr>
            </w:pPr>
          </w:p>
        </w:tc>
        <w:tc>
          <w:tcPr>
            <w:tcW w:w="6400" w:type="dxa"/>
            <w:vAlign w:val="bottom"/>
            <w:tcBorders>
              <w:top w:val="single" w:sz="8" w:color="0000FF"/>
            </w:tcBorders>
            <w:gridSpan w:val="15"/>
            <w:shd w:val="clear" w:color="auto" w:fill="CCEEFF"/>
          </w:tcPr>
          <w:p>
            <w:pPr>
              <w:spacing w:after="0" w:line="107" w:lineRule="exact"/>
              <w:rPr>
                <w:sz w:val="20"/>
                <w:szCs w:val="20"/>
                <w:color w:val="auto"/>
              </w:rPr>
            </w:pPr>
            <w:r>
              <w:rPr>
                <w:rFonts w:ascii="Arial" w:cs="Arial" w:eastAsia="Arial" w:hAnsi="Arial"/>
                <w:sz w:val="12"/>
                <w:szCs w:val="12"/>
                <w:color w:val="0000FF"/>
              </w:rPr>
              <w:t>the Sarbanes-Oxley Act of 2002</w:t>
            </w:r>
          </w:p>
        </w:tc>
        <w:tc>
          <w:tcPr>
            <w:tcW w:w="180" w:type="dxa"/>
            <w:vAlign w:val="bottom"/>
            <w:tcBorders>
              <w:top w:val="single" w:sz="8" w:color="CCEEFF"/>
            </w:tcBorders>
            <w:gridSpan w:val="4"/>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CCEEFF"/>
            </w:tcBorders>
            <w:shd w:val="clear" w:color="auto" w:fill="CCEEFF"/>
          </w:tcPr>
          <w:p>
            <w:pPr>
              <w:spacing w:after="0"/>
              <w:rPr>
                <w:sz w:val="9"/>
                <w:szCs w:val="9"/>
                <w:color w:val="auto"/>
              </w:rPr>
            </w:pPr>
          </w:p>
        </w:tc>
        <w:tc>
          <w:tcPr>
            <w:tcW w:w="198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104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920" w:type="dxa"/>
            <w:vAlign w:val="bottom"/>
            <w:tcBorders>
              <w:left w:val="single" w:sz="8" w:color="CCEEFF"/>
            </w:tcBorders>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1040" w:type="dxa"/>
            <w:vAlign w:val="bottom"/>
          </w:tcPr>
          <w:p>
            <w:pPr>
              <w:ind w:left="20"/>
              <w:spacing w:after="0" w:line="138" w:lineRule="exact"/>
              <w:rPr>
                <w:sz w:val="20"/>
                <w:szCs w:val="20"/>
                <w:color w:val="auto"/>
              </w:rPr>
            </w:pPr>
            <w:r>
              <w:rPr>
                <w:rFonts w:ascii="Arial" w:cs="Arial" w:eastAsia="Arial" w:hAnsi="Arial"/>
                <w:sz w:val="13"/>
                <w:szCs w:val="13"/>
                <w:color w:val="auto"/>
              </w:rPr>
              <w:t>32.2*</w:t>
            </w:r>
          </w:p>
        </w:tc>
        <w:tc>
          <w:tcPr>
            <w:tcW w:w="6600" w:type="dxa"/>
            <w:vAlign w:val="bottom"/>
            <w:gridSpan w:val="20"/>
          </w:tcPr>
          <w:p>
            <w:pPr>
              <w:spacing w:after="0" w:line="138" w:lineRule="exact"/>
              <w:rPr>
                <w:sz w:val="20"/>
                <w:szCs w:val="20"/>
                <w:color w:val="auto"/>
              </w:rPr>
            </w:pPr>
            <w:r>
              <w:rPr>
                <w:rFonts w:ascii="Arial" w:cs="Arial" w:eastAsia="Arial" w:hAnsi="Arial"/>
                <w:sz w:val="13"/>
                <w:szCs w:val="13"/>
                <w:color w:val="0000FF"/>
                <w:w w:val="98"/>
              </w:rPr>
              <w:t>Certification of Chief Financial Officer pursuant to 18 U.S.C. Section 1350, as adopted pursuant to Section 906 of the</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vMerge w:val="restart"/>
          </w:tcPr>
          <w:p>
            <w:pPr>
              <w:ind w:left="160"/>
              <w:spacing w:after="0"/>
              <w:rPr>
                <w:sz w:val="20"/>
                <w:szCs w:val="20"/>
                <w:color w:val="auto"/>
              </w:rPr>
            </w:pPr>
            <w:r>
              <w:rPr>
                <w:rFonts w:ascii="Arial" w:cs="Arial" w:eastAsia="Arial" w:hAnsi="Arial"/>
                <w:sz w:val="13"/>
                <w:szCs w:val="13"/>
                <w:color w:val="auto"/>
              </w:rPr>
              <w:t>Furnished herewith</w:t>
            </w: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6580" w:type="dxa"/>
            <w:vAlign w:val="bottom"/>
            <w:tcBorders>
              <w:top w:val="single" w:sz="8" w:color="0000FF"/>
            </w:tcBorders>
            <w:gridSpan w:val="19"/>
          </w:tcPr>
          <w:p>
            <w:pPr>
              <w:spacing w:after="0" w:line="107" w:lineRule="exact"/>
              <w:rPr>
                <w:sz w:val="20"/>
                <w:szCs w:val="20"/>
                <w:color w:val="auto"/>
              </w:rPr>
            </w:pPr>
            <w:r>
              <w:rPr>
                <w:rFonts w:ascii="Arial" w:cs="Arial" w:eastAsia="Arial" w:hAnsi="Arial"/>
                <w:sz w:val="12"/>
                <w:szCs w:val="12"/>
                <w:color w:val="0000FF"/>
              </w:rPr>
              <w:t>Sarbanes-Oxley Act of 2002</w:t>
            </w: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10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97.1</w:t>
            </w:r>
          </w:p>
        </w:tc>
        <w:tc>
          <w:tcPr>
            <w:tcW w:w="6600" w:type="dxa"/>
            <w:vAlign w:val="bottom"/>
            <w:gridSpan w:val="20"/>
            <w:shd w:val="clear" w:color="auto" w:fill="CCEEFF"/>
          </w:tcPr>
          <w:p>
            <w:pPr>
              <w:spacing w:after="0"/>
              <w:rPr>
                <w:sz w:val="20"/>
                <w:szCs w:val="20"/>
                <w:color w:val="auto"/>
              </w:rPr>
            </w:pPr>
            <w:r>
              <w:rPr>
                <w:rFonts w:ascii="Arial" w:cs="Arial" w:eastAsia="Arial" w:hAnsi="Arial"/>
                <w:sz w:val="13"/>
                <w:szCs w:val="13"/>
                <w:color w:val="0000FF"/>
              </w:rPr>
              <w:t>Compensation Recovery Policy</w:t>
            </w: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Filed herewith</w:t>
            </w:r>
          </w:p>
        </w:tc>
        <w:tc>
          <w:tcPr>
            <w:tcW w:w="0" w:type="dxa"/>
            <w:vAlign w:val="bottom"/>
          </w:tcPr>
          <w:p>
            <w:pPr>
              <w:spacing w:after="0"/>
              <w:rPr>
                <w:sz w:val="1"/>
                <w:szCs w:val="1"/>
                <w:color w:val="auto"/>
              </w:rPr>
            </w:pPr>
          </w:p>
        </w:tc>
      </w:tr>
      <w:tr>
        <w:trPr>
          <w:trHeight w:val="32"/>
        </w:trPr>
        <w:tc>
          <w:tcPr>
            <w:tcW w:w="104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right w:val="single" w:sz="8" w:color="CCEEFF"/>
            </w:tcBorders>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920" w:type="dxa"/>
            <w:vAlign w:val="bottom"/>
            <w:tcBorders>
              <w:left w:val="single" w:sz="8" w:color="CCEEFF"/>
            </w:tcBorders>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040" w:type="dxa"/>
            <w:vAlign w:val="bottom"/>
          </w:tcPr>
          <w:p>
            <w:pPr>
              <w:ind w:left="20"/>
              <w:spacing w:after="0" w:line="128" w:lineRule="exact"/>
              <w:rPr>
                <w:sz w:val="20"/>
                <w:szCs w:val="20"/>
                <w:color w:val="auto"/>
              </w:rPr>
            </w:pPr>
            <w:r>
              <w:rPr>
                <w:rFonts w:ascii="Arial" w:cs="Arial" w:eastAsia="Arial" w:hAnsi="Arial"/>
                <w:sz w:val="13"/>
                <w:szCs w:val="13"/>
                <w:color w:val="auto"/>
              </w:rPr>
              <w:t>101.INS</w:t>
            </w:r>
          </w:p>
        </w:tc>
        <w:tc>
          <w:tcPr>
            <w:tcW w:w="6600" w:type="dxa"/>
            <w:vAlign w:val="bottom"/>
            <w:gridSpan w:val="20"/>
          </w:tcPr>
          <w:p>
            <w:pPr>
              <w:spacing w:after="0" w:line="128" w:lineRule="exact"/>
              <w:rPr>
                <w:sz w:val="20"/>
                <w:szCs w:val="20"/>
                <w:color w:val="auto"/>
              </w:rPr>
            </w:pPr>
            <w:r>
              <w:rPr>
                <w:rFonts w:ascii="Arial" w:cs="Arial" w:eastAsia="Arial" w:hAnsi="Arial"/>
                <w:sz w:val="13"/>
                <w:szCs w:val="13"/>
                <w:color w:val="auto"/>
              </w:rPr>
              <w:t>XBRL Instance Document (the instance document does not appear in the Interactive Data File because its XBRL</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vMerge w:val="restart"/>
          </w:tcPr>
          <w:p>
            <w:pPr>
              <w:ind w:left="160"/>
              <w:spacing w:after="0"/>
              <w:rPr>
                <w:sz w:val="20"/>
                <w:szCs w:val="20"/>
                <w:color w:val="auto"/>
              </w:rPr>
            </w:pPr>
            <w:r>
              <w:rPr>
                <w:rFonts w:ascii="Arial" w:cs="Arial" w:eastAsia="Arial" w:hAnsi="Arial"/>
                <w:sz w:val="13"/>
                <w:szCs w:val="13"/>
                <w:color w:val="auto"/>
              </w:rPr>
              <w:t>Filed herewith</w:t>
            </w: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6600" w:type="dxa"/>
            <w:vAlign w:val="bottom"/>
            <w:gridSpan w:val="20"/>
          </w:tcPr>
          <w:p>
            <w:pPr>
              <w:spacing w:after="0"/>
              <w:rPr>
                <w:sz w:val="20"/>
                <w:szCs w:val="20"/>
                <w:color w:val="auto"/>
              </w:rPr>
            </w:pPr>
            <w:r>
              <w:rPr>
                <w:rFonts w:ascii="Arial" w:cs="Arial" w:eastAsia="Arial" w:hAnsi="Arial"/>
                <w:sz w:val="13"/>
                <w:szCs w:val="13"/>
                <w:color w:val="auto"/>
              </w:rPr>
              <w:t>tags are embedded within the Inline XBRL document)</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101.SCH</w:t>
            </w:r>
          </w:p>
        </w:tc>
        <w:tc>
          <w:tcPr>
            <w:tcW w:w="6600" w:type="dxa"/>
            <w:vAlign w:val="bottom"/>
            <w:gridSpan w:val="20"/>
            <w:shd w:val="clear" w:color="auto" w:fill="CCEEFF"/>
          </w:tcPr>
          <w:p>
            <w:pPr>
              <w:spacing w:after="0"/>
              <w:rPr>
                <w:sz w:val="20"/>
                <w:szCs w:val="20"/>
                <w:color w:val="auto"/>
              </w:rPr>
            </w:pPr>
            <w:r>
              <w:rPr>
                <w:rFonts w:ascii="Arial" w:cs="Arial" w:eastAsia="Arial" w:hAnsi="Arial"/>
                <w:sz w:val="13"/>
                <w:szCs w:val="13"/>
                <w:color w:val="auto"/>
              </w:rPr>
              <w:t>XBRL Taxonomy Extension Schema Document</w:t>
            </w:r>
          </w:p>
        </w:tc>
        <w:tc>
          <w:tcPr>
            <w:tcW w:w="9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Filed herewith</w:t>
            </w:r>
          </w:p>
        </w:tc>
        <w:tc>
          <w:tcPr>
            <w:tcW w:w="0" w:type="dxa"/>
            <w:vAlign w:val="bottom"/>
          </w:tcPr>
          <w:p>
            <w:pPr>
              <w:spacing w:after="0"/>
              <w:rPr>
                <w:sz w:val="1"/>
                <w:szCs w:val="1"/>
                <w:color w:val="auto"/>
              </w:rPr>
            </w:pPr>
          </w:p>
        </w:tc>
      </w:tr>
      <w:tr>
        <w:trPr>
          <w:trHeight w:val="179"/>
        </w:trPr>
        <w:tc>
          <w:tcPr>
            <w:tcW w:w="1040" w:type="dxa"/>
            <w:vAlign w:val="bottom"/>
          </w:tcPr>
          <w:p>
            <w:pPr>
              <w:ind w:left="20"/>
              <w:spacing w:after="0"/>
              <w:rPr>
                <w:sz w:val="20"/>
                <w:szCs w:val="20"/>
                <w:color w:val="auto"/>
              </w:rPr>
            </w:pPr>
            <w:r>
              <w:rPr>
                <w:rFonts w:ascii="Arial" w:cs="Arial" w:eastAsia="Arial" w:hAnsi="Arial"/>
                <w:sz w:val="13"/>
                <w:szCs w:val="13"/>
                <w:color w:val="auto"/>
              </w:rPr>
              <w:t>101.CAL</w:t>
            </w:r>
          </w:p>
        </w:tc>
        <w:tc>
          <w:tcPr>
            <w:tcW w:w="6600" w:type="dxa"/>
            <w:vAlign w:val="bottom"/>
            <w:gridSpan w:val="20"/>
          </w:tcPr>
          <w:p>
            <w:pPr>
              <w:spacing w:after="0"/>
              <w:rPr>
                <w:sz w:val="20"/>
                <w:szCs w:val="20"/>
                <w:color w:val="auto"/>
              </w:rPr>
            </w:pPr>
            <w:r>
              <w:rPr>
                <w:rFonts w:ascii="Arial" w:cs="Arial" w:eastAsia="Arial" w:hAnsi="Arial"/>
                <w:sz w:val="13"/>
                <w:szCs w:val="13"/>
                <w:color w:val="auto"/>
              </w:rPr>
              <w:t>XBRL Taxonomy Extension Calculation Linkbase Document</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80" w:type="dxa"/>
            <w:vAlign w:val="bottom"/>
          </w:tcPr>
          <w:p>
            <w:pPr>
              <w:ind w:left="160"/>
              <w:spacing w:after="0"/>
              <w:rPr>
                <w:sz w:val="20"/>
                <w:szCs w:val="20"/>
                <w:color w:val="auto"/>
              </w:rPr>
            </w:pPr>
            <w:r>
              <w:rPr>
                <w:rFonts w:ascii="Arial" w:cs="Arial" w:eastAsia="Arial" w:hAnsi="Arial"/>
                <w:sz w:val="13"/>
                <w:szCs w:val="13"/>
                <w:color w:val="auto"/>
              </w:rPr>
              <w:t>Filed herewith</w:t>
            </w:r>
          </w:p>
        </w:tc>
        <w:tc>
          <w:tcPr>
            <w:tcW w:w="0" w:type="dxa"/>
            <w:vAlign w:val="bottom"/>
          </w:tcPr>
          <w:p>
            <w:pPr>
              <w:spacing w:after="0"/>
              <w:rPr>
                <w:sz w:val="1"/>
                <w:szCs w:val="1"/>
                <w:color w:val="auto"/>
              </w:rPr>
            </w:pPr>
          </w:p>
        </w:tc>
      </w:tr>
      <w:tr>
        <w:trPr>
          <w:trHeight w:val="182"/>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101.DEF</w:t>
            </w:r>
          </w:p>
        </w:tc>
        <w:tc>
          <w:tcPr>
            <w:tcW w:w="6600" w:type="dxa"/>
            <w:vAlign w:val="bottom"/>
            <w:gridSpan w:val="20"/>
            <w:shd w:val="clear" w:color="auto" w:fill="CCEEFF"/>
          </w:tcPr>
          <w:p>
            <w:pPr>
              <w:spacing w:after="0"/>
              <w:rPr>
                <w:sz w:val="20"/>
                <w:szCs w:val="20"/>
                <w:color w:val="auto"/>
              </w:rPr>
            </w:pPr>
            <w:r>
              <w:rPr>
                <w:rFonts w:ascii="Arial" w:cs="Arial" w:eastAsia="Arial" w:hAnsi="Arial"/>
                <w:sz w:val="13"/>
                <w:szCs w:val="13"/>
                <w:color w:val="auto"/>
              </w:rPr>
              <w:t>XBRL Taxonomy Extension Definition Linkbase Document</w:t>
            </w:r>
          </w:p>
        </w:tc>
        <w:tc>
          <w:tcPr>
            <w:tcW w:w="9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Filed herewith</w:t>
            </w:r>
          </w:p>
        </w:tc>
        <w:tc>
          <w:tcPr>
            <w:tcW w:w="0" w:type="dxa"/>
            <w:vAlign w:val="bottom"/>
          </w:tcPr>
          <w:p>
            <w:pPr>
              <w:spacing w:after="0"/>
              <w:rPr>
                <w:sz w:val="1"/>
                <w:szCs w:val="1"/>
                <w:color w:val="auto"/>
              </w:rPr>
            </w:pPr>
          </w:p>
        </w:tc>
      </w:tr>
      <w:tr>
        <w:trPr>
          <w:trHeight w:val="179"/>
        </w:trPr>
        <w:tc>
          <w:tcPr>
            <w:tcW w:w="1040" w:type="dxa"/>
            <w:vAlign w:val="bottom"/>
          </w:tcPr>
          <w:p>
            <w:pPr>
              <w:ind w:left="20"/>
              <w:spacing w:after="0"/>
              <w:rPr>
                <w:sz w:val="20"/>
                <w:szCs w:val="20"/>
                <w:color w:val="auto"/>
              </w:rPr>
            </w:pPr>
            <w:r>
              <w:rPr>
                <w:rFonts w:ascii="Arial" w:cs="Arial" w:eastAsia="Arial" w:hAnsi="Arial"/>
                <w:sz w:val="13"/>
                <w:szCs w:val="13"/>
                <w:color w:val="auto"/>
              </w:rPr>
              <w:t>101.LAB</w:t>
            </w:r>
          </w:p>
        </w:tc>
        <w:tc>
          <w:tcPr>
            <w:tcW w:w="6600" w:type="dxa"/>
            <w:vAlign w:val="bottom"/>
            <w:gridSpan w:val="20"/>
          </w:tcPr>
          <w:p>
            <w:pPr>
              <w:spacing w:after="0"/>
              <w:rPr>
                <w:sz w:val="20"/>
                <w:szCs w:val="20"/>
                <w:color w:val="auto"/>
              </w:rPr>
            </w:pPr>
            <w:r>
              <w:rPr>
                <w:rFonts w:ascii="Arial" w:cs="Arial" w:eastAsia="Arial" w:hAnsi="Arial"/>
                <w:sz w:val="13"/>
                <w:szCs w:val="13"/>
                <w:color w:val="auto"/>
              </w:rPr>
              <w:t>XBRL Taxonomy Extension Labels Linkbase Document</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80" w:type="dxa"/>
            <w:vAlign w:val="bottom"/>
          </w:tcPr>
          <w:p>
            <w:pPr>
              <w:ind w:left="160"/>
              <w:spacing w:after="0"/>
              <w:rPr>
                <w:sz w:val="20"/>
                <w:szCs w:val="20"/>
                <w:color w:val="auto"/>
              </w:rPr>
            </w:pPr>
            <w:r>
              <w:rPr>
                <w:rFonts w:ascii="Arial" w:cs="Arial" w:eastAsia="Arial" w:hAnsi="Arial"/>
                <w:sz w:val="13"/>
                <w:szCs w:val="13"/>
                <w:color w:val="auto"/>
              </w:rPr>
              <w:t>Filed herewith</w:t>
            </w:r>
          </w:p>
        </w:tc>
        <w:tc>
          <w:tcPr>
            <w:tcW w:w="0" w:type="dxa"/>
            <w:vAlign w:val="bottom"/>
          </w:tcPr>
          <w:p>
            <w:pPr>
              <w:spacing w:after="0"/>
              <w:rPr>
                <w:sz w:val="1"/>
                <w:szCs w:val="1"/>
                <w:color w:val="auto"/>
              </w:rPr>
            </w:pPr>
          </w:p>
        </w:tc>
      </w:tr>
      <w:tr>
        <w:trPr>
          <w:trHeight w:val="182"/>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101.PRE</w:t>
            </w:r>
          </w:p>
        </w:tc>
        <w:tc>
          <w:tcPr>
            <w:tcW w:w="6600" w:type="dxa"/>
            <w:vAlign w:val="bottom"/>
            <w:gridSpan w:val="20"/>
            <w:shd w:val="clear" w:color="auto" w:fill="CCEEFF"/>
          </w:tcPr>
          <w:p>
            <w:pPr>
              <w:spacing w:after="0"/>
              <w:rPr>
                <w:sz w:val="20"/>
                <w:szCs w:val="20"/>
                <w:color w:val="auto"/>
              </w:rPr>
            </w:pPr>
            <w:r>
              <w:rPr>
                <w:rFonts w:ascii="Arial" w:cs="Arial" w:eastAsia="Arial" w:hAnsi="Arial"/>
                <w:sz w:val="13"/>
                <w:szCs w:val="13"/>
                <w:color w:val="auto"/>
              </w:rPr>
              <w:t>XBRL Taxonomy Extension Presentation Linkbase Document</w:t>
            </w:r>
          </w:p>
        </w:tc>
        <w:tc>
          <w:tcPr>
            <w:tcW w:w="9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Filed herewith</w:t>
            </w: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3"/>
                <w:szCs w:val="13"/>
                <w:color w:val="auto"/>
              </w:rPr>
              <w:t>104</w:t>
            </w:r>
          </w:p>
        </w:tc>
        <w:tc>
          <w:tcPr>
            <w:tcW w:w="6600" w:type="dxa"/>
            <w:vAlign w:val="bottom"/>
            <w:gridSpan w:val="20"/>
          </w:tcPr>
          <w:p>
            <w:pPr>
              <w:spacing w:after="0"/>
              <w:rPr>
                <w:sz w:val="20"/>
                <w:szCs w:val="20"/>
                <w:color w:val="auto"/>
              </w:rPr>
            </w:pPr>
            <w:r>
              <w:rPr>
                <w:rFonts w:ascii="Arial" w:cs="Arial" w:eastAsia="Arial" w:hAnsi="Arial"/>
                <w:sz w:val="13"/>
                <w:szCs w:val="13"/>
                <w:color w:val="auto"/>
              </w:rPr>
              <w:t>Cover Page Interactive File (formatted as inline XBRL and contained in Exhibit 101)</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80" w:type="dxa"/>
            <w:vAlign w:val="bottom"/>
          </w:tcPr>
          <w:p>
            <w:pPr>
              <w:ind w:left="160"/>
              <w:spacing w:after="0"/>
              <w:rPr>
                <w:sz w:val="20"/>
                <w:szCs w:val="20"/>
                <w:color w:val="auto"/>
              </w:rPr>
            </w:pPr>
            <w:r>
              <w:rPr>
                <w:rFonts w:ascii="Arial" w:cs="Arial" w:eastAsia="Arial" w:hAnsi="Arial"/>
                <w:sz w:val="13"/>
                <w:szCs w:val="13"/>
                <w:color w:val="auto"/>
              </w:rPr>
              <w:t>Filed herewith</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34" w:lineRule="exact"/>
        <w:rPr>
          <w:sz w:val="20"/>
          <w:szCs w:val="20"/>
          <w:color w:val="auto"/>
        </w:rPr>
      </w:pPr>
    </w:p>
    <w:p>
      <w:pPr>
        <w:ind w:left="340" w:hanging="321"/>
        <w:spacing w:after="0"/>
        <w:tabs>
          <w:tab w:leader="none" w:pos="340" w:val="left"/>
        </w:tabs>
        <w:numPr>
          <w:ilvl w:val="0"/>
          <w:numId w:val="43"/>
        </w:numPr>
        <w:rPr>
          <w:rFonts w:ascii="Arial" w:cs="Arial" w:eastAsia="Arial" w:hAnsi="Arial"/>
          <w:sz w:val="11"/>
          <w:szCs w:val="11"/>
          <w:color w:val="auto"/>
        </w:rPr>
      </w:pPr>
      <w:r>
        <w:rPr>
          <w:rFonts w:ascii="Arial" w:cs="Arial" w:eastAsia="Arial" w:hAnsi="Arial"/>
          <w:sz w:val="11"/>
          <w:szCs w:val="11"/>
          <w:color w:val="auto"/>
        </w:rPr>
        <w:t>Indicates management contract or compensatory plan.</w:t>
      </w:r>
    </w:p>
    <w:p>
      <w:pPr>
        <w:spacing w:after="0" w:line="118" w:lineRule="exact"/>
        <w:rPr>
          <w:sz w:val="20"/>
          <w:szCs w:val="20"/>
          <w:color w:val="auto"/>
        </w:rPr>
      </w:pPr>
    </w:p>
    <w:p>
      <w:pPr>
        <w:ind w:left="340" w:hanging="321"/>
        <w:spacing w:after="0"/>
        <w:tabs>
          <w:tab w:leader="none" w:pos="340" w:val="left"/>
        </w:tabs>
        <w:numPr>
          <w:ilvl w:val="0"/>
          <w:numId w:val="44"/>
        </w:numPr>
        <w:rPr>
          <w:rFonts w:ascii="Arial" w:cs="Arial" w:eastAsia="Arial" w:hAnsi="Arial"/>
          <w:sz w:val="11"/>
          <w:szCs w:val="11"/>
          <w:color w:val="auto"/>
        </w:rPr>
      </w:pPr>
      <w:r>
        <w:rPr>
          <w:rFonts w:ascii="Arial" w:cs="Arial" w:eastAsia="Arial" w:hAnsi="Arial"/>
          <w:sz w:val="11"/>
          <w:szCs w:val="11"/>
          <w:color w:val="auto"/>
        </w:rPr>
        <w:t>Confidential treatment has been requested for portions of this exhibit. These portions have been omitted and have been filed separately with the Securities and Exchange Commission.</w:t>
      </w:r>
    </w:p>
    <w:p>
      <w:pPr>
        <w:spacing w:after="0" w:line="128" w:lineRule="exact"/>
        <w:rPr>
          <w:sz w:val="20"/>
          <w:szCs w:val="20"/>
          <w:color w:val="auto"/>
        </w:rPr>
      </w:pPr>
    </w:p>
    <w:p>
      <w:pPr>
        <w:ind w:left="340" w:right="20" w:hanging="321"/>
        <w:spacing w:after="0" w:line="283" w:lineRule="auto"/>
        <w:tabs>
          <w:tab w:leader="none" w:pos="3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Certain confidential information contained in this Exhibit was omitted by means of marking such portions with brackets because the identified confidential information (i) is not material and (ii) would be competitively harmful if publicly disclosed.</w:t>
      </w:r>
    </w:p>
    <w:p>
      <w:pPr>
        <w:spacing w:after="0" w:line="94" w:lineRule="exact"/>
        <w:rPr>
          <w:sz w:val="20"/>
          <w:szCs w:val="20"/>
          <w:color w:val="auto"/>
        </w:rPr>
      </w:pPr>
    </w:p>
    <w:p>
      <w:pPr>
        <w:jc w:val="both"/>
        <w:ind w:left="340" w:right="20" w:hanging="321"/>
        <w:spacing w:after="0" w:line="272" w:lineRule="auto"/>
        <w:tabs>
          <w:tab w:leader="none" w:pos="340"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The certifications attached as Exhibit 32.1 and 32.2 that accompany this Annual Report on Form 10-K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16.</w:t>
        <w:tab/>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86"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680" w:type="dxa"/>
            <w:vAlign w:val="bottom"/>
          </w:tcPr>
          <w:p>
            <w:pPr>
              <w:ind w:left="360"/>
              <w:spacing w:after="0"/>
              <w:rPr>
                <w:sz w:val="20"/>
                <w:szCs w:val="20"/>
                <w:color w:val="auto"/>
              </w:rPr>
            </w:pPr>
            <w:r>
              <w:rPr>
                <w:rFonts w:ascii="Arial" w:cs="Arial" w:eastAsia="Arial" w:hAnsi="Arial"/>
                <w:sz w:val="14"/>
                <w:szCs w:val="14"/>
                <w:b w:val="1"/>
                <w:bCs w:val="1"/>
                <w:color w:val="auto"/>
              </w:rPr>
              <w:t>Pacific Biosciences of California, Inc.</w:t>
            </w:r>
          </w:p>
        </w:tc>
      </w:tr>
      <w:tr>
        <w:trPr>
          <w:trHeight w:val="383"/>
        </w:trPr>
        <w:tc>
          <w:tcPr>
            <w:tcW w:w="3540" w:type="dxa"/>
            <w:vAlign w:val="bottom"/>
          </w:tcPr>
          <w:p>
            <w:pPr>
              <w:ind w:left="20"/>
              <w:spacing w:after="0"/>
              <w:rPr>
                <w:sz w:val="20"/>
                <w:szCs w:val="20"/>
                <w:color w:val="auto"/>
              </w:rPr>
            </w:pPr>
            <w:r>
              <w:rPr>
                <w:rFonts w:ascii="Arial" w:cs="Arial" w:eastAsia="Arial" w:hAnsi="Arial"/>
                <w:sz w:val="14"/>
                <w:szCs w:val="14"/>
                <w:color w:val="auto"/>
              </w:rPr>
              <w:t>Date: February 28, 2024</w:t>
            </w:r>
          </w:p>
        </w:tc>
        <w:tc>
          <w:tcPr>
            <w:tcW w:w="4060" w:type="dxa"/>
            <w:vAlign w:val="bottom"/>
          </w:tcPr>
          <w:p>
            <w:pPr>
              <w:ind w:left="3620"/>
              <w:spacing w:after="0"/>
              <w:rPr>
                <w:sz w:val="20"/>
                <w:szCs w:val="20"/>
                <w:color w:val="auto"/>
              </w:rPr>
            </w:pPr>
            <w:r>
              <w:rPr>
                <w:rFonts w:ascii="Arial" w:cs="Arial" w:eastAsia="Arial" w:hAnsi="Arial"/>
                <w:sz w:val="14"/>
                <w:szCs w:val="14"/>
                <w:color w:val="auto"/>
              </w:rPr>
              <w:t>By:</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Christian O. Henry</w:t>
            </w:r>
          </w:p>
        </w:tc>
      </w:tr>
      <w:tr>
        <w:trPr>
          <w:trHeight w:val="149"/>
        </w:trPr>
        <w:tc>
          <w:tcPr>
            <w:tcW w:w="35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680" w:type="dxa"/>
            <w:vAlign w:val="bottom"/>
          </w:tcPr>
          <w:p>
            <w:pPr>
              <w:jc w:val="center"/>
              <w:spacing w:after="0"/>
              <w:rPr>
                <w:sz w:val="20"/>
                <w:szCs w:val="20"/>
                <w:color w:val="auto"/>
              </w:rPr>
            </w:pPr>
            <w:r>
              <w:rPr>
                <w:rFonts w:ascii="Arial" w:cs="Arial" w:eastAsia="Arial" w:hAnsi="Arial"/>
                <w:sz w:val="11"/>
                <w:szCs w:val="11"/>
                <w:b w:val="1"/>
                <w:bCs w:val="1"/>
                <w:color w:val="auto"/>
              </w:rPr>
              <w:t>Christian O. Henry</w:t>
            </w:r>
          </w:p>
        </w:tc>
      </w:tr>
      <w:tr>
        <w:trPr>
          <w:trHeight w:val="159"/>
        </w:trPr>
        <w:tc>
          <w:tcPr>
            <w:tcW w:w="35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680" w:type="dxa"/>
            <w:vAlign w:val="bottom"/>
          </w:tcPr>
          <w:p>
            <w:pPr>
              <w:jc w:val="center"/>
              <w:spacing w:after="0"/>
              <w:rPr>
                <w:sz w:val="20"/>
                <w:szCs w:val="20"/>
                <w:color w:val="auto"/>
              </w:rPr>
            </w:pPr>
            <w:r>
              <w:rPr>
                <w:rFonts w:ascii="Arial" w:cs="Arial" w:eastAsia="Arial" w:hAnsi="Arial"/>
                <w:sz w:val="11"/>
                <w:szCs w:val="11"/>
                <w:b w:val="1"/>
                <w:bCs w:val="1"/>
                <w:color w:val="auto"/>
              </w:rPr>
              <w:t>President and Chief Executive Officer</w:t>
            </w:r>
          </w:p>
        </w:tc>
      </w:tr>
      <w:tr>
        <w:trPr>
          <w:trHeight w:val="563"/>
        </w:trPr>
        <w:tc>
          <w:tcPr>
            <w:tcW w:w="3540" w:type="dxa"/>
            <w:vAlign w:val="bottom"/>
          </w:tcPr>
          <w:p>
            <w:pPr>
              <w:ind w:left="20"/>
              <w:spacing w:after="0"/>
              <w:rPr>
                <w:sz w:val="20"/>
                <w:szCs w:val="20"/>
                <w:color w:val="auto"/>
              </w:rPr>
            </w:pPr>
            <w:r>
              <w:rPr>
                <w:rFonts w:ascii="Arial" w:cs="Arial" w:eastAsia="Arial" w:hAnsi="Arial"/>
                <w:sz w:val="14"/>
                <w:szCs w:val="14"/>
                <w:color w:val="auto"/>
              </w:rPr>
              <w:t>Date: February 28, 2024</w:t>
            </w:r>
          </w:p>
        </w:tc>
        <w:tc>
          <w:tcPr>
            <w:tcW w:w="4060" w:type="dxa"/>
            <w:vAlign w:val="bottom"/>
          </w:tcPr>
          <w:p>
            <w:pPr>
              <w:ind w:left="3620"/>
              <w:spacing w:after="0"/>
              <w:rPr>
                <w:sz w:val="20"/>
                <w:szCs w:val="20"/>
                <w:color w:val="auto"/>
              </w:rPr>
            </w:pPr>
            <w:r>
              <w:rPr>
                <w:rFonts w:ascii="Arial" w:cs="Arial" w:eastAsia="Arial" w:hAnsi="Arial"/>
                <w:sz w:val="14"/>
                <w:szCs w:val="14"/>
                <w:color w:val="auto"/>
              </w:rPr>
              <w:t>By:</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Susan G. Kim</w:t>
            </w:r>
          </w:p>
        </w:tc>
      </w:tr>
      <w:tr>
        <w:trPr>
          <w:trHeight w:val="149"/>
        </w:trPr>
        <w:tc>
          <w:tcPr>
            <w:tcW w:w="35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680" w:type="dxa"/>
            <w:vAlign w:val="bottom"/>
          </w:tcPr>
          <w:p>
            <w:pPr>
              <w:jc w:val="center"/>
              <w:spacing w:after="0"/>
              <w:rPr>
                <w:sz w:val="20"/>
                <w:szCs w:val="20"/>
                <w:color w:val="auto"/>
              </w:rPr>
            </w:pPr>
            <w:r>
              <w:rPr>
                <w:rFonts w:ascii="Arial" w:cs="Arial" w:eastAsia="Arial" w:hAnsi="Arial"/>
                <w:sz w:val="11"/>
                <w:szCs w:val="11"/>
                <w:b w:val="1"/>
                <w:bCs w:val="1"/>
                <w:color w:val="auto"/>
              </w:rPr>
              <w:t>Susan G. Kim</w:t>
            </w:r>
          </w:p>
        </w:tc>
      </w:tr>
      <w:tr>
        <w:trPr>
          <w:trHeight w:val="159"/>
        </w:trPr>
        <w:tc>
          <w:tcPr>
            <w:tcW w:w="35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680" w:type="dxa"/>
            <w:vAlign w:val="bottom"/>
          </w:tcPr>
          <w:p>
            <w:pPr>
              <w:jc w:val="center"/>
              <w:spacing w:after="0"/>
              <w:rPr>
                <w:sz w:val="20"/>
                <w:szCs w:val="20"/>
                <w:color w:val="auto"/>
              </w:rPr>
            </w:pPr>
            <w:r>
              <w:rPr>
                <w:rFonts w:ascii="Arial" w:cs="Arial" w:eastAsia="Arial" w:hAnsi="Arial"/>
                <w:sz w:val="11"/>
                <w:szCs w:val="11"/>
                <w:b w:val="1"/>
                <w:bCs w:val="1"/>
                <w:color w:val="auto"/>
              </w:rPr>
              <w:t>Chief Financial Officer</w:t>
            </w:r>
          </w:p>
        </w:tc>
      </w:tr>
      <w:tr>
        <w:trPr>
          <w:trHeight w:val="520"/>
        </w:trPr>
        <w:tc>
          <w:tcPr>
            <w:tcW w:w="3540" w:type="dxa"/>
            <w:vAlign w:val="bottom"/>
          </w:tcPr>
          <w:p>
            <w:pPr>
              <w:ind w:left="20"/>
              <w:spacing w:after="0"/>
              <w:rPr>
                <w:sz w:val="20"/>
                <w:szCs w:val="20"/>
                <w:color w:val="auto"/>
              </w:rPr>
            </w:pPr>
            <w:r>
              <w:rPr>
                <w:rFonts w:ascii="Arial" w:cs="Arial" w:eastAsia="Arial" w:hAnsi="Arial"/>
                <w:sz w:val="14"/>
                <w:szCs w:val="14"/>
                <w:color w:val="auto"/>
              </w:rPr>
              <w:t>Date: February 28, 2024</w:t>
            </w:r>
          </w:p>
        </w:tc>
        <w:tc>
          <w:tcPr>
            <w:tcW w:w="4060" w:type="dxa"/>
            <w:vAlign w:val="bottom"/>
          </w:tcPr>
          <w:p>
            <w:pPr>
              <w:ind w:left="3620"/>
              <w:spacing w:after="0"/>
              <w:rPr>
                <w:sz w:val="20"/>
                <w:szCs w:val="20"/>
                <w:color w:val="auto"/>
              </w:rPr>
            </w:pPr>
            <w:r>
              <w:rPr>
                <w:rFonts w:ascii="Arial" w:cs="Arial" w:eastAsia="Arial" w:hAnsi="Arial"/>
                <w:sz w:val="14"/>
                <w:szCs w:val="14"/>
                <w:color w:val="auto"/>
              </w:rPr>
              <w:t>By:</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Michele Farmer</w:t>
            </w:r>
          </w:p>
        </w:tc>
      </w:tr>
      <w:tr>
        <w:trPr>
          <w:trHeight w:val="149"/>
        </w:trPr>
        <w:tc>
          <w:tcPr>
            <w:tcW w:w="35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680" w:type="dxa"/>
            <w:vAlign w:val="bottom"/>
          </w:tcPr>
          <w:p>
            <w:pPr>
              <w:jc w:val="center"/>
              <w:spacing w:after="0"/>
              <w:rPr>
                <w:sz w:val="20"/>
                <w:szCs w:val="20"/>
                <w:color w:val="auto"/>
              </w:rPr>
            </w:pPr>
            <w:r>
              <w:rPr>
                <w:rFonts w:ascii="Arial" w:cs="Arial" w:eastAsia="Arial" w:hAnsi="Arial"/>
                <w:sz w:val="11"/>
                <w:szCs w:val="11"/>
                <w:b w:val="1"/>
                <w:bCs w:val="1"/>
                <w:color w:val="auto"/>
              </w:rPr>
              <w:t>Michele Farmer</w:t>
            </w:r>
          </w:p>
        </w:tc>
      </w:tr>
      <w:tr>
        <w:trPr>
          <w:trHeight w:val="159"/>
        </w:trPr>
        <w:tc>
          <w:tcPr>
            <w:tcW w:w="35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680" w:type="dxa"/>
            <w:vAlign w:val="bottom"/>
          </w:tcPr>
          <w:p>
            <w:pPr>
              <w:jc w:val="center"/>
              <w:spacing w:after="0"/>
              <w:rPr>
                <w:sz w:val="20"/>
                <w:szCs w:val="20"/>
                <w:color w:val="auto"/>
              </w:rPr>
            </w:pPr>
            <w:r>
              <w:rPr>
                <w:rFonts w:ascii="Arial" w:cs="Arial" w:eastAsia="Arial" w:hAnsi="Arial"/>
                <w:sz w:val="11"/>
                <w:szCs w:val="11"/>
                <w:b w:val="1"/>
                <w:bCs w:val="1"/>
                <w:color w:val="auto"/>
              </w:rPr>
              <w:t>Vice President and Chief Accounting Officer</w:t>
            </w:r>
          </w:p>
        </w:tc>
      </w:tr>
      <w:tr>
        <w:trPr>
          <w:trHeight w:val="713"/>
        </w:trPr>
        <w:tc>
          <w:tcPr>
            <w:tcW w:w="3540" w:type="dxa"/>
            <w:vAlign w:val="bottom"/>
          </w:tcPr>
          <w:p>
            <w:pPr>
              <w:spacing w:after="0"/>
              <w:rPr>
                <w:sz w:val="24"/>
                <w:szCs w:val="24"/>
                <w:color w:val="auto"/>
              </w:rPr>
            </w:pPr>
          </w:p>
        </w:tc>
        <w:tc>
          <w:tcPr>
            <w:tcW w:w="4060" w:type="dxa"/>
            <w:vAlign w:val="bottom"/>
          </w:tcPr>
          <w:p>
            <w:pPr>
              <w:jc w:val="right"/>
              <w:ind w:right="1769"/>
              <w:spacing w:after="0"/>
              <w:rPr>
                <w:sz w:val="20"/>
                <w:szCs w:val="20"/>
                <w:color w:val="auto"/>
              </w:rPr>
            </w:pPr>
            <w:r>
              <w:rPr>
                <w:rFonts w:ascii="Arial" w:cs="Arial" w:eastAsia="Arial" w:hAnsi="Arial"/>
                <w:sz w:val="14"/>
                <w:szCs w:val="14"/>
                <w:color w:val="auto"/>
              </w:rPr>
              <w:t>117</w:t>
            </w:r>
          </w:p>
        </w:tc>
        <w:tc>
          <w:tcPr>
            <w:tcW w:w="3680" w:type="dxa"/>
            <w:vAlign w:val="bottom"/>
          </w:tcPr>
          <w:p>
            <w:pPr>
              <w:spacing w:after="0"/>
              <w:rPr>
                <w:sz w:val="24"/>
                <w:szCs w:val="24"/>
                <w:color w:val="auto"/>
              </w:rPr>
            </w:pPr>
          </w:p>
        </w:tc>
      </w:tr>
      <w:tr>
        <w:trPr>
          <w:trHeight w:val="85"/>
        </w:trPr>
        <w:tc>
          <w:tcPr>
            <w:tcW w:w="3540" w:type="dxa"/>
            <w:vAlign w:val="bottom"/>
            <w:tcBorders>
              <w:bottom w:val="single" w:sz="8" w:color="9A9A9A"/>
            </w:tcBorders>
          </w:tcPr>
          <w:p>
            <w:pPr>
              <w:spacing w:after="0"/>
              <w:rPr>
                <w:sz w:val="7"/>
                <w:szCs w:val="7"/>
                <w:color w:val="auto"/>
              </w:rPr>
            </w:pPr>
          </w:p>
        </w:tc>
        <w:tc>
          <w:tcPr>
            <w:tcW w:w="4060" w:type="dxa"/>
            <w:vAlign w:val="bottom"/>
            <w:tcBorders>
              <w:bottom w:val="single" w:sz="8" w:color="9A9A9A"/>
            </w:tcBorders>
          </w:tcPr>
          <w:p>
            <w:pPr>
              <w:spacing w:after="0"/>
              <w:rPr>
                <w:sz w:val="7"/>
                <w:szCs w:val="7"/>
                <w:color w:val="auto"/>
              </w:rPr>
            </w:pPr>
          </w:p>
        </w:tc>
        <w:tc>
          <w:tcPr>
            <w:tcW w:w="3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KNOW ALL PERSONS BY THESE PRESENTS, that each person whose signature appears below hereby constitutes and appoints Christian O. Henry, Susan G. Kim, Brett Atkins, and Michele Farmer, and each of them, as his or her true and lawful attorney-in-fact and agent, with full power of substitution and resubstitution, for each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Pursuant to the requirements of the Securities Exchange Act of 1934, as amended, this report has been signed by the following persons on behalf of the Registrant in the capacities and on the dates indicated.</w:t>
      </w:r>
    </w:p>
    <w:p>
      <w:pPr>
        <w:spacing w:after="0" w:line="76" w:lineRule="exact"/>
        <w:rPr>
          <w:sz w:val="20"/>
          <w:szCs w:val="20"/>
          <w:color w:val="auto"/>
        </w:rPr>
      </w:pPr>
    </w:p>
    <w:tbl>
      <w:tblPr>
        <w:tblLayout w:type="fixed"/>
        <w:tblInd w:w="920" w:type="dxa"/>
        <w:tblCellMar>
          <w:top w:w="0" w:type="dxa"/>
          <w:left w:w="0" w:type="dxa"/>
          <w:bottom w:w="0" w:type="dxa"/>
          <w:right w:w="0" w:type="dxa"/>
        </w:tblCellMar>
      </w:tblPr>
      <w:tr>
        <w:trPr>
          <w:trHeight w:val="155"/>
        </w:trPr>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10"/>
          </w:tcPr>
          <w:p>
            <w:pPr>
              <w:jc w:val="center"/>
              <w:ind w:right="260"/>
              <w:spacing w:after="0"/>
              <w:rPr>
                <w:sz w:val="20"/>
                <w:szCs w:val="20"/>
                <w:color w:val="auto"/>
              </w:rPr>
            </w:pPr>
            <w:r>
              <w:rPr>
                <w:rFonts w:ascii="Arial" w:cs="Arial" w:eastAsia="Arial" w:hAnsi="Arial"/>
                <w:sz w:val="11"/>
                <w:szCs w:val="11"/>
                <w:b w:val="1"/>
                <w:bCs w:val="1"/>
                <w:color w:val="auto"/>
              </w:rPr>
              <w:t>Signature</w:t>
            </w:r>
          </w:p>
        </w:tc>
        <w:tc>
          <w:tcPr>
            <w:tcW w:w="5420" w:type="dxa"/>
            <w:vAlign w:val="bottom"/>
            <w:tcBorders>
              <w:bottom w:val="single" w:sz="8" w:color="auto"/>
            </w:tcBorders>
          </w:tcPr>
          <w:p>
            <w:pPr>
              <w:ind w:left="2720"/>
              <w:spacing w:after="0"/>
              <w:rPr>
                <w:sz w:val="20"/>
                <w:szCs w:val="20"/>
                <w:color w:val="auto"/>
              </w:rPr>
            </w:pPr>
            <w:r>
              <w:rPr>
                <w:rFonts w:ascii="Arial" w:cs="Arial" w:eastAsia="Arial" w:hAnsi="Arial"/>
                <w:sz w:val="11"/>
                <w:szCs w:val="11"/>
                <w:b w:val="1"/>
                <w:bCs w:val="1"/>
                <w:color w:val="auto"/>
              </w:rPr>
              <w:t>Title</w:t>
            </w:r>
          </w:p>
        </w:tc>
        <w:tc>
          <w:tcPr>
            <w:tcW w:w="2020" w:type="dxa"/>
            <w:vAlign w:val="bottom"/>
            <w:tcBorders>
              <w:bottom w:val="single" w:sz="8" w:color="auto"/>
            </w:tcBorders>
          </w:tcPr>
          <w:p>
            <w:pPr>
              <w:jc w:val="center"/>
              <w:ind w:right="190"/>
              <w:spacing w:after="0"/>
              <w:rPr>
                <w:sz w:val="20"/>
                <w:szCs w:val="20"/>
                <w:color w:val="auto"/>
              </w:rPr>
            </w:pPr>
            <w:r>
              <w:rPr>
                <w:rFonts w:ascii="Arial" w:cs="Arial" w:eastAsia="Arial" w:hAnsi="Arial"/>
                <w:sz w:val="11"/>
                <w:szCs w:val="11"/>
                <w:b w:val="1"/>
                <w:bCs w:val="1"/>
                <w:color w:val="auto"/>
              </w:rPr>
              <w:t>Date</w:t>
            </w:r>
          </w:p>
        </w:tc>
        <w:tc>
          <w:tcPr>
            <w:tcW w:w="0" w:type="dxa"/>
            <w:vAlign w:val="bottom"/>
          </w:tcPr>
          <w:p>
            <w:pPr>
              <w:spacing w:after="0"/>
              <w:rPr>
                <w:sz w:val="1"/>
                <w:szCs w:val="1"/>
                <w:color w:val="auto"/>
              </w:rPr>
            </w:pPr>
          </w:p>
        </w:tc>
      </w:tr>
      <w:tr>
        <w:trPr>
          <w:trHeight w:val="33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Borders>
              <w:bottom w:val="single" w:sz="8" w:color="auto"/>
            </w:tcBorders>
            <w:gridSpan w:val="14"/>
          </w:tcPr>
          <w:p>
            <w:pPr>
              <w:jc w:val="center"/>
              <w:spacing w:after="0"/>
              <w:rPr>
                <w:sz w:val="20"/>
                <w:szCs w:val="20"/>
                <w:color w:val="auto"/>
              </w:rPr>
            </w:pPr>
            <w:r>
              <w:rPr>
                <w:rFonts w:ascii="Arial" w:cs="Arial" w:eastAsia="Arial" w:hAnsi="Arial"/>
                <w:sz w:val="14"/>
                <w:szCs w:val="14"/>
                <w:color w:val="auto"/>
              </w:rPr>
              <w:t>/s/ Christian O. Henry</w:t>
            </w:r>
          </w:p>
        </w:tc>
        <w:tc>
          <w:tcPr>
            <w:tcW w:w="80" w:type="dxa"/>
            <w:vAlign w:val="bottom"/>
            <w:gridSpan w:val="2"/>
          </w:tcPr>
          <w:p>
            <w:pPr>
              <w:spacing w:after="0"/>
              <w:rPr>
                <w:sz w:val="24"/>
                <w:szCs w:val="24"/>
                <w:color w:val="auto"/>
              </w:rPr>
            </w:pPr>
          </w:p>
        </w:tc>
        <w:tc>
          <w:tcPr>
            <w:tcW w:w="5420" w:type="dxa"/>
            <w:vAlign w:val="bottom"/>
          </w:tcPr>
          <w:p>
            <w:pPr>
              <w:ind w:left="500"/>
              <w:spacing w:after="0"/>
              <w:rPr>
                <w:sz w:val="20"/>
                <w:szCs w:val="20"/>
                <w:color w:val="auto"/>
              </w:rPr>
            </w:pPr>
            <w:r>
              <w:rPr>
                <w:rFonts w:ascii="Arial" w:cs="Arial" w:eastAsia="Arial" w:hAnsi="Arial"/>
                <w:sz w:val="14"/>
                <w:szCs w:val="14"/>
                <w:color w:val="auto"/>
              </w:rPr>
              <w:t>Director, President and Chief Executive Officer</w:t>
            </w:r>
          </w:p>
        </w:tc>
        <w:tc>
          <w:tcPr>
            <w:tcW w:w="2020" w:type="dxa"/>
            <w:vAlign w:val="bottom"/>
          </w:tcPr>
          <w:p>
            <w:pPr>
              <w:jc w:val="center"/>
              <w:ind w:right="190"/>
              <w:spacing w:after="0"/>
              <w:rPr>
                <w:sz w:val="20"/>
                <w:szCs w:val="20"/>
                <w:color w:val="auto"/>
              </w:rPr>
            </w:pPr>
            <w:r>
              <w:rPr>
                <w:rFonts w:ascii="Arial" w:cs="Arial" w:eastAsia="Arial" w:hAnsi="Arial"/>
                <w:sz w:val="14"/>
                <w:szCs w:val="14"/>
                <w:color w:val="auto"/>
              </w:rPr>
              <w:t>February 28, 2024</w:t>
            </w:r>
          </w:p>
        </w:tc>
        <w:tc>
          <w:tcPr>
            <w:tcW w:w="0" w:type="dxa"/>
            <w:vAlign w:val="bottom"/>
          </w:tcPr>
          <w:p>
            <w:pPr>
              <w:spacing w:after="0"/>
              <w:rPr>
                <w:sz w:val="1"/>
                <w:szCs w:val="1"/>
                <w:color w:val="auto"/>
              </w:rPr>
            </w:pPr>
          </w:p>
        </w:tc>
      </w:tr>
      <w:tr>
        <w:trPr>
          <w:trHeight w:val="165"/>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14"/>
            <w:vMerge w:val="restart"/>
          </w:tcPr>
          <w:p>
            <w:pPr>
              <w:jc w:val="center"/>
              <w:ind w:right="160"/>
              <w:spacing w:after="0"/>
              <w:rPr>
                <w:sz w:val="20"/>
                <w:szCs w:val="20"/>
                <w:color w:val="auto"/>
              </w:rPr>
            </w:pPr>
            <w:r>
              <w:rPr>
                <w:rFonts w:ascii="Arial" w:cs="Arial" w:eastAsia="Arial" w:hAnsi="Arial"/>
                <w:sz w:val="14"/>
                <w:szCs w:val="14"/>
                <w:color w:val="auto"/>
              </w:rPr>
              <w:t>Christian O. Henry</w:t>
            </w:r>
          </w:p>
        </w:tc>
        <w:tc>
          <w:tcPr>
            <w:tcW w:w="5420" w:type="dxa"/>
            <w:vAlign w:val="bottom"/>
          </w:tcPr>
          <w:p>
            <w:pPr>
              <w:ind w:left="500"/>
              <w:spacing w:after="0"/>
              <w:rPr>
                <w:sz w:val="20"/>
                <w:szCs w:val="20"/>
                <w:color w:val="auto"/>
              </w:rPr>
            </w:pPr>
            <w:r>
              <w:rPr>
                <w:rFonts w:ascii="Arial" w:cs="Arial" w:eastAsia="Arial" w:hAnsi="Arial"/>
                <w:sz w:val="14"/>
                <w:szCs w:val="14"/>
                <w:color w:val="auto"/>
              </w:rPr>
              <w:t>(Principal Executive Officer)</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14"/>
            <w:vMerge w:val="continue"/>
          </w:tcPr>
          <w:p>
            <w:pPr>
              <w:spacing w:after="0"/>
              <w:rPr>
                <w:sz w:val="12"/>
                <w:szCs w:val="12"/>
                <w:color w:val="auto"/>
              </w:rPr>
            </w:pPr>
          </w:p>
        </w:tc>
        <w:tc>
          <w:tcPr>
            <w:tcW w:w="54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color w:val="auto"/>
              </w:rPr>
              <w:t>/s/ Susan G. Kim</w:t>
            </w:r>
          </w:p>
        </w:tc>
        <w:tc>
          <w:tcPr>
            <w:tcW w:w="220" w:type="dxa"/>
            <w:vAlign w:val="bottom"/>
            <w:gridSpan w:val="7"/>
          </w:tcPr>
          <w:p>
            <w:pPr>
              <w:spacing w:after="0"/>
              <w:rPr>
                <w:sz w:val="24"/>
                <w:szCs w:val="24"/>
                <w:color w:val="auto"/>
              </w:rPr>
            </w:pPr>
          </w:p>
        </w:tc>
        <w:tc>
          <w:tcPr>
            <w:tcW w:w="5420" w:type="dxa"/>
            <w:vAlign w:val="bottom"/>
          </w:tcPr>
          <w:p>
            <w:pPr>
              <w:ind w:left="500"/>
              <w:spacing w:after="0"/>
              <w:rPr>
                <w:sz w:val="20"/>
                <w:szCs w:val="20"/>
                <w:color w:val="auto"/>
              </w:rPr>
            </w:pPr>
            <w:r>
              <w:rPr>
                <w:rFonts w:ascii="Arial" w:cs="Arial" w:eastAsia="Arial" w:hAnsi="Arial"/>
                <w:sz w:val="14"/>
                <w:szCs w:val="14"/>
                <w:color w:val="auto"/>
              </w:rPr>
              <w:t>Chief Financial Officer</w:t>
            </w:r>
          </w:p>
        </w:tc>
        <w:tc>
          <w:tcPr>
            <w:tcW w:w="2020" w:type="dxa"/>
            <w:vAlign w:val="bottom"/>
          </w:tcPr>
          <w:p>
            <w:pPr>
              <w:jc w:val="center"/>
              <w:ind w:right="190"/>
              <w:spacing w:after="0"/>
              <w:rPr>
                <w:sz w:val="20"/>
                <w:szCs w:val="20"/>
                <w:color w:val="auto"/>
              </w:rPr>
            </w:pPr>
            <w:r>
              <w:rPr>
                <w:rFonts w:ascii="Arial" w:cs="Arial" w:eastAsia="Arial" w:hAnsi="Arial"/>
                <w:sz w:val="14"/>
                <w:szCs w:val="14"/>
                <w:color w:val="auto"/>
              </w:rPr>
              <w:t>February 28, 2024</w:t>
            </w:r>
          </w:p>
        </w:tc>
        <w:tc>
          <w:tcPr>
            <w:tcW w:w="0" w:type="dxa"/>
            <w:vAlign w:val="bottom"/>
          </w:tcPr>
          <w:p>
            <w:pPr>
              <w:spacing w:after="0"/>
              <w:rPr>
                <w:sz w:val="1"/>
                <w:szCs w:val="1"/>
                <w:color w:val="auto"/>
              </w:rPr>
            </w:pPr>
          </w:p>
        </w:tc>
      </w:tr>
      <w:tr>
        <w:trPr>
          <w:trHeight w:val="165"/>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10"/>
            <w:vMerge w:val="restart"/>
          </w:tcPr>
          <w:p>
            <w:pPr>
              <w:jc w:val="center"/>
              <w:ind w:right="260"/>
              <w:spacing w:after="0"/>
              <w:rPr>
                <w:sz w:val="20"/>
                <w:szCs w:val="20"/>
                <w:color w:val="auto"/>
              </w:rPr>
            </w:pPr>
            <w:r>
              <w:rPr>
                <w:rFonts w:ascii="Arial" w:cs="Arial" w:eastAsia="Arial" w:hAnsi="Arial"/>
                <w:sz w:val="14"/>
                <w:szCs w:val="14"/>
                <w:color w:val="auto"/>
              </w:rPr>
              <w:t>Susan G. Kim</w:t>
            </w:r>
          </w:p>
        </w:tc>
        <w:tc>
          <w:tcPr>
            <w:tcW w:w="5420" w:type="dxa"/>
            <w:vAlign w:val="bottom"/>
          </w:tcPr>
          <w:p>
            <w:pPr>
              <w:ind w:left="500"/>
              <w:spacing w:after="0"/>
              <w:rPr>
                <w:sz w:val="20"/>
                <w:szCs w:val="20"/>
                <w:color w:val="auto"/>
              </w:rPr>
            </w:pPr>
            <w:r>
              <w:rPr>
                <w:rFonts w:ascii="Arial" w:cs="Arial" w:eastAsia="Arial" w:hAnsi="Arial"/>
                <w:sz w:val="14"/>
                <w:szCs w:val="14"/>
                <w:color w:val="auto"/>
              </w:rPr>
              <w:t>(Principal Financial Officer)</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10"/>
            <w:vMerge w:val="continue"/>
          </w:tcPr>
          <w:p>
            <w:pPr>
              <w:spacing w:after="0"/>
              <w:rPr>
                <w:sz w:val="6"/>
                <w:szCs w:val="6"/>
                <w:color w:val="auto"/>
              </w:rPr>
            </w:pPr>
          </w:p>
        </w:tc>
        <w:tc>
          <w:tcPr>
            <w:tcW w:w="54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1"/>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Borders>
              <w:bottom w:val="single" w:sz="8" w:color="auto"/>
            </w:tcBorders>
            <w:gridSpan w:val="10"/>
          </w:tcPr>
          <w:p>
            <w:pPr>
              <w:jc w:val="center"/>
              <w:ind w:right="20"/>
              <w:spacing w:after="0"/>
              <w:rPr>
                <w:sz w:val="20"/>
                <w:szCs w:val="20"/>
                <w:color w:val="auto"/>
              </w:rPr>
            </w:pPr>
            <w:r>
              <w:rPr>
                <w:rFonts w:ascii="Arial" w:cs="Arial" w:eastAsia="Arial" w:hAnsi="Arial"/>
                <w:sz w:val="14"/>
                <w:szCs w:val="14"/>
                <w:color w:val="auto"/>
              </w:rPr>
              <w:t>/s/ Michele Farmer</w:t>
            </w:r>
          </w:p>
        </w:tc>
        <w:tc>
          <w:tcPr>
            <w:tcW w:w="160" w:type="dxa"/>
            <w:vAlign w:val="bottom"/>
            <w:gridSpan w:val="4"/>
          </w:tcPr>
          <w:p>
            <w:pPr>
              <w:spacing w:after="0"/>
              <w:rPr>
                <w:sz w:val="24"/>
                <w:szCs w:val="24"/>
                <w:color w:val="auto"/>
              </w:rPr>
            </w:pPr>
          </w:p>
        </w:tc>
        <w:tc>
          <w:tcPr>
            <w:tcW w:w="5420" w:type="dxa"/>
            <w:vAlign w:val="bottom"/>
          </w:tcPr>
          <w:p>
            <w:pPr>
              <w:ind w:left="500"/>
              <w:spacing w:after="0"/>
              <w:rPr>
                <w:sz w:val="20"/>
                <w:szCs w:val="20"/>
                <w:color w:val="auto"/>
              </w:rPr>
            </w:pPr>
            <w:r>
              <w:rPr>
                <w:rFonts w:ascii="Arial" w:cs="Arial" w:eastAsia="Arial" w:hAnsi="Arial"/>
                <w:sz w:val="14"/>
                <w:szCs w:val="14"/>
                <w:color w:val="auto"/>
              </w:rPr>
              <w:t>Vice President and Chief Accounting Officer (Principal Accounting Officer)</w:t>
            </w:r>
          </w:p>
        </w:tc>
        <w:tc>
          <w:tcPr>
            <w:tcW w:w="2020" w:type="dxa"/>
            <w:vAlign w:val="bottom"/>
          </w:tcPr>
          <w:p>
            <w:pPr>
              <w:jc w:val="center"/>
              <w:ind w:right="190"/>
              <w:spacing w:after="0"/>
              <w:rPr>
                <w:sz w:val="20"/>
                <w:szCs w:val="20"/>
                <w:color w:val="auto"/>
              </w:rPr>
            </w:pPr>
            <w:r>
              <w:rPr>
                <w:rFonts w:ascii="Arial" w:cs="Arial" w:eastAsia="Arial" w:hAnsi="Arial"/>
                <w:sz w:val="14"/>
                <w:szCs w:val="14"/>
                <w:color w:val="auto"/>
              </w:rPr>
              <w:t>February 28, 2024</w:t>
            </w:r>
          </w:p>
        </w:tc>
        <w:tc>
          <w:tcPr>
            <w:tcW w:w="0" w:type="dxa"/>
            <w:vAlign w:val="bottom"/>
          </w:tcPr>
          <w:p>
            <w:pPr>
              <w:spacing w:after="0"/>
              <w:rPr>
                <w:sz w:val="1"/>
                <w:szCs w:val="1"/>
                <w:color w:val="auto"/>
              </w:rPr>
            </w:pPr>
          </w:p>
        </w:tc>
      </w:tr>
      <w:tr>
        <w:trPr>
          <w:trHeight w:val="226"/>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10"/>
          </w:tcPr>
          <w:p>
            <w:pPr>
              <w:jc w:val="center"/>
              <w:ind w:right="280"/>
              <w:spacing w:after="0"/>
              <w:rPr>
                <w:sz w:val="20"/>
                <w:szCs w:val="20"/>
                <w:color w:val="auto"/>
              </w:rPr>
            </w:pPr>
            <w:r>
              <w:rPr>
                <w:rFonts w:ascii="Arial" w:cs="Arial" w:eastAsia="Arial" w:hAnsi="Arial"/>
                <w:sz w:val="14"/>
                <w:szCs w:val="14"/>
                <w:color w:val="auto"/>
              </w:rPr>
              <w:t>Michele Farmer</w:t>
            </w:r>
          </w:p>
        </w:tc>
        <w:tc>
          <w:tcPr>
            <w:tcW w:w="5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14"/>
          </w:tcPr>
          <w:p>
            <w:pPr>
              <w:jc w:val="center"/>
              <w:ind w:right="160"/>
              <w:spacing w:after="0"/>
              <w:rPr>
                <w:sz w:val="20"/>
                <w:szCs w:val="20"/>
                <w:color w:val="auto"/>
              </w:rPr>
            </w:pPr>
            <w:r>
              <w:rPr>
                <w:rFonts w:ascii="Arial" w:cs="Arial" w:eastAsia="Arial" w:hAnsi="Arial"/>
                <w:sz w:val="14"/>
                <w:szCs w:val="14"/>
                <w:color w:val="auto"/>
                <w:w w:val="99"/>
              </w:rPr>
              <w:t>/s/ John F. Milligan</w:t>
            </w:r>
          </w:p>
        </w:tc>
        <w:tc>
          <w:tcPr>
            <w:tcW w:w="5420" w:type="dxa"/>
            <w:vAlign w:val="bottom"/>
          </w:tcPr>
          <w:p>
            <w:pPr>
              <w:ind w:left="500"/>
              <w:spacing w:after="0"/>
              <w:rPr>
                <w:sz w:val="20"/>
                <w:szCs w:val="20"/>
                <w:color w:val="auto"/>
              </w:rPr>
            </w:pPr>
            <w:r>
              <w:rPr>
                <w:rFonts w:ascii="Arial" w:cs="Arial" w:eastAsia="Arial" w:hAnsi="Arial"/>
                <w:sz w:val="14"/>
                <w:szCs w:val="14"/>
                <w:color w:val="auto"/>
              </w:rPr>
              <w:t>Chairman of the Board of Directors</w:t>
            </w:r>
          </w:p>
        </w:tc>
        <w:tc>
          <w:tcPr>
            <w:tcW w:w="2020" w:type="dxa"/>
            <w:vAlign w:val="bottom"/>
          </w:tcPr>
          <w:p>
            <w:pPr>
              <w:jc w:val="center"/>
              <w:ind w:right="190"/>
              <w:spacing w:after="0"/>
              <w:rPr>
                <w:sz w:val="20"/>
                <w:szCs w:val="20"/>
                <w:color w:val="auto"/>
              </w:rPr>
            </w:pPr>
            <w:r>
              <w:rPr>
                <w:rFonts w:ascii="Arial" w:cs="Arial" w:eastAsia="Arial" w:hAnsi="Arial"/>
                <w:sz w:val="14"/>
                <w:szCs w:val="14"/>
                <w:color w:val="auto"/>
              </w:rPr>
              <w:t>February 28, 2024</w:t>
            </w: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5"/>
          </w:tcPr>
          <w:p>
            <w:pPr>
              <w:jc w:val="center"/>
              <w:ind w:right="100"/>
              <w:spacing w:after="0"/>
              <w:rPr>
                <w:sz w:val="20"/>
                <w:szCs w:val="20"/>
                <w:color w:val="auto"/>
              </w:rPr>
            </w:pPr>
            <w:r>
              <w:rPr>
                <w:rFonts w:ascii="Arial" w:cs="Arial" w:eastAsia="Arial" w:hAnsi="Arial"/>
                <w:sz w:val="14"/>
                <w:szCs w:val="14"/>
                <w:color w:val="auto"/>
                <w:w w:val="99"/>
              </w:rPr>
              <w:t>John F. Milligan</w:t>
            </w:r>
          </w:p>
        </w:tc>
        <w:tc>
          <w:tcPr>
            <w:tcW w:w="180" w:type="dxa"/>
            <w:vAlign w:val="bottom"/>
            <w:gridSpan w:val="5"/>
          </w:tcPr>
          <w:p>
            <w:pPr>
              <w:spacing w:after="0"/>
              <w:rPr>
                <w:sz w:val="16"/>
                <w:szCs w:val="16"/>
                <w:color w:val="auto"/>
              </w:rPr>
            </w:pPr>
          </w:p>
        </w:tc>
        <w:tc>
          <w:tcPr>
            <w:tcW w:w="5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17"/>
          </w:tcPr>
          <w:p>
            <w:pPr>
              <w:jc w:val="center"/>
              <w:ind w:right="20"/>
              <w:spacing w:after="0"/>
              <w:rPr>
                <w:sz w:val="20"/>
                <w:szCs w:val="20"/>
                <w:color w:val="auto"/>
              </w:rPr>
            </w:pPr>
            <w:r>
              <w:rPr>
                <w:rFonts w:ascii="Arial" w:cs="Arial" w:eastAsia="Arial" w:hAnsi="Arial"/>
                <w:sz w:val="14"/>
                <w:szCs w:val="14"/>
                <w:color w:val="auto"/>
              </w:rPr>
              <w:t>/s/ William W. Ericson</w:t>
            </w:r>
          </w:p>
        </w:tc>
        <w:tc>
          <w:tcPr>
            <w:tcW w:w="5420" w:type="dxa"/>
            <w:vAlign w:val="bottom"/>
          </w:tcPr>
          <w:p>
            <w:pPr>
              <w:ind w:left="500"/>
              <w:spacing w:after="0"/>
              <w:rPr>
                <w:sz w:val="20"/>
                <w:szCs w:val="20"/>
                <w:color w:val="auto"/>
              </w:rPr>
            </w:pPr>
            <w:r>
              <w:rPr>
                <w:rFonts w:ascii="Arial" w:cs="Arial" w:eastAsia="Arial" w:hAnsi="Arial"/>
                <w:sz w:val="14"/>
                <w:szCs w:val="14"/>
                <w:color w:val="auto"/>
              </w:rPr>
              <w:t>Director</w:t>
            </w:r>
          </w:p>
        </w:tc>
        <w:tc>
          <w:tcPr>
            <w:tcW w:w="2020" w:type="dxa"/>
            <w:vAlign w:val="bottom"/>
          </w:tcPr>
          <w:p>
            <w:pPr>
              <w:jc w:val="center"/>
              <w:ind w:right="190"/>
              <w:spacing w:after="0"/>
              <w:rPr>
                <w:sz w:val="20"/>
                <w:szCs w:val="20"/>
                <w:color w:val="auto"/>
              </w:rPr>
            </w:pPr>
            <w:r>
              <w:rPr>
                <w:rFonts w:ascii="Arial" w:cs="Arial" w:eastAsia="Arial" w:hAnsi="Arial"/>
                <w:sz w:val="14"/>
                <w:szCs w:val="14"/>
                <w:color w:val="auto"/>
              </w:rPr>
              <w:t>February 28, 2024</w:t>
            </w: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13"/>
          </w:tcPr>
          <w:p>
            <w:pPr>
              <w:jc w:val="center"/>
              <w:ind w:right="80"/>
              <w:spacing w:after="0"/>
              <w:rPr>
                <w:sz w:val="20"/>
                <w:szCs w:val="20"/>
                <w:color w:val="auto"/>
              </w:rPr>
            </w:pPr>
            <w:r>
              <w:rPr>
                <w:rFonts w:ascii="Arial" w:cs="Arial" w:eastAsia="Arial" w:hAnsi="Arial"/>
                <w:sz w:val="14"/>
                <w:szCs w:val="14"/>
                <w:color w:val="auto"/>
              </w:rPr>
              <w:t>William W. Ericson</w:t>
            </w:r>
          </w:p>
        </w:tc>
        <w:tc>
          <w:tcPr>
            <w:tcW w:w="80" w:type="dxa"/>
            <w:vAlign w:val="bottom"/>
            <w:gridSpan w:val="2"/>
          </w:tcPr>
          <w:p>
            <w:pPr>
              <w:spacing w:after="0"/>
              <w:rPr>
                <w:sz w:val="16"/>
                <w:szCs w:val="16"/>
                <w:color w:val="auto"/>
              </w:rPr>
            </w:pPr>
          </w:p>
        </w:tc>
        <w:tc>
          <w:tcPr>
            <w:tcW w:w="5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500" w:type="dxa"/>
            <w:vAlign w:val="bottom"/>
          </w:tcPr>
          <w:p>
            <w:pPr>
              <w:spacing w:after="0"/>
              <w:rPr>
                <w:sz w:val="24"/>
                <w:szCs w:val="24"/>
                <w:color w:val="auto"/>
              </w:rPr>
            </w:pPr>
          </w:p>
        </w:tc>
        <w:tc>
          <w:tcPr>
            <w:tcW w:w="1520" w:type="dxa"/>
            <w:vAlign w:val="bottom"/>
            <w:gridSpan w:val="18"/>
          </w:tcPr>
          <w:p>
            <w:pPr>
              <w:jc w:val="center"/>
              <w:spacing w:after="0"/>
              <w:rPr>
                <w:sz w:val="20"/>
                <w:szCs w:val="20"/>
                <w:color w:val="auto"/>
              </w:rPr>
            </w:pPr>
            <w:r>
              <w:rPr>
                <w:rFonts w:ascii="Arial" w:cs="Arial" w:eastAsia="Arial" w:hAnsi="Arial"/>
                <w:sz w:val="14"/>
                <w:szCs w:val="14"/>
                <w:color w:val="auto"/>
              </w:rPr>
              <w:t>/s/ Hannah A. Valantine</w:t>
            </w:r>
          </w:p>
        </w:tc>
        <w:tc>
          <w:tcPr>
            <w:tcW w:w="5420" w:type="dxa"/>
            <w:vAlign w:val="bottom"/>
          </w:tcPr>
          <w:p>
            <w:pPr>
              <w:ind w:left="500"/>
              <w:spacing w:after="0"/>
              <w:rPr>
                <w:sz w:val="20"/>
                <w:szCs w:val="20"/>
                <w:color w:val="auto"/>
              </w:rPr>
            </w:pPr>
            <w:r>
              <w:rPr>
                <w:rFonts w:ascii="Arial" w:cs="Arial" w:eastAsia="Arial" w:hAnsi="Arial"/>
                <w:sz w:val="14"/>
                <w:szCs w:val="14"/>
                <w:color w:val="auto"/>
              </w:rPr>
              <w:t>Director</w:t>
            </w:r>
          </w:p>
        </w:tc>
        <w:tc>
          <w:tcPr>
            <w:tcW w:w="2020" w:type="dxa"/>
            <w:vAlign w:val="bottom"/>
          </w:tcPr>
          <w:p>
            <w:pPr>
              <w:jc w:val="center"/>
              <w:ind w:right="190"/>
              <w:spacing w:after="0"/>
              <w:rPr>
                <w:sz w:val="20"/>
                <w:szCs w:val="20"/>
                <w:color w:val="auto"/>
              </w:rPr>
            </w:pPr>
            <w:r>
              <w:rPr>
                <w:rFonts w:ascii="Arial" w:cs="Arial" w:eastAsia="Arial" w:hAnsi="Arial"/>
                <w:sz w:val="14"/>
                <w:szCs w:val="14"/>
                <w:color w:val="auto"/>
              </w:rPr>
              <w:t>February 28, 2024</w:t>
            </w: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15"/>
          </w:tcPr>
          <w:p>
            <w:pPr>
              <w:jc w:val="center"/>
              <w:ind w:right="60"/>
              <w:spacing w:after="0"/>
              <w:rPr>
                <w:sz w:val="20"/>
                <w:szCs w:val="20"/>
                <w:color w:val="auto"/>
              </w:rPr>
            </w:pPr>
            <w:r>
              <w:rPr>
                <w:rFonts w:ascii="Arial" w:cs="Arial" w:eastAsia="Arial" w:hAnsi="Arial"/>
                <w:sz w:val="14"/>
                <w:szCs w:val="14"/>
                <w:color w:val="auto"/>
                <w:w w:val="99"/>
              </w:rPr>
              <w:t>Hannah A. Valantine</w:t>
            </w:r>
          </w:p>
        </w:tc>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500" w:type="dxa"/>
            <w:vAlign w:val="bottom"/>
          </w:tcPr>
          <w:p>
            <w:pPr>
              <w:spacing w:after="0"/>
              <w:rPr>
                <w:sz w:val="24"/>
                <w:szCs w:val="24"/>
                <w:color w:val="auto"/>
              </w:rPr>
            </w:pPr>
          </w:p>
        </w:tc>
        <w:tc>
          <w:tcPr>
            <w:tcW w:w="1520" w:type="dxa"/>
            <w:vAlign w:val="bottom"/>
            <w:tcBorders>
              <w:bottom w:val="single" w:sz="8" w:color="auto"/>
            </w:tcBorders>
            <w:gridSpan w:val="18"/>
          </w:tcPr>
          <w:p>
            <w:pPr>
              <w:jc w:val="center"/>
              <w:spacing w:after="0"/>
              <w:rPr>
                <w:sz w:val="20"/>
                <w:szCs w:val="20"/>
                <w:color w:val="auto"/>
              </w:rPr>
            </w:pPr>
            <w:r>
              <w:rPr>
                <w:rFonts w:ascii="Arial" w:cs="Arial" w:eastAsia="Arial" w:hAnsi="Arial"/>
                <w:sz w:val="14"/>
                <w:szCs w:val="14"/>
                <w:color w:val="auto"/>
              </w:rPr>
              <w:t>/s/ Randall S. Livingston</w:t>
            </w:r>
          </w:p>
        </w:tc>
        <w:tc>
          <w:tcPr>
            <w:tcW w:w="5420" w:type="dxa"/>
            <w:vAlign w:val="bottom"/>
          </w:tcPr>
          <w:p>
            <w:pPr>
              <w:ind w:left="500"/>
              <w:spacing w:after="0"/>
              <w:rPr>
                <w:sz w:val="20"/>
                <w:szCs w:val="20"/>
                <w:color w:val="auto"/>
              </w:rPr>
            </w:pPr>
            <w:r>
              <w:rPr>
                <w:rFonts w:ascii="Arial" w:cs="Arial" w:eastAsia="Arial" w:hAnsi="Arial"/>
                <w:sz w:val="14"/>
                <w:szCs w:val="14"/>
                <w:color w:val="auto"/>
              </w:rPr>
              <w:t>Director</w:t>
            </w:r>
          </w:p>
        </w:tc>
        <w:tc>
          <w:tcPr>
            <w:tcW w:w="2020" w:type="dxa"/>
            <w:vAlign w:val="bottom"/>
          </w:tcPr>
          <w:p>
            <w:pPr>
              <w:jc w:val="center"/>
              <w:ind w:right="190"/>
              <w:spacing w:after="0"/>
              <w:rPr>
                <w:sz w:val="20"/>
                <w:szCs w:val="20"/>
                <w:color w:val="auto"/>
              </w:rPr>
            </w:pPr>
            <w:r>
              <w:rPr>
                <w:rFonts w:ascii="Arial" w:cs="Arial" w:eastAsia="Arial" w:hAnsi="Arial"/>
                <w:sz w:val="14"/>
                <w:szCs w:val="14"/>
                <w:color w:val="auto"/>
              </w:rPr>
              <w:t>February 28, 2024</w:t>
            </w: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16"/>
          </w:tcPr>
          <w:p>
            <w:pPr>
              <w:jc w:val="center"/>
              <w:ind w:right="80"/>
              <w:spacing w:after="0"/>
              <w:rPr>
                <w:sz w:val="20"/>
                <w:szCs w:val="20"/>
                <w:color w:val="auto"/>
              </w:rPr>
            </w:pPr>
            <w:r>
              <w:rPr>
                <w:rFonts w:ascii="Arial" w:cs="Arial" w:eastAsia="Arial" w:hAnsi="Arial"/>
                <w:sz w:val="14"/>
                <w:szCs w:val="14"/>
                <w:color w:val="auto"/>
              </w:rPr>
              <w:t>Randall S. Livingston</w:t>
            </w:r>
          </w:p>
        </w:tc>
        <w:tc>
          <w:tcPr>
            <w:tcW w:w="5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bottom w:val="single" w:sz="8" w:color="auto"/>
            </w:tcBorders>
            <w:gridSpan w:val="12"/>
          </w:tcPr>
          <w:p>
            <w:pPr>
              <w:jc w:val="center"/>
              <w:spacing w:after="0"/>
              <w:rPr>
                <w:sz w:val="20"/>
                <w:szCs w:val="20"/>
                <w:color w:val="auto"/>
              </w:rPr>
            </w:pPr>
            <w:r>
              <w:rPr>
                <w:rFonts w:ascii="Arial" w:cs="Arial" w:eastAsia="Arial" w:hAnsi="Arial"/>
                <w:sz w:val="14"/>
                <w:szCs w:val="14"/>
                <w:color w:val="auto"/>
              </w:rPr>
              <w:t>/s/ Marshall L. Mohr</w:t>
            </w:r>
          </w:p>
        </w:tc>
        <w:tc>
          <w:tcPr>
            <w:tcW w:w="140" w:type="dxa"/>
            <w:vAlign w:val="bottom"/>
            <w:gridSpan w:val="3"/>
          </w:tcPr>
          <w:p>
            <w:pPr>
              <w:spacing w:after="0"/>
              <w:rPr>
                <w:sz w:val="24"/>
                <w:szCs w:val="24"/>
                <w:color w:val="auto"/>
              </w:rPr>
            </w:pPr>
          </w:p>
        </w:tc>
        <w:tc>
          <w:tcPr>
            <w:tcW w:w="5420" w:type="dxa"/>
            <w:vAlign w:val="bottom"/>
          </w:tcPr>
          <w:p>
            <w:pPr>
              <w:ind w:left="500"/>
              <w:spacing w:after="0"/>
              <w:rPr>
                <w:sz w:val="20"/>
                <w:szCs w:val="20"/>
                <w:color w:val="auto"/>
              </w:rPr>
            </w:pPr>
            <w:r>
              <w:rPr>
                <w:rFonts w:ascii="Arial" w:cs="Arial" w:eastAsia="Arial" w:hAnsi="Arial"/>
                <w:sz w:val="14"/>
                <w:szCs w:val="14"/>
                <w:color w:val="auto"/>
              </w:rPr>
              <w:t>Director</w:t>
            </w:r>
          </w:p>
        </w:tc>
        <w:tc>
          <w:tcPr>
            <w:tcW w:w="2020" w:type="dxa"/>
            <w:vAlign w:val="bottom"/>
          </w:tcPr>
          <w:p>
            <w:pPr>
              <w:jc w:val="center"/>
              <w:ind w:right="190"/>
              <w:spacing w:after="0"/>
              <w:rPr>
                <w:sz w:val="20"/>
                <w:szCs w:val="20"/>
                <w:color w:val="auto"/>
              </w:rPr>
            </w:pPr>
            <w:r>
              <w:rPr>
                <w:rFonts w:ascii="Arial" w:cs="Arial" w:eastAsia="Arial" w:hAnsi="Arial"/>
                <w:sz w:val="14"/>
                <w:szCs w:val="14"/>
                <w:color w:val="auto"/>
              </w:rPr>
              <w:t>February 28, 2024</w:t>
            </w: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12"/>
          </w:tcPr>
          <w:p>
            <w:pPr>
              <w:jc w:val="center"/>
              <w:ind w:right="240"/>
              <w:spacing w:after="0"/>
              <w:rPr>
                <w:sz w:val="20"/>
                <w:szCs w:val="20"/>
                <w:color w:val="auto"/>
              </w:rPr>
            </w:pPr>
            <w:r>
              <w:rPr>
                <w:rFonts w:ascii="Arial" w:cs="Arial" w:eastAsia="Arial" w:hAnsi="Arial"/>
                <w:sz w:val="14"/>
                <w:szCs w:val="14"/>
                <w:color w:val="auto"/>
              </w:rPr>
              <w:t>Marshall L. Mohr</w:t>
            </w:r>
          </w:p>
        </w:tc>
        <w:tc>
          <w:tcPr>
            <w:tcW w:w="5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13"/>
          </w:tcPr>
          <w:p>
            <w:pPr>
              <w:jc w:val="center"/>
              <w:ind w:right="200"/>
              <w:spacing w:after="0"/>
              <w:rPr>
                <w:sz w:val="20"/>
                <w:szCs w:val="20"/>
                <w:color w:val="auto"/>
              </w:rPr>
            </w:pPr>
            <w:r>
              <w:rPr>
                <w:rFonts w:ascii="Arial" w:cs="Arial" w:eastAsia="Arial" w:hAnsi="Arial"/>
                <w:sz w:val="14"/>
                <w:szCs w:val="14"/>
                <w:color w:val="auto"/>
              </w:rPr>
              <w:t>/s/ Kathy Ordoñez</w:t>
            </w:r>
          </w:p>
        </w:tc>
        <w:tc>
          <w:tcPr>
            <w:tcW w:w="5420" w:type="dxa"/>
            <w:vAlign w:val="bottom"/>
          </w:tcPr>
          <w:p>
            <w:pPr>
              <w:ind w:left="500"/>
              <w:spacing w:after="0"/>
              <w:rPr>
                <w:sz w:val="20"/>
                <w:szCs w:val="20"/>
                <w:color w:val="auto"/>
              </w:rPr>
            </w:pPr>
            <w:r>
              <w:rPr>
                <w:rFonts w:ascii="Arial" w:cs="Arial" w:eastAsia="Arial" w:hAnsi="Arial"/>
                <w:sz w:val="14"/>
                <w:szCs w:val="14"/>
                <w:color w:val="auto"/>
              </w:rPr>
              <w:t>Director</w:t>
            </w:r>
          </w:p>
        </w:tc>
        <w:tc>
          <w:tcPr>
            <w:tcW w:w="2020" w:type="dxa"/>
            <w:vAlign w:val="bottom"/>
          </w:tcPr>
          <w:p>
            <w:pPr>
              <w:jc w:val="center"/>
              <w:ind w:right="190"/>
              <w:spacing w:after="0"/>
              <w:rPr>
                <w:sz w:val="20"/>
                <w:szCs w:val="20"/>
                <w:color w:val="auto"/>
              </w:rPr>
            </w:pPr>
            <w:r>
              <w:rPr>
                <w:rFonts w:ascii="Arial" w:cs="Arial" w:eastAsia="Arial" w:hAnsi="Arial"/>
                <w:sz w:val="14"/>
                <w:szCs w:val="14"/>
                <w:color w:val="auto"/>
              </w:rPr>
              <w:t>February 28, 2024</w:t>
            </w: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4"/>
          </w:tcPr>
          <w:p>
            <w:pPr>
              <w:jc w:val="center"/>
              <w:ind w:right="80"/>
              <w:spacing w:after="0"/>
              <w:rPr>
                <w:sz w:val="20"/>
                <w:szCs w:val="20"/>
                <w:color w:val="auto"/>
              </w:rPr>
            </w:pPr>
            <w:r>
              <w:rPr>
                <w:rFonts w:ascii="Arial" w:cs="Arial" w:eastAsia="Arial" w:hAnsi="Arial"/>
                <w:sz w:val="14"/>
                <w:szCs w:val="14"/>
                <w:color w:val="auto"/>
              </w:rPr>
              <w:t>Kathy Ordoñez</w:t>
            </w:r>
          </w:p>
        </w:tc>
        <w:tc>
          <w:tcPr>
            <w:tcW w:w="200" w:type="dxa"/>
            <w:vAlign w:val="bottom"/>
            <w:gridSpan w:val="6"/>
          </w:tcPr>
          <w:p>
            <w:pPr>
              <w:spacing w:after="0"/>
              <w:rPr>
                <w:sz w:val="16"/>
                <w:szCs w:val="16"/>
                <w:color w:val="auto"/>
              </w:rPr>
            </w:pPr>
          </w:p>
        </w:tc>
        <w:tc>
          <w:tcPr>
            <w:tcW w:w="5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/s/ Lucy Shapiro</w:t>
            </w:r>
          </w:p>
        </w:tc>
        <w:tc>
          <w:tcPr>
            <w:tcW w:w="240" w:type="dxa"/>
            <w:vAlign w:val="bottom"/>
            <w:gridSpan w:val="8"/>
          </w:tcPr>
          <w:p>
            <w:pPr>
              <w:spacing w:after="0"/>
              <w:rPr>
                <w:sz w:val="24"/>
                <w:szCs w:val="24"/>
                <w:color w:val="auto"/>
              </w:rPr>
            </w:pPr>
          </w:p>
        </w:tc>
        <w:tc>
          <w:tcPr>
            <w:tcW w:w="5420" w:type="dxa"/>
            <w:vAlign w:val="bottom"/>
          </w:tcPr>
          <w:p>
            <w:pPr>
              <w:ind w:left="500"/>
              <w:spacing w:after="0"/>
              <w:rPr>
                <w:sz w:val="20"/>
                <w:szCs w:val="20"/>
                <w:color w:val="auto"/>
              </w:rPr>
            </w:pPr>
            <w:r>
              <w:rPr>
                <w:rFonts w:ascii="Arial" w:cs="Arial" w:eastAsia="Arial" w:hAnsi="Arial"/>
                <w:sz w:val="14"/>
                <w:szCs w:val="14"/>
                <w:color w:val="auto"/>
              </w:rPr>
              <w:t>Director</w:t>
            </w:r>
          </w:p>
        </w:tc>
        <w:tc>
          <w:tcPr>
            <w:tcW w:w="2020" w:type="dxa"/>
            <w:vAlign w:val="bottom"/>
          </w:tcPr>
          <w:p>
            <w:pPr>
              <w:jc w:val="center"/>
              <w:ind w:right="190"/>
              <w:spacing w:after="0"/>
              <w:rPr>
                <w:sz w:val="20"/>
                <w:szCs w:val="20"/>
                <w:color w:val="auto"/>
              </w:rPr>
            </w:pPr>
            <w:r>
              <w:rPr>
                <w:rFonts w:ascii="Arial" w:cs="Arial" w:eastAsia="Arial" w:hAnsi="Arial"/>
                <w:sz w:val="14"/>
                <w:szCs w:val="14"/>
                <w:color w:val="auto"/>
              </w:rPr>
              <w:t>February 28, 2024</w:t>
            </w: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10"/>
          </w:tcPr>
          <w:p>
            <w:pPr>
              <w:jc w:val="center"/>
              <w:ind w:right="280"/>
              <w:spacing w:after="0"/>
              <w:rPr>
                <w:sz w:val="20"/>
                <w:szCs w:val="20"/>
                <w:color w:val="auto"/>
              </w:rPr>
            </w:pPr>
            <w:r>
              <w:rPr>
                <w:rFonts w:ascii="Arial" w:cs="Arial" w:eastAsia="Arial" w:hAnsi="Arial"/>
                <w:sz w:val="14"/>
                <w:szCs w:val="14"/>
                <w:color w:val="auto"/>
              </w:rPr>
              <w:t>Lucy Shapiro</w:t>
            </w:r>
          </w:p>
        </w:tc>
        <w:tc>
          <w:tcPr>
            <w:tcW w:w="5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11"/>
          </w:tcPr>
          <w:p>
            <w:pPr>
              <w:jc w:val="center"/>
              <w:ind w:right="240"/>
              <w:spacing w:after="0"/>
              <w:rPr>
                <w:sz w:val="20"/>
                <w:szCs w:val="20"/>
                <w:color w:val="auto"/>
              </w:rPr>
            </w:pPr>
            <w:r>
              <w:rPr>
                <w:rFonts w:ascii="Arial" w:cs="Arial" w:eastAsia="Arial" w:hAnsi="Arial"/>
                <w:sz w:val="14"/>
                <w:szCs w:val="14"/>
                <w:color w:val="auto"/>
              </w:rPr>
              <w:t>/s/ David Meline</w:t>
            </w:r>
          </w:p>
        </w:tc>
        <w:tc>
          <w:tcPr>
            <w:tcW w:w="5420" w:type="dxa"/>
            <w:vAlign w:val="bottom"/>
          </w:tcPr>
          <w:p>
            <w:pPr>
              <w:ind w:left="500"/>
              <w:spacing w:after="0"/>
              <w:rPr>
                <w:sz w:val="20"/>
                <w:szCs w:val="20"/>
                <w:color w:val="auto"/>
              </w:rPr>
            </w:pPr>
            <w:r>
              <w:rPr>
                <w:rFonts w:ascii="Arial" w:cs="Arial" w:eastAsia="Arial" w:hAnsi="Arial"/>
                <w:sz w:val="14"/>
                <w:szCs w:val="14"/>
                <w:color w:val="auto"/>
              </w:rPr>
              <w:t>Director</w:t>
            </w:r>
          </w:p>
        </w:tc>
        <w:tc>
          <w:tcPr>
            <w:tcW w:w="2020" w:type="dxa"/>
            <w:vAlign w:val="bottom"/>
          </w:tcPr>
          <w:p>
            <w:pPr>
              <w:jc w:val="center"/>
              <w:ind w:right="190"/>
              <w:spacing w:after="0"/>
              <w:rPr>
                <w:sz w:val="20"/>
                <w:szCs w:val="20"/>
                <w:color w:val="auto"/>
              </w:rPr>
            </w:pPr>
            <w:r>
              <w:rPr>
                <w:rFonts w:ascii="Arial" w:cs="Arial" w:eastAsia="Arial" w:hAnsi="Arial"/>
                <w:sz w:val="14"/>
                <w:szCs w:val="14"/>
                <w:color w:val="auto"/>
              </w:rPr>
              <w:t>February 28, 2024</w:t>
            </w: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David Meline</w:t>
            </w:r>
          </w:p>
        </w:tc>
        <w:tc>
          <w:tcPr>
            <w:tcW w:w="260" w:type="dxa"/>
            <w:vAlign w:val="bottom"/>
            <w:gridSpan w:val="9"/>
          </w:tcPr>
          <w:p>
            <w:pPr>
              <w:spacing w:after="0"/>
              <w:rPr>
                <w:sz w:val="16"/>
                <w:szCs w:val="16"/>
                <w:color w:val="auto"/>
              </w:rPr>
            </w:pPr>
          </w:p>
        </w:tc>
        <w:tc>
          <w:tcPr>
            <w:tcW w:w="5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1"/>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Pr>
          <w:p>
            <w:pPr>
              <w:ind w:left="2600"/>
              <w:spacing w:after="0"/>
              <w:rPr>
                <w:sz w:val="20"/>
                <w:szCs w:val="20"/>
                <w:color w:val="auto"/>
              </w:rPr>
            </w:pPr>
            <w:r>
              <w:rPr>
                <w:rFonts w:ascii="Arial" w:cs="Arial" w:eastAsia="Arial" w:hAnsi="Arial"/>
                <w:sz w:val="14"/>
                <w:szCs w:val="14"/>
                <w:color w:val="auto"/>
              </w:rPr>
              <w:t>119</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594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7105650" cy="559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7023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7105650" cy="7023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402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LIST OF SUBSIDIARIES</w:t>
            </w:r>
          </w:p>
        </w:tc>
        <w:tc>
          <w:tcPr>
            <w:tcW w:w="3680" w:type="dxa"/>
            <w:vAlign w:val="bottom"/>
          </w:tcPr>
          <w:p>
            <w:pPr>
              <w:spacing w:after="0"/>
              <w:rPr>
                <w:sz w:val="16"/>
                <w:szCs w:val="16"/>
                <w:color w:val="auto"/>
              </w:rPr>
            </w:pPr>
          </w:p>
        </w:tc>
      </w:tr>
      <w:tr>
        <w:trPr>
          <w:trHeight w:val="401"/>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40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6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Type</w:t>
            </w:r>
          </w:p>
        </w:tc>
      </w:tr>
      <w:tr>
        <w:trPr>
          <w:trHeight w:val="18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Pacific Biosciences International LLC</w:t>
            </w:r>
          </w:p>
        </w:tc>
        <w:tc>
          <w:tcPr>
            <w:tcW w:w="40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c>
          <w:tcPr>
            <w:tcW w:w="36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Domestic</w:t>
            </w:r>
          </w:p>
        </w:tc>
      </w:tr>
      <w:tr>
        <w:trPr>
          <w:trHeight w:val="198"/>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Pacific Biosciences Canada Limited</w:t>
            </w:r>
          </w:p>
        </w:tc>
        <w:tc>
          <w:tcPr>
            <w:tcW w:w="40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Canada (Ontario)</w:t>
            </w:r>
          </w:p>
        </w:tc>
        <w:tc>
          <w:tcPr>
            <w:tcW w:w="36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Foreign</w:t>
            </w:r>
          </w:p>
        </w:tc>
      </w:tr>
      <w:tr>
        <w:trPr>
          <w:trHeight w:val="20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Pacific Biosciences Germany GmbH</w:t>
            </w:r>
          </w:p>
        </w:tc>
        <w:tc>
          <w:tcPr>
            <w:tcW w:w="40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Germany (Munich)</w:t>
            </w:r>
          </w:p>
        </w:tc>
        <w:tc>
          <w:tcPr>
            <w:tcW w:w="36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Foreign</w:t>
            </w:r>
          </w:p>
        </w:tc>
      </w:tr>
      <w:tr>
        <w:trPr>
          <w:trHeight w:val="20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Pacific Biosciences Japan GK</w:t>
            </w:r>
          </w:p>
        </w:tc>
        <w:tc>
          <w:tcPr>
            <w:tcW w:w="40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Japan (Tokyo)</w:t>
            </w:r>
          </w:p>
        </w:tc>
        <w:tc>
          <w:tcPr>
            <w:tcW w:w="36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Foreign</w:t>
            </w:r>
          </w:p>
        </w:tc>
      </w:tr>
      <w:tr>
        <w:trPr>
          <w:trHeight w:val="20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Pacific Biosciences (Shanghai) Co., Ltd.</w:t>
            </w:r>
          </w:p>
        </w:tc>
        <w:tc>
          <w:tcPr>
            <w:tcW w:w="40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China (Shanghai)</w:t>
            </w:r>
          </w:p>
        </w:tc>
        <w:tc>
          <w:tcPr>
            <w:tcW w:w="36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Foreign</w:t>
            </w:r>
          </w:p>
        </w:tc>
      </w:tr>
      <w:tr>
        <w:trPr>
          <w:trHeight w:val="20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PacBio Singapore Pte. Limited</w:t>
            </w:r>
          </w:p>
        </w:tc>
        <w:tc>
          <w:tcPr>
            <w:tcW w:w="40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Singapore</w:t>
            </w:r>
          </w:p>
        </w:tc>
        <w:tc>
          <w:tcPr>
            <w:tcW w:w="36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Foreign</w:t>
            </w:r>
          </w:p>
        </w:tc>
      </w:tr>
      <w:tr>
        <w:trPr>
          <w:trHeight w:val="20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Pacific Biosciences UK, Ltd.</w:t>
            </w:r>
          </w:p>
        </w:tc>
        <w:tc>
          <w:tcPr>
            <w:tcW w:w="40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United Kingdom (London)</w:t>
            </w:r>
          </w:p>
        </w:tc>
        <w:tc>
          <w:tcPr>
            <w:tcW w:w="36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Foreign</w:t>
            </w:r>
          </w:p>
        </w:tc>
      </w:tr>
      <w:tr>
        <w:trPr>
          <w:trHeight w:val="20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Omniome, LLC</w:t>
            </w:r>
          </w:p>
        </w:tc>
        <w:tc>
          <w:tcPr>
            <w:tcW w:w="40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c>
          <w:tcPr>
            <w:tcW w:w="36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Domestic</w:t>
            </w:r>
          </w:p>
        </w:tc>
      </w:tr>
      <w:tr>
        <w:trPr>
          <w:trHeight w:val="20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Circulomics Inc.</w:t>
            </w:r>
          </w:p>
        </w:tc>
        <w:tc>
          <w:tcPr>
            <w:tcW w:w="40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Maryland</w:t>
            </w:r>
          </w:p>
        </w:tc>
        <w:tc>
          <w:tcPr>
            <w:tcW w:w="36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Domestic</w:t>
            </w:r>
          </w:p>
        </w:tc>
      </w:tr>
      <w:tr>
        <w:trPr>
          <w:trHeight w:val="20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PacBio B.V.</w:t>
            </w:r>
          </w:p>
        </w:tc>
        <w:tc>
          <w:tcPr>
            <w:tcW w:w="40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Netherlands (Amsterdam)</w:t>
            </w:r>
          </w:p>
        </w:tc>
        <w:tc>
          <w:tcPr>
            <w:tcW w:w="36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Foreign</w:t>
            </w:r>
          </w:p>
        </w:tc>
      </w:tr>
      <w:tr>
        <w:trPr>
          <w:trHeight w:val="20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PacBio of Korea, Yuhan Hoesa</w:t>
            </w:r>
          </w:p>
        </w:tc>
        <w:tc>
          <w:tcPr>
            <w:tcW w:w="40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Korea</w:t>
            </w:r>
          </w:p>
        </w:tc>
        <w:tc>
          <w:tcPr>
            <w:tcW w:w="36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Foreign</w:t>
            </w:r>
          </w:p>
        </w:tc>
      </w:tr>
      <w:tr>
        <w:trPr>
          <w:trHeight w:val="20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Apton Biosystems LLC</w:t>
            </w:r>
          </w:p>
        </w:tc>
        <w:tc>
          <w:tcPr>
            <w:tcW w:w="40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c>
          <w:tcPr>
            <w:tcW w:w="36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Domestic</w:t>
            </w:r>
          </w:p>
        </w:tc>
      </w:tr>
    </w:tbl>
    <w:p>
      <w:pPr>
        <w:sectPr>
          <w:pgSz w:w="11900" w:h="16838" w:orient="portrait"/>
          <w:cols w:equalWidth="0" w:num="1">
            <w:col w:w="11280"/>
          </w:cols>
          <w:pgMar w:left="300" w:top="1131" w:right="3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94" w:lineRule="exact"/>
        <w:rPr>
          <w:sz w:val="20"/>
          <w:szCs w:val="20"/>
          <w:color w:val="auto"/>
        </w:rPr>
      </w:pPr>
    </w:p>
    <w:p>
      <w:pPr>
        <w:jc w:val="both"/>
        <w:ind w:left="260" w:hanging="255"/>
        <w:spacing w:after="0" w:line="261" w:lineRule="auto"/>
        <w:tabs>
          <w:tab w:leader="none" w:pos="255"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(Forms S-8 Nos. 333-170211, 333-179810, 333-186065, 333-193437, 333-201678, 333-209157, 333-215746, 333-222696, 333-229368, 333-236061, 333-241687, 333-170211, 333-179810, 333-186065, 333-193437, 333-201678, 333-209157, 333-215746, 333-222696, 333-229368, 333-236061, 333-251153, 333-253669, 333-255342, 333-259671, 333-261251, 333-263101, 333-265249 and 333-270122) pertaining to the Pacific Biosciences of California, Inc. 2010 Equity Incentive Plan, the Pacific Biosciences of California, Inc. 2010 Employee Stock Purchase Plan, the Pacific Biosciences of California, Inc. 2010 Outside Director Equity Incentive Plan, the Pacific Biosciences of California, Inc. 2020 Equity Incentive Plan, the Pacific Biosciences of California, Inc. 2020 Inducement Equity Incentive Plan, and the Omniome Equity Incentive Plan of Pacific Biosciences of California, Inc., and</w:t>
      </w:r>
    </w:p>
    <w:p>
      <w:pPr>
        <w:spacing w:after="0" w:line="5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(Forms S-3 Nos. 333-255324, 333-259670, 333-259672 and 333-274846) and related Prospectuses of Pacific Biosciences of California, Inc.</w:t>
      </w:r>
    </w:p>
    <w:p>
      <w:pPr>
        <w:spacing w:after="0" w:line="20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of our reports dated February 28, 2024, with respect to the consolidated financial statements of Pacific Biosciences of California, Inc. and the effectiveness of internal control over financial reporting of Pacific Biosciences of California, Inc. included in this Annual Report (Form 10-K) of Pacific Biosciences of California, Inc. for the year ended December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Mateo,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2024</w:t>
      </w:r>
    </w:p>
    <w:p>
      <w:pPr>
        <w:sectPr>
          <w:pgSz w:w="11900" w:h="16838" w:orient="portrait"/>
          <w:cols w:equalWidth="0" w:num="1">
            <w:col w:w="11280"/>
          </w:cols>
          <w:pgMar w:left="300" w:top="1226"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13a-14(a)/15d-14(a),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SECTION 302 OF THE SARBANES-OXLEY ACT OF 2002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Christian Henry, certify that:</w:t>
      </w:r>
    </w:p>
    <w:p>
      <w:pPr>
        <w:spacing w:after="0" w:line="94" w:lineRule="exact"/>
        <w:rPr>
          <w:sz w:val="20"/>
          <w:szCs w:val="20"/>
          <w:color w:val="auto"/>
        </w:rPr>
      </w:pPr>
    </w:p>
    <w:p>
      <w:pPr>
        <w:ind w:left="520" w:hanging="133"/>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Pacific Biosciences of California, Inc.;</w:t>
      </w:r>
    </w:p>
    <w:p>
      <w:pPr>
        <w:spacing w:after="0" w:line="93" w:lineRule="exact"/>
        <w:rPr>
          <w:rFonts w:ascii="Times New Roman" w:cs="Times New Roman" w:eastAsia="Times New Roman" w:hAnsi="Times New Roman"/>
          <w:sz w:val="14"/>
          <w:szCs w:val="14"/>
          <w:color w:val="auto"/>
        </w:rPr>
      </w:pPr>
    </w:p>
    <w:p>
      <w:pPr>
        <w:ind w:right="720" w:firstLine="387"/>
        <w:spacing w:after="0" w:line="287" w:lineRule="auto"/>
        <w:tabs>
          <w:tab w:leader="none" w:pos="50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right="200" w:firstLine="387"/>
        <w:spacing w:after="0" w:line="287" w:lineRule="auto"/>
        <w:tabs>
          <w:tab w:leader="none" w:pos="50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right="240" w:firstLine="387"/>
        <w:spacing w:after="0" w:line="287" w:lineRule="auto"/>
        <w:tabs>
          <w:tab w:leader="none" w:pos="50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sz w:val="20"/>
          <w:szCs w:val="20"/>
          <w:color w:val="auto"/>
        </w:rPr>
      </w:pPr>
    </w:p>
    <w:p>
      <w:pPr>
        <w:ind w:right="500" w:firstLine="382"/>
        <w:spacing w:after="0" w:line="287" w:lineRule="auto"/>
        <w:rPr>
          <w:sz w:val="20"/>
          <w:szCs w:val="20"/>
          <w:color w:val="auto"/>
        </w:rPr>
      </w:pPr>
      <w:r>
        <w:rPr>
          <w:rFonts w:ascii="Times New Roman" w:cs="Times New Roman" w:eastAsia="Times New Roman" w:hAnsi="Times New Roman"/>
          <w:sz w:val="14"/>
          <w:szCs w:val="14"/>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sz w:val="20"/>
          <w:szCs w:val="20"/>
          <w:color w:val="auto"/>
        </w:rPr>
      </w:pPr>
    </w:p>
    <w:p>
      <w:pPr>
        <w:ind w:right="680" w:firstLine="382"/>
        <w:spacing w:after="0" w:line="287" w:lineRule="auto"/>
        <w:rPr>
          <w:sz w:val="20"/>
          <w:szCs w:val="20"/>
          <w:color w:val="auto"/>
        </w:rPr>
      </w:pPr>
      <w:r>
        <w:rPr>
          <w:rFonts w:ascii="Times New Roman" w:cs="Times New Roman" w:eastAsia="Times New Roman" w:hAnsi="Times New Roman"/>
          <w:sz w:val="14"/>
          <w:szCs w:val="14"/>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sz w:val="20"/>
          <w:szCs w:val="20"/>
          <w:color w:val="auto"/>
        </w:rPr>
      </w:pPr>
    </w:p>
    <w:p>
      <w:pPr>
        <w:ind w:right="340" w:firstLine="382"/>
        <w:spacing w:after="0" w:line="287" w:lineRule="auto"/>
        <w:rPr>
          <w:sz w:val="20"/>
          <w:szCs w:val="20"/>
          <w:color w:val="auto"/>
        </w:rPr>
      </w:pPr>
      <w:r>
        <w:rPr>
          <w:rFonts w:ascii="Times New Roman" w:cs="Times New Roman" w:eastAsia="Times New Roman" w:hAnsi="Times New Roman"/>
          <w:sz w:val="14"/>
          <w:szCs w:val="14"/>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right="380" w:firstLine="387"/>
        <w:spacing w:after="0" w:line="287" w:lineRule="auto"/>
        <w:tabs>
          <w:tab w:leader="none" w:pos="50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right="360" w:firstLine="382"/>
        <w:spacing w:after="0" w:line="287" w:lineRule="auto"/>
        <w:rPr>
          <w:sz w:val="20"/>
          <w:szCs w:val="20"/>
          <w:color w:val="auto"/>
        </w:rPr>
      </w:pPr>
      <w:r>
        <w:rPr>
          <w:rFonts w:ascii="Times New Roman" w:cs="Times New Roman" w:eastAsia="Times New Roman" w:hAnsi="Times New Roman"/>
          <w:sz w:val="14"/>
          <w:szCs w:val="14"/>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sz w:val="20"/>
          <w:szCs w:val="20"/>
          <w:color w:val="auto"/>
        </w:rPr>
      </w:pPr>
    </w:p>
    <w:p>
      <w:pPr>
        <w:ind w:right="1240" w:firstLine="382"/>
        <w:spacing w:after="0" w:line="403" w:lineRule="auto"/>
        <w:rPr>
          <w:sz w:val="20"/>
          <w:szCs w:val="20"/>
          <w:color w:val="auto"/>
        </w:rPr>
      </w:pPr>
      <w:r>
        <w:rPr>
          <w:rFonts w:ascii="Times New Roman" w:cs="Times New Roman" w:eastAsia="Times New Roman" w:hAnsi="Times New Roman"/>
          <w:sz w:val="14"/>
          <w:szCs w:val="14"/>
          <w:color w:val="auto"/>
        </w:rPr>
        <w:t>b)Any fraud, whether or not material, that involves management or other employees who have a significant role in the registrant’s internal control over financial reporting. Date: February 28, 2024</w:t>
      </w:r>
    </w:p>
    <w:tbl>
      <w:tblPr>
        <w:tblLayout w:type="fixed"/>
        <w:tblInd w:w="6920" w:type="dxa"/>
        <w:tblCellMar>
          <w:top w:w="0" w:type="dxa"/>
          <w:left w:w="0" w:type="dxa"/>
          <w:bottom w:w="0" w:type="dxa"/>
          <w:right w:w="0" w:type="dxa"/>
        </w:tblCellMar>
      </w:tblPr>
      <w:tr>
        <w:trPr>
          <w:trHeight w:val="184"/>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8"/>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Christian Henry</w:t>
            </w:r>
          </w:p>
        </w:tc>
      </w:tr>
      <w:tr>
        <w:trPr>
          <w:trHeight w:val="167"/>
        </w:trPr>
        <w:tc>
          <w:tcPr>
            <w:tcW w:w="220" w:type="dxa"/>
            <w:vAlign w:val="bottom"/>
          </w:tcPr>
          <w:p>
            <w:pPr>
              <w:spacing w:after="0"/>
              <w:rPr>
                <w:sz w:val="14"/>
                <w:szCs w:val="1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Christian Henry</w:t>
            </w:r>
          </w:p>
        </w:tc>
      </w:tr>
      <w:tr>
        <w:trPr>
          <w:trHeight w:val="142"/>
        </w:trPr>
        <w:tc>
          <w:tcPr>
            <w:tcW w:w="220" w:type="dxa"/>
            <w:vAlign w:val="bottom"/>
          </w:tcPr>
          <w:p>
            <w:pPr>
              <w:spacing w:after="0"/>
              <w:rPr>
                <w:sz w:val="12"/>
                <w:szCs w:val="12"/>
                <w:color w:val="auto"/>
              </w:rPr>
            </w:pPr>
          </w:p>
        </w:tc>
        <w:tc>
          <w:tcPr>
            <w:tcW w:w="4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4"/>
        </w:trPr>
        <w:tc>
          <w:tcPr>
            <w:tcW w:w="220" w:type="dxa"/>
            <w:vAlign w:val="bottom"/>
          </w:tcPr>
          <w:p>
            <w:pPr>
              <w:spacing w:after="0"/>
              <w:rPr>
                <w:sz w:val="16"/>
                <w:szCs w:val="16"/>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844" w:right="3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13a-14(a)/15d-14(a),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SECTION 302 OF THE SARBANES-OXLEY ACT OF 2002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Susan Kim, certify that:</w:t>
      </w:r>
    </w:p>
    <w:p>
      <w:pPr>
        <w:spacing w:after="0" w:line="94" w:lineRule="exact"/>
        <w:rPr>
          <w:sz w:val="20"/>
          <w:szCs w:val="20"/>
          <w:color w:val="auto"/>
        </w:rPr>
      </w:pPr>
    </w:p>
    <w:p>
      <w:pPr>
        <w:ind w:left="520" w:hanging="133"/>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Pacific Biosciences of California, Inc.;</w:t>
      </w:r>
    </w:p>
    <w:p>
      <w:pPr>
        <w:spacing w:after="0" w:line="93" w:lineRule="exact"/>
        <w:rPr>
          <w:rFonts w:ascii="Times New Roman" w:cs="Times New Roman" w:eastAsia="Times New Roman" w:hAnsi="Times New Roman"/>
          <w:sz w:val="14"/>
          <w:szCs w:val="14"/>
          <w:color w:val="auto"/>
        </w:rPr>
      </w:pPr>
    </w:p>
    <w:p>
      <w:pPr>
        <w:ind w:right="720" w:firstLine="387"/>
        <w:spacing w:after="0" w:line="287" w:lineRule="auto"/>
        <w:tabs>
          <w:tab w:leader="none" w:pos="509"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right="200" w:firstLine="387"/>
        <w:spacing w:after="0" w:line="287" w:lineRule="auto"/>
        <w:tabs>
          <w:tab w:leader="none" w:pos="509"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right="240" w:firstLine="387"/>
        <w:spacing w:after="0" w:line="287" w:lineRule="auto"/>
        <w:tabs>
          <w:tab w:leader="none" w:pos="509"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sz w:val="20"/>
          <w:szCs w:val="20"/>
          <w:color w:val="auto"/>
        </w:rPr>
      </w:pPr>
    </w:p>
    <w:p>
      <w:pPr>
        <w:ind w:right="500" w:firstLine="382"/>
        <w:spacing w:after="0" w:line="287" w:lineRule="auto"/>
        <w:rPr>
          <w:sz w:val="20"/>
          <w:szCs w:val="20"/>
          <w:color w:val="auto"/>
        </w:rPr>
      </w:pPr>
      <w:r>
        <w:rPr>
          <w:rFonts w:ascii="Times New Roman" w:cs="Times New Roman" w:eastAsia="Times New Roman" w:hAnsi="Times New Roman"/>
          <w:sz w:val="14"/>
          <w:szCs w:val="14"/>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sz w:val="20"/>
          <w:szCs w:val="20"/>
          <w:color w:val="auto"/>
        </w:rPr>
      </w:pPr>
    </w:p>
    <w:p>
      <w:pPr>
        <w:ind w:right="680" w:firstLine="382"/>
        <w:spacing w:after="0" w:line="287" w:lineRule="auto"/>
        <w:rPr>
          <w:sz w:val="20"/>
          <w:szCs w:val="20"/>
          <w:color w:val="auto"/>
        </w:rPr>
      </w:pPr>
      <w:r>
        <w:rPr>
          <w:rFonts w:ascii="Times New Roman" w:cs="Times New Roman" w:eastAsia="Times New Roman" w:hAnsi="Times New Roman"/>
          <w:sz w:val="14"/>
          <w:szCs w:val="14"/>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sz w:val="20"/>
          <w:szCs w:val="20"/>
          <w:color w:val="auto"/>
        </w:rPr>
      </w:pPr>
    </w:p>
    <w:p>
      <w:pPr>
        <w:ind w:right="340" w:firstLine="382"/>
        <w:spacing w:after="0" w:line="287" w:lineRule="auto"/>
        <w:rPr>
          <w:sz w:val="20"/>
          <w:szCs w:val="20"/>
          <w:color w:val="auto"/>
        </w:rPr>
      </w:pPr>
      <w:r>
        <w:rPr>
          <w:rFonts w:ascii="Times New Roman" w:cs="Times New Roman" w:eastAsia="Times New Roman" w:hAnsi="Times New Roman"/>
          <w:sz w:val="14"/>
          <w:szCs w:val="14"/>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right="380" w:firstLine="387"/>
        <w:spacing w:after="0" w:line="287" w:lineRule="auto"/>
        <w:tabs>
          <w:tab w:leader="none" w:pos="509"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right="360" w:firstLine="382"/>
        <w:spacing w:after="0" w:line="287" w:lineRule="auto"/>
        <w:rPr>
          <w:sz w:val="20"/>
          <w:szCs w:val="20"/>
          <w:color w:val="auto"/>
        </w:rPr>
      </w:pPr>
      <w:r>
        <w:rPr>
          <w:rFonts w:ascii="Times New Roman" w:cs="Times New Roman" w:eastAsia="Times New Roman" w:hAnsi="Times New Roman"/>
          <w:sz w:val="14"/>
          <w:szCs w:val="14"/>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sz w:val="20"/>
          <w:szCs w:val="20"/>
          <w:color w:val="auto"/>
        </w:rPr>
      </w:pPr>
    </w:p>
    <w:p>
      <w:pPr>
        <w:ind w:right="1240" w:firstLine="382"/>
        <w:spacing w:after="0" w:line="411" w:lineRule="auto"/>
        <w:rPr>
          <w:sz w:val="20"/>
          <w:szCs w:val="20"/>
          <w:color w:val="auto"/>
        </w:rPr>
      </w:pPr>
      <w:r>
        <w:rPr>
          <w:rFonts w:ascii="Times New Roman" w:cs="Times New Roman" w:eastAsia="Times New Roman" w:hAnsi="Times New Roman"/>
          <w:sz w:val="14"/>
          <w:szCs w:val="14"/>
          <w:color w:val="auto"/>
        </w:rPr>
        <w:t>b)Any fraud, whether or not material, that involves management or other employees who have a significant role in the registrant’s internal control over financial reporting. Date: February 28, 2024</w:t>
      </w:r>
    </w:p>
    <w:p>
      <w:pPr>
        <w:ind w:left="7280"/>
        <w:spacing w:after="0"/>
        <w:tabs>
          <w:tab w:leader="none" w:pos="8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Susan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21590</wp:posOffset>
            </wp:positionV>
            <wp:extent cx="239839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2398395" cy="6985"/>
                    </a:xfrm>
                    <a:prstGeom prst="rect">
                      <a:avLst/>
                    </a:prstGeom>
                    <a:noFill/>
                  </pic:spPr>
                </pic:pic>
              </a:graphicData>
            </a:graphic>
          </wp:anchor>
        </w:drawing>
      </w:r>
    </w:p>
    <w:p>
      <w:pPr>
        <w:spacing w:after="0" w:line="21"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color w:val="auto"/>
        </w:rPr>
        <w:t>Susan Kim</w:t>
      </w:r>
    </w:p>
    <w:p>
      <w:pPr>
        <w:spacing w:after="0" w:line="12"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color w:val="auto"/>
        </w:rPr>
        <w:t>Chief Financial Officer</w:t>
      </w:r>
    </w:p>
    <w:p>
      <w:pPr>
        <w:ind w:left="860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844" w:right="3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CEO Furnished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79"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Pacific Biosciences of California, Inc. (the “Company”) on Form 10-K for the period ended December 31, 2023,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w:t>
      </w:r>
    </w:p>
    <w:p>
      <w:pPr>
        <w:spacing w:after="0" w:line="51" w:lineRule="exact"/>
        <w:rPr>
          <w:sz w:val="20"/>
          <w:szCs w:val="20"/>
          <w:color w:val="auto"/>
        </w:rPr>
      </w:pPr>
    </w:p>
    <w:p>
      <w:pPr>
        <w:ind w:right="240" w:firstLine="260"/>
        <w:spacing w:after="0" w:line="287" w:lineRule="auto"/>
        <w:tabs>
          <w:tab w:leader="none" w:pos="50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of the Company on Form 10-K for the period ended December 31, 2023 (the “Report”), fully complies with the requirements of section 13(a) or 15(d) of the Securities Exchange Act of 1934, and</w:t>
      </w:r>
    </w:p>
    <w:p>
      <w:pPr>
        <w:spacing w:after="0" w:line="3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28, 2024</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Christian Henry</w:t>
            </w:r>
          </w:p>
        </w:tc>
      </w:tr>
      <w:tr>
        <w:trPr>
          <w:trHeight w:val="167"/>
        </w:trPr>
        <w:tc>
          <w:tcPr>
            <w:tcW w:w="7120" w:type="dxa"/>
            <w:vAlign w:val="bottom"/>
          </w:tcPr>
          <w:p>
            <w:pPr>
              <w:spacing w:after="0"/>
              <w:rPr>
                <w:sz w:val="14"/>
                <w:szCs w:val="1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Christian Henry</w:t>
            </w:r>
          </w:p>
        </w:tc>
      </w:tr>
      <w:tr>
        <w:trPr>
          <w:trHeight w:val="142"/>
        </w:trPr>
        <w:tc>
          <w:tcPr>
            <w:tcW w:w="7120" w:type="dxa"/>
            <w:vAlign w:val="bottom"/>
          </w:tcPr>
          <w:p>
            <w:pPr>
              <w:spacing w:after="0"/>
              <w:rPr>
                <w:sz w:val="12"/>
                <w:szCs w:val="12"/>
                <w:color w:val="auto"/>
              </w:rPr>
            </w:pPr>
          </w:p>
        </w:tc>
        <w:tc>
          <w:tcPr>
            <w:tcW w:w="4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4"/>
        </w:trPr>
        <w:tc>
          <w:tcPr>
            <w:tcW w:w="7120" w:type="dxa"/>
            <w:vAlign w:val="bottom"/>
          </w:tcPr>
          <w:p>
            <w:pPr>
              <w:spacing w:after="0"/>
              <w:rPr>
                <w:sz w:val="16"/>
                <w:szCs w:val="16"/>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844" w:right="31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CFO Furnished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7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Pacific Biosciences of California, Inc. (the “Company”) on Form 10-K for the period ended December 31, 2023, as filed with the Securities and Exchange Commission on the date hereof, I, Susan Kim, Chief Financial Officer of the Company, certify for the purposes of section 1350 of chapter 63 of title 18 of the United States Code, as adopted pursuant to Section 906 of the Sarbanes-Oxley Act of 2002, that, to the best of my knowledge,</w:t>
      </w:r>
    </w:p>
    <w:p>
      <w:pPr>
        <w:spacing w:after="0" w:line="51" w:lineRule="exact"/>
        <w:rPr>
          <w:sz w:val="20"/>
          <w:szCs w:val="20"/>
          <w:color w:val="auto"/>
        </w:rPr>
      </w:pPr>
    </w:p>
    <w:p>
      <w:pPr>
        <w:ind w:right="240" w:firstLine="260"/>
        <w:spacing w:after="0" w:line="287" w:lineRule="auto"/>
        <w:tabs>
          <w:tab w:leader="none" w:pos="50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of the Company on Form 10-K for the period ended December 31, 2023 (the “Report”), fully complies with the requirements of section 13(a) or 15(d) of the Securities Exchange Act of 1934, and</w:t>
      </w:r>
    </w:p>
    <w:p>
      <w:pPr>
        <w:spacing w:after="0" w:line="3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p>
      <w:pPr>
        <w:ind w:left="20"/>
        <w:spacing w:after="0"/>
        <w:tabs>
          <w:tab w:leader="none" w:pos="8800" w:val="left"/>
        </w:tabs>
        <w:rPr>
          <w:sz w:val="20"/>
          <w:szCs w:val="20"/>
          <w:color w:val="auto"/>
        </w:rPr>
      </w:pPr>
      <w:r>
        <w:rPr>
          <w:rFonts w:ascii="Times New Roman" w:cs="Times New Roman" w:eastAsia="Times New Roman" w:hAnsi="Times New Roman"/>
          <w:sz w:val="14"/>
          <w:szCs w:val="14"/>
          <w:color w:val="auto"/>
        </w:rPr>
        <w:t>Date: February 28, 2024</w:t>
      </w:r>
      <w:r>
        <w:rPr>
          <w:sz w:val="20"/>
          <w:szCs w:val="20"/>
          <w:color w:val="auto"/>
        </w:rPr>
        <w:tab/>
      </w:r>
      <w:r>
        <w:rPr>
          <w:rFonts w:ascii="Times New Roman" w:cs="Times New Roman" w:eastAsia="Times New Roman" w:hAnsi="Times New Roman"/>
          <w:sz w:val="13"/>
          <w:szCs w:val="13"/>
          <w:color w:val="auto"/>
        </w:rPr>
        <w:t>/s/ Susan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21590</wp:posOffset>
            </wp:positionV>
            <wp:extent cx="263398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2633980" cy="6985"/>
                    </a:xfrm>
                    <a:prstGeom prst="rect">
                      <a:avLst/>
                    </a:prstGeom>
                    <a:noFill/>
                  </pic:spPr>
                </pic:pic>
              </a:graphicData>
            </a:graphic>
          </wp:anchor>
        </w:drawing>
      </w:r>
    </w:p>
    <w:p>
      <w:pPr>
        <w:spacing w:after="0" w:line="21"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Susan Kim</w:t>
      </w:r>
    </w:p>
    <w:p>
      <w:pPr>
        <w:spacing w:after="0" w:line="12"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color w:val="auto"/>
        </w:rPr>
        <w:t>Chief Financial Officer</w:t>
      </w:r>
    </w:p>
    <w:p>
      <w:pPr>
        <w:ind w:left="840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844" w:right="3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4"/>
          <w:szCs w:val="14"/>
          <w:b w:val="1"/>
          <w:bCs w:val="1"/>
          <w:color w:val="auto"/>
        </w:rPr>
        <w:t>Exhibit 97.1</w:t>
      </w:r>
    </w:p>
    <w:p>
      <w:pPr>
        <w:spacing w:after="0" w:line="59"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PACIFIC BIOSCIENCES OF CALIFORNIA, INC.</w:t>
      </w:r>
    </w:p>
    <w:p>
      <w:pPr>
        <w:spacing w:after="0" w:line="12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COMPENSATION RECOVERY POLICY</w:t>
      </w:r>
    </w:p>
    <w:p>
      <w:pPr>
        <w:spacing w:after="0" w:line="38"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As most recently amended on October 24, 2023</w:t>
      </w:r>
    </w:p>
    <w:p>
      <w:pPr>
        <w:spacing w:after="0" w:line="176" w:lineRule="exact"/>
        <w:rPr>
          <w:sz w:val="20"/>
          <w:szCs w:val="20"/>
          <w:color w:val="auto"/>
        </w:rPr>
      </w:pPr>
    </w:p>
    <w:p>
      <w:pPr>
        <w:jc w:val="both"/>
        <w:ind w:firstLine="593"/>
        <w:spacing w:after="0" w:line="229" w:lineRule="auto"/>
        <w:rPr>
          <w:sz w:val="20"/>
          <w:szCs w:val="20"/>
          <w:color w:val="auto"/>
        </w:rPr>
      </w:pPr>
      <w:r>
        <w:rPr>
          <w:rFonts w:ascii="Calibri" w:cs="Calibri" w:eastAsia="Calibri" w:hAnsi="Calibri"/>
          <w:sz w:val="16"/>
          <w:szCs w:val="16"/>
          <w:color w:val="auto"/>
        </w:rPr>
        <w:t>Pacifc Biosciences of California, Inc. (the “</w:t>
      </w:r>
      <w:r>
        <w:rPr>
          <w:rFonts w:ascii="Calibri" w:cs="Calibri" w:eastAsia="Calibri" w:hAnsi="Calibri"/>
          <w:sz w:val="16"/>
          <w:szCs w:val="16"/>
          <w:b w:val="1"/>
          <w:bCs w:val="1"/>
          <w:color w:val="auto"/>
        </w:rPr>
        <w:t>Company</w:t>
      </w:r>
      <w:r>
        <w:rPr>
          <w:rFonts w:ascii="Calibri" w:cs="Calibri" w:eastAsia="Calibri" w:hAnsi="Calibri"/>
          <w:sz w:val="16"/>
          <w:szCs w:val="16"/>
          <w:color w:val="auto"/>
        </w:rPr>
        <w:t>”) is commited to strong corporate governance. As part of this commitment, the Company’s Board of Directors (the “</w:t>
      </w:r>
      <w:r>
        <w:rPr>
          <w:rFonts w:ascii="Calibri" w:cs="Calibri" w:eastAsia="Calibri" w:hAnsi="Calibri"/>
          <w:sz w:val="16"/>
          <w:szCs w:val="16"/>
          <w:b w:val="1"/>
          <w:bCs w:val="1"/>
          <w:color w:val="auto"/>
        </w:rPr>
        <w:t>Board</w:t>
      </w:r>
      <w:r>
        <w:rPr>
          <w:rFonts w:ascii="Calibri" w:cs="Calibri" w:eastAsia="Calibri" w:hAnsi="Calibri"/>
          <w:sz w:val="16"/>
          <w:szCs w:val="16"/>
          <w:color w:val="auto"/>
        </w:rPr>
        <w:t>”) has adopted this clawback policy called the Compensaton Recovery Policy (the “</w:t>
      </w:r>
      <w:r>
        <w:rPr>
          <w:rFonts w:ascii="Calibri" w:cs="Calibri" w:eastAsia="Calibri" w:hAnsi="Calibri"/>
          <w:sz w:val="16"/>
          <w:szCs w:val="16"/>
          <w:b w:val="1"/>
          <w:bCs w:val="1"/>
          <w:color w:val="auto"/>
        </w:rPr>
        <w:t>Policy</w:t>
      </w:r>
      <w:r>
        <w:rPr>
          <w:rFonts w:ascii="Calibri" w:cs="Calibri" w:eastAsia="Calibri" w:hAnsi="Calibri"/>
          <w:sz w:val="16"/>
          <w:szCs w:val="16"/>
          <w:color w:val="auto"/>
        </w:rPr>
        <w:t>”). The Policy is intended to further the Company’s pay-for- performance philosophy and to comply with applicable laws by providing rules relatng to the reasonably prompt recovery of certain compensaton received by Covered Executves in the event of an Accountng Restatement. The applicaton of the Policy to Covered Executves is not discretonary, except to the limited extent provided below, and applies without regard to whether a Covered Executve was at fault. Capitalized terms used in the Policy are defned below, and the defnitons have substantve impact on its applicaton so reviewing them carefully is important to your understanding.</w:t>
      </w:r>
    </w:p>
    <w:p>
      <w:pPr>
        <w:spacing w:after="0" w:line="176" w:lineRule="exact"/>
        <w:rPr>
          <w:sz w:val="20"/>
          <w:szCs w:val="20"/>
          <w:color w:val="auto"/>
        </w:rPr>
      </w:pPr>
    </w:p>
    <w:p>
      <w:pPr>
        <w:jc w:val="both"/>
        <w:ind w:firstLine="594"/>
        <w:spacing w:after="0" w:line="224" w:lineRule="auto"/>
        <w:rPr>
          <w:sz w:val="20"/>
          <w:szCs w:val="20"/>
          <w:color w:val="auto"/>
        </w:rPr>
      </w:pPr>
      <w:r>
        <w:rPr>
          <w:rFonts w:ascii="Calibri" w:cs="Calibri" w:eastAsia="Calibri" w:hAnsi="Calibri"/>
          <w:sz w:val="16"/>
          <w:szCs w:val="16"/>
          <w:color w:val="auto"/>
        </w:rPr>
        <w:t>The Policy is intended to comply with, and will be interpreted in a manner consistent with, Secton 10D of the Securites Exchange Act of 1934 (the “</w:t>
      </w:r>
      <w:r>
        <w:rPr>
          <w:rFonts w:ascii="Calibri" w:cs="Calibri" w:eastAsia="Calibri" w:hAnsi="Calibri"/>
          <w:sz w:val="16"/>
          <w:szCs w:val="16"/>
          <w:b w:val="1"/>
          <w:bCs w:val="1"/>
          <w:color w:val="auto"/>
        </w:rPr>
        <w:t>Exchange Act</w:t>
      </w:r>
      <w:r>
        <w:rPr>
          <w:rFonts w:ascii="Calibri" w:cs="Calibri" w:eastAsia="Calibri" w:hAnsi="Calibri"/>
          <w:sz w:val="16"/>
          <w:szCs w:val="16"/>
          <w:color w:val="auto"/>
        </w:rPr>
        <w:t>”), with Exchange Act Rule 10D-1 and with the listng standards of the natonal securites exchange (the “</w:t>
      </w:r>
      <w:r>
        <w:rPr>
          <w:rFonts w:ascii="Calibri" w:cs="Calibri" w:eastAsia="Calibri" w:hAnsi="Calibri"/>
          <w:sz w:val="16"/>
          <w:szCs w:val="16"/>
          <w:b w:val="1"/>
          <w:bCs w:val="1"/>
          <w:color w:val="auto"/>
        </w:rPr>
        <w:t>Exchange</w:t>
      </w:r>
      <w:r>
        <w:rPr>
          <w:rFonts w:ascii="Calibri" w:cs="Calibri" w:eastAsia="Calibri" w:hAnsi="Calibri"/>
          <w:sz w:val="16"/>
          <w:szCs w:val="16"/>
          <w:color w:val="auto"/>
        </w:rPr>
        <w:t>”) on which the securites of the Company are listed.</w:t>
      </w:r>
    </w:p>
    <w:p>
      <w:pPr>
        <w:spacing w:after="0" w:line="166" w:lineRule="exact"/>
        <w:rPr>
          <w:sz w:val="20"/>
          <w:szCs w:val="20"/>
          <w:color w:val="auto"/>
        </w:rPr>
      </w:pPr>
    </w:p>
    <w:p>
      <w:pPr>
        <w:ind w:left="80"/>
        <w:spacing w:after="0"/>
        <w:rPr>
          <w:sz w:val="20"/>
          <w:szCs w:val="20"/>
          <w:color w:val="auto"/>
        </w:rPr>
      </w:pPr>
      <w:r>
        <w:rPr>
          <w:rFonts w:ascii="Calibri" w:cs="Calibri" w:eastAsia="Calibri" w:hAnsi="Calibri"/>
          <w:sz w:val="16"/>
          <w:szCs w:val="16"/>
          <w:b w:val="1"/>
          <w:bCs w:val="1"/>
          <w:color w:val="auto"/>
        </w:rPr>
        <w:t>Persons Covered by the Policy</w:t>
      </w:r>
    </w:p>
    <w:p>
      <w:pPr>
        <w:spacing w:after="0" w:line="165" w:lineRule="exact"/>
        <w:rPr>
          <w:sz w:val="20"/>
          <w:szCs w:val="20"/>
          <w:color w:val="auto"/>
        </w:rPr>
      </w:pPr>
    </w:p>
    <w:p>
      <w:pPr>
        <w:jc w:val="both"/>
        <w:ind w:firstLine="594"/>
        <w:spacing w:after="0" w:line="229" w:lineRule="auto"/>
        <w:rPr>
          <w:sz w:val="20"/>
          <w:szCs w:val="20"/>
          <w:color w:val="auto"/>
        </w:rPr>
      </w:pPr>
      <w:r>
        <w:rPr>
          <w:rFonts w:ascii="Calibri" w:cs="Calibri" w:eastAsia="Calibri" w:hAnsi="Calibri"/>
          <w:sz w:val="16"/>
          <w:szCs w:val="16"/>
          <w:color w:val="252525"/>
        </w:rPr>
        <w:t>The Policy is binding and enforceable against all “</w:t>
      </w:r>
      <w:r>
        <w:rPr>
          <w:rFonts w:ascii="Calibri" w:cs="Calibri" w:eastAsia="Calibri" w:hAnsi="Calibri"/>
          <w:sz w:val="16"/>
          <w:szCs w:val="16"/>
          <w:b w:val="1"/>
          <w:bCs w:val="1"/>
          <w:color w:val="252525"/>
        </w:rPr>
        <w:t>Covered Executves.</w:t>
      </w:r>
      <w:r>
        <w:rPr>
          <w:rFonts w:ascii="Calibri" w:cs="Calibri" w:eastAsia="Calibri" w:hAnsi="Calibri"/>
          <w:sz w:val="16"/>
          <w:szCs w:val="16"/>
          <w:color w:val="252525"/>
        </w:rPr>
        <w:t>” A Covered Executve is each individual who is or was ever designated as an “ofcer” by the Board in accordance with Exchange Act Rule 16a- 1(f) (a “</w:t>
      </w:r>
      <w:r>
        <w:rPr>
          <w:rFonts w:ascii="Calibri" w:cs="Calibri" w:eastAsia="Calibri" w:hAnsi="Calibri"/>
          <w:sz w:val="16"/>
          <w:szCs w:val="16"/>
          <w:b w:val="1"/>
          <w:bCs w:val="1"/>
          <w:color w:val="252525"/>
        </w:rPr>
        <w:t>Secton 16 Ofcer</w:t>
      </w:r>
      <w:r>
        <w:rPr>
          <w:rFonts w:ascii="Calibri" w:cs="Calibri" w:eastAsia="Calibri" w:hAnsi="Calibri"/>
          <w:sz w:val="16"/>
          <w:szCs w:val="16"/>
          <w:color w:val="252525"/>
        </w:rPr>
        <w:t>”). The Commitee may (but is not obligated to) require a Covered Executve to sign and return to the Company an acknowledgement that such Covered Executve will be bound by the terms and comply with the Policy. The Policy is binding on each Covered Executve whether or not the Covered Executve signs and/or returns any acknowledgment.</w:t>
      </w:r>
    </w:p>
    <w:p>
      <w:pPr>
        <w:spacing w:after="0" w:line="167" w:lineRule="exact"/>
        <w:rPr>
          <w:sz w:val="20"/>
          <w:szCs w:val="20"/>
          <w:color w:val="auto"/>
        </w:rPr>
      </w:pPr>
    </w:p>
    <w:p>
      <w:pPr>
        <w:ind w:left="80"/>
        <w:spacing w:after="0"/>
        <w:rPr>
          <w:sz w:val="20"/>
          <w:szCs w:val="20"/>
          <w:color w:val="auto"/>
        </w:rPr>
      </w:pPr>
      <w:r>
        <w:rPr>
          <w:rFonts w:ascii="Calibri" w:cs="Calibri" w:eastAsia="Calibri" w:hAnsi="Calibri"/>
          <w:sz w:val="16"/>
          <w:szCs w:val="16"/>
          <w:b w:val="1"/>
          <w:bCs w:val="1"/>
          <w:color w:val="auto"/>
        </w:rPr>
        <w:t>Administraton of the Policy</w:t>
      </w:r>
    </w:p>
    <w:p>
      <w:pPr>
        <w:spacing w:after="0" w:line="165" w:lineRule="exact"/>
        <w:rPr>
          <w:sz w:val="20"/>
          <w:szCs w:val="20"/>
          <w:color w:val="auto"/>
        </w:rPr>
      </w:pPr>
    </w:p>
    <w:p>
      <w:pPr>
        <w:jc w:val="both"/>
        <w:ind w:firstLine="594"/>
        <w:spacing w:after="0" w:line="230" w:lineRule="auto"/>
        <w:rPr>
          <w:sz w:val="20"/>
          <w:szCs w:val="20"/>
          <w:color w:val="auto"/>
        </w:rPr>
      </w:pPr>
      <w:r>
        <w:rPr>
          <w:rFonts w:ascii="Calibri" w:cs="Calibri" w:eastAsia="Calibri" w:hAnsi="Calibri"/>
          <w:sz w:val="16"/>
          <w:szCs w:val="16"/>
          <w:color w:val="auto"/>
        </w:rPr>
        <w:t>The Compensaton Commitee of the Board (the “</w:t>
      </w:r>
      <w:r>
        <w:rPr>
          <w:rFonts w:ascii="Calibri" w:cs="Calibri" w:eastAsia="Calibri" w:hAnsi="Calibri"/>
          <w:sz w:val="16"/>
          <w:szCs w:val="16"/>
          <w:b w:val="1"/>
          <w:bCs w:val="1"/>
          <w:color w:val="auto"/>
        </w:rPr>
        <w:t>Commitee</w:t>
      </w:r>
      <w:r>
        <w:rPr>
          <w:rFonts w:ascii="Calibri" w:cs="Calibri" w:eastAsia="Calibri" w:hAnsi="Calibri"/>
          <w:sz w:val="16"/>
          <w:szCs w:val="16"/>
          <w:color w:val="auto"/>
        </w:rPr>
        <w:t>”) has full delegated authority to administer the Policy. The Commitee is authorized to interpret and construe the Policy and to make all determinatons necessary, appropriate, or advisable for the administraton of the Policy. In additon, if determined in the discreton of the Board, the Policy may be administered by the independent members of the Board or another commitee of the Board made up of independent members of the Board, in which case all references to the Commitee will be deemed to refer to the independent members of the Board or the other Board commitee. All determinatons of the Commitee will be fnal and binding and will be given the maximum deference permited by law.</w:t>
      </w:r>
    </w:p>
    <w:p>
      <w:pPr>
        <w:spacing w:after="0" w:line="157" w:lineRule="exact"/>
        <w:rPr>
          <w:sz w:val="20"/>
          <w:szCs w:val="20"/>
          <w:color w:val="auto"/>
        </w:rPr>
      </w:pPr>
    </w:p>
    <w:p>
      <w:pPr>
        <w:ind w:left="80"/>
        <w:spacing w:after="0"/>
        <w:rPr>
          <w:sz w:val="20"/>
          <w:szCs w:val="20"/>
          <w:color w:val="auto"/>
        </w:rPr>
      </w:pPr>
      <w:r>
        <w:rPr>
          <w:rFonts w:ascii="Calibri" w:cs="Calibri" w:eastAsia="Calibri" w:hAnsi="Calibri"/>
          <w:sz w:val="16"/>
          <w:szCs w:val="16"/>
          <w:b w:val="1"/>
          <w:bCs w:val="1"/>
          <w:color w:val="auto"/>
        </w:rPr>
        <w:t>Accountng Restatements Requiring Applicaton of the Policy</w:t>
      </w:r>
    </w:p>
    <w:p>
      <w:pPr>
        <w:spacing w:after="0" w:line="176" w:lineRule="exact"/>
        <w:rPr>
          <w:sz w:val="20"/>
          <w:szCs w:val="20"/>
          <w:color w:val="auto"/>
        </w:rPr>
      </w:pPr>
    </w:p>
    <w:p>
      <w:pPr>
        <w:jc w:val="both"/>
        <w:ind w:firstLine="593"/>
        <w:spacing w:after="0" w:line="227" w:lineRule="auto"/>
        <w:rPr>
          <w:sz w:val="20"/>
          <w:szCs w:val="20"/>
          <w:color w:val="auto"/>
        </w:rPr>
      </w:pPr>
      <w:r>
        <w:rPr>
          <w:rFonts w:ascii="Calibri" w:cs="Calibri" w:eastAsia="Calibri" w:hAnsi="Calibri"/>
          <w:sz w:val="16"/>
          <w:szCs w:val="16"/>
          <w:color w:val="auto"/>
        </w:rPr>
        <w:t>If the Company is required to prepare an accountng restatement due to the material noncompliance of the Company with any fnancial reportng requirement under the securites laws, including any required accountng restatement to correct an error in previously issued fnancial statements that is material to the previously issued fnancial statements, or that would result in a material misstatement if the error were corrected in the current period or lef uncorrected in the current period (an “</w:t>
      </w:r>
      <w:r>
        <w:rPr>
          <w:rFonts w:ascii="Calibri" w:cs="Calibri" w:eastAsia="Calibri" w:hAnsi="Calibri"/>
          <w:sz w:val="16"/>
          <w:szCs w:val="16"/>
          <w:b w:val="1"/>
          <w:bCs w:val="1"/>
          <w:color w:val="auto"/>
        </w:rPr>
        <w:t>Accountng</w:t>
      </w:r>
      <w:r>
        <w:rPr>
          <w:rFonts w:ascii="Calibri" w:cs="Calibri" w:eastAsia="Calibri" w:hAnsi="Calibri"/>
          <w:sz w:val="16"/>
          <w:szCs w:val="16"/>
          <w:color w:val="auto"/>
        </w:rPr>
        <w:t xml:space="preserve"> </w:t>
      </w:r>
      <w:r>
        <w:rPr>
          <w:rFonts w:ascii="Calibri" w:cs="Calibri" w:eastAsia="Calibri" w:hAnsi="Calibri"/>
          <w:sz w:val="16"/>
          <w:szCs w:val="16"/>
          <w:b w:val="1"/>
          <w:bCs w:val="1"/>
          <w:color w:val="auto"/>
        </w:rPr>
        <w:t>Restatement</w:t>
      </w:r>
      <w:r>
        <w:rPr>
          <w:rFonts w:ascii="Calibri" w:cs="Calibri" w:eastAsia="Calibri" w:hAnsi="Calibri"/>
          <w:sz w:val="16"/>
          <w:szCs w:val="16"/>
          <w:color w:val="auto"/>
        </w:rPr>
        <w:t>”), then the Commitee must determine the Excess Compensaton, if any, that must be recovered. The Company’s obligaton to recover Excess Compensaton is</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not dependent on if or when restated fnancial statements are fled.</w:t>
      </w:r>
    </w:p>
    <w:p>
      <w:pPr>
        <w:sectPr>
          <w:pgSz w:w="11900" w:h="16838" w:orient="portrait"/>
          <w:cols w:equalWidth="0" w:num="1">
            <w:col w:w="11280"/>
          </w:cols>
          <w:pgMar w:left="300" w:top="1046" w:right="319" w:bottom="1440" w:gutter="0" w:footer="0" w:header="0"/>
        </w:sectPr>
      </w:pPr>
    </w:p>
    <w:bookmarkStart w:id="149" w:name="page150"/>
    <w:bookmarkEnd w:id="149"/>
    <w:p>
      <w:pPr>
        <w:ind w:left="80"/>
        <w:spacing w:after="0"/>
        <w:rPr>
          <w:sz w:val="20"/>
          <w:szCs w:val="20"/>
          <w:color w:val="auto"/>
        </w:rPr>
      </w:pPr>
      <w:r>
        <w:rPr>
          <w:rFonts w:ascii="Calibri" w:cs="Calibri" w:eastAsia="Calibri" w:hAnsi="Calibri"/>
          <w:sz w:val="16"/>
          <w:szCs w:val="16"/>
          <w:b w:val="1"/>
          <w:bCs w:val="1"/>
          <w:color w:val="auto"/>
        </w:rPr>
        <w:t>Compensaton Covered by the Policy</w:t>
      </w:r>
    </w:p>
    <w:p>
      <w:pPr>
        <w:spacing w:after="0" w:line="165" w:lineRule="exact"/>
        <w:rPr>
          <w:sz w:val="20"/>
          <w:szCs w:val="20"/>
          <w:color w:val="auto"/>
        </w:rPr>
      </w:pPr>
    </w:p>
    <w:p>
      <w:pPr>
        <w:jc w:val="both"/>
        <w:ind w:firstLine="593"/>
        <w:spacing w:after="0" w:line="229" w:lineRule="auto"/>
        <w:rPr>
          <w:sz w:val="20"/>
          <w:szCs w:val="20"/>
          <w:color w:val="auto"/>
        </w:rPr>
      </w:pPr>
      <w:r>
        <w:rPr>
          <w:rFonts w:ascii="Calibri" w:cs="Calibri" w:eastAsia="Calibri" w:hAnsi="Calibri"/>
          <w:sz w:val="16"/>
          <w:szCs w:val="16"/>
          <w:color w:val="auto"/>
        </w:rPr>
        <w:t xml:space="preserve">The Policy applies to certain </w:t>
      </w:r>
      <w:r>
        <w:rPr>
          <w:rFonts w:ascii="Calibri" w:cs="Calibri" w:eastAsia="Calibri" w:hAnsi="Calibri"/>
          <w:sz w:val="16"/>
          <w:szCs w:val="16"/>
          <w:b w:val="1"/>
          <w:bCs w:val="1"/>
          <w:color w:val="auto"/>
        </w:rPr>
        <w:t>Incentve-Based Compensaton</w:t>
      </w:r>
      <w:r>
        <w:rPr>
          <w:rFonts w:ascii="Calibri" w:cs="Calibri" w:eastAsia="Calibri" w:hAnsi="Calibri"/>
          <w:sz w:val="16"/>
          <w:szCs w:val="16"/>
          <w:color w:val="auto"/>
        </w:rPr>
        <w:t xml:space="preserve"> (certain terms used in this Secton are defned below) that is </w:t>
      </w:r>
      <w:r>
        <w:rPr>
          <w:rFonts w:ascii="Calibri" w:cs="Calibri" w:eastAsia="Calibri" w:hAnsi="Calibri"/>
          <w:sz w:val="16"/>
          <w:szCs w:val="16"/>
          <w:b w:val="1"/>
          <w:bCs w:val="1"/>
          <w:color w:val="auto"/>
        </w:rPr>
        <w:t>Received</w:t>
      </w:r>
      <w:r>
        <w:rPr>
          <w:rFonts w:ascii="Calibri" w:cs="Calibri" w:eastAsia="Calibri" w:hAnsi="Calibri"/>
          <w:sz w:val="16"/>
          <w:szCs w:val="16"/>
          <w:color w:val="auto"/>
        </w:rPr>
        <w:t xml:space="preserve"> on or afer October 2, 2023 (the “</w:t>
      </w:r>
      <w:r>
        <w:rPr>
          <w:rFonts w:ascii="Calibri" w:cs="Calibri" w:eastAsia="Calibri" w:hAnsi="Calibri"/>
          <w:sz w:val="16"/>
          <w:szCs w:val="16"/>
          <w:b w:val="1"/>
          <w:bCs w:val="1"/>
          <w:color w:val="auto"/>
        </w:rPr>
        <w:t>Efectve Date</w:t>
      </w:r>
      <w:r>
        <w:rPr>
          <w:rFonts w:ascii="Calibri" w:cs="Calibri" w:eastAsia="Calibri" w:hAnsi="Calibri"/>
          <w:sz w:val="16"/>
          <w:szCs w:val="16"/>
          <w:color w:val="auto"/>
        </w:rPr>
        <w:t xml:space="preserve">”), during the </w:t>
      </w:r>
      <w:r>
        <w:rPr>
          <w:rFonts w:ascii="Calibri" w:cs="Calibri" w:eastAsia="Calibri" w:hAnsi="Calibri"/>
          <w:sz w:val="16"/>
          <w:szCs w:val="16"/>
          <w:b w:val="1"/>
          <w:bCs w:val="1"/>
          <w:color w:val="auto"/>
        </w:rPr>
        <w:t>Covered Period</w:t>
      </w:r>
      <w:r>
        <w:rPr>
          <w:rFonts w:ascii="Calibri" w:cs="Calibri" w:eastAsia="Calibri" w:hAnsi="Calibri"/>
          <w:sz w:val="16"/>
          <w:szCs w:val="16"/>
          <w:color w:val="auto"/>
        </w:rPr>
        <w:t xml:space="preserve"> while the Company has a class of securites listed on a natonal securites exchange. Incentve-Based Compensaton is considered “</w:t>
      </w:r>
      <w:r>
        <w:rPr>
          <w:rFonts w:ascii="Calibri" w:cs="Calibri" w:eastAsia="Calibri" w:hAnsi="Calibri"/>
          <w:sz w:val="16"/>
          <w:szCs w:val="16"/>
          <w:b w:val="1"/>
          <w:bCs w:val="1"/>
          <w:color w:val="auto"/>
        </w:rPr>
        <w:t>Clawback Eligible Incentve-Based Compensaton</w:t>
      </w:r>
      <w:r>
        <w:rPr>
          <w:rFonts w:ascii="Calibri" w:cs="Calibri" w:eastAsia="Calibri" w:hAnsi="Calibri"/>
          <w:sz w:val="16"/>
          <w:szCs w:val="16"/>
          <w:color w:val="auto"/>
        </w:rPr>
        <w:t>” if the Incentve-Based Compensaton is Received by a person afer such person became a Secton 16 Ofcer and the person served as a Secton 16 Ofcer at any tme during the performance period for the Incentve-Based Compensaton. “</w:t>
      </w:r>
      <w:r>
        <w:rPr>
          <w:rFonts w:ascii="Calibri" w:cs="Calibri" w:eastAsia="Calibri" w:hAnsi="Calibri"/>
          <w:sz w:val="16"/>
          <w:szCs w:val="16"/>
          <w:b w:val="1"/>
          <w:bCs w:val="1"/>
          <w:color w:val="auto"/>
        </w:rPr>
        <w:t>Excess Compensaton</w:t>
      </w:r>
      <w:r>
        <w:rPr>
          <w:rFonts w:ascii="Calibri" w:cs="Calibri" w:eastAsia="Calibri" w:hAnsi="Calibri"/>
          <w:sz w:val="16"/>
          <w:szCs w:val="16"/>
          <w:color w:val="auto"/>
        </w:rPr>
        <w:t>” means the amount of Clawback Eligible Incentve-Based Compensaton that exceeds the amount of Clawback Eligible Incentve-Based Compensaton that otherwise would have been Received had such Clawback Eligible Incentve-Based Compensaton been determined based on the restated amounts. Excess Compensaton must be computed without regard to any taxes paid and is referred to in the listngs standards as “erroneously awarded incentve-based compensaton”.</w:t>
      </w:r>
    </w:p>
    <w:p>
      <w:pPr>
        <w:spacing w:after="0" w:line="170" w:lineRule="exact"/>
        <w:rPr>
          <w:sz w:val="20"/>
          <w:szCs w:val="20"/>
          <w:color w:val="auto"/>
        </w:rPr>
      </w:pPr>
    </w:p>
    <w:p>
      <w:pPr>
        <w:jc w:val="both"/>
        <w:ind w:firstLine="593"/>
        <w:spacing w:after="0" w:line="229" w:lineRule="auto"/>
        <w:rPr>
          <w:sz w:val="20"/>
          <w:szCs w:val="20"/>
          <w:color w:val="auto"/>
        </w:rPr>
      </w:pPr>
      <w:r>
        <w:rPr>
          <w:rFonts w:ascii="Calibri" w:cs="Calibri" w:eastAsia="Calibri" w:hAnsi="Calibri"/>
          <w:sz w:val="16"/>
          <w:szCs w:val="16"/>
          <w:color w:val="auto"/>
        </w:rPr>
        <w:t>To determine the amount of Excess Compensaton for Incentve-Based Compensaton based on stock price or total shareholder return, where it is not subject to mathematcal recalculaton directly from the informaton in an Accountng Restatement, the amount must be based on a reasonable estmate of the efect of the Accountng Restatement on the stock price or total shareholder return upon which the Incentve-Based Compensaton was Received and the Company must maintain documentaton of the determinaton of that reasonable estmate and provide that documentaton to the Exchange.</w:t>
      </w:r>
    </w:p>
    <w:p>
      <w:pPr>
        <w:spacing w:after="0" w:line="178" w:lineRule="exact"/>
        <w:rPr>
          <w:sz w:val="20"/>
          <w:szCs w:val="20"/>
          <w:color w:val="auto"/>
        </w:rPr>
      </w:pPr>
    </w:p>
    <w:p>
      <w:pPr>
        <w:jc w:val="both"/>
        <w:ind w:firstLine="593"/>
        <w:spacing w:after="0" w:line="227"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Incentve-Based Compensaton</w:t>
      </w:r>
      <w:r>
        <w:rPr>
          <w:rFonts w:ascii="Calibri" w:cs="Calibri" w:eastAsia="Calibri" w:hAnsi="Calibri"/>
          <w:sz w:val="16"/>
          <w:szCs w:val="16"/>
          <w:color w:val="auto"/>
        </w:rPr>
        <w:t>” means any compensaton that is granted, earned, or vested based wholly or in part upon the atainment of a Financial Reportng Measure. For the avoidance of doubt, no compensaton that is potentally subject to recovery under the Policy will be earned untl the Company’s right to recover under the Policy has lapsed. The following items of compensaton are not Incentve-Based Compensaton under the Policy: salaries, bonuses paid solely at the discreton of the Commitee or Board that are not paid from a bonus pool that is determined by satsfying a Financial Reportng Measure, bonuses paid solely upon satsfying one or more subjectve standards and/or completon of a specifed employment period, non-equity incentve plan awards earned solely upon satsfying one or more strategic measures or operatonal measures, and equity awards for which the grant is not contngent upon achieving any Financial Reportng Measure performance goal and vestng is contngent solely upon completon of a specifed employment period (e.g., tme-based vestng equity awards) and/or ataining one or more non-Financial Reportng Measures.</w:t>
      </w:r>
    </w:p>
    <w:p>
      <w:pPr>
        <w:spacing w:after="0" w:line="182" w:lineRule="exact"/>
        <w:rPr>
          <w:sz w:val="20"/>
          <w:szCs w:val="20"/>
          <w:color w:val="auto"/>
        </w:rPr>
      </w:pPr>
    </w:p>
    <w:p>
      <w:pPr>
        <w:jc w:val="both"/>
        <w:ind w:firstLine="593"/>
        <w:spacing w:after="0" w:line="227"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Financial Reportng Measures</w:t>
      </w:r>
      <w:r>
        <w:rPr>
          <w:rFonts w:ascii="Calibri" w:cs="Calibri" w:eastAsia="Calibri" w:hAnsi="Calibri"/>
          <w:sz w:val="16"/>
          <w:szCs w:val="16"/>
          <w:color w:val="auto"/>
        </w:rPr>
        <w:t>” are measures that are determined and presented in accordance with the accountng principles used in preparing the Company’s fnancial statements, and any measures that are derived wholly or in part from such measures. Stock price and total shareholder return are also Financial Reportng Measures. A Financial Reportng Measure need not be presented within the fnancial statements or included in a fling with the Securites and Exchange Commission.</w:t>
      </w:r>
    </w:p>
    <w:p>
      <w:pPr>
        <w:spacing w:after="0" w:line="178" w:lineRule="exact"/>
        <w:rPr>
          <w:sz w:val="20"/>
          <w:szCs w:val="20"/>
          <w:color w:val="auto"/>
        </w:rPr>
      </w:pPr>
    </w:p>
    <w:p>
      <w:pPr>
        <w:jc w:val="both"/>
        <w:ind w:firstLine="594"/>
        <w:spacing w:after="0" w:line="227" w:lineRule="auto"/>
        <w:rPr>
          <w:sz w:val="20"/>
          <w:szCs w:val="20"/>
          <w:color w:val="auto"/>
        </w:rPr>
      </w:pPr>
      <w:r>
        <w:rPr>
          <w:rFonts w:ascii="Calibri" w:cs="Calibri" w:eastAsia="Calibri" w:hAnsi="Calibri"/>
          <w:sz w:val="16"/>
          <w:szCs w:val="16"/>
          <w:color w:val="auto"/>
        </w:rPr>
        <w:t>Incentve-Based Compensaton is “</w:t>
      </w:r>
      <w:r>
        <w:rPr>
          <w:rFonts w:ascii="Calibri" w:cs="Calibri" w:eastAsia="Calibri" w:hAnsi="Calibri"/>
          <w:sz w:val="16"/>
          <w:szCs w:val="16"/>
          <w:b w:val="1"/>
          <w:bCs w:val="1"/>
          <w:color w:val="auto"/>
        </w:rPr>
        <w:t>Received</w:t>
      </w:r>
      <w:r>
        <w:rPr>
          <w:rFonts w:ascii="Calibri" w:cs="Calibri" w:eastAsia="Calibri" w:hAnsi="Calibri"/>
          <w:sz w:val="16"/>
          <w:szCs w:val="16"/>
          <w:color w:val="auto"/>
        </w:rPr>
        <w:t>” under the Policy in the Company’s fscal period during which the Financial Reportng Measure specifed in the Incentve-Based Compensaton award is atained, even if the payment, vestng, setlement or grant of the Incentve-Based Compensaton occurs afer the end of that period. For the avoidance of doubt, the Policy does not apply to Incentve-Based Compensaton for which the Financial Reportng Measure is atained prior to the Efectve Date.</w:t>
      </w:r>
    </w:p>
    <w:p>
      <w:pPr>
        <w:spacing w:after="0" w:line="178" w:lineRule="exact"/>
        <w:rPr>
          <w:sz w:val="20"/>
          <w:szCs w:val="20"/>
          <w:color w:val="auto"/>
        </w:rPr>
      </w:pPr>
    </w:p>
    <w:p>
      <w:pPr>
        <w:jc w:val="both"/>
        <w:ind w:firstLine="593"/>
        <w:spacing w:after="0" w:line="224"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Covered Period</w:t>
      </w:r>
      <w:r>
        <w:rPr>
          <w:rFonts w:ascii="Calibri" w:cs="Calibri" w:eastAsia="Calibri" w:hAnsi="Calibri"/>
          <w:sz w:val="16"/>
          <w:szCs w:val="16"/>
          <w:color w:val="auto"/>
        </w:rPr>
        <w:t>” means the three completed fscal years immediately preceding the Accountng Restatement Determinaton Date. In additon, Covered Period can include certain transiton periods resultng from a change in the Company’s fscal year.</w:t>
      </w:r>
    </w:p>
    <w:p>
      <w:pPr>
        <w:sectPr>
          <w:pgSz w:w="11900" w:h="16838" w:orient="portrait"/>
          <w:cols w:equalWidth="0" w:num="1">
            <w:col w:w="11280"/>
          </w:cols>
          <w:pgMar w:left="300" w:top="1117" w:right="319" w:bottom="1440" w:gutter="0" w:footer="0" w:header="0"/>
        </w:sectPr>
      </w:pPr>
    </w:p>
    <w:bookmarkStart w:id="150" w:name="page151"/>
    <w:bookmarkEnd w:id="150"/>
    <w:p>
      <w:pPr>
        <w:jc w:val="both"/>
        <w:ind w:firstLine="593"/>
        <w:spacing w:after="0" w:line="227"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Accountng Restatement Determinaton Date</w:t>
      </w:r>
      <w:r>
        <w:rPr>
          <w:rFonts w:ascii="Calibri" w:cs="Calibri" w:eastAsia="Calibri" w:hAnsi="Calibri"/>
          <w:sz w:val="16"/>
          <w:szCs w:val="16"/>
          <w:color w:val="auto"/>
        </w:rPr>
        <w:t>” means the earliest to occur of: (a) the date the Board, a commitee of the Board, or one or more of the ofcers of the Company authorized to take such acton if Board acton is not required, concludes, or reasonably should have concluded, that the Company is required to prepare an Accountng Restatement; and (b) the date a court, regulator, or other legally authorized body directs the Company to prepare an Accountng Restatement.</w:t>
      </w:r>
    </w:p>
    <w:p>
      <w:pPr>
        <w:spacing w:after="0" w:line="167" w:lineRule="exact"/>
        <w:rPr>
          <w:sz w:val="20"/>
          <w:szCs w:val="20"/>
          <w:color w:val="auto"/>
        </w:rPr>
      </w:pPr>
    </w:p>
    <w:p>
      <w:pPr>
        <w:ind w:left="80"/>
        <w:spacing w:after="0"/>
        <w:rPr>
          <w:sz w:val="20"/>
          <w:szCs w:val="20"/>
          <w:color w:val="auto"/>
        </w:rPr>
      </w:pPr>
      <w:r>
        <w:rPr>
          <w:rFonts w:ascii="Calibri" w:cs="Calibri" w:eastAsia="Calibri" w:hAnsi="Calibri"/>
          <w:sz w:val="16"/>
          <w:szCs w:val="16"/>
          <w:b w:val="1"/>
          <w:bCs w:val="1"/>
          <w:color w:val="auto"/>
        </w:rPr>
        <w:t>Repayment of Excess Compensaton</w:t>
      </w:r>
    </w:p>
    <w:p>
      <w:pPr>
        <w:spacing w:after="0" w:line="165" w:lineRule="exact"/>
        <w:rPr>
          <w:sz w:val="20"/>
          <w:szCs w:val="20"/>
          <w:color w:val="auto"/>
        </w:rPr>
      </w:pPr>
    </w:p>
    <w:p>
      <w:pPr>
        <w:jc w:val="both"/>
        <w:ind w:firstLine="593"/>
        <w:spacing w:after="0" w:line="229" w:lineRule="auto"/>
        <w:rPr>
          <w:sz w:val="20"/>
          <w:szCs w:val="20"/>
          <w:color w:val="auto"/>
        </w:rPr>
      </w:pPr>
      <w:r>
        <w:rPr>
          <w:rFonts w:ascii="Calibri" w:cs="Calibri" w:eastAsia="Calibri" w:hAnsi="Calibri"/>
          <w:sz w:val="16"/>
          <w:szCs w:val="16"/>
          <w:color w:val="auto"/>
        </w:rPr>
        <w:t>The Company must recover Excess Compensaton reasonably promptly and Covered Executves are required to repay Excess Compensaton to the Company. Subject to applicable law, the Company may recover Excess Compensaton by requiring the Covered Executve to repay such amount to the Company by direct payment to the Company or such other means or combinaton of means as the Commitee determines to be appropriate (these determinatons do not need to be identcal as to each Covered Executve). These means include (but are not limited to):</w:t>
      </w:r>
    </w:p>
    <w:p>
      <w:pPr>
        <w:spacing w:after="0" w:line="156" w:lineRule="exact"/>
        <w:rPr>
          <w:sz w:val="20"/>
          <w:szCs w:val="20"/>
          <w:color w:val="auto"/>
        </w:rPr>
      </w:pPr>
    </w:p>
    <w:p>
      <w:pPr>
        <w:ind w:left="1020" w:hanging="251"/>
        <w:spacing w:after="0"/>
        <w:tabs>
          <w:tab w:leader="none" w:pos="1020" w:val="left"/>
        </w:tabs>
        <w:numPr>
          <w:ilvl w:val="0"/>
          <w:numId w:val="54"/>
        </w:numPr>
        <w:rPr>
          <w:rFonts w:ascii="Calibri" w:cs="Calibri" w:eastAsia="Calibri" w:hAnsi="Calibri"/>
          <w:sz w:val="16"/>
          <w:szCs w:val="16"/>
          <w:color w:val="auto"/>
        </w:rPr>
      </w:pPr>
      <w:r>
        <w:rPr>
          <w:rFonts w:ascii="Calibri" w:cs="Calibri" w:eastAsia="Calibri" w:hAnsi="Calibri"/>
          <w:sz w:val="16"/>
          <w:szCs w:val="16"/>
          <w:color w:val="auto"/>
        </w:rPr>
        <w:t>requiring reimbursement of cash Incentve-Based Compensaton previously paid;</w:t>
      </w:r>
    </w:p>
    <w:p>
      <w:pPr>
        <w:spacing w:after="0" w:line="176" w:lineRule="exact"/>
        <w:rPr>
          <w:rFonts w:ascii="Calibri" w:cs="Calibri" w:eastAsia="Calibri" w:hAnsi="Calibri"/>
          <w:sz w:val="16"/>
          <w:szCs w:val="16"/>
          <w:color w:val="auto"/>
        </w:rPr>
      </w:pPr>
    </w:p>
    <w:p>
      <w:pPr>
        <w:jc w:val="both"/>
        <w:ind w:left="1020" w:hanging="251"/>
        <w:spacing w:after="0" w:line="227" w:lineRule="auto"/>
        <w:tabs>
          <w:tab w:leader="none" w:pos="1016" w:val="left"/>
        </w:tabs>
        <w:numPr>
          <w:ilvl w:val="0"/>
          <w:numId w:val="54"/>
        </w:numPr>
        <w:rPr>
          <w:rFonts w:ascii="Calibri" w:cs="Calibri" w:eastAsia="Calibri" w:hAnsi="Calibri"/>
          <w:sz w:val="16"/>
          <w:szCs w:val="16"/>
          <w:color w:val="auto"/>
        </w:rPr>
      </w:pPr>
      <w:r>
        <w:rPr>
          <w:rFonts w:ascii="Calibri" w:cs="Calibri" w:eastAsia="Calibri" w:hAnsi="Calibri"/>
          <w:sz w:val="16"/>
          <w:szCs w:val="16"/>
          <w:color w:val="auto"/>
        </w:rPr>
        <w:t>seeking recovery of any gain realized on the vestng, exercise, setlement, sale, transfer, or other dispositon of any equity-based awards (including, but not limited to, tme-based vestng awards), without regard to whether such awards are Incentve-Based Compensaton or vest based on the achievement of performance goals;</w:t>
      </w:r>
    </w:p>
    <w:p>
      <w:pPr>
        <w:spacing w:after="0" w:line="177" w:lineRule="exact"/>
        <w:rPr>
          <w:rFonts w:ascii="Calibri" w:cs="Calibri" w:eastAsia="Calibri" w:hAnsi="Calibri"/>
          <w:sz w:val="16"/>
          <w:szCs w:val="16"/>
          <w:color w:val="auto"/>
        </w:rPr>
      </w:pPr>
    </w:p>
    <w:p>
      <w:pPr>
        <w:jc w:val="both"/>
        <w:ind w:left="1020" w:hanging="251"/>
        <w:spacing w:after="0" w:line="227" w:lineRule="auto"/>
        <w:tabs>
          <w:tab w:leader="none" w:pos="1021" w:val="left"/>
        </w:tabs>
        <w:numPr>
          <w:ilvl w:val="0"/>
          <w:numId w:val="54"/>
        </w:numPr>
        <w:rPr>
          <w:rFonts w:ascii="Calibri" w:cs="Calibri" w:eastAsia="Calibri" w:hAnsi="Calibri"/>
          <w:sz w:val="16"/>
          <w:szCs w:val="16"/>
          <w:color w:val="auto"/>
        </w:rPr>
      </w:pPr>
      <w:r>
        <w:rPr>
          <w:rFonts w:ascii="Calibri" w:cs="Calibri" w:eastAsia="Calibri" w:hAnsi="Calibri"/>
          <w:sz w:val="16"/>
          <w:szCs w:val="16"/>
          <w:color w:val="auto"/>
        </w:rPr>
        <w:t>ofsetng the amount to be recovered from any unpaid or future compensaton to be paid by the Company or any afliate of the Company to the Covered Executve, including (but not limited to) payments of severance that might otherwise be due in connecton with a Covered Executve’s terminaton of employment and without regard to whether such amounts are Incentve-Based Compensaton;</w:t>
      </w:r>
    </w:p>
    <w:p>
      <w:pPr>
        <w:spacing w:after="0" w:line="177" w:lineRule="exact"/>
        <w:rPr>
          <w:rFonts w:ascii="Calibri" w:cs="Calibri" w:eastAsia="Calibri" w:hAnsi="Calibri"/>
          <w:sz w:val="16"/>
          <w:szCs w:val="16"/>
          <w:color w:val="auto"/>
        </w:rPr>
      </w:pPr>
    </w:p>
    <w:p>
      <w:pPr>
        <w:ind w:left="1020" w:hanging="251"/>
        <w:spacing w:after="0" w:line="224" w:lineRule="auto"/>
        <w:tabs>
          <w:tab w:leader="none" w:pos="1016" w:val="left"/>
        </w:tabs>
        <w:numPr>
          <w:ilvl w:val="0"/>
          <w:numId w:val="54"/>
        </w:numPr>
        <w:rPr>
          <w:rFonts w:ascii="Calibri" w:cs="Calibri" w:eastAsia="Calibri" w:hAnsi="Calibri"/>
          <w:sz w:val="16"/>
          <w:szCs w:val="16"/>
          <w:color w:val="auto"/>
        </w:rPr>
      </w:pPr>
      <w:r>
        <w:rPr>
          <w:rFonts w:ascii="Calibri" w:cs="Calibri" w:eastAsia="Calibri" w:hAnsi="Calibri"/>
          <w:sz w:val="16"/>
          <w:szCs w:val="16"/>
          <w:color w:val="auto"/>
        </w:rPr>
        <w:t>cancelling outstanding vested or unvested equity awards (including, but not limited to, tme- based vestng awards), without regard to whether such awards are Incentve-Based Compensaton; and/or</w:t>
      </w:r>
    </w:p>
    <w:p>
      <w:pPr>
        <w:spacing w:after="0" w:line="165" w:lineRule="exact"/>
        <w:rPr>
          <w:rFonts w:ascii="Calibri" w:cs="Calibri" w:eastAsia="Calibri" w:hAnsi="Calibri"/>
          <w:sz w:val="16"/>
          <w:szCs w:val="16"/>
          <w:color w:val="auto"/>
        </w:rPr>
      </w:pPr>
    </w:p>
    <w:p>
      <w:pPr>
        <w:ind w:left="1020" w:hanging="251"/>
        <w:spacing w:after="0"/>
        <w:tabs>
          <w:tab w:leader="none" w:pos="1020" w:val="left"/>
        </w:tabs>
        <w:numPr>
          <w:ilvl w:val="0"/>
          <w:numId w:val="54"/>
        </w:numPr>
        <w:rPr>
          <w:rFonts w:ascii="Calibri" w:cs="Calibri" w:eastAsia="Calibri" w:hAnsi="Calibri"/>
          <w:sz w:val="16"/>
          <w:szCs w:val="16"/>
          <w:color w:val="auto"/>
        </w:rPr>
      </w:pPr>
      <w:r>
        <w:rPr>
          <w:rFonts w:ascii="Calibri" w:cs="Calibri" w:eastAsia="Calibri" w:hAnsi="Calibri"/>
          <w:sz w:val="16"/>
          <w:szCs w:val="16"/>
          <w:color w:val="auto"/>
        </w:rPr>
        <w:t>taking any other remedial and recovery acton permited by law, as determined by the Commitee.</w:t>
      </w:r>
    </w:p>
    <w:p>
      <w:pPr>
        <w:spacing w:after="0" w:line="165" w:lineRule="exact"/>
        <w:rPr>
          <w:sz w:val="20"/>
          <w:szCs w:val="20"/>
          <w:color w:val="auto"/>
        </w:rPr>
      </w:pPr>
    </w:p>
    <w:p>
      <w:pPr>
        <w:ind w:firstLine="593"/>
        <w:spacing w:after="0" w:line="230" w:lineRule="auto"/>
        <w:rPr>
          <w:sz w:val="20"/>
          <w:szCs w:val="20"/>
          <w:color w:val="auto"/>
        </w:rPr>
      </w:pPr>
      <w:r>
        <w:rPr>
          <w:rFonts w:ascii="Calibri" w:cs="Calibri" w:eastAsia="Calibri" w:hAnsi="Calibri"/>
          <w:sz w:val="16"/>
          <w:szCs w:val="16"/>
          <w:color w:val="auto"/>
        </w:rPr>
        <w:t>The repayment of Excess Compensaton must be made by a Covered Executve notwithstanding any Covered Executve’s belief (whether or not legitmate) that the Excess Compensaton had been previously earned under applicable law and therefore is not subject to clawback.</w:t>
      </w:r>
    </w:p>
    <w:p>
      <w:pPr>
        <w:sectPr>
          <w:pgSz w:w="11900" w:h="16838" w:orient="portrait"/>
          <w:cols w:equalWidth="0" w:num="1">
            <w:col w:w="11280"/>
          </w:cols>
          <w:pgMar w:left="300" w:top="1128" w:right="319" w:bottom="1440" w:gutter="0" w:footer="0" w:header="0"/>
        </w:sectPr>
      </w:pPr>
    </w:p>
    <w:bookmarkStart w:id="151" w:name="page152"/>
    <w:bookmarkEnd w:id="151"/>
    <w:p>
      <w:pPr>
        <w:jc w:val="both"/>
        <w:ind w:firstLine="593"/>
        <w:spacing w:after="0" w:line="228" w:lineRule="auto"/>
        <w:rPr>
          <w:sz w:val="20"/>
          <w:szCs w:val="20"/>
          <w:color w:val="auto"/>
        </w:rPr>
      </w:pPr>
      <w:r>
        <w:rPr>
          <w:rFonts w:ascii="Calibri" w:cs="Calibri" w:eastAsia="Calibri" w:hAnsi="Calibri"/>
          <w:sz w:val="16"/>
          <w:szCs w:val="16"/>
          <w:color w:val="auto"/>
        </w:rPr>
        <w:t>In additon to its rights to recovery under the Policy, the Company or any afliate of the Company may take any legal actons it determines appropriate to enforce a Covered Executve’s obligatons to the Company or to discipline a Covered Executve. Failure of a Covered Executve to comply with their obligatons under the Policy may result in (without limitaton) terminaton of that Covered Executve’s employment, insttuton of civil proceedings, reportng of misconduct to appropriate governmental authorites, reducton of future compensaton opportunites or change in role. The decision to take any actons described in the preceding sentence will not be subject to the approval of the Commitee and can be made by the Board, any commitee of the Board, or any duly authorized ofcer of the Company or of any applicable afliate of the Company. For avoidance of doubt, any decisions of the Company or the Covered Executve’s employer to discipline a Covered Executve or terminate the employment of a Covered Executve are independent of determinatons under this Policy. For example, if a Covered Executve was involved in actvites that led to an Accountng Restatement, the Company’s decision as to whether to not to terminate such Covered Executve’s employment would be made under its employment arrangements with such Covered Executve and the requirement to apply this no-fault and non-discretonary clawback policy will not be determinatve of whether any such terminaton is for cause, although failure to comply with the Policy might be something that could result in a terminaton for cause depending on the terms of such arrangements.</w:t>
      </w:r>
    </w:p>
    <w:p>
      <w:pPr>
        <w:spacing w:after="0" w:line="171" w:lineRule="exact"/>
        <w:rPr>
          <w:sz w:val="20"/>
          <w:szCs w:val="20"/>
          <w:color w:val="auto"/>
        </w:rPr>
      </w:pPr>
    </w:p>
    <w:p>
      <w:pPr>
        <w:ind w:left="80"/>
        <w:spacing w:after="0"/>
        <w:rPr>
          <w:sz w:val="20"/>
          <w:szCs w:val="20"/>
          <w:color w:val="auto"/>
        </w:rPr>
      </w:pPr>
      <w:r>
        <w:rPr>
          <w:rFonts w:ascii="Calibri" w:cs="Calibri" w:eastAsia="Calibri" w:hAnsi="Calibri"/>
          <w:sz w:val="16"/>
          <w:szCs w:val="16"/>
          <w:b w:val="1"/>
          <w:bCs w:val="1"/>
          <w:color w:val="auto"/>
        </w:rPr>
        <w:t>Limited Exceptons to the Policy</w:t>
      </w:r>
    </w:p>
    <w:p>
      <w:pPr>
        <w:spacing w:after="0" w:line="165" w:lineRule="exact"/>
        <w:rPr>
          <w:sz w:val="20"/>
          <w:szCs w:val="20"/>
          <w:color w:val="auto"/>
        </w:rPr>
      </w:pPr>
    </w:p>
    <w:p>
      <w:pPr>
        <w:jc w:val="both"/>
        <w:ind w:firstLine="593"/>
        <w:spacing w:after="0" w:line="230" w:lineRule="auto"/>
        <w:rPr>
          <w:sz w:val="20"/>
          <w:szCs w:val="20"/>
          <w:color w:val="auto"/>
        </w:rPr>
      </w:pPr>
      <w:r>
        <w:rPr>
          <w:rFonts w:ascii="Calibri" w:cs="Calibri" w:eastAsia="Calibri" w:hAnsi="Calibri"/>
          <w:sz w:val="16"/>
          <w:szCs w:val="16"/>
          <w:color w:val="auto"/>
        </w:rPr>
        <w:t>The Company must recover the Excess Compensaton in accordance with the Policy except to the limited extent that any of the conditons set forth below is met, and the Commitee determines that recovery of the Excess Compensaton would be impractcable:</w:t>
      </w:r>
    </w:p>
    <w:p>
      <w:pPr>
        <w:spacing w:after="0" w:line="167" w:lineRule="exact"/>
        <w:rPr>
          <w:sz w:val="20"/>
          <w:szCs w:val="20"/>
          <w:color w:val="auto"/>
        </w:rPr>
      </w:pPr>
    </w:p>
    <w:p>
      <w:pPr>
        <w:jc w:val="both"/>
        <w:ind w:left="1020" w:hanging="251"/>
        <w:spacing w:after="0" w:line="232" w:lineRule="auto"/>
        <w:tabs>
          <w:tab w:leader="none" w:pos="1020" w:val="left"/>
        </w:tabs>
        <w:numPr>
          <w:ilvl w:val="0"/>
          <w:numId w:val="55"/>
        </w:numPr>
        <w:rPr>
          <w:rFonts w:ascii="Calibri" w:cs="Calibri" w:eastAsia="Calibri" w:hAnsi="Calibri"/>
          <w:sz w:val="16"/>
          <w:szCs w:val="16"/>
          <w:color w:val="auto"/>
        </w:rPr>
      </w:pPr>
      <w:r>
        <w:rPr>
          <w:rFonts w:ascii="Calibri" w:cs="Calibri" w:eastAsia="Calibri" w:hAnsi="Calibri"/>
          <w:sz w:val="16"/>
          <w:szCs w:val="16"/>
          <w:color w:val="auto"/>
        </w:rPr>
        <w:t>The direct expense paid to a third party to assist in enforcing the Policy would exceed the amount to be recovered. Before reaching this conclusion, the Company must make a reasonable atempt to recover such Excess Compensaton, document such reasonable atempt(s) to recover, and provide that documentaton to the Exchange; or</w:t>
      </w:r>
    </w:p>
    <w:p>
      <w:pPr>
        <w:spacing w:after="0" w:line="165" w:lineRule="exact"/>
        <w:rPr>
          <w:rFonts w:ascii="Calibri" w:cs="Calibri" w:eastAsia="Calibri" w:hAnsi="Calibri"/>
          <w:sz w:val="16"/>
          <w:szCs w:val="16"/>
          <w:color w:val="auto"/>
        </w:rPr>
      </w:pPr>
    </w:p>
    <w:p>
      <w:pPr>
        <w:ind w:left="1020" w:hanging="251"/>
        <w:spacing w:after="0" w:line="230" w:lineRule="auto"/>
        <w:tabs>
          <w:tab w:leader="none" w:pos="1016" w:val="left"/>
        </w:tabs>
        <w:numPr>
          <w:ilvl w:val="0"/>
          <w:numId w:val="55"/>
        </w:numPr>
        <w:rPr>
          <w:rFonts w:ascii="Calibri" w:cs="Calibri" w:eastAsia="Calibri" w:hAnsi="Calibri"/>
          <w:sz w:val="16"/>
          <w:szCs w:val="16"/>
          <w:color w:val="auto"/>
        </w:rPr>
      </w:pPr>
      <w:r>
        <w:rPr>
          <w:rFonts w:ascii="Calibri" w:cs="Calibri" w:eastAsia="Calibri" w:hAnsi="Calibri"/>
          <w:sz w:val="16"/>
          <w:szCs w:val="16"/>
          <w:color w:val="auto"/>
        </w:rPr>
        <w:t>Recovery would likely cause an otherwise tax-qualifed retrement plan, under which benefts are broadly available to employees of the Company, to fail to meet the legal requirements as such.</w:t>
      </w:r>
    </w:p>
    <w:p>
      <w:pPr>
        <w:spacing w:after="0" w:line="156" w:lineRule="exact"/>
        <w:rPr>
          <w:sz w:val="20"/>
          <w:szCs w:val="20"/>
          <w:color w:val="auto"/>
        </w:rPr>
      </w:pPr>
    </w:p>
    <w:p>
      <w:pPr>
        <w:ind w:left="80"/>
        <w:spacing w:after="0"/>
        <w:rPr>
          <w:sz w:val="20"/>
          <w:szCs w:val="20"/>
          <w:color w:val="auto"/>
        </w:rPr>
      </w:pPr>
      <w:r>
        <w:rPr>
          <w:rFonts w:ascii="Calibri" w:cs="Calibri" w:eastAsia="Calibri" w:hAnsi="Calibri"/>
          <w:sz w:val="16"/>
          <w:szCs w:val="16"/>
          <w:b w:val="1"/>
          <w:bCs w:val="1"/>
          <w:color w:val="auto"/>
        </w:rPr>
        <w:t>Other Important Informaton in the Policy</w:t>
      </w:r>
    </w:p>
    <w:p>
      <w:pPr>
        <w:spacing w:after="0" w:line="176" w:lineRule="exact"/>
        <w:rPr>
          <w:sz w:val="20"/>
          <w:szCs w:val="20"/>
          <w:color w:val="auto"/>
        </w:rPr>
      </w:pPr>
    </w:p>
    <w:p>
      <w:pPr>
        <w:jc w:val="both"/>
        <w:ind w:firstLine="593"/>
        <w:spacing w:after="0" w:line="229" w:lineRule="auto"/>
        <w:rPr>
          <w:sz w:val="20"/>
          <w:szCs w:val="20"/>
          <w:color w:val="auto"/>
        </w:rPr>
      </w:pPr>
      <w:r>
        <w:rPr>
          <w:rFonts w:ascii="Calibri" w:cs="Calibri" w:eastAsia="Calibri" w:hAnsi="Calibri"/>
          <w:sz w:val="16"/>
          <w:szCs w:val="16"/>
          <w:color w:val="auto"/>
        </w:rPr>
        <w:t>The Policy is in additon to the requirements of Secton 304 of the Sarbanes-Oxley Act of 2002 that are applicable to the Company’s Chief Executve Ofcer and Chief Financial Ofcer, as well as any other applicable laws, regulatory requirements, rules, or pursuant to the terms of any existng Company policy or agreement providing for the recovery of compensaton. With the excepton of any compensaton that is Received prior to the Efectve Date, which compensaton will remain subject to the Company’s previously adopted clawback policy providing for recovery of compensaton as applicable pursuant to the terms of such policy, this Policy supersedes in full all of the clawback policies of the Company that were in efect prior to the Efectve Date to the extent such policies were applicable with respect to Executve Ofcers and the operatve portons of such policies will have no further force or efect on or afer the Efectve Date.</w:t>
      </w:r>
    </w:p>
    <w:p>
      <w:pPr>
        <w:sectPr>
          <w:pgSz w:w="11900" w:h="16838" w:orient="portrait"/>
          <w:cols w:equalWidth="0" w:num="1">
            <w:col w:w="11280"/>
          </w:cols>
          <w:pgMar w:left="300" w:top="1128" w:right="319" w:bottom="1440" w:gutter="0" w:footer="0" w:header="0"/>
        </w:sectPr>
      </w:pPr>
    </w:p>
    <w:bookmarkStart w:id="152" w:name="page153"/>
    <w:bookmarkEnd w:id="152"/>
    <w:p>
      <w:pPr>
        <w:jc w:val="both"/>
        <w:ind w:firstLine="594"/>
        <w:spacing w:after="0" w:line="229" w:lineRule="auto"/>
        <w:rPr>
          <w:sz w:val="20"/>
          <w:szCs w:val="20"/>
          <w:color w:val="auto"/>
        </w:rPr>
      </w:pPr>
      <w:r>
        <w:rPr>
          <w:rFonts w:ascii="Calibri" w:cs="Calibri" w:eastAsia="Calibri" w:hAnsi="Calibri"/>
          <w:sz w:val="16"/>
          <w:szCs w:val="16"/>
          <w:color w:val="auto"/>
        </w:rPr>
        <w:t>Notwithstanding the terms of any of the Company’s organizatonal documents (including, but not limited to, the Company’s bylaws), any corporate policy or any contract (including, but not limited to, any indemnifcaton agreement), neither the Company nor any afliate of the Company will indemnify or provide advancement for any Covered Executve against any loss of Excess Compensaton. Neither the Company nor any afliate of the Company will pay for or reimburse insurance premiums for an insurance policy that covers potental recovery obligatons. In the event that the Company is required to recover Excess Compensaton pursuant to the Policy from a Covered Executve who is no longer an employee pursuant to the Policy, the Company will be enttled to seek recovery in order to comply with applicable law, regardless of the terms of any release of claims or separaton agreement that individual may have signed.</w:t>
      </w:r>
    </w:p>
    <w:p>
      <w:pPr>
        <w:spacing w:after="0" w:line="155" w:lineRule="exact"/>
        <w:rPr>
          <w:sz w:val="20"/>
          <w:szCs w:val="20"/>
          <w:color w:val="auto"/>
        </w:rPr>
      </w:pPr>
    </w:p>
    <w:p>
      <w:pPr>
        <w:ind w:left="600"/>
        <w:spacing w:after="0"/>
        <w:rPr>
          <w:sz w:val="20"/>
          <w:szCs w:val="20"/>
          <w:color w:val="auto"/>
        </w:rPr>
      </w:pPr>
      <w:r>
        <w:rPr>
          <w:rFonts w:ascii="Calibri" w:cs="Calibri" w:eastAsia="Calibri" w:hAnsi="Calibri"/>
          <w:sz w:val="16"/>
          <w:szCs w:val="16"/>
          <w:color w:val="auto"/>
        </w:rPr>
        <w:t>The Commitee or Board may review and modify the Policy from tme to tme.</w:t>
      </w:r>
    </w:p>
    <w:p>
      <w:pPr>
        <w:spacing w:after="0" w:line="176" w:lineRule="exact"/>
        <w:rPr>
          <w:sz w:val="20"/>
          <w:szCs w:val="20"/>
          <w:color w:val="auto"/>
        </w:rPr>
      </w:pPr>
    </w:p>
    <w:p>
      <w:pPr>
        <w:jc w:val="both"/>
        <w:ind w:firstLine="593"/>
        <w:spacing w:after="0" w:line="227" w:lineRule="auto"/>
        <w:rPr>
          <w:sz w:val="20"/>
          <w:szCs w:val="20"/>
          <w:color w:val="auto"/>
        </w:rPr>
      </w:pPr>
      <w:r>
        <w:rPr>
          <w:rFonts w:ascii="Calibri" w:cs="Calibri" w:eastAsia="Calibri" w:hAnsi="Calibri"/>
          <w:sz w:val="16"/>
          <w:szCs w:val="16"/>
          <w:color w:val="auto"/>
        </w:rPr>
        <w:t>If any provision of the Policy or the applicaton of any such provision to any Covered Executve is adjudicated to be invalid, illegal or unenforceable in any respect, such invalidity, illegality or unenforceability will not afect any other provisions of the Policy or the applicaton of such provision to another Covered Executve, and the invalid, illegal or unenforceable provisions will be deemed amended to the minimum extent necessary to render any such provision or applicaton enforceable.</w:t>
      </w:r>
    </w:p>
    <w:p>
      <w:pPr>
        <w:spacing w:after="0" w:line="167"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color w:val="auto"/>
        </w:rPr>
        <w:t>The Policy will terminate and no longer be enforceable when the Company ceases to be listed issuer within the meaning of Secton 10D of the Exchange Act.</w:t>
      </w:r>
    </w:p>
    <w:p>
      <w:pPr>
        <w:spacing w:after="0" w:line="346" w:lineRule="exact"/>
        <w:rPr>
          <w:sz w:val="20"/>
          <w:szCs w:val="20"/>
          <w:color w:val="auto"/>
        </w:rPr>
      </w:pPr>
    </w:p>
    <w:p>
      <w:pPr>
        <w:ind w:left="5800"/>
        <w:spacing w:after="0"/>
        <w:rPr>
          <w:sz w:val="20"/>
          <w:szCs w:val="20"/>
          <w:color w:val="auto"/>
        </w:rPr>
      </w:pPr>
      <w:r>
        <w:rPr>
          <w:rFonts w:ascii="Calibri" w:cs="Calibri" w:eastAsia="Calibri" w:hAnsi="Calibri"/>
          <w:sz w:val="16"/>
          <w:szCs w:val="16"/>
          <w:b w:val="1"/>
          <w:bCs w:val="1"/>
          <w:color w:val="auto"/>
        </w:rPr>
        <w:t>ACKNOWLEDGEMENT</w:t>
      </w:r>
    </w:p>
    <w:p>
      <w:pPr>
        <w:spacing w:after="0" w:line="81" w:lineRule="exact"/>
        <w:rPr>
          <w:sz w:val="20"/>
          <w:szCs w:val="20"/>
          <w:color w:val="auto"/>
        </w:rPr>
      </w:pPr>
    </w:p>
    <w:p>
      <w:pPr>
        <w:ind w:left="500" w:hanging="240"/>
        <w:spacing w:after="0"/>
        <w:tabs>
          <w:tab w:leader="none" w:pos="500" w:val="left"/>
        </w:tabs>
        <w:numPr>
          <w:ilvl w:val="0"/>
          <w:numId w:val="56"/>
        </w:numPr>
        <w:rPr>
          <w:rFonts w:ascii="Calibri" w:cs="Calibri" w:eastAsia="Calibri" w:hAnsi="Calibri"/>
          <w:sz w:val="16"/>
          <w:szCs w:val="16"/>
          <w:color w:val="auto"/>
        </w:rPr>
      </w:pPr>
      <w:r>
        <w:rPr>
          <w:rFonts w:ascii="Calibri" w:cs="Calibri" w:eastAsia="Calibri" w:hAnsi="Calibri"/>
          <w:sz w:val="16"/>
          <w:szCs w:val="16"/>
          <w:color w:val="auto"/>
        </w:rPr>
        <w:t>I acknowledge that I have received and read the Compensaton Recovery Policy (the “</w:t>
      </w:r>
      <w:r>
        <w:rPr>
          <w:rFonts w:ascii="Calibri" w:cs="Calibri" w:eastAsia="Calibri" w:hAnsi="Calibri"/>
          <w:sz w:val="16"/>
          <w:szCs w:val="16"/>
          <w:b w:val="1"/>
          <w:bCs w:val="1"/>
          <w:color w:val="auto"/>
        </w:rPr>
        <w:t>Policy</w:t>
      </w:r>
      <w:r>
        <w:rPr>
          <w:rFonts w:ascii="Calibri" w:cs="Calibri" w:eastAsia="Calibri" w:hAnsi="Calibri"/>
          <w:sz w:val="16"/>
          <w:szCs w:val="16"/>
          <w:color w:val="auto"/>
        </w:rPr>
        <w:t>”) of Pacifc Biosciences of California, Inc. (the “</w:t>
      </w:r>
      <w:r>
        <w:rPr>
          <w:rFonts w:ascii="Calibri" w:cs="Calibri" w:eastAsia="Calibri" w:hAnsi="Calibri"/>
          <w:sz w:val="16"/>
          <w:szCs w:val="16"/>
          <w:b w:val="1"/>
          <w:bCs w:val="1"/>
          <w:color w:val="auto"/>
        </w:rPr>
        <w:t>Company</w:t>
      </w:r>
      <w:r>
        <w:rPr>
          <w:rFonts w:ascii="Calibri" w:cs="Calibri" w:eastAsia="Calibri" w:hAnsi="Calibri"/>
          <w:sz w:val="16"/>
          <w:szCs w:val="16"/>
          <w:color w:val="auto"/>
        </w:rPr>
        <w:t>”).</w:t>
      </w:r>
    </w:p>
    <w:p>
      <w:pPr>
        <w:spacing w:after="0" w:line="80" w:lineRule="exact"/>
        <w:rPr>
          <w:rFonts w:ascii="Calibri" w:cs="Calibri" w:eastAsia="Calibri" w:hAnsi="Calibri"/>
          <w:sz w:val="16"/>
          <w:szCs w:val="16"/>
          <w:color w:val="auto"/>
        </w:rPr>
      </w:pPr>
    </w:p>
    <w:p>
      <w:pPr>
        <w:jc w:val="both"/>
        <w:ind w:left="520" w:hanging="260"/>
        <w:spacing w:after="0" w:line="232" w:lineRule="auto"/>
        <w:tabs>
          <w:tab w:leader="none" w:pos="514" w:val="left"/>
        </w:tabs>
        <w:numPr>
          <w:ilvl w:val="0"/>
          <w:numId w:val="56"/>
        </w:numPr>
        <w:rPr>
          <w:rFonts w:ascii="Calibri" w:cs="Calibri" w:eastAsia="Calibri" w:hAnsi="Calibri"/>
          <w:sz w:val="16"/>
          <w:szCs w:val="16"/>
          <w:color w:val="auto"/>
        </w:rPr>
      </w:pPr>
      <w:r>
        <w:rPr>
          <w:rFonts w:ascii="Calibri" w:cs="Calibri" w:eastAsia="Calibri" w:hAnsi="Calibri"/>
          <w:sz w:val="16"/>
          <w:szCs w:val="16"/>
          <w:color w:val="auto"/>
        </w:rPr>
        <w:t>I understand and acknowledge that the Policy applies to me, and all of my benefciaries, heirs, executors, administrators or other legal representatves and that the Company’s right to recovery in order to comply with applicable law will apply, regardless of the terms of any release of claims or separaton agreement I have signed or will sign in the future.</w:t>
      </w:r>
    </w:p>
    <w:p>
      <w:pPr>
        <w:spacing w:after="0" w:line="80" w:lineRule="exact"/>
        <w:rPr>
          <w:rFonts w:ascii="Calibri" w:cs="Calibri" w:eastAsia="Calibri" w:hAnsi="Calibri"/>
          <w:sz w:val="16"/>
          <w:szCs w:val="16"/>
          <w:color w:val="auto"/>
        </w:rPr>
      </w:pPr>
    </w:p>
    <w:p>
      <w:pPr>
        <w:ind w:left="520" w:hanging="260"/>
        <w:spacing w:after="0" w:line="230" w:lineRule="auto"/>
        <w:tabs>
          <w:tab w:leader="none" w:pos="514" w:val="left"/>
        </w:tabs>
        <w:numPr>
          <w:ilvl w:val="0"/>
          <w:numId w:val="56"/>
        </w:numPr>
        <w:rPr>
          <w:rFonts w:ascii="Calibri" w:cs="Calibri" w:eastAsia="Calibri" w:hAnsi="Calibri"/>
          <w:sz w:val="16"/>
          <w:szCs w:val="16"/>
          <w:color w:val="auto"/>
        </w:rPr>
      </w:pPr>
      <w:r>
        <w:rPr>
          <w:rFonts w:ascii="Calibri" w:cs="Calibri" w:eastAsia="Calibri" w:hAnsi="Calibri"/>
          <w:sz w:val="16"/>
          <w:szCs w:val="16"/>
          <w:color w:val="auto"/>
        </w:rPr>
        <w:t>I agree to be bound by and to comply with the Policy and understand that determinatons of the Commitee (as such term is used in the Policy) will be fnal and binding and will be given the maximum deference permited by law.</w:t>
      </w:r>
    </w:p>
    <w:p>
      <w:pPr>
        <w:spacing w:after="0" w:line="81" w:lineRule="exact"/>
        <w:rPr>
          <w:rFonts w:ascii="Calibri" w:cs="Calibri" w:eastAsia="Calibri" w:hAnsi="Calibri"/>
          <w:sz w:val="16"/>
          <w:szCs w:val="16"/>
          <w:color w:val="auto"/>
        </w:rPr>
      </w:pPr>
    </w:p>
    <w:p>
      <w:pPr>
        <w:ind w:left="520" w:hanging="260"/>
        <w:spacing w:after="0" w:line="230" w:lineRule="auto"/>
        <w:tabs>
          <w:tab w:leader="none" w:pos="514" w:val="left"/>
        </w:tabs>
        <w:numPr>
          <w:ilvl w:val="0"/>
          <w:numId w:val="56"/>
        </w:numPr>
        <w:rPr>
          <w:rFonts w:ascii="Calibri" w:cs="Calibri" w:eastAsia="Calibri" w:hAnsi="Calibri"/>
          <w:sz w:val="16"/>
          <w:szCs w:val="16"/>
          <w:color w:val="auto"/>
        </w:rPr>
      </w:pPr>
      <w:r>
        <w:rPr>
          <w:rFonts w:ascii="Calibri" w:cs="Calibri" w:eastAsia="Calibri" w:hAnsi="Calibri"/>
          <w:sz w:val="16"/>
          <w:szCs w:val="16"/>
          <w:color w:val="auto"/>
        </w:rPr>
        <w:t>I understand and agree that my current indemnifcaton rights, whether in an individual agreement or the Company’s organizatonal documents, exclude the right to be indemnifed for amounts required to be recovered under the Policy.</w:t>
      </w:r>
    </w:p>
    <w:p>
      <w:pPr>
        <w:spacing w:after="0" w:line="92" w:lineRule="exact"/>
        <w:rPr>
          <w:rFonts w:ascii="Calibri" w:cs="Calibri" w:eastAsia="Calibri" w:hAnsi="Calibri"/>
          <w:sz w:val="16"/>
          <w:szCs w:val="16"/>
          <w:color w:val="auto"/>
        </w:rPr>
      </w:pPr>
    </w:p>
    <w:p>
      <w:pPr>
        <w:ind w:left="520" w:hanging="260"/>
        <w:spacing w:after="0" w:line="224" w:lineRule="auto"/>
        <w:tabs>
          <w:tab w:leader="none" w:pos="514" w:val="left"/>
        </w:tabs>
        <w:numPr>
          <w:ilvl w:val="0"/>
          <w:numId w:val="56"/>
        </w:numPr>
        <w:rPr>
          <w:rFonts w:ascii="Calibri" w:cs="Calibri" w:eastAsia="Calibri" w:hAnsi="Calibri"/>
          <w:sz w:val="16"/>
          <w:szCs w:val="16"/>
          <w:color w:val="auto"/>
        </w:rPr>
      </w:pPr>
      <w:r>
        <w:rPr>
          <w:rFonts w:ascii="Calibri" w:cs="Calibri" w:eastAsia="Calibri" w:hAnsi="Calibri"/>
          <w:sz w:val="16"/>
          <w:szCs w:val="16"/>
          <w:color w:val="auto"/>
        </w:rPr>
        <w:t>I understand that my failure to comply in all respects with the Policy is a basis for terminaton of my employment with the Company and any afliate of the Company as well as any other appropriate discipline.</w:t>
      </w:r>
    </w:p>
    <w:p>
      <w:pPr>
        <w:spacing w:after="0" w:line="91" w:lineRule="exact"/>
        <w:rPr>
          <w:rFonts w:ascii="Calibri" w:cs="Calibri" w:eastAsia="Calibri" w:hAnsi="Calibri"/>
          <w:sz w:val="16"/>
          <w:szCs w:val="16"/>
          <w:color w:val="auto"/>
        </w:rPr>
      </w:pPr>
    </w:p>
    <w:p>
      <w:pPr>
        <w:ind w:left="520" w:hanging="260"/>
        <w:spacing w:after="0" w:line="224" w:lineRule="auto"/>
        <w:tabs>
          <w:tab w:leader="none" w:pos="514" w:val="left"/>
        </w:tabs>
        <w:numPr>
          <w:ilvl w:val="0"/>
          <w:numId w:val="56"/>
        </w:numPr>
        <w:rPr>
          <w:rFonts w:ascii="Calibri" w:cs="Calibri" w:eastAsia="Calibri" w:hAnsi="Calibri"/>
          <w:sz w:val="16"/>
          <w:szCs w:val="16"/>
          <w:color w:val="auto"/>
        </w:rPr>
      </w:pPr>
      <w:r>
        <w:rPr>
          <w:rFonts w:ascii="Calibri" w:cs="Calibri" w:eastAsia="Calibri" w:hAnsi="Calibri"/>
          <w:sz w:val="16"/>
          <w:szCs w:val="16"/>
          <w:color w:val="auto"/>
        </w:rPr>
        <w:t>I understand that neither the Policy, nor the applicaton of the Policy to me, gives rise to a resignaton for good reason (or similar concept) by me under any applicable employment agreement or arrangement.</w:t>
      </w:r>
    </w:p>
    <w:p>
      <w:pPr>
        <w:spacing w:after="0" w:line="91" w:lineRule="exact"/>
        <w:rPr>
          <w:rFonts w:ascii="Calibri" w:cs="Calibri" w:eastAsia="Calibri" w:hAnsi="Calibri"/>
          <w:sz w:val="16"/>
          <w:szCs w:val="16"/>
          <w:color w:val="auto"/>
        </w:rPr>
      </w:pPr>
    </w:p>
    <w:p>
      <w:pPr>
        <w:ind w:left="520" w:hanging="260"/>
        <w:spacing w:after="0" w:line="230" w:lineRule="auto"/>
        <w:tabs>
          <w:tab w:leader="none" w:pos="514" w:val="left"/>
        </w:tabs>
        <w:numPr>
          <w:ilvl w:val="0"/>
          <w:numId w:val="56"/>
        </w:numPr>
        <w:rPr>
          <w:rFonts w:ascii="Calibri" w:cs="Calibri" w:eastAsia="Calibri" w:hAnsi="Calibri"/>
          <w:sz w:val="16"/>
          <w:szCs w:val="16"/>
          <w:color w:val="auto"/>
        </w:rPr>
      </w:pPr>
      <w:r>
        <w:rPr>
          <w:rFonts w:ascii="Calibri" w:cs="Calibri" w:eastAsia="Calibri" w:hAnsi="Calibri"/>
          <w:sz w:val="16"/>
          <w:szCs w:val="16"/>
          <w:color w:val="auto"/>
        </w:rPr>
        <w:t>I acknowledge that if I have questons concerning the meaning or applicaton of the Policy, it is my responsibility to seek guidance from the Company’s General Counsel, Human Resources or my own personal advisers.</w:t>
      </w:r>
    </w:p>
    <w:p>
      <w:pPr>
        <w:spacing w:after="0" w:line="71" w:lineRule="exact"/>
        <w:rPr>
          <w:rFonts w:ascii="Calibri" w:cs="Calibri" w:eastAsia="Calibri" w:hAnsi="Calibri"/>
          <w:sz w:val="16"/>
          <w:szCs w:val="16"/>
          <w:color w:val="auto"/>
        </w:rPr>
      </w:pPr>
    </w:p>
    <w:p>
      <w:pPr>
        <w:ind w:left="500" w:hanging="240"/>
        <w:spacing w:after="0"/>
        <w:tabs>
          <w:tab w:leader="none" w:pos="500" w:val="left"/>
        </w:tabs>
        <w:numPr>
          <w:ilvl w:val="0"/>
          <w:numId w:val="56"/>
        </w:numPr>
        <w:rPr>
          <w:rFonts w:ascii="Calibri" w:cs="Calibri" w:eastAsia="Calibri" w:hAnsi="Calibri"/>
          <w:sz w:val="16"/>
          <w:szCs w:val="16"/>
          <w:color w:val="auto"/>
        </w:rPr>
      </w:pPr>
      <w:r>
        <w:rPr>
          <w:rFonts w:ascii="Calibri" w:cs="Calibri" w:eastAsia="Calibri" w:hAnsi="Calibri"/>
          <w:sz w:val="16"/>
          <w:szCs w:val="16"/>
          <w:color w:val="auto"/>
        </w:rPr>
        <w:t>I acknowledge that neither this Acknowledgement nor the Policy is meant to consttute an employment contract.</w:t>
      </w:r>
    </w:p>
    <w:p>
      <w:pPr>
        <w:sectPr>
          <w:pgSz w:w="11900" w:h="16838" w:orient="portrait"/>
          <w:cols w:equalWidth="0" w:num="1">
            <w:col w:w="11280"/>
          </w:cols>
          <w:pgMar w:left="300" w:top="1128" w:right="319"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auto"/>
        </w:rPr>
        <w:t>Please review, sign and return this form to Human Resources.</w:t>
      </w:r>
    </w:p>
    <w:p>
      <w:pPr>
        <w:spacing w:after="0" w:line="296"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color w:val="auto"/>
        </w:rPr>
        <w:t>Covered Executve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326390</wp:posOffset>
            </wp:positionV>
            <wp:extent cx="302514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3025140" cy="69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i w:val="1"/>
          <w:iCs w:val="1"/>
          <w:color w:val="auto"/>
        </w:rPr>
        <w:t>print nam</w:t>
      </w:r>
      <w:r>
        <w:rPr>
          <w:rFonts w:ascii="Calibri" w:cs="Calibri" w:eastAsia="Calibri" w:hAnsi="Calibri"/>
          <w:sz w:val="16"/>
          <w:szCs w:val="16"/>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474345</wp:posOffset>
            </wp:positionV>
            <wp:extent cx="302514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30251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i w:val="1"/>
          <w:iCs w:val="1"/>
          <w:color w:val="auto"/>
        </w:rPr>
        <w:t>signature</w:t>
      </w:r>
      <w:r>
        <w:rPr>
          <w:rFonts w:ascii="Calibri" w:cs="Calibri" w:eastAsia="Calibri" w:hAnsi="Calibri"/>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474345</wp:posOffset>
            </wp:positionV>
            <wp:extent cx="302514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30251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0"/>
        <w:spacing w:after="0"/>
        <w:rPr>
          <w:sz w:val="20"/>
          <w:szCs w:val="20"/>
          <w:color w:val="auto"/>
        </w:rPr>
      </w:pPr>
      <w:r>
        <w:rPr>
          <w:rFonts w:ascii="Calibri" w:cs="Calibri" w:eastAsia="Calibri" w:hAnsi="Calibri"/>
          <w:sz w:val="16"/>
          <w:szCs w:val="16"/>
          <w:i w:val="1"/>
          <w:iCs w:val="1"/>
          <w:color w:val="auto"/>
        </w:rPr>
        <w:t>(date)</w:t>
      </w:r>
    </w:p>
    <w:sectPr>
      <w:pgSz w:w="11900" w:h="16838" w:orient="portrait"/>
      <w:cols w:equalWidth="0" w:num="1">
        <w:col w:w="10079"/>
      </w:cols>
      <w:pgMar w:left="380" w:top="10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x"/>
      <w:numFmt w:val="bullet"/>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lowerRoman"/>
      <w:start w:val="1"/>
    </w:lvl>
  </w:abstractNum>
  <w:abstractNum w:abstractNumId="40">
    <w:nsid w:val="32FFF902"/>
    <w:multiLevelType w:val="hybridMultilevel"/>
    <w:lvl w:ilvl="0">
      <w:lvlJc w:val="left"/>
      <w:lvlText w:val="(%1)"/>
      <w:numFmt w:val="decimal"/>
      <w:start w:val="2"/>
    </w:lvl>
  </w:abstractNum>
  <w:abstractNum w:abstractNumId="41">
    <w:nsid w:val="684A481A"/>
    <w:multiLevelType w:val="hybridMultilevel"/>
    <w:lvl w:ilvl="0">
      <w:lvlJc w:val="left"/>
      <w:lvlText w:val="(%1)"/>
      <w:numFmt w:val="lowerLetter"/>
      <w:start w:val="1"/>
    </w:lvl>
    <w:lvl w:ilvl="1">
      <w:lvlJc w:val="left"/>
      <w:lvlText w:val="%2."/>
      <w:numFmt w:val="decimal"/>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5"/>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5"/>
    </w:lvl>
  </w:abstractNum>
  <w:abstractNum w:abstractNumId="51">
    <w:nsid w:val="374A3FE6"/>
    <w:multiLevelType w:val="hybridMultilevel"/>
    <w:lvl w:ilvl="0">
      <w:lvlJc w:val="left"/>
      <w:lvlText w:val="(%1)"/>
      <w:numFmt w:val="lowerRoman"/>
      <w:start w:val="1"/>
    </w:lvl>
  </w:abstractNum>
  <w:abstractNum w:abstractNumId="52">
    <w:nsid w:val="4F4EF005"/>
    <w:multiLevelType w:val="hybridMultilevel"/>
    <w:lvl w:ilvl="0">
      <w:lvlJc w:val="left"/>
      <w:lvlText w:val="(%1)"/>
      <w:numFmt w:val="lowerRoman"/>
      <w:start w:val="1"/>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jpeg"/><Relationship Id="rId209" Type="http://schemas.openxmlformats.org/officeDocument/2006/relationships/image" Target="media/image168.jpeg"/><Relationship Id="rId210" Type="http://schemas.openxmlformats.org/officeDocument/2006/relationships/image" Target="media/image169.jpeg"/><Relationship Id="rId211" Type="http://schemas.openxmlformats.org/officeDocument/2006/relationships/image" Target="media/image170.png"/><Relationship Id="rId212" Type="http://schemas.openxmlformats.org/officeDocument/2006/relationships/image" Target="media/image171.jpeg"/><Relationship Id="rId213" Type="http://schemas.openxmlformats.org/officeDocument/2006/relationships/image" Target="media/image172.jpeg"/><Relationship Id="rId214" Type="http://schemas.openxmlformats.org/officeDocument/2006/relationships/image" Target="media/image173.jpeg"/><Relationship Id="rId215" Type="http://schemas.openxmlformats.org/officeDocument/2006/relationships/image" Target="media/image174.png"/><Relationship Id="rId216" Type="http://schemas.openxmlformats.org/officeDocument/2006/relationships/image" Target="media/image175.jpeg"/><Relationship Id="rId217" Type="http://schemas.openxmlformats.org/officeDocument/2006/relationships/image" Target="media/image176.jpeg"/><Relationship Id="rId218" Type="http://schemas.openxmlformats.org/officeDocument/2006/relationships/image" Target="media/image177.jpeg"/><Relationship Id="rId219" Type="http://schemas.openxmlformats.org/officeDocument/2006/relationships/image" Target="media/image178.png"/><Relationship Id="rId220" Type="http://schemas.openxmlformats.org/officeDocument/2006/relationships/image" Target="media/image179.jpeg"/><Relationship Id="rId221" Type="http://schemas.openxmlformats.org/officeDocument/2006/relationships/image" Target="media/image180.jpeg"/><Relationship Id="rId222" Type="http://schemas.openxmlformats.org/officeDocument/2006/relationships/image" Target="media/image181.jpeg"/><Relationship Id="rId223" Type="http://schemas.openxmlformats.org/officeDocument/2006/relationships/image" Target="media/image182.png"/><Relationship Id="rId224" Type="http://schemas.openxmlformats.org/officeDocument/2006/relationships/image" Target="media/image183.jpeg"/><Relationship Id="rId225" Type="http://schemas.openxmlformats.org/officeDocument/2006/relationships/image" Target="media/image184.jpe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76" Type="http://schemas.openxmlformats.org/officeDocument/2006/relationships/hyperlink" Target="https://www.sec.gov/ix?doc=/Archives/edgar/data/1299130/000129913023000032/pacb-20221231x10k.htm" TargetMode="External"/><Relationship Id="rId155" Type="http://schemas.openxmlformats.org/officeDocument/2006/relationships/hyperlink" Target="http://www.sec.gov/Archives/edgar/data/1299130/000119312511075269/dex31.htm" TargetMode="External"/><Relationship Id="rId156" Type="http://schemas.openxmlformats.org/officeDocument/2006/relationships/hyperlink" Target="http://www.sec.gov/Archives/edgar/data/1299130/000129913022000128/pacb-20221103xex3_1.htm" TargetMode="External"/><Relationship Id="rId157" Type="http://schemas.openxmlformats.org/officeDocument/2006/relationships/hyperlink" Target="http://www.sec.gov/Archives/edgar/data/1299130/000119312510221497/dex41.htm" TargetMode="External"/><Relationship Id="rId158" Type="http://schemas.openxmlformats.org/officeDocument/2006/relationships/hyperlink" Target="http://www.sec.gov/Archives/edgar/data/1299130/000129913020000008/pacb-20191231xex4_2.htm" TargetMode="External"/><Relationship Id="rId159" Type="http://schemas.openxmlformats.org/officeDocument/2006/relationships/hyperlink" Target="http://www.sec.gov/Archives/edgar/data/1299130/000129913021000049/pacb-20210216xex4_1.htm" TargetMode="External"/><Relationship Id="rId160" Type="http://schemas.openxmlformats.org/officeDocument/2006/relationships/hyperlink" Target="https://www.sec.gov/Archives/edgar/data/1299130/000110465923077161/tm2320097d1_ex4-1.htm" TargetMode="External"/><Relationship Id="rId161" Type="http://schemas.openxmlformats.org/officeDocument/2006/relationships/hyperlink" Target="http://www.sec.gov/Archives/edgar/data/1299130/000119312510189512/dex101.htm" TargetMode="External"/><Relationship Id="rId162" Type="http://schemas.openxmlformats.org/officeDocument/2006/relationships/hyperlink" Target="http://www.sec.gov/Archives/edgar/data/1299130/000119312510189512/dex104.htm" TargetMode="External"/><Relationship Id="rId163" Type="http://schemas.openxmlformats.org/officeDocument/2006/relationships/hyperlink" Target="http://www.sec.gov/Archives/edgar/data/1299130/000129913018000031/pacb-20180331xex10_1.htm" TargetMode="External"/><Relationship Id="rId164" Type="http://schemas.openxmlformats.org/officeDocument/2006/relationships/hyperlink" Target="http://www.sec.gov/Archives/edgar/data/1299130/000119312510189512/dex105.htm" TargetMode="External"/><Relationship Id="rId165" Type="http://schemas.openxmlformats.org/officeDocument/2006/relationships/hyperlink" Target="http://www.sec.gov/Archives/edgar/data/1299130/000119312510189512/dex106.htm" TargetMode="External"/><Relationship Id="rId166" Type="http://schemas.openxmlformats.org/officeDocument/2006/relationships/hyperlink" Target="http://www.sec.gov/Archives/edgar/data/1299130/000129913018000031/pacb-20180331xex10_2.htm" TargetMode="External"/><Relationship Id="rId167" Type="http://schemas.openxmlformats.org/officeDocument/2006/relationships/hyperlink" Target="http://www.sec.gov/Archives/edgar/data/1299130/000110465922065284/tm2216796d1_ex10-1.htm" TargetMode="External"/><Relationship Id="rId168" Type="http://schemas.openxmlformats.org/officeDocument/2006/relationships/hyperlink" Target="http://www.sec.gov/Archives/edgar/data/1299130/000110465922065284/tm2216796d1_ex10-2.htm" TargetMode="External"/><Relationship Id="rId169" Type="http://schemas.openxmlformats.org/officeDocument/2006/relationships/hyperlink" Target="http://www.sec.gov/Archives/edgar/data/1299130/000110465922065284/tm2216796d1_ex10-3.htm" TargetMode="External"/><Relationship Id="rId170" Type="http://schemas.openxmlformats.org/officeDocument/2006/relationships/hyperlink" Target="http://www.sec.gov/Archives/edgar/data/1299130/000129913021000216/pacb-20210930xex10_4.htm" TargetMode="External"/><Relationship Id="rId171" Type="http://schemas.openxmlformats.org/officeDocument/2006/relationships/hyperlink" Target="http://www.sec.gov/Archives/edgar/data/1299130/000129913021000223/pacb-20211119xex10_1.htm" TargetMode="External"/><Relationship Id="rId172" Type="http://schemas.openxmlformats.org/officeDocument/2006/relationships/hyperlink" Target="http://www.sec.gov/Archives/edgar/data/1299130/000129913020000148/pacb-20200930xex10_2.htm" TargetMode="External"/><Relationship Id="rId173" Type="http://schemas.openxmlformats.org/officeDocument/2006/relationships/hyperlink" Target="http://www.sec.gov/Archives/edgar/data/1299130/000129913021000098/pacb-20201231xex10_14.htm" TargetMode="External"/><Relationship Id="rId174" Type="http://schemas.openxmlformats.org/officeDocument/2006/relationships/hyperlink" Target="http://www.sec.gov/Archives/edgar/data/1299130/000129913021000098/pacb-20201231xex10_15.htm" TargetMode="External"/><Relationship Id="rId175" Type="http://schemas.openxmlformats.org/officeDocument/2006/relationships/hyperlink" Target="http://www.sec.gov/Archives/edgar/data/1299130/000129913021000098/pacb-20201231xex10_17.htm" TargetMode="External"/><Relationship Id="rId176" Type="http://schemas.openxmlformats.org/officeDocument/2006/relationships/hyperlink" Target="http://www.sec.gov/Archives/edgar/data/1299130/000129913021000098/pacb-20201231xex10_18.htm" TargetMode="External"/><Relationship Id="rId177" Type="http://schemas.openxmlformats.org/officeDocument/2006/relationships/hyperlink" Target="http://www.sec.gov/Archives/edgar/data/1299130/000129913015000128/pacb-20150630ex1026040de.htm" TargetMode="External"/><Relationship Id="rId178" Type="http://schemas.openxmlformats.org/officeDocument/2006/relationships/hyperlink" Target="http://www.sec.gov/Archives/edgar/data/1299130/000129913017000016/pacb-20161231xex10_50.htm" TargetMode="External"/><Relationship Id="rId179" Type="http://schemas.openxmlformats.org/officeDocument/2006/relationships/hyperlink" Target="http://www.sec.gov/Archives/edgar/data/1299130/000119312521035435/d121704dex101.htm" TargetMode="External"/><Relationship Id="rId180" Type="http://schemas.openxmlformats.org/officeDocument/2006/relationships/hyperlink" Target="http://www.sec.gov/Archives/edgar/data/1299130/000119312510234059/dex108.htm" TargetMode="External"/><Relationship Id="rId181" Type="http://schemas.openxmlformats.org/officeDocument/2006/relationships/hyperlink" Target="http://www.sec.gov/Archives/edgar/data/1299130/000129913021000192/pacb-20210630xex10_2.htm" TargetMode="External"/><Relationship Id="rId197" Type="http://schemas.openxmlformats.org/officeDocument/2006/relationships/hyperlink" Target="http://www.sec.gov/Archives/edgar/data/1299130/000119312521219136/d198514dex101.htm" TargetMode="External"/><Relationship Id="rId198" Type="http://schemas.openxmlformats.org/officeDocument/2006/relationships/hyperlink" Target="http://www.sec.gov/Archives/edgar/data/1299130/000119312521219136/d198514dex102.htm" TargetMode="External"/><Relationship Id="rId199" Type="http://schemas.openxmlformats.org/officeDocument/2006/relationships/hyperlink" Target="http://www.sec.gov/Archives/edgar/data/1299130/000119312521219136/d198514dex103.htm" TargetMode="External"/><Relationship Id="rId200" Type="http://schemas.openxmlformats.org/officeDocument/2006/relationships/hyperlink" Target="http://www.sec.gov/Archives/edgar/data/1299130/000110465923006228/tm234149d1_ex99-3.htm" TargetMode="External"/><Relationship Id="rId201" Type="http://schemas.openxmlformats.org/officeDocument/2006/relationships/hyperlink" Target="http://www.sec.gov/Archives/edgar/data/1299130/000110465923006228/tm234149d1_ex99-4.htm" TargetMode="External"/><Relationship Id="rId202" Type="http://schemas.openxmlformats.org/officeDocument/2006/relationships/hyperlink" Target="https://www.sec.gov/Archives/edgar/data/1299130/000110465923074397/tm231952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2024-02-28T17:31:38Z</dcterms:created>
  <dcterms:modified xsi:type="dcterms:W3CDTF">2024-02-28T17:31:38Z</dcterms:modified>
</cp:coreProperties>
</file>